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5364480" cy="8117840"/>
            <wp:effectExtent l="0" t="0" r="0" b="5080"/>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pic:cNvPicPr>
                      <a:picLocks noChangeAspect="1"/>
                    </pic:cNvPicPr>
                  </pic:nvPicPr>
                  <pic:blipFill>
                    <a:blip r:embed="rId7"/>
                    <a:stretch>
                      <a:fillRect/>
                    </a:stretch>
                  </pic:blipFill>
                  <pic:spPr>
                    <a:xfrm>
                      <a:off x="0" y="0"/>
                      <a:ext cx="5364480" cy="8117840"/>
                    </a:xfrm>
                    <a:prstGeom prst="rect">
                      <a:avLst/>
                    </a:prstGeom>
                    <a:noFill/>
                    <a:ln>
                      <a:noFill/>
                    </a:ln>
                  </pic:spPr>
                </pic:pic>
              </a:graphicData>
            </a:graphic>
          </wp:inline>
        </w:drawing>
      </w:r>
      <w:r>
        <w:rPr>
          <w:color w:val="auto"/>
        </w:rPr>
        <w:drawing>
          <wp:inline distT="0" distB="0" distL="114300" distR="114300">
            <wp:extent cx="5271135" cy="7348220"/>
            <wp:effectExtent l="0" t="0" r="1905" b="12700"/>
            <wp:docPr id="76" name="图片 76" descr="53d08d10ff979e93bf6b3b3278b94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53d08d10ff979e93bf6b3b3278b945f"/>
                    <pic:cNvPicPr>
                      <a:picLocks noChangeAspect="1"/>
                    </pic:cNvPicPr>
                  </pic:nvPicPr>
                  <pic:blipFill>
                    <a:blip r:embed="rId8"/>
                    <a:stretch>
                      <a:fillRect/>
                    </a:stretch>
                  </pic:blipFill>
                  <pic:spPr>
                    <a:xfrm>
                      <a:off x="0" y="0"/>
                      <a:ext cx="5271135" cy="7348220"/>
                    </a:xfrm>
                    <a:prstGeom prst="rect">
                      <a:avLst/>
                    </a:prstGeom>
                  </pic:spPr>
                </pic:pic>
              </a:graphicData>
            </a:graphic>
          </wp:inline>
        </w:drawing>
      </w:r>
      <w:r>
        <w:rPr>
          <w:color w:val="auto"/>
        </w:rPr>
        <w:drawing>
          <wp:inline distT="0" distB="0" distL="114300" distR="114300">
            <wp:extent cx="5271770" cy="7513955"/>
            <wp:effectExtent l="0" t="0" r="1270" b="1460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9"/>
                    <a:stretch>
                      <a:fillRect/>
                    </a:stretch>
                  </pic:blipFill>
                  <pic:spPr>
                    <a:xfrm>
                      <a:off x="0" y="0"/>
                      <a:ext cx="5271770" cy="75139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color w:val="auto"/>
        </w:rPr>
      </w:pPr>
    </w:p>
    <w:p>
      <w:pPr>
        <w:pStyle w:val="10"/>
        <w:rPr>
          <w:color w:val="auto"/>
        </w:rPr>
      </w:pPr>
    </w:p>
    <w:p>
      <w:pPr>
        <w:pStyle w:val="11"/>
        <w:rPr>
          <w:rFonts w:hint="default"/>
          <w:color w:val="auto"/>
        </w:rPr>
      </w:pPr>
    </w:p>
    <w:p>
      <w:pPr>
        <w:pStyle w:val="10"/>
        <w:rPr>
          <w:rFonts w:hint="default" w:ascii="Times New Roman" w:hAnsi="Times New Roman" w:eastAsia="仿宋_GB2312" w:cs="Times New Roman"/>
          <w:color w:val="auto"/>
          <w:sz w:val="36"/>
          <w:szCs w:val="36"/>
          <w:u w:val="single"/>
        </w:rPr>
      </w:pPr>
    </w:p>
    <w:sdt>
      <w:sdtPr>
        <w:rPr>
          <w:rFonts w:ascii="宋体" w:hAnsi="宋体" w:eastAsia="宋体" w:cs="Times New Roman"/>
          <w:b/>
          <w:bCs/>
          <w:color w:val="auto"/>
          <w:kern w:val="2"/>
          <w:sz w:val="40"/>
          <w:szCs w:val="48"/>
          <w:lang w:val="en-US" w:eastAsia="zh-CN" w:bidi="ar-SA"/>
        </w:rPr>
        <w:id w:val="147454793"/>
        <w15:color w:val="DBDBDB"/>
        <w:docPartObj>
          <w:docPartGallery w:val="Table of Contents"/>
          <w:docPartUnique/>
        </w:docPartObj>
      </w:sdtPr>
      <w:sdtEndPr>
        <w:rPr>
          <w:rFonts w:ascii="宋体" w:hAnsi="宋体" w:eastAsia="宋体" w:cs="Times New Roman"/>
          <w:b/>
          <w:bCs/>
          <w:color w:val="auto"/>
          <w:kern w:val="2"/>
          <w:sz w:val="40"/>
          <w:szCs w:val="48"/>
          <w:lang w:val="en-US" w:eastAsia="zh-CN" w:bidi="ar-SA"/>
        </w:rPr>
      </w:sdtEndPr>
      <w:sdtContent>
        <w:p>
          <w:pPr>
            <w:spacing w:before="0" w:beforeLines="0" w:after="0" w:afterLines="0" w:line="240" w:lineRule="auto"/>
            <w:ind w:left="0" w:leftChars="0" w:right="0" w:rightChars="0" w:firstLine="0" w:firstLineChars="0"/>
            <w:jc w:val="center"/>
            <w:rPr>
              <w:b/>
              <w:bCs/>
              <w:color w:val="auto"/>
              <w:sz w:val="48"/>
              <w:szCs w:val="48"/>
            </w:rPr>
          </w:pPr>
          <w:bookmarkStart w:id="0" w:name="_Toc8399"/>
          <w:r>
            <w:rPr>
              <w:rFonts w:ascii="宋体" w:hAnsi="宋体" w:eastAsia="宋体"/>
              <w:b/>
              <w:bCs/>
              <w:color w:val="auto"/>
              <w:sz w:val="40"/>
              <w:szCs w:val="48"/>
            </w:rPr>
            <w:t>目录</w:t>
          </w:r>
        </w:p>
        <w:p>
          <w:pPr>
            <w:pStyle w:val="82"/>
            <w:tabs>
              <w:tab w:val="right" w:leader="dot" w:pos="8306"/>
            </w:tabs>
            <w:rPr>
              <w:color w:val="auto"/>
            </w:rPr>
          </w:pPr>
          <w:r>
            <w:rPr>
              <w:color w:val="auto"/>
            </w:rPr>
            <w:fldChar w:fldCharType="begin"/>
          </w:r>
          <w:r>
            <w:rPr>
              <w:color w:val="auto"/>
            </w:rPr>
            <w:instrText xml:space="preserve">TOC \o "1-1" \h \u </w:instrText>
          </w:r>
          <w:r>
            <w:rPr>
              <w:color w:val="auto"/>
            </w:rPr>
            <w:fldChar w:fldCharType="separate"/>
          </w:r>
        </w:p>
        <w:p>
          <w:pPr>
            <w:pStyle w:val="82"/>
            <w:tabs>
              <w:tab w:val="right" w:leader="dot" w:pos="8306"/>
            </w:tabs>
            <w:rPr>
              <w:b/>
              <w:bCs/>
              <w:color w:val="auto"/>
              <w:sz w:val="28"/>
              <w:szCs w:val="28"/>
            </w:rPr>
          </w:pPr>
          <w:r>
            <w:rPr>
              <w:b/>
              <w:bCs/>
              <w:color w:val="auto"/>
              <w:sz w:val="28"/>
              <w:szCs w:val="28"/>
            </w:rPr>
            <w:fldChar w:fldCharType="begin"/>
          </w:r>
          <w:r>
            <w:rPr>
              <w:b/>
              <w:bCs/>
              <w:color w:val="auto"/>
              <w:sz w:val="28"/>
              <w:szCs w:val="28"/>
            </w:rPr>
            <w:instrText xml:space="preserve"> HYPERLINK \l _Toc9991 </w:instrText>
          </w:r>
          <w:r>
            <w:rPr>
              <w:b/>
              <w:bCs/>
              <w:color w:val="auto"/>
              <w:sz w:val="28"/>
              <w:szCs w:val="28"/>
            </w:rPr>
            <w:fldChar w:fldCharType="separate"/>
          </w:r>
          <w:r>
            <w:rPr>
              <w:b/>
              <w:bCs/>
              <w:color w:val="auto"/>
              <w:sz w:val="28"/>
              <w:szCs w:val="28"/>
            </w:rPr>
            <w:t>一、建设项目基本情况</w:t>
          </w:r>
          <w:r>
            <w:rPr>
              <w:b/>
              <w:bCs/>
              <w:color w:val="auto"/>
              <w:sz w:val="28"/>
              <w:szCs w:val="28"/>
            </w:rPr>
            <w:tab/>
          </w:r>
          <w:r>
            <w:rPr>
              <w:b/>
              <w:bCs/>
              <w:color w:val="auto"/>
              <w:sz w:val="28"/>
              <w:szCs w:val="28"/>
            </w:rPr>
            <w:fldChar w:fldCharType="begin"/>
          </w:r>
          <w:r>
            <w:rPr>
              <w:b/>
              <w:bCs/>
              <w:color w:val="auto"/>
              <w:sz w:val="28"/>
              <w:szCs w:val="28"/>
            </w:rPr>
            <w:instrText xml:space="preserve"> PAGEREF _Toc9991 \h </w:instrText>
          </w:r>
          <w:r>
            <w:rPr>
              <w:b/>
              <w:bCs/>
              <w:color w:val="auto"/>
              <w:sz w:val="28"/>
              <w:szCs w:val="28"/>
            </w:rPr>
            <w:fldChar w:fldCharType="separate"/>
          </w:r>
          <w:r>
            <w:rPr>
              <w:b/>
              <w:bCs/>
              <w:color w:val="auto"/>
              <w:sz w:val="28"/>
              <w:szCs w:val="28"/>
            </w:rPr>
            <w:t>1</w:t>
          </w:r>
          <w:r>
            <w:rPr>
              <w:b/>
              <w:bCs/>
              <w:color w:val="auto"/>
              <w:sz w:val="28"/>
              <w:szCs w:val="28"/>
            </w:rPr>
            <w:fldChar w:fldCharType="end"/>
          </w:r>
          <w:r>
            <w:rPr>
              <w:b/>
              <w:bCs/>
              <w:color w:val="auto"/>
              <w:sz w:val="28"/>
              <w:szCs w:val="28"/>
            </w:rPr>
            <w:fldChar w:fldCharType="end"/>
          </w:r>
        </w:p>
        <w:p>
          <w:pPr>
            <w:pStyle w:val="82"/>
            <w:tabs>
              <w:tab w:val="right" w:leader="dot" w:pos="8306"/>
            </w:tabs>
            <w:rPr>
              <w:b/>
              <w:bCs/>
              <w:color w:val="auto"/>
              <w:sz w:val="28"/>
              <w:szCs w:val="28"/>
            </w:rPr>
          </w:pPr>
          <w:r>
            <w:rPr>
              <w:b/>
              <w:bCs/>
              <w:color w:val="auto"/>
              <w:sz w:val="28"/>
              <w:szCs w:val="28"/>
            </w:rPr>
            <w:fldChar w:fldCharType="begin"/>
          </w:r>
          <w:r>
            <w:rPr>
              <w:b/>
              <w:bCs/>
              <w:color w:val="auto"/>
              <w:sz w:val="28"/>
              <w:szCs w:val="28"/>
            </w:rPr>
            <w:instrText xml:space="preserve"> HYPERLINK \l _Toc32665 </w:instrText>
          </w:r>
          <w:r>
            <w:rPr>
              <w:b/>
              <w:bCs/>
              <w:color w:val="auto"/>
              <w:sz w:val="28"/>
              <w:szCs w:val="28"/>
            </w:rPr>
            <w:fldChar w:fldCharType="separate"/>
          </w:r>
          <w:r>
            <w:rPr>
              <w:rFonts w:hint="eastAsia" w:eastAsia="宋体"/>
              <w:b/>
              <w:bCs/>
              <w:color w:val="auto"/>
              <w:sz w:val="28"/>
              <w:szCs w:val="28"/>
              <w:lang w:val="en-US" w:eastAsia="zh-CN"/>
            </w:rPr>
            <w:t xml:space="preserve">二、 </w:t>
          </w:r>
          <w:r>
            <w:rPr>
              <w:rFonts w:hint="default"/>
              <w:b/>
              <w:bCs/>
              <w:color w:val="auto"/>
              <w:sz w:val="28"/>
              <w:szCs w:val="28"/>
            </w:rPr>
            <w:t>建设项目工程分析</w:t>
          </w:r>
          <w:r>
            <w:rPr>
              <w:b/>
              <w:bCs/>
              <w:color w:val="auto"/>
              <w:sz w:val="28"/>
              <w:szCs w:val="28"/>
            </w:rPr>
            <w:tab/>
          </w:r>
          <w:r>
            <w:rPr>
              <w:b/>
              <w:bCs/>
              <w:color w:val="auto"/>
              <w:sz w:val="28"/>
              <w:szCs w:val="28"/>
            </w:rPr>
            <w:fldChar w:fldCharType="begin"/>
          </w:r>
          <w:r>
            <w:rPr>
              <w:b/>
              <w:bCs/>
              <w:color w:val="auto"/>
              <w:sz w:val="28"/>
              <w:szCs w:val="28"/>
            </w:rPr>
            <w:instrText xml:space="preserve"> PAGEREF _Toc32665 \h </w:instrText>
          </w:r>
          <w:r>
            <w:rPr>
              <w:b/>
              <w:bCs/>
              <w:color w:val="auto"/>
              <w:sz w:val="28"/>
              <w:szCs w:val="28"/>
            </w:rPr>
            <w:fldChar w:fldCharType="separate"/>
          </w:r>
          <w:r>
            <w:rPr>
              <w:b/>
              <w:bCs/>
              <w:color w:val="auto"/>
              <w:sz w:val="28"/>
              <w:szCs w:val="28"/>
            </w:rPr>
            <w:t>10</w:t>
          </w:r>
          <w:r>
            <w:rPr>
              <w:b/>
              <w:bCs/>
              <w:color w:val="auto"/>
              <w:sz w:val="28"/>
              <w:szCs w:val="28"/>
            </w:rPr>
            <w:fldChar w:fldCharType="end"/>
          </w:r>
          <w:r>
            <w:rPr>
              <w:b/>
              <w:bCs/>
              <w:color w:val="auto"/>
              <w:sz w:val="28"/>
              <w:szCs w:val="28"/>
            </w:rPr>
            <w:fldChar w:fldCharType="end"/>
          </w:r>
        </w:p>
        <w:p>
          <w:pPr>
            <w:pStyle w:val="82"/>
            <w:tabs>
              <w:tab w:val="right" w:leader="dot" w:pos="8306"/>
            </w:tabs>
            <w:rPr>
              <w:b/>
              <w:bCs/>
              <w:color w:val="auto"/>
              <w:sz w:val="28"/>
              <w:szCs w:val="28"/>
            </w:rPr>
          </w:pPr>
          <w:r>
            <w:rPr>
              <w:b/>
              <w:bCs/>
              <w:color w:val="auto"/>
              <w:sz w:val="28"/>
              <w:szCs w:val="28"/>
            </w:rPr>
            <w:fldChar w:fldCharType="begin"/>
          </w:r>
          <w:r>
            <w:rPr>
              <w:b/>
              <w:bCs/>
              <w:color w:val="auto"/>
              <w:sz w:val="28"/>
              <w:szCs w:val="28"/>
            </w:rPr>
            <w:instrText xml:space="preserve"> HYPERLINK \l _Toc11202 </w:instrText>
          </w:r>
          <w:r>
            <w:rPr>
              <w:b/>
              <w:bCs/>
              <w:color w:val="auto"/>
              <w:sz w:val="28"/>
              <w:szCs w:val="28"/>
            </w:rPr>
            <w:fldChar w:fldCharType="separate"/>
          </w:r>
          <w:r>
            <w:rPr>
              <w:b/>
              <w:bCs/>
              <w:color w:val="auto"/>
              <w:sz w:val="28"/>
              <w:szCs w:val="28"/>
            </w:rPr>
            <w:t>三、区域环境质量现状、环境保护目标及评价标准</w:t>
          </w:r>
          <w:r>
            <w:rPr>
              <w:b/>
              <w:bCs/>
              <w:color w:val="auto"/>
              <w:sz w:val="28"/>
              <w:szCs w:val="28"/>
            </w:rPr>
            <w:tab/>
          </w:r>
          <w:r>
            <w:rPr>
              <w:b/>
              <w:bCs/>
              <w:color w:val="auto"/>
              <w:sz w:val="28"/>
              <w:szCs w:val="28"/>
            </w:rPr>
            <w:fldChar w:fldCharType="begin"/>
          </w:r>
          <w:r>
            <w:rPr>
              <w:b/>
              <w:bCs/>
              <w:color w:val="auto"/>
              <w:sz w:val="28"/>
              <w:szCs w:val="28"/>
            </w:rPr>
            <w:instrText xml:space="preserve"> PAGEREF _Toc11202 \h </w:instrText>
          </w:r>
          <w:r>
            <w:rPr>
              <w:b/>
              <w:bCs/>
              <w:color w:val="auto"/>
              <w:sz w:val="28"/>
              <w:szCs w:val="28"/>
            </w:rPr>
            <w:fldChar w:fldCharType="separate"/>
          </w:r>
          <w:r>
            <w:rPr>
              <w:b/>
              <w:bCs/>
              <w:color w:val="auto"/>
              <w:sz w:val="28"/>
              <w:szCs w:val="28"/>
            </w:rPr>
            <w:t>22</w:t>
          </w:r>
          <w:r>
            <w:rPr>
              <w:b/>
              <w:bCs/>
              <w:color w:val="auto"/>
              <w:sz w:val="28"/>
              <w:szCs w:val="28"/>
            </w:rPr>
            <w:fldChar w:fldCharType="end"/>
          </w:r>
          <w:r>
            <w:rPr>
              <w:b/>
              <w:bCs/>
              <w:color w:val="auto"/>
              <w:sz w:val="28"/>
              <w:szCs w:val="28"/>
            </w:rPr>
            <w:fldChar w:fldCharType="end"/>
          </w:r>
        </w:p>
        <w:p>
          <w:pPr>
            <w:pStyle w:val="82"/>
            <w:tabs>
              <w:tab w:val="right" w:leader="dot" w:pos="8306"/>
            </w:tabs>
            <w:rPr>
              <w:b/>
              <w:bCs/>
              <w:color w:val="auto"/>
              <w:sz w:val="28"/>
              <w:szCs w:val="28"/>
            </w:rPr>
          </w:pPr>
          <w:r>
            <w:rPr>
              <w:b/>
              <w:bCs/>
              <w:color w:val="auto"/>
              <w:sz w:val="28"/>
              <w:szCs w:val="28"/>
            </w:rPr>
            <w:fldChar w:fldCharType="begin"/>
          </w:r>
          <w:r>
            <w:rPr>
              <w:b/>
              <w:bCs/>
              <w:color w:val="auto"/>
              <w:sz w:val="28"/>
              <w:szCs w:val="28"/>
            </w:rPr>
            <w:instrText xml:space="preserve"> HYPERLINK \l _Toc6012 </w:instrText>
          </w:r>
          <w:r>
            <w:rPr>
              <w:b/>
              <w:bCs/>
              <w:color w:val="auto"/>
              <w:sz w:val="28"/>
              <w:szCs w:val="28"/>
            </w:rPr>
            <w:fldChar w:fldCharType="separate"/>
          </w:r>
          <w:r>
            <w:rPr>
              <w:rFonts w:hint="eastAsia"/>
              <w:b/>
              <w:bCs/>
              <w:color w:val="auto"/>
              <w:sz w:val="28"/>
              <w:szCs w:val="28"/>
              <w:lang w:eastAsia="zh-CN"/>
            </w:rPr>
            <w:t>四、</w:t>
          </w:r>
          <w:r>
            <w:rPr>
              <w:b/>
              <w:bCs/>
              <w:color w:val="auto"/>
              <w:sz w:val="28"/>
              <w:szCs w:val="28"/>
            </w:rPr>
            <w:t>主要环境影响和保护措施</w:t>
          </w:r>
          <w:r>
            <w:rPr>
              <w:b/>
              <w:bCs/>
              <w:color w:val="auto"/>
              <w:sz w:val="28"/>
              <w:szCs w:val="28"/>
            </w:rPr>
            <w:tab/>
          </w:r>
          <w:r>
            <w:rPr>
              <w:b/>
              <w:bCs/>
              <w:color w:val="auto"/>
              <w:sz w:val="28"/>
              <w:szCs w:val="28"/>
            </w:rPr>
            <w:fldChar w:fldCharType="begin"/>
          </w:r>
          <w:r>
            <w:rPr>
              <w:b/>
              <w:bCs/>
              <w:color w:val="auto"/>
              <w:sz w:val="28"/>
              <w:szCs w:val="28"/>
            </w:rPr>
            <w:instrText xml:space="preserve"> PAGEREF _Toc6012 \h </w:instrText>
          </w:r>
          <w:r>
            <w:rPr>
              <w:b/>
              <w:bCs/>
              <w:color w:val="auto"/>
              <w:sz w:val="28"/>
              <w:szCs w:val="28"/>
            </w:rPr>
            <w:fldChar w:fldCharType="separate"/>
          </w:r>
          <w:r>
            <w:rPr>
              <w:b/>
              <w:bCs/>
              <w:color w:val="auto"/>
              <w:sz w:val="28"/>
              <w:szCs w:val="28"/>
            </w:rPr>
            <w:t>33</w:t>
          </w:r>
          <w:r>
            <w:rPr>
              <w:b/>
              <w:bCs/>
              <w:color w:val="auto"/>
              <w:sz w:val="28"/>
              <w:szCs w:val="28"/>
            </w:rPr>
            <w:fldChar w:fldCharType="end"/>
          </w:r>
          <w:r>
            <w:rPr>
              <w:b/>
              <w:bCs/>
              <w:color w:val="auto"/>
              <w:sz w:val="28"/>
              <w:szCs w:val="28"/>
            </w:rPr>
            <w:fldChar w:fldCharType="end"/>
          </w:r>
        </w:p>
        <w:p>
          <w:pPr>
            <w:pStyle w:val="82"/>
            <w:tabs>
              <w:tab w:val="right" w:leader="dot" w:pos="8306"/>
            </w:tabs>
            <w:rPr>
              <w:b/>
              <w:bCs/>
              <w:color w:val="auto"/>
              <w:sz w:val="28"/>
              <w:szCs w:val="28"/>
            </w:rPr>
          </w:pPr>
          <w:r>
            <w:rPr>
              <w:b/>
              <w:bCs/>
              <w:color w:val="auto"/>
              <w:sz w:val="28"/>
              <w:szCs w:val="28"/>
            </w:rPr>
            <w:fldChar w:fldCharType="begin"/>
          </w:r>
          <w:r>
            <w:rPr>
              <w:b/>
              <w:bCs/>
              <w:color w:val="auto"/>
              <w:sz w:val="28"/>
              <w:szCs w:val="28"/>
            </w:rPr>
            <w:instrText xml:space="preserve"> HYPERLINK \l _Toc89 </w:instrText>
          </w:r>
          <w:r>
            <w:rPr>
              <w:b/>
              <w:bCs/>
              <w:color w:val="auto"/>
              <w:sz w:val="28"/>
              <w:szCs w:val="28"/>
            </w:rPr>
            <w:fldChar w:fldCharType="separate"/>
          </w:r>
          <w:r>
            <w:rPr>
              <w:b/>
              <w:bCs/>
              <w:color w:val="auto"/>
              <w:sz w:val="28"/>
              <w:szCs w:val="28"/>
            </w:rPr>
            <w:t>五、环境保护措施监督检查清单</w:t>
          </w:r>
          <w:r>
            <w:rPr>
              <w:b/>
              <w:bCs/>
              <w:color w:val="auto"/>
              <w:sz w:val="28"/>
              <w:szCs w:val="28"/>
            </w:rPr>
            <w:tab/>
          </w:r>
          <w:r>
            <w:rPr>
              <w:b/>
              <w:bCs/>
              <w:color w:val="auto"/>
              <w:sz w:val="28"/>
              <w:szCs w:val="28"/>
            </w:rPr>
            <w:fldChar w:fldCharType="begin"/>
          </w:r>
          <w:r>
            <w:rPr>
              <w:b/>
              <w:bCs/>
              <w:color w:val="auto"/>
              <w:sz w:val="28"/>
              <w:szCs w:val="28"/>
            </w:rPr>
            <w:instrText xml:space="preserve"> PAGEREF _Toc89 \h </w:instrText>
          </w:r>
          <w:r>
            <w:rPr>
              <w:b/>
              <w:bCs/>
              <w:color w:val="auto"/>
              <w:sz w:val="28"/>
              <w:szCs w:val="28"/>
            </w:rPr>
            <w:fldChar w:fldCharType="separate"/>
          </w:r>
          <w:r>
            <w:rPr>
              <w:b/>
              <w:bCs/>
              <w:color w:val="auto"/>
              <w:sz w:val="28"/>
              <w:szCs w:val="28"/>
            </w:rPr>
            <w:t>41</w:t>
          </w:r>
          <w:r>
            <w:rPr>
              <w:b/>
              <w:bCs/>
              <w:color w:val="auto"/>
              <w:sz w:val="28"/>
              <w:szCs w:val="28"/>
            </w:rPr>
            <w:fldChar w:fldCharType="end"/>
          </w:r>
          <w:r>
            <w:rPr>
              <w:b/>
              <w:bCs/>
              <w:color w:val="auto"/>
              <w:sz w:val="28"/>
              <w:szCs w:val="28"/>
            </w:rPr>
            <w:fldChar w:fldCharType="end"/>
          </w:r>
        </w:p>
        <w:p>
          <w:pPr>
            <w:pStyle w:val="82"/>
            <w:tabs>
              <w:tab w:val="right" w:leader="dot" w:pos="8306"/>
            </w:tabs>
            <w:rPr>
              <w:b/>
              <w:bCs/>
              <w:color w:val="auto"/>
              <w:sz w:val="28"/>
              <w:szCs w:val="28"/>
            </w:rPr>
          </w:pPr>
          <w:r>
            <w:rPr>
              <w:b/>
              <w:bCs/>
              <w:color w:val="auto"/>
              <w:sz w:val="28"/>
              <w:szCs w:val="28"/>
            </w:rPr>
            <w:fldChar w:fldCharType="begin"/>
          </w:r>
          <w:r>
            <w:rPr>
              <w:b/>
              <w:bCs/>
              <w:color w:val="auto"/>
              <w:sz w:val="28"/>
              <w:szCs w:val="28"/>
            </w:rPr>
            <w:instrText xml:space="preserve"> HYPERLINK \l _Toc2965 </w:instrText>
          </w:r>
          <w:r>
            <w:rPr>
              <w:b/>
              <w:bCs/>
              <w:color w:val="auto"/>
              <w:sz w:val="28"/>
              <w:szCs w:val="28"/>
            </w:rPr>
            <w:fldChar w:fldCharType="separate"/>
          </w:r>
          <w:r>
            <w:rPr>
              <w:rFonts w:hint="eastAsia"/>
              <w:b/>
              <w:bCs/>
              <w:color w:val="auto"/>
              <w:sz w:val="28"/>
              <w:szCs w:val="28"/>
            </w:rPr>
            <w:t>六、结论</w:t>
          </w:r>
          <w:r>
            <w:rPr>
              <w:b/>
              <w:bCs/>
              <w:color w:val="auto"/>
              <w:sz w:val="28"/>
              <w:szCs w:val="28"/>
            </w:rPr>
            <w:tab/>
          </w:r>
          <w:r>
            <w:rPr>
              <w:b/>
              <w:bCs/>
              <w:color w:val="auto"/>
              <w:sz w:val="28"/>
              <w:szCs w:val="28"/>
            </w:rPr>
            <w:fldChar w:fldCharType="begin"/>
          </w:r>
          <w:r>
            <w:rPr>
              <w:b/>
              <w:bCs/>
              <w:color w:val="auto"/>
              <w:sz w:val="28"/>
              <w:szCs w:val="28"/>
            </w:rPr>
            <w:instrText xml:space="preserve"> PAGEREF _Toc2965 \h </w:instrText>
          </w:r>
          <w:r>
            <w:rPr>
              <w:b/>
              <w:bCs/>
              <w:color w:val="auto"/>
              <w:sz w:val="28"/>
              <w:szCs w:val="28"/>
            </w:rPr>
            <w:fldChar w:fldCharType="separate"/>
          </w:r>
          <w:r>
            <w:rPr>
              <w:b/>
              <w:bCs/>
              <w:color w:val="auto"/>
              <w:sz w:val="28"/>
              <w:szCs w:val="28"/>
            </w:rPr>
            <w:t>81</w:t>
          </w:r>
          <w:r>
            <w:rPr>
              <w:b/>
              <w:bCs/>
              <w:color w:val="auto"/>
              <w:sz w:val="28"/>
              <w:szCs w:val="28"/>
            </w:rPr>
            <w:fldChar w:fldCharType="end"/>
          </w:r>
          <w:r>
            <w:rPr>
              <w:b/>
              <w:bCs/>
              <w:color w:val="auto"/>
              <w:sz w:val="28"/>
              <w:szCs w:val="28"/>
            </w:rPr>
            <w:fldChar w:fldCharType="end"/>
          </w:r>
        </w:p>
        <w:p>
          <w:pPr>
            <w:pStyle w:val="82"/>
            <w:tabs>
              <w:tab w:val="right" w:leader="dot" w:pos="8306"/>
            </w:tabs>
            <w:rPr>
              <w:color w:val="auto"/>
            </w:rPr>
          </w:pPr>
        </w:p>
        <w:p>
          <w:pPr>
            <w:rPr>
              <w:color w:val="auto"/>
            </w:rPr>
          </w:pPr>
          <w:r>
            <w:rPr>
              <w:color w:val="auto"/>
            </w:rPr>
            <w:fldChar w:fldCharType="end"/>
          </w:r>
        </w:p>
      </w:sdtContent>
    </w:sdt>
    <w:bookmarkEnd w:id="0"/>
    <w:p>
      <w:pPr>
        <w:keepNext w:val="0"/>
        <w:keepLines w:val="0"/>
        <w:pageBreakBefore w:val="0"/>
        <w:widowControl w:val="0"/>
        <w:kinsoku/>
        <w:wordWrap/>
        <w:overflowPunct/>
        <w:topLinePunct w:val="0"/>
        <w:autoSpaceDE/>
        <w:autoSpaceDN/>
        <w:bidi w:val="0"/>
        <w:adjustRightInd w:val="0"/>
        <w:snapToGrid w:val="0"/>
        <w:spacing w:line="360" w:lineRule="auto"/>
        <w:ind w:firstLine="720" w:firstLineChars="200"/>
        <w:jc w:val="left"/>
        <w:textAlignment w:val="auto"/>
        <w:rPr>
          <w:rFonts w:hint="default" w:ascii="Times New Roman" w:hAnsi="Times New Roman" w:eastAsia="仿宋_GB2312" w:cs="Times New Roman"/>
          <w:color w:val="auto"/>
          <w:sz w:val="36"/>
          <w:szCs w:val="36"/>
          <w:u w:val="single"/>
        </w:rPr>
      </w:pPr>
    </w:p>
    <w:p>
      <w:pPr>
        <w:pStyle w:val="2"/>
        <w:bidi w:val="0"/>
        <w:jc w:val="center"/>
        <w:rPr>
          <w:color w:val="auto"/>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1" w:name="_Toc1444"/>
      <w:bookmarkStart w:id="2" w:name="_Toc9991"/>
      <w:bookmarkStart w:id="3" w:name="_Toc531"/>
      <w:bookmarkStart w:id="4" w:name="_Toc19256"/>
    </w:p>
    <w:p>
      <w:pPr>
        <w:pStyle w:val="2"/>
        <w:bidi w:val="0"/>
        <w:jc w:val="center"/>
        <w:rPr>
          <w:color w:val="auto"/>
        </w:rPr>
      </w:pPr>
      <w:r>
        <w:rPr>
          <w:color w:val="auto"/>
        </w:rPr>
        <w:t>一、建设项目基本情况</w:t>
      </w:r>
      <w:bookmarkEnd w:id="1"/>
      <w:bookmarkEnd w:id="2"/>
      <w:bookmarkEnd w:id="3"/>
    </w:p>
    <w:tbl>
      <w:tblPr>
        <w:tblStyle w:val="26"/>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167"/>
        <w:gridCol w:w="1852"/>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建设项目名称</w:t>
            </w:r>
          </w:p>
        </w:tc>
        <w:tc>
          <w:tcPr>
            <w:tcW w:w="6703" w:type="dxa"/>
            <w:gridSpan w:val="3"/>
            <w:noWrap w:val="0"/>
            <w:vAlign w:val="center"/>
          </w:tcPr>
          <w:p>
            <w:pPr>
              <w:adjustRightInd w:val="0"/>
              <w:snapToGrid w:val="0"/>
              <w:spacing w:line="240" w:lineRule="auto"/>
              <w:jc w:val="center"/>
              <w:rPr>
                <w:rFonts w:hint="eastAsia" w:ascii="Times New Roman" w:hAnsi="Times New Roman"/>
                <w:color w:val="auto"/>
                <w:sz w:val="21"/>
                <w:szCs w:val="21"/>
              </w:rPr>
            </w:pPr>
            <w:r>
              <w:rPr>
                <w:rFonts w:hint="default" w:ascii="Times New Roman" w:hAnsi="Times New Roman"/>
                <w:color w:val="auto"/>
                <w:sz w:val="21"/>
                <w:szCs w:val="21"/>
                <w:lang w:val="zh-CN"/>
              </w:rPr>
              <w:t>福清福宁医院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0"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项目代码</w:t>
            </w:r>
          </w:p>
        </w:tc>
        <w:tc>
          <w:tcPr>
            <w:tcW w:w="6703" w:type="dxa"/>
            <w:gridSpan w:val="3"/>
            <w:noWrap w:val="0"/>
            <w:vAlign w:val="center"/>
          </w:tcPr>
          <w:p>
            <w:pPr>
              <w:adjustRightInd w:val="0"/>
              <w:snapToGrid w:val="0"/>
              <w:spacing w:line="240" w:lineRule="auto"/>
              <w:jc w:val="center"/>
              <w:rPr>
                <w:rFonts w:hint="default" w:ascii="Times New Roman" w:hAnsi="Times New Roman"/>
                <w:color w:val="auto"/>
                <w:sz w:val="21"/>
                <w:szCs w:val="21"/>
                <w:lang w:val="en-US" w:eastAsia="zh-CN"/>
              </w:rPr>
            </w:pPr>
            <w:r>
              <w:rPr>
                <w:rFonts w:hint="default" w:ascii="Times New Roman" w:hAnsi="Times New Roman"/>
                <w:color w:val="auto"/>
                <w:sz w:val="21"/>
                <w:szCs w:val="21"/>
                <w:lang w:val="zh-CN"/>
              </w:rPr>
              <w:t>2403-350181-04-01-943157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hint="default" w:ascii="Times New Roman" w:hAnsi="Times New Roman"/>
                <w:color w:val="auto"/>
                <w:sz w:val="21"/>
                <w:szCs w:val="21"/>
                <w:lang w:val="zh-CN"/>
              </w:rPr>
            </w:pPr>
            <w:r>
              <w:rPr>
                <w:rFonts w:hint="default" w:ascii="Times New Roman" w:hAnsi="Times New Roman"/>
                <w:color w:val="auto"/>
                <w:sz w:val="21"/>
                <w:szCs w:val="21"/>
                <w:lang w:val="zh-CN"/>
              </w:rPr>
              <w:t>建设单位联系人</w:t>
            </w:r>
          </w:p>
        </w:tc>
        <w:tc>
          <w:tcPr>
            <w:tcW w:w="1852" w:type="dxa"/>
            <w:noWrap w:val="0"/>
            <w:vAlign w:val="center"/>
          </w:tcPr>
          <w:p>
            <w:pPr>
              <w:adjustRightInd w:val="0"/>
              <w:snapToGrid w:val="0"/>
              <w:spacing w:line="240" w:lineRule="auto"/>
              <w:jc w:val="center"/>
              <w:rPr>
                <w:rFonts w:hint="default" w:ascii="Times New Roman" w:hAnsi="Times New Roman"/>
                <w:color w:val="auto"/>
                <w:sz w:val="21"/>
                <w:szCs w:val="21"/>
                <w:lang w:val="en-US"/>
              </w:rPr>
            </w:pPr>
            <w:r>
              <w:rPr>
                <w:rFonts w:hint="default" w:ascii="Times New Roman" w:hAnsi="Times New Roman"/>
                <w:color w:val="auto"/>
                <w:sz w:val="21"/>
                <w:szCs w:val="21"/>
                <w:lang w:val="en-US"/>
              </w:rPr>
              <w:t>林以心</w:t>
            </w:r>
          </w:p>
        </w:tc>
        <w:tc>
          <w:tcPr>
            <w:tcW w:w="2212" w:type="dxa"/>
            <w:noWrap w:val="0"/>
            <w:vAlign w:val="center"/>
          </w:tcPr>
          <w:p>
            <w:pPr>
              <w:adjustRightInd w:val="0"/>
              <w:snapToGrid w:val="0"/>
              <w:spacing w:line="240" w:lineRule="auto"/>
              <w:jc w:val="center"/>
              <w:rPr>
                <w:rFonts w:hint="default" w:ascii="Times New Roman" w:hAnsi="Times New Roman"/>
                <w:color w:val="auto"/>
                <w:sz w:val="21"/>
                <w:szCs w:val="21"/>
                <w:lang w:val="zh-CN"/>
              </w:rPr>
            </w:pPr>
            <w:r>
              <w:rPr>
                <w:rFonts w:hint="default" w:ascii="Times New Roman" w:hAnsi="Times New Roman"/>
                <w:color w:val="auto"/>
                <w:sz w:val="21"/>
                <w:szCs w:val="21"/>
                <w:lang w:val="zh-CN"/>
              </w:rPr>
              <w:t>联系方式</w:t>
            </w:r>
          </w:p>
        </w:tc>
        <w:tc>
          <w:tcPr>
            <w:tcW w:w="2639" w:type="dxa"/>
            <w:noWrap w:val="0"/>
            <w:vAlign w:val="center"/>
          </w:tcPr>
          <w:p>
            <w:pPr>
              <w:adjustRightInd w:val="0"/>
              <w:snapToGrid w:val="0"/>
              <w:spacing w:line="240" w:lineRule="auto"/>
              <w:jc w:val="center"/>
              <w:rPr>
                <w:rFonts w:hint="default" w:ascii="Times New Roman" w:hAnsi="Times New Roman"/>
                <w:color w:val="auto"/>
                <w:sz w:val="21"/>
                <w:szCs w:val="21"/>
                <w:lang w:val="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建设地点</w:t>
            </w:r>
          </w:p>
        </w:tc>
        <w:tc>
          <w:tcPr>
            <w:tcW w:w="6703" w:type="dxa"/>
            <w:gridSpan w:val="3"/>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en-US" w:eastAsia="zh-CN"/>
              </w:rPr>
              <w:t>福建省福州市福清市龙江街道龙江路667号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地理坐标</w:t>
            </w:r>
          </w:p>
        </w:tc>
        <w:tc>
          <w:tcPr>
            <w:tcW w:w="6703" w:type="dxa"/>
            <w:gridSpan w:val="3"/>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lang w:val="zh-CN"/>
              </w:rPr>
            </w:pPr>
            <w:r>
              <w:rPr>
                <w:rFonts w:hint="eastAsia" w:ascii="Times New Roman" w:hAnsi="Times New Roman" w:eastAsia="宋体" w:cs="Times New Roman"/>
                <w:color w:val="auto"/>
                <w:sz w:val="21"/>
                <w:szCs w:val="21"/>
                <w:lang w:val="zh-CN"/>
              </w:rPr>
              <w:t>（</w:t>
            </w:r>
            <w:r>
              <w:rPr>
                <w:rFonts w:hint="eastAsia" w:ascii="Times New Roman" w:hAnsi="Times New Roman" w:eastAsia="宋体" w:cs="Times New Roman"/>
                <w:color w:val="auto"/>
                <w:sz w:val="21"/>
                <w:szCs w:val="21"/>
                <w:lang w:val="en-US" w:eastAsia="zh-CN"/>
              </w:rPr>
              <w:t>25</w:t>
            </w:r>
            <w:r>
              <w:rPr>
                <w:rFonts w:hint="eastAsia" w:ascii="Times New Roman" w:hAnsi="Times New Roman" w:eastAsia="宋体" w:cs="Times New Roman"/>
                <w:color w:val="auto"/>
                <w:sz w:val="21"/>
                <w:szCs w:val="21"/>
                <w:lang w:val="zh-CN"/>
              </w:rPr>
              <w:t>度4</w:t>
            </w:r>
            <w:r>
              <w:rPr>
                <w:rFonts w:hint="eastAsia"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val="zh-CN"/>
              </w:rPr>
              <w:t>分</w:t>
            </w:r>
            <w:r>
              <w:rPr>
                <w:rFonts w:hint="eastAsia" w:ascii="Times New Roman" w:hAnsi="Times New Roman" w:eastAsia="宋体" w:cs="Times New Roman"/>
                <w:color w:val="auto"/>
                <w:sz w:val="21"/>
                <w:szCs w:val="21"/>
                <w:lang w:val="en-US" w:eastAsia="zh-CN"/>
              </w:rPr>
              <w:t>11.57</w:t>
            </w:r>
            <w:r>
              <w:rPr>
                <w:rFonts w:hint="eastAsia" w:ascii="Times New Roman" w:hAnsi="Times New Roman" w:eastAsia="宋体" w:cs="Times New Roman"/>
                <w:color w:val="auto"/>
                <w:sz w:val="21"/>
                <w:szCs w:val="21"/>
                <w:lang w:val="zh-CN"/>
              </w:rPr>
              <w:t>秒，119度2</w:t>
            </w:r>
            <w:r>
              <w:rPr>
                <w:rFonts w:hint="eastAsia"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zh-CN"/>
              </w:rPr>
              <w:t>分</w:t>
            </w:r>
            <w:r>
              <w:rPr>
                <w:rFonts w:hint="eastAsia" w:ascii="Times New Roman" w:hAnsi="Times New Roman" w:eastAsia="宋体" w:cs="Times New Roman"/>
                <w:color w:val="auto"/>
                <w:sz w:val="21"/>
                <w:szCs w:val="21"/>
                <w:lang w:val="en-US" w:eastAsia="zh-CN"/>
              </w:rPr>
              <w:t>12.03</w:t>
            </w:r>
            <w:r>
              <w:rPr>
                <w:rFonts w:hint="eastAsia" w:ascii="Times New Roman" w:hAnsi="Times New Roman" w:eastAsia="宋体" w:cs="Times New Roman"/>
                <w:color w:val="auto"/>
                <w:sz w:val="21"/>
                <w:szCs w:val="21"/>
                <w:lang w:val="zh-CN"/>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国民经济</w:t>
            </w:r>
          </w:p>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行业类别</w:t>
            </w:r>
          </w:p>
        </w:tc>
        <w:tc>
          <w:tcPr>
            <w:tcW w:w="1852" w:type="dxa"/>
            <w:noWrap w:val="0"/>
            <w:vAlign w:val="center"/>
          </w:tcPr>
          <w:p>
            <w:pPr>
              <w:adjustRightInd w:val="0"/>
              <w:snapToGrid w:val="0"/>
              <w:spacing w:line="240" w:lineRule="auto"/>
              <w:jc w:val="center"/>
              <w:rPr>
                <w:rFonts w:hint="eastAsia" w:ascii="Times New Roman" w:hAnsi="Times New Roman"/>
                <w:color w:val="auto"/>
                <w:sz w:val="21"/>
                <w:szCs w:val="21"/>
                <w:lang w:eastAsia="zh-CN"/>
              </w:rPr>
            </w:pPr>
            <w:r>
              <w:rPr>
                <w:rFonts w:hint="eastAsia" w:ascii="Times New Roman" w:hAnsi="Times New Roman"/>
                <w:color w:val="auto"/>
                <w:sz w:val="21"/>
                <w:szCs w:val="21"/>
                <w:lang w:val="en-US" w:eastAsia="zh-CN"/>
              </w:rPr>
              <w:t>Q8415</w:t>
            </w:r>
            <w:r>
              <w:rPr>
                <w:rFonts w:hint="eastAsia" w:ascii="Times New Roman" w:hAnsi="Times New Roman"/>
                <w:color w:val="auto"/>
                <w:sz w:val="21"/>
                <w:szCs w:val="21"/>
              </w:rPr>
              <w:t xml:space="preserve"> </w:t>
            </w:r>
            <w:r>
              <w:rPr>
                <w:rFonts w:hint="eastAsia" w:ascii="Times New Roman" w:hAnsi="Times New Roman"/>
                <w:color w:val="auto"/>
                <w:sz w:val="21"/>
                <w:szCs w:val="21"/>
                <w:lang w:eastAsia="zh-CN"/>
              </w:rPr>
              <w:t>专科医院</w:t>
            </w:r>
          </w:p>
        </w:tc>
        <w:tc>
          <w:tcPr>
            <w:tcW w:w="2212" w:type="dxa"/>
            <w:noWrap w:val="0"/>
            <w:vAlign w:val="center"/>
          </w:tcPr>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建设项目</w:t>
            </w:r>
          </w:p>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行业类别</w:t>
            </w:r>
          </w:p>
        </w:tc>
        <w:tc>
          <w:tcPr>
            <w:tcW w:w="2639" w:type="dxa"/>
            <w:noWrap w:val="0"/>
            <w:vAlign w:val="center"/>
          </w:tcPr>
          <w:p>
            <w:pPr>
              <w:adjustRightInd w:val="0"/>
              <w:snapToGrid w:val="0"/>
              <w:spacing w:line="240" w:lineRule="auto"/>
              <w:jc w:val="center"/>
              <w:rPr>
                <w:rFonts w:ascii="Times New Roman" w:hAnsi="Times New Roman"/>
                <w:color w:val="auto"/>
                <w:sz w:val="21"/>
                <w:szCs w:val="21"/>
              </w:rPr>
            </w:pPr>
            <w:r>
              <w:rPr>
                <w:rFonts w:hint="eastAsia"/>
                <w:color w:val="auto"/>
                <w:sz w:val="21"/>
                <w:szCs w:val="21"/>
                <w:lang w:eastAsia="zh-CN"/>
              </w:rPr>
              <w:t>四十九</w:t>
            </w:r>
            <w:r>
              <w:rPr>
                <w:rFonts w:hint="eastAsia" w:ascii="Times New Roman" w:hAnsi="Times New Roman"/>
                <w:color w:val="auto"/>
                <w:sz w:val="21"/>
                <w:szCs w:val="21"/>
              </w:rPr>
              <w:t>、</w:t>
            </w:r>
            <w:r>
              <w:rPr>
                <w:rFonts w:hint="eastAsia"/>
                <w:color w:val="auto"/>
                <w:sz w:val="21"/>
                <w:szCs w:val="21"/>
                <w:lang w:eastAsia="zh-CN"/>
              </w:rPr>
              <w:t>卫生</w:t>
            </w:r>
            <w:r>
              <w:rPr>
                <w:rFonts w:hint="eastAsia"/>
                <w:color w:val="auto"/>
                <w:sz w:val="21"/>
                <w:szCs w:val="21"/>
                <w:lang w:val="en-US" w:eastAsia="zh-CN"/>
              </w:rPr>
              <w:t xml:space="preserve">84 </w:t>
            </w:r>
            <w:r>
              <w:rPr>
                <w:rFonts w:hint="default" w:ascii="Times New Roman" w:hAnsi="Times New Roman"/>
                <w:color w:val="auto"/>
                <w:sz w:val="21"/>
                <w:szCs w:val="21"/>
                <w:lang w:val="zh-CN"/>
              </w:rPr>
              <w:t>108.医院841；专科疾病防治院（所、站）8432；妇幼保健院（所、站）8433；急救中心（站）服务8434；采供血机构服务8435；基层医疗卫生服务842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建设性质</w:t>
            </w:r>
          </w:p>
        </w:tc>
        <w:tc>
          <w:tcPr>
            <w:tcW w:w="1852" w:type="dxa"/>
            <w:noWrap w:val="0"/>
            <w:vAlign w:val="center"/>
          </w:tcPr>
          <w:p>
            <w:pPr>
              <w:spacing w:line="240" w:lineRule="auto"/>
              <w:jc w:val="left"/>
              <w:rPr>
                <w:rFonts w:hint="eastAsia" w:ascii="Times New Roman" w:hAnsi="Times New Roman" w:eastAsia="宋体"/>
                <w:color w:val="auto"/>
                <w:sz w:val="21"/>
                <w:szCs w:val="21"/>
                <w:lang w:eastAsia="zh-CN"/>
              </w:rPr>
            </w:pPr>
            <w:r>
              <w:rPr>
                <w:rFonts w:hint="eastAsia" w:ascii="Times New Roman" w:hAnsi="Times New Roman"/>
                <w:color w:val="auto"/>
                <w:sz w:val="21"/>
                <w:szCs w:val="21"/>
                <w:lang w:eastAsia="zh-CN"/>
              </w:rPr>
              <w:sym w:font="Wingdings 2" w:char="0052"/>
            </w:r>
            <w:r>
              <w:rPr>
                <w:rFonts w:ascii="Times New Roman" w:hAnsi="Times New Roman"/>
                <w:color w:val="auto"/>
                <w:sz w:val="21"/>
                <w:szCs w:val="21"/>
              </w:rPr>
              <w:t>新建</w:t>
            </w:r>
            <w:r>
              <w:rPr>
                <w:rFonts w:hint="eastAsia" w:ascii="Times New Roman" w:hAnsi="Times New Roman"/>
                <w:color w:val="auto"/>
                <w:sz w:val="21"/>
                <w:szCs w:val="21"/>
                <w:lang w:eastAsia="zh-CN"/>
              </w:rPr>
              <w:t>(</w:t>
            </w:r>
            <w:r>
              <w:rPr>
                <w:rFonts w:ascii="Times New Roman" w:hAnsi="Times New Roman"/>
                <w:color w:val="auto"/>
                <w:sz w:val="21"/>
                <w:szCs w:val="21"/>
              </w:rPr>
              <w:t>迁建</w:t>
            </w:r>
            <w:r>
              <w:rPr>
                <w:rFonts w:hint="eastAsia" w:ascii="Times New Roman" w:hAnsi="Times New Roman"/>
                <w:color w:val="auto"/>
                <w:sz w:val="21"/>
                <w:szCs w:val="21"/>
                <w:lang w:eastAsia="zh-CN"/>
              </w:rPr>
              <w:t>)</w:t>
            </w:r>
          </w:p>
          <w:p>
            <w:pPr>
              <w:spacing w:line="240" w:lineRule="auto"/>
              <w:jc w:val="left"/>
              <w:rPr>
                <w:rFonts w:ascii="Times New Roman" w:hAnsi="Times New Roman"/>
                <w:color w:val="auto"/>
                <w:sz w:val="21"/>
                <w:szCs w:val="21"/>
              </w:rPr>
            </w:pPr>
            <w:r>
              <w:rPr>
                <w:rFonts w:hint="eastAsia" w:ascii="Times New Roman" w:hAnsi="Times New Roman"/>
                <w:color w:val="auto"/>
                <w:sz w:val="21"/>
                <w:szCs w:val="21"/>
                <w:lang w:eastAsia="zh-CN"/>
              </w:rPr>
              <w:t>□</w:t>
            </w:r>
            <w:r>
              <w:rPr>
                <w:rFonts w:ascii="Times New Roman" w:hAnsi="Times New Roman"/>
                <w:color w:val="auto"/>
                <w:sz w:val="21"/>
                <w:szCs w:val="21"/>
              </w:rPr>
              <w:t>改建</w:t>
            </w:r>
          </w:p>
          <w:p>
            <w:pPr>
              <w:spacing w:line="240" w:lineRule="auto"/>
              <w:jc w:val="left"/>
              <w:rPr>
                <w:rFonts w:ascii="Times New Roman" w:hAnsi="Times New Roman"/>
                <w:color w:val="auto"/>
                <w:sz w:val="21"/>
                <w:szCs w:val="21"/>
              </w:rPr>
            </w:pPr>
            <w:r>
              <w:rPr>
                <w:rFonts w:hint="eastAsia" w:ascii="Times New Roman" w:hAnsi="Times New Roman"/>
                <w:color w:val="auto"/>
                <w:sz w:val="21"/>
                <w:szCs w:val="21"/>
                <w:lang w:eastAsia="zh-CN"/>
              </w:rPr>
              <w:t>□</w:t>
            </w:r>
            <w:r>
              <w:rPr>
                <w:rFonts w:ascii="Times New Roman" w:hAnsi="Times New Roman"/>
                <w:color w:val="auto"/>
                <w:sz w:val="21"/>
                <w:szCs w:val="21"/>
              </w:rPr>
              <w:t>扩建</w:t>
            </w:r>
          </w:p>
          <w:p>
            <w:pPr>
              <w:spacing w:line="240" w:lineRule="auto"/>
              <w:jc w:val="left"/>
              <w:rPr>
                <w:rFonts w:ascii="Times New Roman" w:hAnsi="Times New Roman"/>
                <w:color w:val="auto"/>
                <w:sz w:val="21"/>
                <w:szCs w:val="21"/>
              </w:rPr>
            </w:pPr>
            <w:r>
              <w:rPr>
                <w:rFonts w:ascii="Times New Roman" w:hAnsi="Times New Roman"/>
                <w:color w:val="auto"/>
                <w:sz w:val="21"/>
                <w:szCs w:val="21"/>
              </w:rPr>
              <w:t>□技术改造</w:t>
            </w:r>
          </w:p>
        </w:tc>
        <w:tc>
          <w:tcPr>
            <w:tcW w:w="2212" w:type="dxa"/>
            <w:noWrap w:val="0"/>
            <w:vAlign w:val="center"/>
          </w:tcPr>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建设项目</w:t>
            </w:r>
          </w:p>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申报情形</w:t>
            </w:r>
          </w:p>
        </w:tc>
        <w:tc>
          <w:tcPr>
            <w:tcW w:w="2639" w:type="dxa"/>
            <w:noWrap w:val="0"/>
            <w:vAlign w:val="center"/>
          </w:tcPr>
          <w:p>
            <w:pPr>
              <w:spacing w:line="240" w:lineRule="auto"/>
              <w:jc w:val="left"/>
              <w:rPr>
                <w:rFonts w:ascii="Times New Roman" w:hAnsi="Times New Roman"/>
                <w:color w:val="auto"/>
                <w:sz w:val="21"/>
                <w:szCs w:val="21"/>
              </w:rPr>
            </w:pPr>
            <w:r>
              <w:rPr>
                <w:rFonts w:hint="eastAsia" w:ascii="Times New Roman" w:hAnsi="Times New Roman"/>
                <w:color w:val="auto"/>
                <w:sz w:val="21"/>
                <w:szCs w:val="21"/>
                <w:lang w:eastAsia="zh-CN"/>
              </w:rPr>
              <w:t>☑</w:t>
            </w:r>
            <w:r>
              <w:rPr>
                <w:rFonts w:ascii="Times New Roman" w:hAnsi="Times New Roman"/>
                <w:color w:val="auto"/>
                <w:sz w:val="21"/>
                <w:szCs w:val="21"/>
              </w:rPr>
              <w:t xml:space="preserve">首次申报项目             </w:t>
            </w:r>
          </w:p>
          <w:p>
            <w:pPr>
              <w:spacing w:line="240" w:lineRule="auto"/>
              <w:jc w:val="left"/>
              <w:rPr>
                <w:rFonts w:ascii="Times New Roman" w:hAnsi="Times New Roman"/>
                <w:color w:val="auto"/>
                <w:sz w:val="21"/>
                <w:szCs w:val="21"/>
              </w:rPr>
            </w:pPr>
            <w:r>
              <w:rPr>
                <w:rFonts w:ascii="Times New Roman" w:hAnsi="Times New Roman"/>
                <w:color w:val="auto"/>
                <w:sz w:val="21"/>
                <w:szCs w:val="21"/>
              </w:rPr>
              <w:t>□不予批准后再次申报项目</w:t>
            </w:r>
          </w:p>
          <w:p>
            <w:pPr>
              <w:spacing w:line="240" w:lineRule="auto"/>
              <w:jc w:val="left"/>
              <w:rPr>
                <w:rFonts w:ascii="Times New Roman" w:hAnsi="Times New Roman"/>
                <w:color w:val="auto"/>
                <w:sz w:val="21"/>
                <w:szCs w:val="21"/>
              </w:rPr>
            </w:pPr>
            <w:r>
              <w:rPr>
                <w:rFonts w:ascii="Times New Roman" w:hAnsi="Times New Roman"/>
                <w:color w:val="auto"/>
                <w:sz w:val="21"/>
                <w:szCs w:val="21"/>
              </w:rPr>
              <w:t xml:space="preserve">□超五年重新审核项目     </w:t>
            </w:r>
          </w:p>
          <w:p>
            <w:pPr>
              <w:spacing w:line="240" w:lineRule="auto"/>
              <w:jc w:val="left"/>
              <w:rPr>
                <w:rFonts w:ascii="Times New Roman" w:hAnsi="Times New Roman"/>
                <w:color w:val="auto"/>
                <w:sz w:val="21"/>
                <w:szCs w:val="21"/>
              </w:rPr>
            </w:pPr>
            <w:r>
              <w:rPr>
                <w:rFonts w:ascii="Times New Roman" w:hAnsi="Times New Roman"/>
                <w:color w:val="auto"/>
                <w:sz w:val="21"/>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项目审批</w:t>
            </w:r>
            <w:r>
              <w:rPr>
                <w:rFonts w:hint="eastAsia" w:ascii="Times New Roman" w:hAnsi="Times New Roman"/>
                <w:color w:val="auto"/>
                <w:sz w:val="21"/>
                <w:szCs w:val="21"/>
                <w:lang w:eastAsia="zh-CN"/>
              </w:rPr>
              <w:t>(</w:t>
            </w:r>
            <w:r>
              <w:rPr>
                <w:rFonts w:ascii="Times New Roman" w:hAnsi="Times New Roman"/>
                <w:color w:val="auto"/>
                <w:sz w:val="21"/>
                <w:szCs w:val="21"/>
              </w:rPr>
              <w:t>核准/</w:t>
            </w:r>
          </w:p>
          <w:p>
            <w:pPr>
              <w:adjustRightInd w:val="0"/>
              <w:snapToGrid w:val="0"/>
              <w:spacing w:line="240" w:lineRule="auto"/>
              <w:jc w:val="center"/>
              <w:rPr>
                <w:rFonts w:hint="eastAsia" w:ascii="Times New Roman" w:hAnsi="Times New Roman" w:eastAsia="宋体"/>
                <w:color w:val="auto"/>
                <w:sz w:val="21"/>
                <w:szCs w:val="21"/>
                <w:lang w:eastAsia="zh-CN"/>
              </w:rPr>
            </w:pPr>
            <w:r>
              <w:rPr>
                <w:rFonts w:ascii="Times New Roman" w:hAnsi="Times New Roman"/>
                <w:color w:val="auto"/>
                <w:sz w:val="21"/>
                <w:szCs w:val="21"/>
              </w:rPr>
              <w:t>备案</w:t>
            </w:r>
            <w:r>
              <w:rPr>
                <w:rFonts w:hint="eastAsia" w:ascii="Times New Roman" w:hAnsi="Times New Roman"/>
                <w:color w:val="auto"/>
                <w:sz w:val="21"/>
                <w:szCs w:val="21"/>
                <w:lang w:eastAsia="zh-CN"/>
              </w:rPr>
              <w:t>)</w:t>
            </w:r>
            <w:r>
              <w:rPr>
                <w:rFonts w:ascii="Times New Roman" w:hAnsi="Times New Roman"/>
                <w:color w:val="auto"/>
                <w:sz w:val="21"/>
                <w:szCs w:val="21"/>
              </w:rPr>
              <w:t>部门</w:t>
            </w:r>
            <w:r>
              <w:rPr>
                <w:rFonts w:hint="eastAsia" w:ascii="Times New Roman" w:hAnsi="Times New Roman"/>
                <w:color w:val="auto"/>
                <w:sz w:val="21"/>
                <w:szCs w:val="21"/>
                <w:lang w:eastAsia="zh-CN"/>
              </w:rPr>
              <w:t>(</w:t>
            </w:r>
            <w:r>
              <w:rPr>
                <w:rFonts w:ascii="Times New Roman" w:hAnsi="Times New Roman"/>
                <w:color w:val="auto"/>
                <w:sz w:val="21"/>
                <w:szCs w:val="21"/>
              </w:rPr>
              <w:t>选填</w:t>
            </w:r>
            <w:r>
              <w:rPr>
                <w:rFonts w:hint="eastAsia" w:ascii="Times New Roman" w:hAnsi="Times New Roman"/>
                <w:color w:val="auto"/>
                <w:sz w:val="21"/>
                <w:szCs w:val="21"/>
                <w:lang w:eastAsia="zh-CN"/>
              </w:rPr>
              <w:t>)</w:t>
            </w:r>
          </w:p>
        </w:tc>
        <w:tc>
          <w:tcPr>
            <w:tcW w:w="1852" w:type="dxa"/>
            <w:noWrap w:val="0"/>
            <w:vAlign w:val="center"/>
          </w:tcPr>
          <w:p>
            <w:pPr>
              <w:spacing w:line="240" w:lineRule="auto"/>
              <w:jc w:val="left"/>
              <w:rPr>
                <w:rFonts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zh-CN"/>
              </w:rPr>
              <w:t>福清市发展和改革局</w:t>
            </w:r>
          </w:p>
        </w:tc>
        <w:tc>
          <w:tcPr>
            <w:tcW w:w="2212" w:type="dxa"/>
            <w:noWrap w:val="0"/>
            <w:vAlign w:val="center"/>
          </w:tcPr>
          <w:p>
            <w:pPr>
              <w:spacing w:line="240" w:lineRule="auto"/>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项目审批</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rPr>
              <w:t>核准/备案</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rPr>
              <w:t>文号</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rPr>
              <w:t>选填</w:t>
            </w:r>
            <w:r>
              <w:rPr>
                <w:rFonts w:hint="eastAsia" w:ascii="Times New Roman" w:hAnsi="Times New Roman" w:eastAsia="宋体" w:cs="Times New Roman"/>
                <w:color w:val="auto"/>
                <w:sz w:val="21"/>
                <w:szCs w:val="21"/>
                <w:lang w:eastAsia="zh-CN"/>
              </w:rPr>
              <w:t>)</w:t>
            </w:r>
          </w:p>
        </w:tc>
        <w:tc>
          <w:tcPr>
            <w:tcW w:w="2639" w:type="dxa"/>
            <w:noWrap w:val="0"/>
            <w:vAlign w:val="center"/>
          </w:tcPr>
          <w:p>
            <w:pPr>
              <w:spacing w:line="240" w:lineRule="auto"/>
              <w:jc w:val="center"/>
              <w:rPr>
                <w:rFonts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zh-CN"/>
              </w:rPr>
              <w:t>闽发改备[2024]A060105号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hint="eastAsia" w:ascii="Times New Roman" w:hAnsi="Times New Roman" w:eastAsia="宋体"/>
                <w:color w:val="auto"/>
                <w:sz w:val="21"/>
                <w:szCs w:val="21"/>
                <w:lang w:eastAsia="zh-CN"/>
              </w:rPr>
            </w:pPr>
            <w:r>
              <w:rPr>
                <w:rFonts w:ascii="Times New Roman" w:hAnsi="Times New Roman"/>
                <w:color w:val="auto"/>
                <w:sz w:val="21"/>
                <w:szCs w:val="21"/>
              </w:rPr>
              <w:t>总投资</w:t>
            </w:r>
            <w:r>
              <w:rPr>
                <w:rFonts w:hint="eastAsia" w:ascii="Times New Roman" w:hAnsi="Times New Roman"/>
                <w:color w:val="auto"/>
                <w:sz w:val="21"/>
                <w:szCs w:val="21"/>
                <w:lang w:eastAsia="zh-CN"/>
              </w:rPr>
              <w:t>(</w:t>
            </w:r>
            <w:r>
              <w:rPr>
                <w:rFonts w:ascii="Times New Roman" w:hAnsi="Times New Roman"/>
                <w:color w:val="auto"/>
                <w:sz w:val="21"/>
                <w:szCs w:val="21"/>
              </w:rPr>
              <w:t>万元</w:t>
            </w:r>
            <w:r>
              <w:rPr>
                <w:rFonts w:hint="eastAsia" w:ascii="Times New Roman" w:hAnsi="Times New Roman"/>
                <w:color w:val="auto"/>
                <w:sz w:val="21"/>
                <w:szCs w:val="21"/>
                <w:lang w:eastAsia="zh-CN"/>
              </w:rPr>
              <w:t>)</w:t>
            </w:r>
          </w:p>
        </w:tc>
        <w:tc>
          <w:tcPr>
            <w:tcW w:w="1852" w:type="dxa"/>
            <w:noWrap w:val="0"/>
            <w:vAlign w:val="center"/>
          </w:tcPr>
          <w:p>
            <w:pPr>
              <w:adjustRightInd w:val="0"/>
              <w:snapToGrid w:val="0"/>
              <w:spacing w:line="240" w:lineRule="auto"/>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6000</w:t>
            </w:r>
          </w:p>
        </w:tc>
        <w:tc>
          <w:tcPr>
            <w:tcW w:w="2212" w:type="dxa"/>
            <w:noWrap w:val="0"/>
            <w:tcMar>
              <w:top w:w="16" w:type="dxa"/>
              <w:left w:w="16" w:type="dxa"/>
              <w:right w:w="16" w:type="dxa"/>
            </w:tcMar>
            <w:vAlign w:val="center"/>
          </w:tcPr>
          <w:p>
            <w:pPr>
              <w:adjustRightInd w:val="0"/>
              <w:snapToGrid w:val="0"/>
              <w:spacing w:line="240" w:lineRule="auto"/>
              <w:jc w:val="center"/>
              <w:rPr>
                <w:rFonts w:hint="eastAsia" w:ascii="Times New Roman" w:hAnsi="Times New Roman" w:eastAsia="宋体"/>
                <w:color w:val="auto"/>
                <w:sz w:val="21"/>
                <w:szCs w:val="21"/>
                <w:highlight w:val="none"/>
                <w:lang w:eastAsia="zh-CN"/>
              </w:rPr>
            </w:pPr>
            <w:r>
              <w:rPr>
                <w:rFonts w:ascii="Times New Roman" w:hAnsi="Times New Roman"/>
                <w:color w:val="auto"/>
                <w:sz w:val="21"/>
                <w:szCs w:val="21"/>
                <w:highlight w:val="none"/>
              </w:rPr>
              <w:t>环保投资</w:t>
            </w:r>
            <w:r>
              <w:rPr>
                <w:rFonts w:hint="eastAsia" w:ascii="Times New Roman" w:hAnsi="Times New Roman"/>
                <w:color w:val="auto"/>
                <w:sz w:val="21"/>
                <w:szCs w:val="21"/>
                <w:highlight w:val="none"/>
                <w:lang w:eastAsia="zh-CN"/>
              </w:rPr>
              <w:t>(</w:t>
            </w:r>
            <w:r>
              <w:rPr>
                <w:rFonts w:ascii="Times New Roman" w:hAnsi="Times New Roman"/>
                <w:color w:val="auto"/>
                <w:sz w:val="21"/>
                <w:szCs w:val="21"/>
                <w:highlight w:val="none"/>
              </w:rPr>
              <w:t>万元</w:t>
            </w:r>
            <w:r>
              <w:rPr>
                <w:rFonts w:hint="eastAsia" w:ascii="Times New Roman" w:hAnsi="Times New Roman"/>
                <w:color w:val="auto"/>
                <w:sz w:val="21"/>
                <w:szCs w:val="21"/>
                <w:highlight w:val="none"/>
                <w:lang w:eastAsia="zh-CN"/>
              </w:rPr>
              <w:t>)</w:t>
            </w:r>
          </w:p>
        </w:tc>
        <w:tc>
          <w:tcPr>
            <w:tcW w:w="2639" w:type="dxa"/>
            <w:noWrap w:val="0"/>
            <w:vAlign w:val="center"/>
          </w:tcPr>
          <w:p>
            <w:pPr>
              <w:adjustRightInd w:val="0"/>
              <w:snapToGrid w:val="0"/>
              <w:spacing w:line="240" w:lineRule="auto"/>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208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hint="eastAsia" w:ascii="Times New Roman" w:hAnsi="Times New Roman" w:eastAsia="宋体"/>
                <w:color w:val="auto"/>
                <w:sz w:val="21"/>
                <w:szCs w:val="21"/>
                <w:lang w:eastAsia="zh-CN"/>
              </w:rPr>
            </w:pPr>
            <w:r>
              <w:rPr>
                <w:rFonts w:ascii="Times New Roman" w:hAnsi="Times New Roman"/>
                <w:color w:val="auto"/>
                <w:sz w:val="21"/>
                <w:szCs w:val="21"/>
              </w:rPr>
              <w:t>环保投资占比</w:t>
            </w:r>
            <w:r>
              <w:rPr>
                <w:rFonts w:hint="eastAsia" w:ascii="Times New Roman" w:hAnsi="Times New Roman"/>
                <w:color w:val="auto"/>
                <w:sz w:val="21"/>
                <w:szCs w:val="21"/>
                <w:lang w:eastAsia="zh-CN"/>
              </w:rPr>
              <w:t>(</w:t>
            </w:r>
            <w:r>
              <w:rPr>
                <w:rFonts w:ascii="Times New Roman" w:hAnsi="Times New Roman"/>
                <w:color w:val="auto"/>
                <w:sz w:val="21"/>
                <w:szCs w:val="21"/>
              </w:rPr>
              <w:t>%</w:t>
            </w:r>
            <w:r>
              <w:rPr>
                <w:rFonts w:hint="eastAsia" w:ascii="Times New Roman" w:hAnsi="Times New Roman"/>
                <w:color w:val="auto"/>
                <w:sz w:val="21"/>
                <w:szCs w:val="21"/>
                <w:lang w:eastAsia="zh-CN"/>
              </w:rPr>
              <w:t>)</w:t>
            </w:r>
          </w:p>
        </w:tc>
        <w:tc>
          <w:tcPr>
            <w:tcW w:w="1852" w:type="dxa"/>
            <w:noWrap w:val="0"/>
            <w:vAlign w:val="center"/>
          </w:tcPr>
          <w:p>
            <w:pPr>
              <w:adjustRightInd w:val="0"/>
              <w:snapToGrid w:val="0"/>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3.47</w:t>
            </w:r>
          </w:p>
        </w:tc>
        <w:tc>
          <w:tcPr>
            <w:tcW w:w="2212" w:type="dxa"/>
            <w:noWrap w:val="0"/>
            <w:tcMar>
              <w:top w:w="16" w:type="dxa"/>
              <w:left w:w="16" w:type="dxa"/>
              <w:right w:w="16" w:type="dxa"/>
            </w:tcMar>
            <w:vAlign w:val="center"/>
          </w:tcPr>
          <w:p>
            <w:pPr>
              <w:adjustRightInd w:val="0"/>
              <w:snapToGrid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施工工期</w:t>
            </w:r>
          </w:p>
        </w:tc>
        <w:tc>
          <w:tcPr>
            <w:tcW w:w="2639" w:type="dxa"/>
            <w:noWrap w:val="0"/>
            <w:vAlign w:val="center"/>
          </w:tcPr>
          <w:p>
            <w:pPr>
              <w:adjustRightInd w:val="0"/>
              <w:snapToGrid w:val="0"/>
              <w:spacing w:line="240" w:lineRule="auto"/>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1个月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67" w:type="dxa"/>
            <w:noWrap w:val="0"/>
            <w:tcMar>
              <w:top w:w="16" w:type="dxa"/>
              <w:left w:w="16" w:type="dxa"/>
              <w:right w:w="16" w:type="dxa"/>
            </w:tcMar>
            <w:vAlign w:val="center"/>
          </w:tcPr>
          <w:p>
            <w:pPr>
              <w:adjustRightInd w:val="0"/>
              <w:snapToGrid w:val="0"/>
              <w:spacing w:line="240" w:lineRule="auto"/>
              <w:jc w:val="center"/>
              <w:rPr>
                <w:rFonts w:ascii="Times New Roman" w:hAnsi="Times New Roman"/>
                <w:color w:val="auto"/>
                <w:sz w:val="21"/>
                <w:szCs w:val="21"/>
              </w:rPr>
            </w:pPr>
            <w:r>
              <w:rPr>
                <w:rFonts w:ascii="Times New Roman" w:hAnsi="Times New Roman"/>
                <w:color w:val="auto"/>
                <w:sz w:val="21"/>
                <w:szCs w:val="21"/>
              </w:rPr>
              <w:t>是否开工建设</w:t>
            </w:r>
          </w:p>
        </w:tc>
        <w:tc>
          <w:tcPr>
            <w:tcW w:w="1852" w:type="dxa"/>
            <w:noWrap w:val="0"/>
            <w:vAlign w:val="center"/>
          </w:tcPr>
          <w:p>
            <w:pPr>
              <w:adjustRightInd w:val="0"/>
              <w:snapToGrid w:val="0"/>
              <w:spacing w:line="240" w:lineRule="auto"/>
              <w:jc w:val="left"/>
              <w:rPr>
                <w:rFonts w:ascii="Times New Roman" w:hAnsi="Times New Roman"/>
                <w:color w:val="auto"/>
                <w:sz w:val="21"/>
                <w:szCs w:val="21"/>
              </w:rPr>
            </w:pPr>
            <w:r>
              <w:rPr>
                <w:rFonts w:hint="eastAsia" w:ascii="Times New Roman" w:hAnsi="Times New Roman"/>
                <w:color w:val="auto"/>
                <w:sz w:val="21"/>
                <w:szCs w:val="21"/>
                <w:lang w:eastAsia="zh-CN"/>
              </w:rPr>
              <w:t>☑</w:t>
            </w:r>
            <w:r>
              <w:rPr>
                <w:rFonts w:ascii="Times New Roman" w:hAnsi="Times New Roman"/>
                <w:color w:val="auto"/>
                <w:sz w:val="21"/>
                <w:szCs w:val="21"/>
              </w:rPr>
              <w:t>否</w:t>
            </w:r>
          </w:p>
          <w:p>
            <w:pPr>
              <w:adjustRightInd w:val="0"/>
              <w:snapToGrid w:val="0"/>
              <w:spacing w:line="240" w:lineRule="auto"/>
              <w:jc w:val="left"/>
              <w:rPr>
                <w:rFonts w:ascii="Times New Roman" w:hAnsi="Times New Roman"/>
                <w:color w:val="auto"/>
                <w:sz w:val="21"/>
                <w:szCs w:val="21"/>
              </w:rPr>
            </w:pPr>
            <w:r>
              <w:rPr>
                <w:rFonts w:hint="eastAsia"/>
                <w:color w:val="auto"/>
                <w:sz w:val="21"/>
                <w:szCs w:val="21"/>
                <w:lang w:eastAsia="zh-CN"/>
              </w:rPr>
              <w:t>□</w:t>
            </w:r>
            <w:r>
              <w:rPr>
                <w:rFonts w:ascii="Times New Roman" w:hAnsi="Times New Roman"/>
                <w:color w:val="auto"/>
                <w:sz w:val="21"/>
                <w:szCs w:val="21"/>
              </w:rPr>
              <w:t xml:space="preserve">是：             </w:t>
            </w:r>
          </w:p>
        </w:tc>
        <w:tc>
          <w:tcPr>
            <w:tcW w:w="2212" w:type="dxa"/>
            <w:noWrap w:val="0"/>
            <w:tcMar>
              <w:top w:w="16" w:type="dxa"/>
              <w:left w:w="16" w:type="dxa"/>
              <w:right w:w="16" w:type="dxa"/>
            </w:tcMar>
            <w:vAlign w:val="center"/>
          </w:tcPr>
          <w:p>
            <w:pPr>
              <w:adjustRightInd w:val="0"/>
              <w:snapToGrid w:val="0"/>
              <w:spacing w:line="240" w:lineRule="auto"/>
              <w:jc w:val="center"/>
              <w:rPr>
                <w:rFonts w:hint="eastAsia" w:ascii="Times New Roman" w:hAnsi="Times New Roman" w:eastAsia="宋体"/>
                <w:color w:val="auto"/>
                <w:spacing w:val="-6"/>
                <w:sz w:val="21"/>
                <w:szCs w:val="21"/>
                <w:lang w:eastAsia="zh-CN"/>
              </w:rPr>
            </w:pPr>
            <w:r>
              <w:rPr>
                <w:rFonts w:ascii="Times New Roman" w:hAnsi="Times New Roman"/>
                <w:color w:val="auto"/>
                <w:spacing w:val="-6"/>
                <w:sz w:val="21"/>
                <w:szCs w:val="21"/>
              </w:rPr>
              <w:t>用地</w:t>
            </w:r>
            <w:r>
              <w:rPr>
                <w:rFonts w:hint="eastAsia" w:ascii="Times New Roman" w:hAnsi="Times New Roman"/>
                <w:color w:val="auto"/>
                <w:spacing w:val="-6"/>
                <w:sz w:val="21"/>
                <w:szCs w:val="21"/>
                <w:lang w:eastAsia="zh-CN"/>
              </w:rPr>
              <w:t>(</w:t>
            </w:r>
            <w:r>
              <w:rPr>
                <w:rFonts w:ascii="Times New Roman" w:hAnsi="Times New Roman"/>
                <w:color w:val="auto"/>
                <w:spacing w:val="-6"/>
                <w:sz w:val="21"/>
                <w:szCs w:val="21"/>
              </w:rPr>
              <w:t>用海</w:t>
            </w:r>
            <w:r>
              <w:rPr>
                <w:rFonts w:hint="eastAsia" w:ascii="Times New Roman" w:hAnsi="Times New Roman"/>
                <w:color w:val="auto"/>
                <w:spacing w:val="-6"/>
                <w:sz w:val="21"/>
                <w:szCs w:val="21"/>
                <w:lang w:eastAsia="zh-CN"/>
              </w:rPr>
              <w:t>)</w:t>
            </w:r>
          </w:p>
          <w:p>
            <w:pPr>
              <w:adjustRightInd w:val="0"/>
              <w:snapToGrid w:val="0"/>
              <w:spacing w:line="240" w:lineRule="auto"/>
              <w:jc w:val="center"/>
              <w:rPr>
                <w:rFonts w:hint="eastAsia" w:ascii="Times New Roman" w:hAnsi="Times New Roman" w:eastAsia="宋体"/>
                <w:color w:val="auto"/>
                <w:sz w:val="21"/>
                <w:szCs w:val="21"/>
                <w:lang w:eastAsia="zh-CN"/>
              </w:rPr>
            </w:pPr>
            <w:r>
              <w:rPr>
                <w:rFonts w:ascii="Times New Roman" w:hAnsi="Times New Roman"/>
                <w:color w:val="auto"/>
                <w:spacing w:val="-6"/>
                <w:sz w:val="21"/>
                <w:szCs w:val="21"/>
              </w:rPr>
              <w:t>面积</w:t>
            </w:r>
            <w:r>
              <w:rPr>
                <w:rFonts w:hint="eastAsia" w:ascii="Times New Roman" w:hAnsi="Times New Roman"/>
                <w:color w:val="auto"/>
                <w:spacing w:val="-6"/>
                <w:sz w:val="21"/>
                <w:szCs w:val="21"/>
                <w:lang w:eastAsia="zh-CN"/>
              </w:rPr>
              <w:t>(</w:t>
            </w:r>
            <w:r>
              <w:rPr>
                <w:rFonts w:ascii="Times New Roman" w:hAnsi="Times New Roman"/>
                <w:color w:val="auto"/>
                <w:spacing w:val="-6"/>
                <w:sz w:val="21"/>
                <w:szCs w:val="21"/>
              </w:rPr>
              <w:t>m</w:t>
            </w:r>
            <w:r>
              <w:rPr>
                <w:rFonts w:ascii="Times New Roman" w:hAnsi="Times New Roman"/>
                <w:color w:val="auto"/>
                <w:spacing w:val="-6"/>
                <w:sz w:val="21"/>
                <w:szCs w:val="21"/>
                <w:vertAlign w:val="superscript"/>
              </w:rPr>
              <w:t>2</w:t>
            </w:r>
            <w:r>
              <w:rPr>
                <w:rFonts w:hint="eastAsia" w:ascii="Times New Roman" w:hAnsi="Times New Roman"/>
                <w:color w:val="auto"/>
                <w:spacing w:val="-6"/>
                <w:sz w:val="21"/>
                <w:szCs w:val="21"/>
                <w:lang w:eastAsia="zh-CN"/>
              </w:rPr>
              <w:t>)</w:t>
            </w:r>
          </w:p>
        </w:tc>
        <w:tc>
          <w:tcPr>
            <w:tcW w:w="2639" w:type="dxa"/>
            <w:noWrap w:val="0"/>
            <w:vAlign w:val="center"/>
          </w:tcPr>
          <w:p>
            <w:pPr>
              <w:adjustRightInd w:val="0"/>
              <w:snapToGrid w:val="0"/>
              <w:spacing w:line="240" w:lineRule="auto"/>
              <w:jc w:val="center"/>
              <w:rPr>
                <w:rFonts w:ascii="Times New Roman" w:hAnsi="Times New Roman"/>
                <w:color w:val="auto"/>
                <w:sz w:val="21"/>
                <w:szCs w:val="21"/>
              </w:rPr>
            </w:pPr>
            <w:r>
              <w:rPr>
                <w:rFonts w:hint="eastAsia"/>
                <w:color w:val="auto"/>
                <w:sz w:val="21"/>
                <w:szCs w:val="21"/>
                <w:highlight w:val="none"/>
                <w:lang w:val="en-US" w:eastAsia="zh-CN"/>
              </w:rPr>
              <w:t>15007</w:t>
            </w:r>
            <w:r>
              <w:rPr>
                <w:rFonts w:ascii="Times New Roman" w:hAnsi="Times New Roman"/>
                <w:color w:val="auto"/>
                <w:sz w:val="21"/>
                <w:szCs w:val="21"/>
                <w:highlight w:val="none"/>
              </w:rPr>
              <w:t>m</w:t>
            </w:r>
            <w:r>
              <w:rPr>
                <w:rFonts w:ascii="Times New Roman" w:hAnsi="Times New Roman"/>
                <w:color w:val="auto"/>
                <w:sz w:val="21"/>
                <w:szCs w:val="21"/>
                <w:highlight w:val="none"/>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67" w:type="dxa"/>
            <w:noWrap w:val="0"/>
            <w:vAlign w:val="center"/>
          </w:tcPr>
          <w:p>
            <w:pPr>
              <w:autoSpaceDE w:val="0"/>
              <w:autoSpaceDN w:val="0"/>
              <w:adjustRightInd w:val="0"/>
              <w:snapToGrid w:val="0"/>
              <w:spacing w:line="240" w:lineRule="auto"/>
              <w:jc w:val="center"/>
              <w:rPr>
                <w:rFonts w:ascii="Times New Roman" w:hAnsi="Times New Roman"/>
                <w:color w:val="auto"/>
                <w:kern w:val="0"/>
                <w:sz w:val="21"/>
                <w:szCs w:val="21"/>
              </w:rPr>
            </w:pPr>
            <w:r>
              <w:rPr>
                <w:rFonts w:ascii="Times New Roman" w:hAnsi="Times New Roman"/>
                <w:color w:val="auto"/>
                <w:kern w:val="0"/>
                <w:sz w:val="21"/>
                <w:szCs w:val="21"/>
              </w:rPr>
              <w:t>专项评价设置情况</w:t>
            </w:r>
          </w:p>
        </w:tc>
        <w:tc>
          <w:tcPr>
            <w:tcW w:w="6703" w:type="dxa"/>
            <w:gridSpan w:val="3"/>
            <w:noWrap w:val="0"/>
            <w:vAlign w:val="center"/>
          </w:tcPr>
          <w:p>
            <w:pPr>
              <w:pStyle w:val="3"/>
              <w:bidi w:val="0"/>
              <w:rPr>
                <w:color w:val="auto"/>
              </w:rPr>
            </w:pPr>
            <w:bookmarkStart w:id="5" w:name="_Toc22511"/>
            <w:r>
              <w:rPr>
                <w:color w:val="auto"/>
              </w:rPr>
              <w:t>专项评价设置情况</w:t>
            </w:r>
            <w:bookmarkEnd w:id="5"/>
          </w:p>
          <w:p>
            <w:pPr>
              <w:spacing w:line="240" w:lineRule="auto"/>
              <w:ind w:firstLine="420" w:firstLineChars="200"/>
              <w:outlineLvl w:val="2"/>
              <w:rPr>
                <w:rFonts w:ascii="Times New Roman" w:hAnsi="Times New Roman"/>
                <w:color w:val="auto"/>
                <w:sz w:val="21"/>
                <w:szCs w:val="21"/>
              </w:rPr>
            </w:pPr>
            <w:r>
              <w:rPr>
                <w:rFonts w:hint="eastAsia" w:ascii="Times New Roman" w:hAnsi="Times New Roman"/>
                <w:color w:val="auto"/>
                <w:sz w:val="21"/>
                <w:szCs w:val="21"/>
              </w:rPr>
              <w:t>根据《建设项目环境影响报告表编制技术指南（污染影响类）（试行）》，项目工程专项设置情况参照专项评价设置原则表，详见表</w:t>
            </w:r>
            <w:r>
              <w:rPr>
                <w:rFonts w:ascii="Times New Roman" w:hAnsi="Times New Roman"/>
                <w:color w:val="auto"/>
                <w:sz w:val="21"/>
                <w:szCs w:val="21"/>
              </w:rPr>
              <w:t>1-1</w:t>
            </w:r>
            <w:r>
              <w:rPr>
                <w:rFonts w:hint="eastAsia" w:ascii="Times New Roman" w:hAnsi="Times New Roman"/>
                <w:color w:val="auto"/>
                <w:sz w:val="21"/>
                <w:szCs w:val="21"/>
              </w:rPr>
              <w:t>。</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b/>
                <w:color w:val="auto"/>
                <w:sz w:val="21"/>
                <w:szCs w:val="21"/>
              </w:rPr>
            </w:pPr>
            <w:r>
              <w:rPr>
                <w:rFonts w:hint="eastAsia" w:ascii="Times New Roman" w:hAnsi="Times New Roman" w:eastAsia="宋体" w:cs="Times New Roman"/>
                <w:b/>
                <w:color w:val="auto"/>
                <w:kern w:val="0"/>
                <w:sz w:val="21"/>
                <w:szCs w:val="21"/>
              </w:rPr>
              <w:t>表</w:t>
            </w:r>
            <w:r>
              <w:rPr>
                <w:rFonts w:ascii="Times New Roman" w:hAnsi="Times New Roman" w:eastAsia="宋体" w:cs="Times New Roman"/>
                <w:b/>
                <w:color w:val="auto"/>
                <w:kern w:val="0"/>
                <w:sz w:val="21"/>
                <w:szCs w:val="21"/>
              </w:rPr>
              <w:t xml:space="preserve">1-1  </w:t>
            </w:r>
            <w:r>
              <w:rPr>
                <w:rFonts w:hint="eastAsia" w:ascii="Times New Roman" w:hAnsi="Times New Roman" w:eastAsia="宋体" w:cs="Times New Roman"/>
                <w:b/>
                <w:color w:val="auto"/>
                <w:kern w:val="0"/>
                <w:sz w:val="21"/>
                <w:szCs w:val="21"/>
              </w:rPr>
              <w:t>项目专项评价设置表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4"/>
              <w:gridCol w:w="2007"/>
              <w:gridCol w:w="1962"/>
              <w:gridCol w:w="12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op w:val="single" w:color="auto" w:sz="12" w:space="0"/>
                    <w:left w:val="nil"/>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bCs/>
                      <w:color w:val="auto"/>
                      <w:kern w:val="0"/>
                      <w:sz w:val="21"/>
                      <w:szCs w:val="21"/>
                      <w:lang w:val="zh-CN"/>
                    </w:rPr>
                  </w:pPr>
                  <w:r>
                    <w:rPr>
                      <w:rFonts w:hint="eastAsia" w:ascii="Times New Roman" w:hAnsi="Times New Roman"/>
                      <w:bCs/>
                      <w:color w:val="auto"/>
                      <w:kern w:val="0"/>
                      <w:sz w:val="21"/>
                      <w:szCs w:val="21"/>
                      <w:lang w:val="zh-CN"/>
                    </w:rPr>
                    <w:t>专项评价的类别</w:t>
                  </w:r>
                </w:p>
              </w:tc>
              <w:tc>
                <w:tcPr>
                  <w:tcW w:w="1547" w:type="pct"/>
                  <w:tcBorders>
                    <w:top w:val="single" w:color="auto" w:sz="12"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bCs/>
                      <w:color w:val="auto"/>
                      <w:kern w:val="0"/>
                      <w:sz w:val="21"/>
                      <w:szCs w:val="21"/>
                      <w:lang w:val="zh-CN"/>
                    </w:rPr>
                  </w:pPr>
                  <w:r>
                    <w:rPr>
                      <w:rFonts w:hint="eastAsia" w:ascii="Times New Roman" w:hAnsi="Times New Roman"/>
                      <w:bCs/>
                      <w:color w:val="auto"/>
                      <w:kern w:val="0"/>
                      <w:sz w:val="21"/>
                      <w:szCs w:val="21"/>
                      <w:lang w:val="zh-CN"/>
                    </w:rPr>
                    <w:t>设置原则</w:t>
                  </w:r>
                </w:p>
              </w:tc>
              <w:tc>
                <w:tcPr>
                  <w:tcW w:w="1513" w:type="pct"/>
                  <w:tcBorders>
                    <w:top w:val="single" w:color="auto" w:sz="12"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bCs/>
                      <w:color w:val="auto"/>
                      <w:kern w:val="0"/>
                      <w:sz w:val="21"/>
                      <w:szCs w:val="21"/>
                      <w:lang w:val="zh-CN"/>
                    </w:rPr>
                  </w:pPr>
                  <w:r>
                    <w:rPr>
                      <w:rFonts w:hint="eastAsia" w:ascii="Times New Roman" w:hAnsi="Times New Roman"/>
                      <w:bCs/>
                      <w:color w:val="auto"/>
                      <w:kern w:val="0"/>
                      <w:sz w:val="21"/>
                      <w:szCs w:val="21"/>
                      <w:lang w:val="zh-CN"/>
                    </w:rPr>
                    <w:t>本项目情况</w:t>
                  </w:r>
                </w:p>
              </w:tc>
              <w:tc>
                <w:tcPr>
                  <w:tcW w:w="940" w:type="pct"/>
                  <w:tcBorders>
                    <w:top w:val="single" w:color="auto" w:sz="12" w:space="0"/>
                    <w:left w:val="single" w:color="auto" w:sz="4" w:space="0"/>
                    <w:bottom w:val="single" w:color="auto" w:sz="4" w:space="0"/>
                    <w:right w:val="nil"/>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bCs/>
                      <w:color w:val="auto"/>
                      <w:kern w:val="0"/>
                      <w:sz w:val="21"/>
                      <w:szCs w:val="21"/>
                      <w:lang w:val="zh-CN"/>
                    </w:rPr>
                  </w:pPr>
                  <w:r>
                    <w:rPr>
                      <w:rFonts w:hint="eastAsia" w:ascii="Times New Roman" w:hAnsi="Times New Roman"/>
                      <w:bCs/>
                      <w:color w:val="auto"/>
                      <w:kern w:val="0"/>
                      <w:sz w:val="21"/>
                      <w:szCs w:val="21"/>
                      <w:lang w:val="zh-CN"/>
                    </w:rPr>
                    <w:t>是否设置专项评价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op w:val="single" w:color="auto" w:sz="4" w:space="0"/>
                    <w:left w:val="nil"/>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大气</w:t>
                  </w:r>
                </w:p>
              </w:tc>
              <w:tc>
                <w:tcPr>
                  <w:tcW w:w="1547"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排放废气含有毒有害污染物</w:t>
                  </w:r>
                  <w:r>
                    <w:rPr>
                      <w:rFonts w:ascii="Times New Roman" w:hAnsi="Times New Roman"/>
                      <w:color w:val="auto"/>
                      <w:kern w:val="0"/>
                      <w:sz w:val="21"/>
                      <w:szCs w:val="21"/>
                      <w:vertAlign w:val="superscript"/>
                      <w:lang w:val="zh-CN"/>
                    </w:rPr>
                    <w:t>1</w:t>
                  </w:r>
                  <w:r>
                    <w:rPr>
                      <w:rFonts w:hint="eastAsia" w:ascii="Times New Roman" w:hAnsi="Times New Roman"/>
                      <w:color w:val="auto"/>
                      <w:kern w:val="0"/>
                      <w:sz w:val="21"/>
                      <w:szCs w:val="21"/>
                      <w:lang w:val="zh-CN"/>
                    </w:rPr>
                    <w:t>、二噁英、苯并</w:t>
                  </w:r>
                  <w:r>
                    <w:rPr>
                      <w:rFonts w:ascii="Times New Roman" w:hAnsi="Times New Roman"/>
                      <w:color w:val="auto"/>
                      <w:kern w:val="0"/>
                      <w:sz w:val="21"/>
                      <w:szCs w:val="21"/>
                      <w:lang w:val="zh-CN"/>
                    </w:rPr>
                    <w:t>[a]</w:t>
                  </w:r>
                  <w:r>
                    <w:rPr>
                      <w:rFonts w:hint="eastAsia" w:ascii="Times New Roman" w:hAnsi="Times New Roman"/>
                      <w:color w:val="auto"/>
                      <w:kern w:val="0"/>
                      <w:sz w:val="21"/>
                      <w:szCs w:val="21"/>
                      <w:lang w:val="zh-CN"/>
                    </w:rPr>
                    <w:t>芘、氰化物、氯气且厂界外</w:t>
                  </w:r>
                  <w:r>
                    <w:rPr>
                      <w:rFonts w:ascii="Times New Roman" w:hAnsi="Times New Roman"/>
                      <w:color w:val="auto"/>
                      <w:kern w:val="0"/>
                      <w:sz w:val="21"/>
                      <w:szCs w:val="21"/>
                      <w:lang w:val="zh-CN"/>
                    </w:rPr>
                    <w:t>500</w:t>
                  </w:r>
                  <w:r>
                    <w:rPr>
                      <w:rFonts w:hint="eastAsia" w:ascii="Times New Roman" w:hAnsi="Times New Roman"/>
                      <w:color w:val="auto"/>
                      <w:kern w:val="0"/>
                      <w:sz w:val="21"/>
                      <w:szCs w:val="21"/>
                      <w:lang w:val="zh-CN"/>
                    </w:rPr>
                    <w:t>米范围内有环境空气保护目标</w:t>
                  </w:r>
                  <w:r>
                    <w:rPr>
                      <w:rFonts w:ascii="Times New Roman" w:hAnsi="Times New Roman"/>
                      <w:color w:val="auto"/>
                      <w:kern w:val="0"/>
                      <w:sz w:val="21"/>
                      <w:szCs w:val="21"/>
                      <w:vertAlign w:val="superscript"/>
                      <w:lang w:val="zh-CN"/>
                    </w:rPr>
                    <w:t>2</w:t>
                  </w:r>
                  <w:r>
                    <w:rPr>
                      <w:rFonts w:hint="eastAsia" w:ascii="Times New Roman" w:hAnsi="Times New Roman"/>
                      <w:color w:val="auto"/>
                      <w:kern w:val="0"/>
                      <w:sz w:val="21"/>
                      <w:szCs w:val="21"/>
                      <w:lang w:val="zh-CN"/>
                    </w:rPr>
                    <w:t>的建设项目</w:t>
                  </w:r>
                </w:p>
              </w:tc>
              <w:tc>
                <w:tcPr>
                  <w:tcW w:w="1513"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项目排放的废气不含有毒有害污染物</w:t>
                  </w:r>
                  <w:r>
                    <w:rPr>
                      <w:rFonts w:ascii="Times New Roman" w:hAnsi="Times New Roman"/>
                      <w:color w:val="auto"/>
                      <w:kern w:val="0"/>
                      <w:sz w:val="21"/>
                      <w:szCs w:val="21"/>
                      <w:vertAlign w:val="superscript"/>
                      <w:lang w:val="zh-CN"/>
                    </w:rPr>
                    <w:t>1</w:t>
                  </w:r>
                  <w:r>
                    <w:rPr>
                      <w:rFonts w:hint="eastAsia" w:ascii="Times New Roman" w:hAnsi="Times New Roman"/>
                      <w:color w:val="auto"/>
                      <w:kern w:val="0"/>
                      <w:sz w:val="21"/>
                      <w:szCs w:val="21"/>
                      <w:lang w:val="zh-CN"/>
                    </w:rPr>
                    <w:t>、二噁英、苯并</w:t>
                  </w:r>
                  <w:r>
                    <w:rPr>
                      <w:rFonts w:ascii="Times New Roman" w:hAnsi="Times New Roman"/>
                      <w:color w:val="auto"/>
                      <w:kern w:val="0"/>
                      <w:sz w:val="21"/>
                      <w:szCs w:val="21"/>
                      <w:lang w:val="zh-CN"/>
                    </w:rPr>
                    <w:t>[a]</w:t>
                  </w:r>
                  <w:r>
                    <w:rPr>
                      <w:rFonts w:hint="eastAsia" w:ascii="Times New Roman" w:hAnsi="Times New Roman"/>
                      <w:color w:val="auto"/>
                      <w:kern w:val="0"/>
                      <w:sz w:val="21"/>
                      <w:szCs w:val="21"/>
                      <w:lang w:val="zh-CN"/>
                    </w:rPr>
                    <w:t>芘、氰化物、氯气</w:t>
                  </w:r>
                </w:p>
              </w:tc>
              <w:tc>
                <w:tcPr>
                  <w:tcW w:w="940" w:type="pct"/>
                  <w:tcBorders>
                    <w:top w:val="single" w:color="auto" w:sz="4" w:space="0"/>
                    <w:left w:val="single" w:color="auto" w:sz="4" w:space="0"/>
                    <w:bottom w:val="single" w:color="auto" w:sz="4" w:space="0"/>
                    <w:right w:val="nil"/>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op w:val="single" w:color="auto" w:sz="4" w:space="0"/>
                    <w:left w:val="nil"/>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地表水</w:t>
                  </w:r>
                </w:p>
              </w:tc>
              <w:tc>
                <w:tcPr>
                  <w:tcW w:w="1547"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hint="eastAsia"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zh-CN"/>
                    </w:rPr>
                    <w:t>新增工业废水直排建设项目（槽罐车外送污水处理厂的除外）；新增废水直排的污水集中处理厂</w:t>
                  </w:r>
                </w:p>
              </w:tc>
              <w:tc>
                <w:tcPr>
                  <w:tcW w:w="1513"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项目不涉及工业废水直排。</w:t>
                  </w:r>
                </w:p>
              </w:tc>
              <w:tc>
                <w:tcPr>
                  <w:tcW w:w="940" w:type="pct"/>
                  <w:tcBorders>
                    <w:top w:val="single" w:color="auto" w:sz="4" w:space="0"/>
                    <w:left w:val="single" w:color="auto" w:sz="4" w:space="0"/>
                    <w:bottom w:val="single" w:color="auto" w:sz="4" w:space="0"/>
                    <w:right w:val="nil"/>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op w:val="single" w:color="auto" w:sz="4" w:space="0"/>
                    <w:left w:val="nil"/>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环境风险</w:t>
                  </w:r>
                </w:p>
              </w:tc>
              <w:tc>
                <w:tcPr>
                  <w:tcW w:w="1547"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有毒有害和易燃易爆危险物质存储量超过临界量</w:t>
                  </w:r>
                  <w:r>
                    <w:rPr>
                      <w:rFonts w:ascii="Times New Roman" w:hAnsi="Times New Roman"/>
                      <w:color w:val="auto"/>
                      <w:kern w:val="0"/>
                      <w:sz w:val="21"/>
                      <w:szCs w:val="21"/>
                      <w:vertAlign w:val="superscript"/>
                      <w:lang w:val="zh-CN"/>
                    </w:rPr>
                    <w:t>3</w:t>
                  </w:r>
                  <w:r>
                    <w:rPr>
                      <w:rFonts w:hint="eastAsia" w:ascii="Times New Roman" w:hAnsi="Times New Roman"/>
                      <w:color w:val="auto"/>
                      <w:kern w:val="0"/>
                      <w:sz w:val="21"/>
                      <w:szCs w:val="21"/>
                      <w:lang w:val="zh-CN"/>
                    </w:rPr>
                    <w:t>的建设项目</w:t>
                  </w:r>
                </w:p>
              </w:tc>
              <w:tc>
                <w:tcPr>
                  <w:tcW w:w="1513"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hint="eastAsia"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zh-CN"/>
                    </w:rPr>
                    <w:t>项目危险物质存储量未超过临界量。</w:t>
                  </w:r>
                </w:p>
              </w:tc>
              <w:tc>
                <w:tcPr>
                  <w:tcW w:w="940" w:type="pct"/>
                  <w:tcBorders>
                    <w:top w:val="single" w:color="auto" w:sz="4" w:space="0"/>
                    <w:left w:val="single" w:color="auto" w:sz="4" w:space="0"/>
                    <w:bottom w:val="single" w:color="auto" w:sz="4" w:space="0"/>
                    <w:right w:val="nil"/>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op w:val="single" w:color="auto" w:sz="4" w:space="0"/>
                    <w:left w:val="nil"/>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生态</w:t>
                  </w:r>
                </w:p>
              </w:tc>
              <w:tc>
                <w:tcPr>
                  <w:tcW w:w="1547"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取水口下游</w:t>
                  </w:r>
                  <w:r>
                    <w:rPr>
                      <w:rFonts w:ascii="Times New Roman" w:hAnsi="Times New Roman"/>
                      <w:color w:val="auto"/>
                      <w:kern w:val="0"/>
                      <w:sz w:val="21"/>
                      <w:szCs w:val="21"/>
                      <w:lang w:val="zh-CN"/>
                    </w:rPr>
                    <w:t>500</w:t>
                  </w:r>
                  <w:r>
                    <w:rPr>
                      <w:rFonts w:hint="eastAsia" w:ascii="Times New Roman" w:hAnsi="Times New Roman"/>
                      <w:color w:val="auto"/>
                      <w:kern w:val="0"/>
                      <w:sz w:val="21"/>
                      <w:szCs w:val="21"/>
                      <w:lang w:val="zh-CN"/>
                    </w:rPr>
                    <w:t>米范围内有重要水生生物的自然产卵场、索饵场、越冬场和洄游通道的新增河道取水的污染类建设项目</w:t>
                  </w:r>
                </w:p>
              </w:tc>
              <w:tc>
                <w:tcPr>
                  <w:tcW w:w="1513"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hint="eastAsia"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zh-CN"/>
                    </w:rPr>
                    <w:t>项目不涉及河道取水</w:t>
                  </w:r>
                </w:p>
              </w:tc>
              <w:tc>
                <w:tcPr>
                  <w:tcW w:w="940" w:type="pct"/>
                  <w:tcBorders>
                    <w:top w:val="single" w:color="auto" w:sz="4" w:space="0"/>
                    <w:left w:val="single" w:color="auto" w:sz="4" w:space="0"/>
                    <w:bottom w:val="single" w:color="auto" w:sz="4" w:space="0"/>
                    <w:right w:val="nil"/>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op w:val="single" w:color="auto" w:sz="4" w:space="0"/>
                    <w:left w:val="nil"/>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海洋</w:t>
                  </w:r>
                </w:p>
              </w:tc>
              <w:tc>
                <w:tcPr>
                  <w:tcW w:w="1547"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直接向海排放污染物的海洋工程建设项目</w:t>
                  </w:r>
                </w:p>
              </w:tc>
              <w:tc>
                <w:tcPr>
                  <w:tcW w:w="1513" w:type="pct"/>
                  <w:tcBorders>
                    <w:top w:val="single" w:color="auto" w:sz="4" w:space="0"/>
                    <w:left w:val="single" w:color="auto" w:sz="4" w:space="0"/>
                    <w:bottom w:val="single" w:color="auto" w:sz="4" w:space="0"/>
                    <w:right w:val="single" w:color="auto" w:sz="4" w:space="0"/>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本项目不属于海洋工程建设项目</w:t>
                  </w:r>
                </w:p>
              </w:tc>
              <w:tc>
                <w:tcPr>
                  <w:tcW w:w="940" w:type="pct"/>
                  <w:tcBorders>
                    <w:top w:val="single" w:color="auto" w:sz="4" w:space="0"/>
                    <w:left w:val="single" w:color="auto" w:sz="4" w:space="0"/>
                    <w:bottom w:val="single" w:color="auto" w:sz="4" w:space="0"/>
                    <w:right w:val="nil"/>
                  </w:tcBorders>
                  <w:noWrap w:val="0"/>
                  <w:vAlign w:val="center"/>
                </w:tcPr>
                <w:p>
                  <w:pPr>
                    <w:widowControl/>
                    <w:overflowPunct w:val="0"/>
                    <w:autoSpaceDE w:val="0"/>
                    <w:autoSpaceDN w:val="0"/>
                    <w:adjustRightInd w:val="0"/>
                    <w:snapToGrid w:val="0"/>
                    <w:spacing w:before="60" w:line="240" w:lineRule="auto"/>
                    <w:ind w:right="113"/>
                    <w:jc w:val="center"/>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left w:val="nil"/>
                    <w:bottom w:val="single" w:color="auto" w:sz="12" w:space="0"/>
                    <w:right w:val="nil"/>
                  </w:tcBorders>
                  <w:noWrap w:val="0"/>
                  <w:vAlign w:val="center"/>
                </w:tcPr>
                <w:p>
                  <w:pPr>
                    <w:widowControl/>
                    <w:overflowPunct w:val="0"/>
                    <w:autoSpaceDE w:val="0"/>
                    <w:autoSpaceDN w:val="0"/>
                    <w:adjustRightInd w:val="0"/>
                    <w:snapToGrid w:val="0"/>
                    <w:spacing w:line="240" w:lineRule="auto"/>
                    <w:ind w:left="735" w:right="113" w:hanging="735" w:hangingChars="350"/>
                    <w:textAlignment w:val="baseline"/>
                    <w:rPr>
                      <w:rFonts w:ascii="Times New Roman" w:hAnsi="Times New Roman"/>
                      <w:color w:val="auto"/>
                      <w:kern w:val="0"/>
                      <w:sz w:val="21"/>
                      <w:szCs w:val="21"/>
                      <w:lang w:val="zh-CN"/>
                    </w:rPr>
                  </w:pPr>
                  <w:r>
                    <w:rPr>
                      <w:rFonts w:hint="eastAsia" w:ascii="Times New Roman" w:hAnsi="Times New Roman"/>
                      <w:color w:val="auto"/>
                      <w:kern w:val="0"/>
                      <w:sz w:val="21"/>
                      <w:szCs w:val="21"/>
                      <w:lang w:val="zh-CN"/>
                    </w:rPr>
                    <w:t>注：</w:t>
                  </w:r>
                  <w:r>
                    <w:rPr>
                      <w:rFonts w:ascii="Times New Roman" w:hAnsi="Times New Roman"/>
                      <w:color w:val="auto"/>
                      <w:kern w:val="0"/>
                      <w:sz w:val="21"/>
                      <w:szCs w:val="21"/>
                      <w:lang w:val="zh-CN"/>
                    </w:rPr>
                    <w:t>1</w:t>
                  </w:r>
                  <w:r>
                    <w:rPr>
                      <w:rFonts w:hint="eastAsia" w:ascii="Times New Roman" w:hAnsi="Times New Roman"/>
                      <w:color w:val="auto"/>
                      <w:kern w:val="0"/>
                      <w:sz w:val="21"/>
                      <w:szCs w:val="21"/>
                      <w:lang w:val="zh-CN"/>
                    </w:rPr>
                    <w:t>、废气中有毒有害污染物指纳入《有毒有害大气污染物名录》的污染物（不包括无排放标准的污染物）。</w:t>
                  </w:r>
                </w:p>
                <w:p>
                  <w:pPr>
                    <w:widowControl/>
                    <w:overflowPunct w:val="0"/>
                    <w:autoSpaceDE w:val="0"/>
                    <w:autoSpaceDN w:val="0"/>
                    <w:adjustRightInd w:val="0"/>
                    <w:snapToGrid w:val="0"/>
                    <w:spacing w:line="240" w:lineRule="auto"/>
                    <w:ind w:left="795" w:leftChars="200" w:right="113" w:hanging="315" w:hangingChars="150"/>
                    <w:textAlignment w:val="baseline"/>
                    <w:rPr>
                      <w:rFonts w:ascii="Times New Roman" w:hAnsi="Times New Roman"/>
                      <w:color w:val="auto"/>
                      <w:kern w:val="0"/>
                      <w:sz w:val="21"/>
                      <w:szCs w:val="21"/>
                      <w:lang w:val="zh-CN"/>
                    </w:rPr>
                  </w:pPr>
                  <w:r>
                    <w:rPr>
                      <w:rFonts w:ascii="Times New Roman" w:hAnsi="Times New Roman"/>
                      <w:color w:val="auto"/>
                      <w:kern w:val="0"/>
                      <w:sz w:val="21"/>
                      <w:szCs w:val="21"/>
                      <w:lang w:val="zh-CN"/>
                    </w:rPr>
                    <w:t>2</w:t>
                  </w:r>
                  <w:r>
                    <w:rPr>
                      <w:rFonts w:hint="eastAsia" w:ascii="Times New Roman" w:hAnsi="Times New Roman"/>
                      <w:color w:val="auto"/>
                      <w:kern w:val="0"/>
                      <w:sz w:val="21"/>
                      <w:szCs w:val="21"/>
                      <w:lang w:val="zh-CN"/>
                    </w:rPr>
                    <w:t>、环境空气保护目标指自然保护区、风景名胜区、居住区、文化区和农村地区中人群较集中的区域。</w:t>
                  </w:r>
                </w:p>
                <w:p>
                  <w:pPr>
                    <w:widowControl/>
                    <w:overflowPunct w:val="0"/>
                    <w:autoSpaceDE w:val="0"/>
                    <w:autoSpaceDN w:val="0"/>
                    <w:adjustRightInd w:val="0"/>
                    <w:snapToGrid w:val="0"/>
                    <w:spacing w:line="240" w:lineRule="auto"/>
                    <w:ind w:left="795" w:leftChars="200" w:right="113" w:hanging="315" w:hangingChars="150"/>
                    <w:textAlignment w:val="baseline"/>
                    <w:rPr>
                      <w:rFonts w:ascii="Times New Roman" w:hAnsi="Times New Roman"/>
                      <w:color w:val="auto"/>
                      <w:kern w:val="0"/>
                      <w:sz w:val="21"/>
                      <w:szCs w:val="21"/>
                      <w:lang w:val="zh-CN"/>
                    </w:rPr>
                  </w:pPr>
                  <w:r>
                    <w:rPr>
                      <w:rFonts w:ascii="Times New Roman" w:hAnsi="Times New Roman"/>
                      <w:color w:val="auto"/>
                      <w:kern w:val="0"/>
                      <w:sz w:val="21"/>
                      <w:szCs w:val="21"/>
                      <w:lang w:val="zh-CN"/>
                    </w:rPr>
                    <w:t>3</w:t>
                  </w:r>
                  <w:r>
                    <w:rPr>
                      <w:rFonts w:hint="eastAsia" w:ascii="Times New Roman" w:hAnsi="Times New Roman"/>
                      <w:color w:val="auto"/>
                      <w:kern w:val="0"/>
                      <w:sz w:val="21"/>
                      <w:szCs w:val="21"/>
                      <w:lang w:val="zh-CN"/>
                    </w:rPr>
                    <w:t>、临界量及其计算方法可参考《建设项目环境风险评价技术导则》（</w:t>
                  </w:r>
                  <w:r>
                    <w:rPr>
                      <w:rFonts w:ascii="Times New Roman" w:hAnsi="Times New Roman"/>
                      <w:color w:val="auto"/>
                      <w:kern w:val="0"/>
                      <w:sz w:val="21"/>
                      <w:szCs w:val="21"/>
                      <w:lang w:val="zh-CN"/>
                    </w:rPr>
                    <w:t>HJ169</w:t>
                  </w:r>
                  <w:r>
                    <w:rPr>
                      <w:rFonts w:hint="eastAsia" w:ascii="Times New Roman" w:hAnsi="Times New Roman"/>
                      <w:color w:val="auto"/>
                      <w:kern w:val="0"/>
                      <w:sz w:val="21"/>
                      <w:szCs w:val="21"/>
                      <w:lang w:val="zh-CN"/>
                    </w:rPr>
                    <w:t>）附录</w:t>
                  </w:r>
                  <w:r>
                    <w:rPr>
                      <w:rFonts w:ascii="Times New Roman" w:hAnsi="Times New Roman"/>
                      <w:color w:val="auto"/>
                      <w:kern w:val="0"/>
                      <w:sz w:val="21"/>
                      <w:szCs w:val="21"/>
                      <w:lang w:val="zh-CN"/>
                    </w:rPr>
                    <w:t>B</w:t>
                  </w:r>
                  <w:r>
                    <w:rPr>
                      <w:rFonts w:hint="eastAsia" w:ascii="Times New Roman" w:hAnsi="Times New Roman"/>
                      <w:color w:val="auto"/>
                      <w:kern w:val="0"/>
                      <w:sz w:val="21"/>
                      <w:szCs w:val="21"/>
                      <w:lang w:val="zh-CN"/>
                    </w:rPr>
                    <w:t>、附录</w:t>
                  </w:r>
                  <w:r>
                    <w:rPr>
                      <w:rFonts w:ascii="Times New Roman" w:hAnsi="Times New Roman"/>
                      <w:color w:val="auto"/>
                      <w:kern w:val="0"/>
                      <w:sz w:val="21"/>
                      <w:szCs w:val="21"/>
                      <w:lang w:val="zh-CN"/>
                    </w:rPr>
                    <w:t>C</w:t>
                  </w:r>
                  <w:r>
                    <w:rPr>
                      <w:rFonts w:hint="eastAsia" w:ascii="Times New Roman" w:hAnsi="Times New Roman"/>
                      <w:color w:val="auto"/>
                      <w:kern w:val="0"/>
                      <w:sz w:val="21"/>
                      <w:szCs w:val="21"/>
                      <w:lang w:val="zh-CN"/>
                    </w:rPr>
                    <w:t>。</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Style w:val="29"/>
                <w:rFonts w:cs="Times New Roman"/>
                <w:color w:val="auto"/>
                <w:sz w:val="21"/>
                <w:szCs w:val="21"/>
              </w:rPr>
            </w:pPr>
            <w:r>
              <w:rPr>
                <w:rFonts w:hint="eastAsia" w:ascii="Times New Roman" w:hAnsi="Times New Roman"/>
                <w:color w:val="auto"/>
                <w:kern w:val="0"/>
                <w:sz w:val="21"/>
                <w:szCs w:val="21"/>
              </w:rPr>
              <w:t>根据表</w:t>
            </w:r>
            <w:r>
              <w:rPr>
                <w:rFonts w:ascii="Times New Roman" w:hAnsi="Times New Roman"/>
                <w:color w:val="auto"/>
                <w:kern w:val="0"/>
                <w:sz w:val="21"/>
                <w:szCs w:val="21"/>
              </w:rPr>
              <w:t>1-1</w:t>
            </w:r>
            <w:r>
              <w:rPr>
                <w:rFonts w:hint="eastAsia" w:ascii="Times New Roman" w:hAnsi="Times New Roman"/>
                <w:color w:val="auto"/>
                <w:kern w:val="0"/>
                <w:sz w:val="21"/>
                <w:szCs w:val="21"/>
              </w:rPr>
              <w:t>分析，项目无需设置专项评价。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216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auto"/>
                <w:kern w:val="0"/>
                <w:sz w:val="21"/>
                <w:szCs w:val="21"/>
              </w:rPr>
            </w:pPr>
            <w:r>
              <w:rPr>
                <w:rFonts w:ascii="Times New Roman" w:hAnsi="Times New Roman"/>
                <w:color w:val="auto"/>
                <w:sz w:val="21"/>
                <w:szCs w:val="21"/>
              </w:rPr>
              <w:t>规划情况</w:t>
            </w:r>
          </w:p>
        </w:tc>
        <w:tc>
          <w:tcPr>
            <w:tcW w:w="6703" w:type="dxa"/>
            <w:gridSpan w:val="3"/>
            <w:noWrap w:val="0"/>
            <w:vAlign w:val="center"/>
          </w:tcPr>
          <w:p>
            <w:pPr>
              <w:pStyle w:val="55"/>
              <w:keepNext w:val="0"/>
              <w:keepLines w:val="0"/>
              <w:pageBreakBefore w:val="0"/>
              <w:widowControl w:val="0"/>
              <w:kinsoku/>
              <w:wordWrap/>
              <w:overflowPunct/>
              <w:topLinePunct w:val="0"/>
              <w:bidi w:val="0"/>
              <w:spacing w:line="240" w:lineRule="auto"/>
              <w:ind w:firstLine="0" w:firstLineChars="0"/>
              <w:jc w:val="center"/>
              <w:textAlignment w:val="auto"/>
              <w:rPr>
                <w:color w:val="auto"/>
                <w:sz w:val="21"/>
                <w:szCs w:val="21"/>
              </w:rPr>
            </w:pPr>
            <w:r>
              <w:rPr>
                <w:rFonts w:hint="eastAsia" w:cs="Times New Roman"/>
                <w:color w:val="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2167"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规划环境影响</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color w:val="auto"/>
                <w:kern w:val="0"/>
                <w:sz w:val="21"/>
                <w:szCs w:val="21"/>
              </w:rPr>
            </w:pPr>
            <w:r>
              <w:rPr>
                <w:rFonts w:ascii="Times New Roman" w:hAnsi="Times New Roman"/>
                <w:color w:val="auto"/>
                <w:sz w:val="21"/>
                <w:szCs w:val="21"/>
              </w:rPr>
              <w:t>评价情况</w:t>
            </w:r>
          </w:p>
        </w:tc>
        <w:tc>
          <w:tcPr>
            <w:tcW w:w="6703" w:type="dxa"/>
            <w:gridSpan w:val="3"/>
            <w:noWrap w:val="0"/>
            <w:vAlign w:val="center"/>
          </w:tcPr>
          <w:p>
            <w:pPr>
              <w:pStyle w:val="55"/>
              <w:keepNext w:val="0"/>
              <w:keepLines w:val="0"/>
              <w:pageBreakBefore w:val="0"/>
              <w:widowControl w:val="0"/>
              <w:kinsoku/>
              <w:wordWrap/>
              <w:overflowPunct/>
              <w:topLinePunct w:val="0"/>
              <w:bidi w:val="0"/>
              <w:spacing w:line="240" w:lineRule="auto"/>
              <w:ind w:firstLine="0" w:firstLineChars="0"/>
              <w:jc w:val="center"/>
              <w:textAlignment w:val="auto"/>
              <w:rPr>
                <w:rFonts w:hint="eastAsia" w:eastAsia="宋体"/>
                <w:color w:val="auto"/>
                <w:sz w:val="21"/>
                <w:szCs w:val="21"/>
                <w:lang w:eastAsia="zh-CN"/>
              </w:rPr>
            </w:pPr>
            <w:r>
              <w:rPr>
                <w:rFonts w:hint="eastAsia" w:cs="Times New Roman"/>
                <w:color w:val="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216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auto"/>
                <w:kern w:val="0"/>
                <w:sz w:val="21"/>
                <w:szCs w:val="21"/>
              </w:rPr>
            </w:pPr>
            <w:r>
              <w:rPr>
                <w:rFonts w:ascii="Times New Roman" w:hAnsi="Times New Roman"/>
                <w:color w:val="auto"/>
                <w:kern w:val="0"/>
                <w:sz w:val="21"/>
                <w:szCs w:val="21"/>
              </w:rPr>
              <w:t>规划及规划环境</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auto"/>
                <w:kern w:val="0"/>
                <w:sz w:val="21"/>
                <w:szCs w:val="21"/>
              </w:rPr>
            </w:pPr>
            <w:r>
              <w:rPr>
                <w:rFonts w:ascii="Times New Roman" w:hAnsi="Times New Roman"/>
                <w:color w:val="auto"/>
                <w:kern w:val="0"/>
                <w:sz w:val="21"/>
                <w:szCs w:val="21"/>
              </w:rPr>
              <w:t>影响评价符合性分析</w:t>
            </w:r>
          </w:p>
        </w:tc>
        <w:tc>
          <w:tcPr>
            <w:tcW w:w="670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Calibri" w:eastAsia="宋体" w:cs="Times New Roman"/>
                <w:b/>
                <w:color w:val="auto"/>
                <w:kern w:val="0"/>
                <w:sz w:val="21"/>
                <w:szCs w:val="21"/>
                <w:u w:val="none"/>
                <w:vertAlign w:val="baseline"/>
                <w:lang w:val="en-US" w:eastAsia="zh-CN"/>
              </w:rPr>
            </w:pPr>
            <w:r>
              <w:rPr>
                <w:rFonts w:hint="eastAsia" w:cs="Times New Roman"/>
                <w:color w:val="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67" w:type="dxa"/>
            <w:noWrap w:val="0"/>
            <w:vAlign w:val="center"/>
          </w:tcPr>
          <w:p>
            <w:pPr>
              <w:pStyle w:val="24"/>
              <w:jc w:val="center"/>
              <w:outlineLvl w:val="0"/>
              <w:rPr>
                <w:rFonts w:ascii="Times New Roman" w:hAnsi="Times New Roman"/>
                <w:color w:val="auto"/>
                <w:kern w:val="0"/>
                <w:sz w:val="24"/>
                <w:szCs w:val="24"/>
              </w:rPr>
            </w:pPr>
            <w:bookmarkStart w:id="6" w:name="_Toc19635"/>
            <w:bookmarkStart w:id="7" w:name="_Toc7721"/>
            <w:bookmarkStart w:id="8" w:name="_Toc4795"/>
            <w:r>
              <w:rPr>
                <w:rFonts w:ascii="Times New Roman" w:hAnsi="Times New Roman"/>
                <w:color w:val="auto"/>
                <w:kern w:val="0"/>
                <w:sz w:val="24"/>
                <w:szCs w:val="24"/>
              </w:rPr>
              <w:t>其他符合性分析</w:t>
            </w:r>
            <w:bookmarkEnd w:id="6"/>
            <w:bookmarkEnd w:id="7"/>
            <w:bookmarkEnd w:id="8"/>
          </w:p>
        </w:tc>
        <w:tc>
          <w:tcPr>
            <w:tcW w:w="6703" w:type="dxa"/>
            <w:gridSpan w:val="3"/>
            <w:noWrap w:val="0"/>
            <w:vAlign w:val="center"/>
          </w:tcPr>
          <w:p>
            <w:pPr>
              <w:pStyle w:val="3"/>
              <w:numPr>
                <w:ilvl w:val="1"/>
                <w:numId w:val="0"/>
              </w:numPr>
              <w:bidi w:val="0"/>
              <w:ind w:leftChars="0"/>
              <w:rPr>
                <w:color w:val="auto"/>
              </w:rPr>
            </w:pPr>
            <w:bookmarkStart w:id="9" w:name="_Toc8004"/>
            <w:r>
              <w:rPr>
                <w:rFonts w:hint="eastAsia"/>
                <w:color w:val="auto"/>
                <w:lang w:val="en-US" w:eastAsia="zh-CN"/>
              </w:rPr>
              <w:t>1.2</w:t>
            </w:r>
            <w:r>
              <w:rPr>
                <w:color w:val="auto"/>
              </w:rPr>
              <w:t>与产业政策的符合性分析</w:t>
            </w:r>
            <w:bookmarkEnd w:id="9"/>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color w:val="auto"/>
                <w:sz w:val="21"/>
                <w:szCs w:val="21"/>
                <w:lang w:val="en-US" w:eastAsia="zh-CN"/>
              </w:rPr>
            </w:pPr>
            <w:r>
              <w:rPr>
                <w:rFonts w:hint="default"/>
                <w:color w:val="auto"/>
                <w:sz w:val="21"/>
                <w:szCs w:val="21"/>
                <w:lang w:val="en-US" w:eastAsia="zh-CN"/>
              </w:rPr>
              <w:t>项目主要从事医疗服务，根据《产业结构调整指导目录》（2024年本），本项目不属于《产业结构调整指导目录》（2024年本）中的限制类与淘汰类，属于允许类，</w:t>
            </w:r>
            <w:r>
              <w:rPr>
                <w:rFonts w:hint="eastAsia"/>
                <w:color w:val="auto"/>
                <w:sz w:val="21"/>
                <w:szCs w:val="21"/>
                <w:lang w:val="en-US" w:eastAsia="zh-CN"/>
              </w:rPr>
              <w:t>且该项目于2024年8月27日通过了福清市发展和改革局的备案(</w:t>
            </w:r>
            <w:r>
              <w:rPr>
                <w:rFonts w:hint="default"/>
                <w:color w:val="auto"/>
                <w:sz w:val="21"/>
                <w:szCs w:val="21"/>
                <w:lang w:val="zh-CN"/>
              </w:rPr>
              <w:t>闽发改备[2024]A060105号</w:t>
            </w:r>
            <w:r>
              <w:rPr>
                <w:rFonts w:hint="eastAsia"/>
                <w:color w:val="auto"/>
                <w:sz w:val="21"/>
                <w:szCs w:val="21"/>
                <w:lang w:val="en-US" w:eastAsia="zh-CN"/>
              </w:rPr>
              <w:t>，详见附件4)，因此项目的建设内容符合国家当前的产业政策和环保要求。</w:t>
            </w:r>
          </w:p>
          <w:p>
            <w:pPr>
              <w:pStyle w:val="3"/>
              <w:numPr>
                <w:ilvl w:val="1"/>
                <w:numId w:val="0"/>
              </w:numPr>
              <w:bidi w:val="0"/>
              <w:ind w:leftChars="0"/>
              <w:rPr>
                <w:color w:val="auto"/>
              </w:rPr>
            </w:pPr>
            <w:bookmarkStart w:id="10" w:name="_Toc3346"/>
            <w:r>
              <w:rPr>
                <w:rFonts w:hint="eastAsia"/>
                <w:color w:val="auto"/>
                <w:lang w:val="en-US" w:eastAsia="zh-CN"/>
              </w:rPr>
              <w:t>1.3</w:t>
            </w:r>
            <w:r>
              <w:rPr>
                <w:color w:val="auto"/>
              </w:rPr>
              <w:t>选址合理性分析</w:t>
            </w:r>
            <w:bookmarkEnd w:id="10"/>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宋体"/>
                <w:color w:val="auto"/>
                <w:sz w:val="21"/>
                <w:szCs w:val="21"/>
                <w:lang w:val="en-US" w:eastAsia="zh-CN"/>
              </w:rPr>
            </w:pPr>
            <w:r>
              <w:rPr>
                <w:rFonts w:hint="eastAsia"/>
                <w:color w:val="auto"/>
                <w:sz w:val="21"/>
                <w:szCs w:val="21"/>
              </w:rPr>
              <w:t>项目选址位于福建省福州市福清市龙江街道龙江路667号，租赁租赁福清巨盛制衣有限公司厂房</w:t>
            </w:r>
            <w:r>
              <w:rPr>
                <w:rFonts w:hint="eastAsia"/>
                <w:color w:val="auto"/>
                <w:sz w:val="21"/>
                <w:szCs w:val="21"/>
                <w:lang w:eastAsia="zh-CN"/>
              </w:rPr>
              <w:t>（</w:t>
            </w:r>
            <w:r>
              <w:rPr>
                <w:rFonts w:hint="eastAsia"/>
                <w:color w:val="auto"/>
                <w:sz w:val="21"/>
                <w:szCs w:val="21"/>
                <w:lang w:val="en-US" w:eastAsia="zh-CN"/>
              </w:rPr>
              <w:t>租赁合同：附件6</w:t>
            </w:r>
            <w:r>
              <w:rPr>
                <w:rFonts w:hint="eastAsia"/>
                <w:color w:val="auto"/>
                <w:sz w:val="21"/>
                <w:szCs w:val="21"/>
                <w:lang w:eastAsia="zh-CN"/>
              </w:rPr>
              <w:t>）</w:t>
            </w:r>
            <w:r>
              <w:rPr>
                <w:rFonts w:hint="eastAsia"/>
                <w:color w:val="auto"/>
                <w:sz w:val="21"/>
                <w:szCs w:val="21"/>
              </w:rPr>
              <w:t>，面积15007平方米并进行改造，设计精神科、康复科等科室。根据福清巨盛制衣有限公司不动产权证（闽</w:t>
            </w:r>
            <w:r>
              <w:rPr>
                <w:rFonts w:hint="eastAsia"/>
                <w:color w:val="auto"/>
                <w:sz w:val="21"/>
                <w:szCs w:val="21"/>
                <w:lang w:val="en-US" w:eastAsia="zh-CN"/>
              </w:rPr>
              <w:t>[2024]福清市不动产权证第0022180号，</w:t>
            </w:r>
            <w:r>
              <w:rPr>
                <w:rFonts w:hint="eastAsia"/>
                <w:color w:val="auto"/>
                <w:sz w:val="21"/>
                <w:szCs w:val="21"/>
              </w:rPr>
              <w:t>项目租赁厂区用地用途为工业用地</w:t>
            </w:r>
            <w:r>
              <w:rPr>
                <w:rFonts w:hint="eastAsia"/>
                <w:color w:val="auto"/>
                <w:sz w:val="21"/>
                <w:szCs w:val="21"/>
                <w:lang w:eastAsia="zh-CN"/>
              </w:rPr>
              <w:t>。</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olor w:val="auto"/>
                <w:sz w:val="21"/>
                <w:szCs w:val="21"/>
              </w:rPr>
            </w:pPr>
            <w:r>
              <w:rPr>
                <w:rFonts w:hint="eastAsia"/>
                <w:color w:val="auto"/>
                <w:sz w:val="21"/>
                <w:szCs w:val="21"/>
              </w:rPr>
              <w:t>根据福清市自然资源和规划局关于福清市健安医疗服务有限公司临时调整建筑使用功能的函（融自然函（2024）285 号），同意按照《实施意见》精神，将福清巨盛制衣有限公司位于福清市龙江街道的空置厂房建筑使用功能临时调整为医疗用房，临时调整年限不超过5年。</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color w:val="auto"/>
                <w:sz w:val="21"/>
                <w:szCs w:val="21"/>
                <w:lang w:val="en-US" w:eastAsia="zh-CN"/>
              </w:rPr>
            </w:pPr>
            <w:r>
              <w:rPr>
                <w:rFonts w:hint="eastAsia"/>
                <w:color w:val="auto"/>
                <w:sz w:val="21"/>
                <w:szCs w:val="21"/>
              </w:rPr>
              <w:t>本项目将仅在该厂房被允许临时调整为医疗用房的期限内进行建设和运营。五年期满后，</w:t>
            </w:r>
            <w:r>
              <w:rPr>
                <w:rFonts w:hint="eastAsia"/>
                <w:color w:val="auto"/>
                <w:sz w:val="21"/>
                <w:szCs w:val="21"/>
                <w:lang w:val="en-US" w:eastAsia="zh-CN"/>
              </w:rPr>
              <w:t>建设单位</w:t>
            </w:r>
            <w:r>
              <w:rPr>
                <w:rFonts w:hint="eastAsia"/>
                <w:color w:val="auto"/>
                <w:sz w:val="21"/>
                <w:szCs w:val="21"/>
              </w:rPr>
              <w:t>将根据当时的相关政策、法规及市场需求，重新评估并决定是否继续租赁该厂房或寻找其他合适的场地进行医院建设</w:t>
            </w:r>
            <w:r>
              <w:rPr>
                <w:rFonts w:hint="eastAsia"/>
                <w:color w:val="auto"/>
                <w:sz w:val="21"/>
                <w:szCs w:val="21"/>
                <w:lang w:val="en-US" w:eastAsia="zh-CN"/>
              </w:rPr>
              <w:t>。</w:t>
            </w:r>
            <w:r>
              <w:rPr>
                <w:rFonts w:hint="eastAsia"/>
                <w:color w:val="auto"/>
                <w:sz w:val="21"/>
                <w:szCs w:val="21"/>
              </w:rPr>
              <w:t>因此本环评也是针对这五年的建设和运营期进行的。</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olor w:val="auto"/>
                <w:sz w:val="21"/>
                <w:szCs w:val="21"/>
              </w:rPr>
            </w:pPr>
            <w:r>
              <w:rPr>
                <w:rFonts w:hint="eastAsia"/>
                <w:color w:val="auto"/>
                <w:sz w:val="21"/>
                <w:szCs w:val="21"/>
              </w:rPr>
              <w:t>地块内有良好的供电、供水和电讯线路周边道路己规划有完善的市政雨污水管网，方便项目雨、污水的排放。因此，本项目的建设，符合福清市用地规划，项目选址较为合理。</w:t>
            </w:r>
          </w:p>
          <w:p>
            <w:pPr>
              <w:pStyle w:val="10"/>
              <w:ind w:left="0" w:leftChars="0" w:firstLine="0" w:firstLineChars="0"/>
              <w:rPr>
                <w:rFonts w:hint="eastAsia" w:ascii="Times New Roman" w:hAnsi="Times New Roman" w:eastAsia="宋体" w:cs="Times New Roman"/>
                <w:b/>
                <w:bCs/>
                <w:color w:val="auto"/>
                <w:kern w:val="0"/>
                <w:sz w:val="28"/>
                <w:szCs w:val="28"/>
                <w:lang w:val="en-US" w:eastAsia="zh-CN" w:bidi="ar-SA"/>
              </w:rPr>
            </w:pPr>
            <w:r>
              <w:rPr>
                <w:rFonts w:hint="eastAsia" w:ascii="Times New Roman" w:hAnsi="Times New Roman" w:eastAsia="宋体" w:cs="Times New Roman"/>
                <w:b/>
                <w:bCs/>
                <w:color w:val="auto"/>
                <w:kern w:val="0"/>
                <w:sz w:val="28"/>
                <w:szCs w:val="28"/>
                <w:lang w:val="en-US" w:eastAsia="zh-CN" w:bidi="ar-SA"/>
              </w:rPr>
              <w:t>1.4用房可行性分析</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color w:val="auto"/>
                <w:sz w:val="21"/>
                <w:szCs w:val="21"/>
                <w:lang w:val="en-US" w:eastAsia="zh-CN"/>
              </w:rPr>
            </w:pPr>
            <w:r>
              <w:rPr>
                <w:rFonts w:hint="eastAsia"/>
                <w:color w:val="auto"/>
                <w:sz w:val="21"/>
                <w:szCs w:val="21"/>
                <w:lang w:val="en-US" w:eastAsia="zh-CN"/>
              </w:rPr>
              <w:t>本</w:t>
            </w:r>
            <w:r>
              <w:rPr>
                <w:rFonts w:hint="default"/>
                <w:color w:val="auto"/>
                <w:sz w:val="21"/>
                <w:szCs w:val="21"/>
                <w:lang w:val="en-US" w:eastAsia="zh-CN"/>
              </w:rPr>
              <w:t>项目拟租赁</w:t>
            </w:r>
            <w:r>
              <w:rPr>
                <w:rFonts w:hint="eastAsia"/>
                <w:color w:val="auto"/>
                <w:sz w:val="21"/>
                <w:szCs w:val="21"/>
                <w:lang w:val="en-US" w:eastAsia="zh-CN"/>
              </w:rPr>
              <w:t>福清巨盛制衣有限公司</w:t>
            </w:r>
            <w:r>
              <w:rPr>
                <w:rFonts w:hint="default"/>
                <w:color w:val="auto"/>
                <w:sz w:val="21"/>
                <w:szCs w:val="21"/>
                <w:lang w:val="en-US" w:eastAsia="zh-CN"/>
              </w:rPr>
              <w:t>的工业厂房，地处</w:t>
            </w:r>
            <w:r>
              <w:rPr>
                <w:rFonts w:hint="eastAsia"/>
                <w:color w:val="auto"/>
                <w:sz w:val="21"/>
                <w:szCs w:val="21"/>
                <w:lang w:val="en-US" w:eastAsia="zh-CN"/>
              </w:rPr>
              <w:t>福建省福州市福清市龙江街道龙江路667号</w:t>
            </w:r>
            <w:r>
              <w:rPr>
                <w:rFonts w:hint="default"/>
                <w:color w:val="auto"/>
                <w:sz w:val="21"/>
                <w:szCs w:val="21"/>
                <w:lang w:val="en-US" w:eastAsia="zh-CN"/>
              </w:rPr>
              <w:t>，依据《关于福州市空置房产改造为公共服务设施的实施意见（试行）》（榕自然综[2019]1562号），项目已获</w:t>
            </w:r>
            <w:r>
              <w:rPr>
                <w:rFonts w:hint="eastAsia"/>
                <w:color w:val="auto"/>
                <w:sz w:val="21"/>
                <w:szCs w:val="21"/>
                <w:lang w:val="en-US" w:eastAsia="zh-CN"/>
              </w:rPr>
              <w:t>福清市住房和城乡建设局出具的</w:t>
            </w:r>
            <w:r>
              <w:rPr>
                <w:rFonts w:hint="default"/>
                <w:color w:val="auto"/>
                <w:sz w:val="21"/>
                <w:szCs w:val="21"/>
                <w:lang w:val="en-US" w:eastAsia="zh-CN"/>
              </w:rPr>
              <w:t>建设工程消防验收意见书</w:t>
            </w:r>
            <w:r>
              <w:rPr>
                <w:rFonts w:hint="eastAsia"/>
                <w:color w:val="auto"/>
                <w:sz w:val="21"/>
                <w:szCs w:val="21"/>
                <w:lang w:val="en-US" w:eastAsia="zh-CN"/>
              </w:rPr>
              <w:t>（</w:t>
            </w:r>
            <w:r>
              <w:rPr>
                <w:rFonts w:hint="default"/>
                <w:color w:val="auto"/>
                <w:sz w:val="21"/>
                <w:szCs w:val="21"/>
                <w:lang w:val="en-US" w:eastAsia="zh-CN"/>
              </w:rPr>
              <w:t>消防验收意见</w:t>
            </w:r>
            <w:r>
              <w:rPr>
                <w:rFonts w:hint="eastAsia"/>
                <w:color w:val="auto"/>
                <w:sz w:val="21"/>
                <w:szCs w:val="21"/>
                <w:lang w:val="en-US" w:eastAsia="zh-CN"/>
              </w:rPr>
              <w:t>：附件9）</w:t>
            </w:r>
            <w:r>
              <w:rPr>
                <w:rFonts w:hint="default"/>
                <w:color w:val="auto"/>
                <w:sz w:val="21"/>
                <w:szCs w:val="21"/>
                <w:lang w:val="en-US" w:eastAsia="zh-CN"/>
              </w:rPr>
              <w:t>。厂房结构安全评估合格，周边环境符合医疗设施要求。</w:t>
            </w:r>
          </w:p>
          <w:p>
            <w:pPr>
              <w:pStyle w:val="25"/>
              <w:jc w:val="both"/>
              <w:rPr>
                <w:rFonts w:hint="eastAsia" w:ascii="Times New Roman" w:hAnsi="Times New Roman" w:eastAsia="宋体" w:cs="Times New Roman"/>
                <w:b/>
                <w:bCs/>
                <w:color w:val="auto"/>
                <w:spacing w:val="0"/>
                <w:kern w:val="0"/>
                <w:sz w:val="28"/>
                <w:szCs w:val="28"/>
                <w:lang w:val="en-US" w:eastAsia="zh-CN" w:bidi="ar-SA"/>
              </w:rPr>
            </w:pPr>
            <w:r>
              <w:rPr>
                <w:rFonts w:hint="eastAsia" w:ascii="Times New Roman" w:hAnsi="Times New Roman" w:eastAsia="宋体" w:cs="Times New Roman"/>
                <w:b/>
                <w:bCs/>
                <w:color w:val="auto"/>
                <w:spacing w:val="0"/>
                <w:kern w:val="0"/>
                <w:sz w:val="28"/>
                <w:szCs w:val="28"/>
                <w:lang w:val="en-US" w:eastAsia="zh-CN" w:bidi="ar-SA"/>
              </w:rPr>
              <w:t>1.5与中华人民共和国土壤污染防治法符合性分析</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根据《中华人民共和国土壤污染防治法》，“用途变更为住宅、公共管理与公共服务用地的，变更前应当按照规定进行土壤污染状况调查”，项目租赁福清巨盛制衣有限公司</w:t>
            </w:r>
            <w:r>
              <w:rPr>
                <w:rFonts w:hint="default" w:ascii="Times New Roman" w:hAnsi="Times New Roman" w:cs="Times New Roman"/>
                <w:color w:val="auto"/>
                <w:sz w:val="21"/>
                <w:szCs w:val="21"/>
                <w:lang w:val="en-US" w:eastAsia="zh-CN"/>
              </w:rPr>
              <w:t>的</w:t>
            </w:r>
            <w:r>
              <w:rPr>
                <w:rFonts w:hint="eastAsia" w:ascii="Times New Roman" w:hAnsi="Times New Roman" w:cs="Times New Roman"/>
                <w:color w:val="auto"/>
                <w:sz w:val="21"/>
                <w:szCs w:val="21"/>
                <w:lang w:val="en-US" w:eastAsia="zh-CN"/>
              </w:rPr>
              <w:t>现有</w:t>
            </w:r>
            <w:r>
              <w:rPr>
                <w:rFonts w:hint="default" w:ascii="Times New Roman" w:hAnsi="Times New Roman" w:cs="Times New Roman"/>
                <w:color w:val="auto"/>
                <w:sz w:val="21"/>
                <w:szCs w:val="21"/>
                <w:lang w:val="en-US" w:eastAsia="zh-CN"/>
              </w:rPr>
              <w:t>厂房，</w:t>
            </w:r>
            <w:r>
              <w:rPr>
                <w:rFonts w:hint="eastAsia" w:ascii="Times New Roman" w:hAnsi="Times New Roman" w:cs="Times New Roman"/>
                <w:color w:val="auto"/>
                <w:sz w:val="21"/>
                <w:szCs w:val="21"/>
                <w:lang w:val="en-US" w:eastAsia="zh-CN"/>
              </w:rPr>
              <w:t>根据出租方出具厂房使用情况说明（附件10）及现场勘察情况可知</w:t>
            </w:r>
            <w:r>
              <w:rPr>
                <w:rFonts w:hint="default"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lang w:val="en-US" w:eastAsia="zh-CN"/>
              </w:rPr>
              <w:t>厂房自建成后，一直空置，从未进行过任何形式的生产加工活动不存在生产过程中可能产生的污染物排放源。</w:t>
            </w:r>
          </w:p>
          <w:p>
            <w:pPr>
              <w:pStyle w:val="3"/>
              <w:numPr>
                <w:ilvl w:val="1"/>
                <w:numId w:val="0"/>
              </w:numPr>
              <w:bidi w:val="0"/>
              <w:ind w:leftChars="0"/>
              <w:rPr>
                <w:rFonts w:hint="eastAsia"/>
                <w:color w:val="auto"/>
                <w:lang w:val="en-US" w:eastAsia="zh-CN"/>
              </w:rPr>
            </w:pPr>
            <w:bookmarkStart w:id="11" w:name="_Toc27355"/>
            <w:r>
              <w:rPr>
                <w:rFonts w:hint="eastAsia"/>
                <w:color w:val="auto"/>
                <w:lang w:val="en-US" w:eastAsia="zh-CN"/>
              </w:rPr>
              <w:t>1.6“三线一单”控制要求符合性分析</w:t>
            </w:r>
            <w:bookmarkEnd w:id="11"/>
          </w:p>
          <w:p>
            <w:pPr>
              <w:keepNext w:val="0"/>
              <w:keepLines w:val="0"/>
              <w:pageBreakBefore w:val="0"/>
              <w:widowControl w:val="0"/>
              <w:kinsoku/>
              <w:wordWrap/>
              <w:overflowPunct/>
              <w:topLinePunct w:val="0"/>
              <w:autoSpaceDE/>
              <w:autoSpaceDN/>
              <w:bidi w:val="0"/>
              <w:adjustRightInd/>
              <w:snapToGrid/>
              <w:ind w:firstLine="420" w:firstLineChars="200"/>
              <w:textAlignment w:val="auto"/>
              <w:rPr>
                <w:color w:val="auto"/>
                <w:sz w:val="21"/>
                <w:szCs w:val="21"/>
              </w:rPr>
            </w:pPr>
            <w:r>
              <w:rPr>
                <w:rFonts w:hint="eastAsia"/>
                <w:color w:val="auto"/>
                <w:sz w:val="21"/>
                <w:szCs w:val="21"/>
              </w:rPr>
              <w:t>①</w:t>
            </w:r>
            <w:r>
              <w:rPr>
                <w:color w:val="auto"/>
                <w:sz w:val="21"/>
                <w:szCs w:val="21"/>
              </w:rPr>
              <w:t>项目</w:t>
            </w:r>
            <w:r>
              <w:rPr>
                <w:rFonts w:hint="eastAsia"/>
                <w:color w:val="auto"/>
                <w:sz w:val="21"/>
                <w:szCs w:val="21"/>
              </w:rPr>
              <w:t>与《“十三五”环境影响评价改革实施方案》</w:t>
            </w:r>
            <w:r>
              <w:rPr>
                <w:rFonts w:hint="eastAsia"/>
                <w:color w:val="auto"/>
                <w:sz w:val="21"/>
                <w:szCs w:val="21"/>
                <w:lang w:eastAsia="zh-CN"/>
              </w:rPr>
              <w:t>（</w:t>
            </w:r>
            <w:r>
              <w:rPr>
                <w:rFonts w:hint="eastAsia"/>
                <w:color w:val="auto"/>
                <w:sz w:val="21"/>
                <w:szCs w:val="21"/>
              </w:rPr>
              <w:t>环评[2016]95号</w:t>
            </w:r>
            <w:r>
              <w:rPr>
                <w:rFonts w:hint="eastAsia"/>
                <w:color w:val="auto"/>
                <w:sz w:val="21"/>
                <w:szCs w:val="21"/>
                <w:lang w:eastAsia="zh-CN"/>
              </w:rPr>
              <w:t>）</w:t>
            </w:r>
            <w:r>
              <w:rPr>
                <w:rFonts w:hint="eastAsia"/>
                <w:color w:val="auto"/>
                <w:sz w:val="21"/>
                <w:szCs w:val="21"/>
              </w:rPr>
              <w:t>中“三线一单”文</w:t>
            </w:r>
            <w:r>
              <w:rPr>
                <w:color w:val="auto"/>
                <w:sz w:val="21"/>
                <w:szCs w:val="21"/>
              </w:rPr>
              <w:t>件符合性分析。</w:t>
            </w:r>
          </w:p>
          <w:p>
            <w:pPr>
              <w:bidi w:val="0"/>
              <w:jc w:val="center"/>
              <w:rPr>
                <w:b/>
                <w:bCs/>
                <w:color w:val="auto"/>
                <w:sz w:val="21"/>
                <w:szCs w:val="21"/>
              </w:rPr>
            </w:pPr>
            <w:r>
              <w:rPr>
                <w:b/>
                <w:bCs/>
                <w:color w:val="auto"/>
                <w:sz w:val="21"/>
                <w:szCs w:val="21"/>
              </w:rPr>
              <w:t>表</w:t>
            </w:r>
            <w:r>
              <w:rPr>
                <w:rFonts w:hint="eastAsia"/>
                <w:b/>
                <w:bCs/>
                <w:color w:val="auto"/>
                <w:sz w:val="21"/>
                <w:szCs w:val="21"/>
                <w:lang w:val="en-US" w:eastAsia="zh-CN"/>
              </w:rPr>
              <w:t>1.6-1</w:t>
            </w:r>
            <w:r>
              <w:rPr>
                <w:b/>
                <w:bCs/>
                <w:color w:val="auto"/>
                <w:sz w:val="21"/>
                <w:szCs w:val="21"/>
              </w:rPr>
              <w:t xml:space="preserve"> 项目与“三线一单”文件相符性分析</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7"/>
              <w:gridCol w:w="639"/>
              <w:gridCol w:w="4239"/>
              <w:gridCol w:w="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699" w:type="pct"/>
                  <w:noWrap/>
                  <w:vAlign w:val="center"/>
                </w:tcPr>
                <w:p>
                  <w:pPr>
                    <w:pStyle w:val="39"/>
                    <w:rPr>
                      <w:rFonts w:ascii="Times New Roman" w:hAnsi="Times New Roman" w:eastAsia="宋体" w:cs="Times New Roman"/>
                      <w:b/>
                      <w:bCs/>
                      <w:color w:val="auto"/>
                    </w:rPr>
                  </w:pPr>
                  <w:r>
                    <w:rPr>
                      <w:rFonts w:hint="eastAsia" w:ascii="Times New Roman" w:hAnsi="Times New Roman" w:eastAsia="宋体" w:cs="Times New Roman"/>
                      <w:b/>
                      <w:bCs/>
                      <w:color w:val="auto"/>
                      <w:lang w:eastAsia="zh-CN"/>
                    </w:rPr>
                    <w:t>通知</w:t>
                  </w:r>
                  <w:r>
                    <w:rPr>
                      <w:rFonts w:ascii="Times New Roman" w:hAnsi="Times New Roman" w:eastAsia="宋体" w:cs="Times New Roman"/>
                      <w:b/>
                      <w:bCs/>
                      <w:color w:val="auto"/>
                    </w:rPr>
                    <w:t>文号</w:t>
                  </w:r>
                </w:p>
              </w:tc>
              <w:tc>
                <w:tcPr>
                  <w:tcW w:w="493" w:type="pct"/>
                  <w:noWrap/>
                  <w:vAlign w:val="center"/>
                </w:tcPr>
                <w:p>
                  <w:pPr>
                    <w:pStyle w:val="39"/>
                    <w:rPr>
                      <w:rFonts w:ascii="Times New Roman" w:hAnsi="Times New Roman" w:eastAsia="宋体" w:cs="Times New Roman"/>
                      <w:b/>
                      <w:bCs/>
                      <w:color w:val="auto"/>
                    </w:rPr>
                  </w:pPr>
                  <w:r>
                    <w:rPr>
                      <w:rFonts w:ascii="Times New Roman" w:hAnsi="Times New Roman" w:eastAsia="宋体" w:cs="Times New Roman"/>
                      <w:b/>
                      <w:bCs/>
                      <w:color w:val="auto"/>
                    </w:rPr>
                    <w:t>类别</w:t>
                  </w:r>
                </w:p>
              </w:tc>
              <w:tc>
                <w:tcPr>
                  <w:tcW w:w="3269" w:type="pct"/>
                  <w:noWrap/>
                  <w:vAlign w:val="center"/>
                </w:tcPr>
                <w:p>
                  <w:pPr>
                    <w:pStyle w:val="39"/>
                    <w:rPr>
                      <w:rFonts w:ascii="Times New Roman" w:hAnsi="Times New Roman" w:eastAsia="宋体" w:cs="Times New Roman"/>
                      <w:b/>
                      <w:bCs/>
                      <w:color w:val="auto"/>
                      <w:lang w:eastAsia="zh-CN"/>
                    </w:rPr>
                  </w:pPr>
                  <w:r>
                    <w:rPr>
                      <w:rFonts w:ascii="Times New Roman" w:hAnsi="Times New Roman" w:eastAsia="宋体" w:cs="Times New Roman"/>
                      <w:b/>
                      <w:bCs/>
                      <w:color w:val="auto"/>
                      <w:lang w:eastAsia="zh-CN"/>
                    </w:rPr>
                    <w:t>项目与“三线一单”相符性分析</w:t>
                  </w:r>
                </w:p>
              </w:tc>
              <w:tc>
                <w:tcPr>
                  <w:tcW w:w="537" w:type="pct"/>
                  <w:noWrap/>
                  <w:vAlign w:val="center"/>
                </w:tcPr>
                <w:p>
                  <w:pPr>
                    <w:pStyle w:val="39"/>
                    <w:rPr>
                      <w:rFonts w:ascii="Times New Roman" w:hAnsi="Times New Roman" w:eastAsia="宋体" w:cs="Times New Roman"/>
                      <w:b/>
                      <w:bCs/>
                      <w:color w:val="auto"/>
                    </w:rPr>
                  </w:pPr>
                  <w:r>
                    <w:rPr>
                      <w:rFonts w:ascii="Times New Roman" w:hAnsi="Times New Roman" w:eastAsia="宋体" w:cs="Times New Roman"/>
                      <w:b/>
                      <w:bCs/>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9" w:type="pct"/>
                  <w:vMerge w:val="restart"/>
                  <w:noWrap/>
                  <w:vAlign w:val="center"/>
                </w:tcPr>
                <w:p>
                  <w:pPr>
                    <w:pStyle w:val="39"/>
                    <w:rPr>
                      <w:rFonts w:ascii="Times New Roman" w:hAnsi="Times New Roman" w:eastAsia="宋体" w:cs="Times New Roman"/>
                      <w:color w:val="auto"/>
                      <w:lang w:eastAsia="zh-CN"/>
                    </w:rPr>
                  </w:pPr>
                  <w:r>
                    <w:rPr>
                      <w:rFonts w:ascii="Times New Roman" w:hAnsi="Times New Roman" w:eastAsia="宋体" w:cs="Times New Roman"/>
                      <w:color w:val="auto"/>
                      <w:lang w:eastAsia="zh-CN"/>
                    </w:rPr>
                    <w:t>《</w:t>
                  </w:r>
                  <w:r>
                    <w:rPr>
                      <w:rFonts w:hint="eastAsia" w:ascii="Times New Roman" w:hAnsi="Times New Roman" w:eastAsia="宋体" w:cs="宋体"/>
                      <w:color w:val="auto"/>
                      <w:lang w:eastAsia="zh-CN"/>
                    </w:rPr>
                    <w:t>“</w:t>
                  </w:r>
                  <w:r>
                    <w:rPr>
                      <w:rFonts w:ascii="Times New Roman" w:hAnsi="Times New Roman" w:eastAsia="宋体" w:cs="Times New Roman"/>
                      <w:color w:val="auto"/>
                      <w:lang w:eastAsia="zh-CN"/>
                    </w:rPr>
                    <w:t>十三五</w:t>
                  </w:r>
                  <w:r>
                    <w:rPr>
                      <w:rFonts w:hint="eastAsia" w:ascii="Times New Roman" w:hAnsi="Times New Roman" w:eastAsia="宋体" w:cs="宋体"/>
                      <w:color w:val="auto"/>
                      <w:lang w:eastAsia="zh-CN"/>
                    </w:rPr>
                    <w:t>”</w:t>
                  </w:r>
                  <w:r>
                    <w:rPr>
                      <w:rFonts w:ascii="Times New Roman" w:hAnsi="Times New Roman" w:eastAsia="宋体" w:cs="Times New Roman"/>
                      <w:color w:val="auto"/>
                      <w:lang w:eastAsia="zh-CN"/>
                    </w:rPr>
                    <w:t>环境影响评价改革实施方案》</w:t>
                  </w:r>
                  <w:r>
                    <w:rPr>
                      <w:rFonts w:hint="eastAsia" w:ascii="Times New Roman" w:hAnsi="Times New Roman" w:eastAsia="宋体" w:cs="Times New Roman"/>
                      <w:color w:val="auto"/>
                      <w:lang w:eastAsia="zh-CN"/>
                    </w:rPr>
                    <w:t>（</w:t>
                  </w:r>
                  <w:r>
                    <w:rPr>
                      <w:rFonts w:ascii="Times New Roman" w:hAnsi="Times New Roman" w:eastAsia="宋体" w:cs="Times New Roman"/>
                      <w:color w:val="auto"/>
                      <w:lang w:eastAsia="zh-CN"/>
                    </w:rPr>
                    <w:t>环评[2016]95号</w:t>
                  </w:r>
                  <w:r>
                    <w:rPr>
                      <w:rFonts w:hint="eastAsia" w:ascii="Times New Roman" w:hAnsi="Times New Roman" w:eastAsia="宋体" w:cs="Times New Roman"/>
                      <w:color w:val="auto"/>
                      <w:lang w:eastAsia="zh-CN"/>
                    </w:rPr>
                    <w:t>）</w:t>
                  </w:r>
                </w:p>
              </w:tc>
              <w:tc>
                <w:tcPr>
                  <w:tcW w:w="493" w:type="pct"/>
                  <w:noWrap/>
                  <w:vAlign w:val="center"/>
                </w:tcPr>
                <w:p>
                  <w:pPr>
                    <w:pStyle w:val="39"/>
                    <w:rPr>
                      <w:rFonts w:ascii="Times New Roman" w:hAnsi="Times New Roman" w:eastAsia="宋体" w:cs="Times New Roman"/>
                      <w:color w:val="auto"/>
                    </w:rPr>
                  </w:pPr>
                  <w:r>
                    <w:rPr>
                      <w:rFonts w:ascii="Times New Roman" w:hAnsi="Times New Roman" w:eastAsia="宋体" w:cs="Times New Roman"/>
                      <w:color w:val="auto"/>
                    </w:rPr>
                    <w:t>生态保护红线</w:t>
                  </w:r>
                </w:p>
              </w:tc>
              <w:tc>
                <w:tcPr>
                  <w:tcW w:w="3269" w:type="pct"/>
                  <w:noWrap/>
                  <w:vAlign w:val="center"/>
                </w:tcPr>
                <w:p>
                  <w:pPr>
                    <w:keepNext w:val="0"/>
                    <w:keepLines w:val="0"/>
                    <w:widowControl/>
                    <w:suppressLineNumbers w:val="0"/>
                    <w:spacing w:line="240" w:lineRule="auto"/>
                    <w:jc w:val="left"/>
                    <w:rPr>
                      <w:rFonts w:ascii="Times New Roman" w:hAnsi="Times New Roman" w:eastAsia="宋体" w:cs="Times New Roman"/>
                      <w:color w:val="auto"/>
                      <w:lang w:eastAsia="zh-CN"/>
                    </w:rPr>
                  </w:pPr>
                  <w:r>
                    <w:rPr>
                      <w:rFonts w:ascii="Times New Roman" w:hAnsi="Times New Roman" w:eastAsia="宋体" w:cs="Times New Roman"/>
                      <w:color w:val="auto"/>
                      <w:kern w:val="2"/>
                      <w:sz w:val="21"/>
                      <w:szCs w:val="21"/>
                      <w:lang w:val="en-US" w:eastAsia="zh-CN" w:bidi="ar-SA"/>
                    </w:rPr>
                    <w:t>项目位于福建省福州市福清市龙江街道龙江路667号，选址不涉及生态保护红线范围内具有特殊重要生态功能、必须强制性严格保护的红线，与基本红线和行业条件的有关规定没有冲突，符合生态保护红线要求。</w:t>
                  </w:r>
                </w:p>
              </w:tc>
              <w:tc>
                <w:tcPr>
                  <w:tcW w:w="537" w:type="pct"/>
                  <w:noWrap/>
                  <w:vAlign w:val="center"/>
                </w:tcPr>
                <w:p>
                  <w:pPr>
                    <w:pStyle w:val="39"/>
                    <w:rPr>
                      <w:rFonts w:ascii="Times New Roman" w:hAnsi="Times New Roman" w:eastAsia="宋体" w:cs="Times New Roman"/>
                      <w:color w:val="auto"/>
                    </w:rPr>
                  </w:pPr>
                  <w:r>
                    <w:rPr>
                      <w:rFonts w:ascii="Times New Roman" w:hAnsi="Times New Roman" w:eastAsia="宋体" w:cs="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9" w:type="pct"/>
                  <w:vMerge w:val="continue"/>
                  <w:noWrap/>
                  <w:vAlign w:val="center"/>
                </w:tcPr>
                <w:p>
                  <w:pPr>
                    <w:pStyle w:val="39"/>
                    <w:rPr>
                      <w:rFonts w:ascii="Times New Roman" w:hAnsi="Times New Roman" w:eastAsia="宋体" w:cs="Times New Roman"/>
                      <w:color w:val="auto"/>
                    </w:rPr>
                  </w:pPr>
                </w:p>
              </w:tc>
              <w:tc>
                <w:tcPr>
                  <w:tcW w:w="493" w:type="pct"/>
                  <w:noWrap/>
                  <w:vAlign w:val="center"/>
                </w:tcPr>
                <w:p>
                  <w:pPr>
                    <w:pStyle w:val="39"/>
                    <w:rPr>
                      <w:rFonts w:ascii="Times New Roman" w:hAnsi="Times New Roman" w:eastAsia="宋体" w:cs="Times New Roman"/>
                      <w:color w:val="auto"/>
                    </w:rPr>
                  </w:pPr>
                  <w:r>
                    <w:rPr>
                      <w:rFonts w:ascii="Times New Roman" w:hAnsi="Times New Roman" w:eastAsia="宋体" w:cs="Times New Roman"/>
                      <w:color w:val="auto"/>
                    </w:rPr>
                    <w:t>环境质量底线</w:t>
                  </w:r>
                </w:p>
              </w:tc>
              <w:tc>
                <w:tcPr>
                  <w:tcW w:w="3269" w:type="pct"/>
                  <w:noWrap/>
                  <w:vAlign w:val="center"/>
                </w:tcPr>
                <w:p>
                  <w:pPr>
                    <w:pStyle w:val="39"/>
                    <w:rPr>
                      <w:rFonts w:ascii="Times New Roman" w:hAnsi="Times New Roman" w:eastAsia="宋体" w:cs="Times New Roman"/>
                      <w:color w:val="auto"/>
                      <w:lang w:eastAsia="zh-CN"/>
                    </w:rPr>
                  </w:pPr>
                  <w:r>
                    <w:rPr>
                      <w:rFonts w:ascii="Times New Roman" w:hAnsi="Times New Roman" w:eastAsia="宋体" w:cs="Times New Roman"/>
                      <w:color w:val="auto"/>
                      <w:lang w:eastAsia="zh-CN"/>
                    </w:rPr>
                    <w:t>项目所在区域的环境质量底线为：大气环境质量目标为《环境空气质量标准》(GB3095-2012</w:t>
                  </w:r>
                  <w:r>
                    <w:rPr>
                      <w:rFonts w:hint="eastAsia" w:ascii="Times New Roman" w:hAnsi="Times New Roman" w:eastAsia="宋体" w:cs="Times New Roman"/>
                      <w:color w:val="auto"/>
                      <w:lang w:eastAsia="zh-CN"/>
                    </w:rPr>
                    <w:t>）</w:t>
                  </w:r>
                  <w:r>
                    <w:rPr>
                      <w:rFonts w:ascii="Times New Roman" w:hAnsi="Times New Roman" w:eastAsia="宋体" w:cs="Times New Roman"/>
                      <w:color w:val="auto"/>
                      <w:lang w:eastAsia="zh-CN"/>
                    </w:rPr>
                    <w:t>及其修改单中二级标准；地表水环境目标为《地表水环境质量标准》(GB3838-2002)</w:t>
                  </w:r>
                  <w:r>
                    <w:rPr>
                      <w:rFonts w:hint="default" w:ascii="Times New Roman" w:hAnsi="Times New Roman" w:cs="Times New Roman"/>
                      <w:color w:val="auto"/>
                    </w:rPr>
                    <w:t>V</w:t>
                  </w:r>
                  <w:r>
                    <w:rPr>
                      <w:rFonts w:ascii="Times New Roman" w:hAnsi="Times New Roman" w:eastAsia="宋体" w:cs="Times New Roman"/>
                      <w:color w:val="auto"/>
                      <w:lang w:eastAsia="zh-CN"/>
                    </w:rPr>
                    <w:t>类标准；声环境质量目标为《声环境质量标准》(GB3096-2008)</w:t>
                  </w:r>
                  <w:r>
                    <w:rPr>
                      <w:rFonts w:hint="eastAsia" w:ascii="Times New Roman" w:hAnsi="Times New Roman" w:eastAsia="宋体" w:cs="Times New Roman"/>
                      <w:color w:val="auto"/>
                      <w:lang w:val="en-US" w:eastAsia="zh-CN"/>
                    </w:rPr>
                    <w:t>2</w:t>
                  </w:r>
                  <w:r>
                    <w:rPr>
                      <w:rFonts w:ascii="Times New Roman" w:hAnsi="Times New Roman" w:eastAsia="宋体" w:cs="Times New Roman"/>
                      <w:color w:val="auto"/>
                      <w:lang w:eastAsia="zh-CN"/>
                    </w:rPr>
                    <w:t>类区标准。根据项目所在地环境质量现状调查和污染排放影响预测可知，本项目运营后对区域内环境影响较小，环境质量可以保持现有水平，不会对区域环境质量底线造成冲击。</w:t>
                  </w:r>
                </w:p>
              </w:tc>
              <w:tc>
                <w:tcPr>
                  <w:tcW w:w="537" w:type="pct"/>
                  <w:noWrap/>
                  <w:vAlign w:val="center"/>
                </w:tcPr>
                <w:p>
                  <w:pPr>
                    <w:pStyle w:val="39"/>
                    <w:rPr>
                      <w:rFonts w:ascii="Times New Roman" w:hAnsi="Times New Roman" w:eastAsia="宋体" w:cs="Times New Roman"/>
                      <w:color w:val="auto"/>
                    </w:rPr>
                  </w:pPr>
                  <w:r>
                    <w:rPr>
                      <w:rFonts w:ascii="Times New Roman" w:hAnsi="Times New Roman" w:eastAsia="宋体" w:cs="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9" w:type="pct"/>
                  <w:vMerge w:val="continue"/>
                  <w:noWrap/>
                  <w:vAlign w:val="center"/>
                </w:tcPr>
                <w:p>
                  <w:pPr>
                    <w:pStyle w:val="39"/>
                    <w:rPr>
                      <w:rFonts w:ascii="Times New Roman" w:hAnsi="Times New Roman" w:eastAsia="宋体" w:cs="Times New Roman"/>
                      <w:color w:val="auto"/>
                    </w:rPr>
                  </w:pPr>
                </w:p>
              </w:tc>
              <w:tc>
                <w:tcPr>
                  <w:tcW w:w="493" w:type="pct"/>
                  <w:noWrap/>
                  <w:vAlign w:val="center"/>
                </w:tcPr>
                <w:p>
                  <w:pPr>
                    <w:pStyle w:val="39"/>
                    <w:rPr>
                      <w:rFonts w:ascii="Times New Roman" w:hAnsi="Times New Roman" w:eastAsia="宋体" w:cs="Times New Roman"/>
                      <w:color w:val="auto"/>
                    </w:rPr>
                  </w:pPr>
                  <w:r>
                    <w:rPr>
                      <w:rFonts w:ascii="Times New Roman" w:hAnsi="Times New Roman" w:eastAsia="宋体" w:cs="Times New Roman"/>
                      <w:color w:val="auto"/>
                    </w:rPr>
                    <w:t>资源利用上线</w:t>
                  </w:r>
                </w:p>
              </w:tc>
              <w:tc>
                <w:tcPr>
                  <w:tcW w:w="3269" w:type="pct"/>
                  <w:noWrap/>
                  <w:vAlign w:val="center"/>
                </w:tcPr>
                <w:p>
                  <w:pPr>
                    <w:pStyle w:val="39"/>
                    <w:rPr>
                      <w:rFonts w:ascii="Times New Roman" w:hAnsi="Times New Roman" w:eastAsia="宋体" w:cs="Times New Roman"/>
                      <w:color w:val="auto"/>
                      <w:lang w:eastAsia="zh-CN"/>
                    </w:rPr>
                  </w:pPr>
                  <w:r>
                    <w:rPr>
                      <w:rFonts w:ascii="Times New Roman" w:hAnsi="Times New Roman" w:eastAsia="宋体" w:cs="Times New Roman"/>
                      <w:color w:val="auto"/>
                      <w:lang w:eastAsia="zh-CN"/>
                    </w:rPr>
                    <w:t>项目用水、用电为区域集中供应，项目运行过程通过内部管理、设备选择、原辅材料的选用和管理、废物回收利用、污染治理等多方面采取合理可行的防治措施，以“节能、降耗、减污”为目标，</w:t>
                  </w:r>
                  <w:r>
                    <w:rPr>
                      <w:rFonts w:hint="eastAsia" w:ascii="Times New Roman" w:hAnsi="Times New Roman" w:eastAsia="宋体" w:cs="Times New Roman"/>
                      <w:color w:val="auto"/>
                      <w:lang w:eastAsia="zh-CN"/>
                    </w:rPr>
                    <w:t>有效地控制</w:t>
                  </w:r>
                  <w:r>
                    <w:rPr>
                      <w:rFonts w:ascii="Times New Roman" w:hAnsi="Times New Roman" w:eastAsia="宋体" w:cs="Times New Roman"/>
                      <w:color w:val="auto"/>
                      <w:lang w:eastAsia="zh-CN"/>
                    </w:rPr>
                    <w:t>污染。项目的水、气等资源利用不会突破区域的资源利用上线。</w:t>
                  </w:r>
                </w:p>
              </w:tc>
              <w:tc>
                <w:tcPr>
                  <w:tcW w:w="537" w:type="pct"/>
                  <w:noWrap/>
                  <w:vAlign w:val="center"/>
                </w:tcPr>
                <w:p>
                  <w:pPr>
                    <w:pStyle w:val="39"/>
                    <w:rPr>
                      <w:rFonts w:ascii="Times New Roman" w:hAnsi="Times New Roman" w:eastAsia="宋体" w:cs="Times New Roman"/>
                      <w:color w:val="auto"/>
                    </w:rPr>
                  </w:pPr>
                  <w:r>
                    <w:rPr>
                      <w:rFonts w:ascii="Times New Roman" w:hAnsi="Times New Roman" w:eastAsia="宋体" w:cs="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9" w:type="pct"/>
                  <w:vMerge w:val="continue"/>
                  <w:noWrap/>
                  <w:vAlign w:val="center"/>
                </w:tcPr>
                <w:p>
                  <w:pPr>
                    <w:pStyle w:val="39"/>
                    <w:rPr>
                      <w:rFonts w:ascii="Times New Roman" w:hAnsi="Times New Roman" w:eastAsia="宋体" w:cs="Times New Roman"/>
                      <w:color w:val="auto"/>
                    </w:rPr>
                  </w:pPr>
                </w:p>
              </w:tc>
              <w:tc>
                <w:tcPr>
                  <w:tcW w:w="493" w:type="pct"/>
                  <w:noWrap/>
                  <w:vAlign w:val="center"/>
                </w:tcPr>
                <w:p>
                  <w:pPr>
                    <w:pStyle w:val="39"/>
                    <w:rPr>
                      <w:rFonts w:ascii="Times New Roman" w:hAnsi="Times New Roman" w:eastAsia="宋体" w:cs="Times New Roman"/>
                      <w:color w:val="auto"/>
                    </w:rPr>
                  </w:pPr>
                  <w:r>
                    <w:rPr>
                      <w:rFonts w:ascii="Times New Roman" w:hAnsi="Times New Roman" w:eastAsia="宋体" w:cs="Times New Roman"/>
                      <w:color w:val="auto"/>
                    </w:rPr>
                    <w:t>环境准入负面清单</w:t>
                  </w:r>
                </w:p>
              </w:tc>
              <w:tc>
                <w:tcPr>
                  <w:tcW w:w="3269" w:type="pct"/>
                  <w:noWrap/>
                  <w:vAlign w:val="center"/>
                </w:tcPr>
                <w:p>
                  <w:pPr>
                    <w:pStyle w:val="39"/>
                    <w:rPr>
                      <w:rFonts w:ascii="Times New Roman" w:hAnsi="Times New Roman" w:eastAsia="宋体" w:cs="Times New Roman"/>
                      <w:color w:val="auto"/>
                      <w:lang w:eastAsia="zh-CN"/>
                    </w:rPr>
                  </w:pPr>
                  <w:r>
                    <w:rPr>
                      <w:rFonts w:ascii="Times New Roman" w:hAnsi="Times New Roman" w:eastAsia="宋体" w:cs="Times New Roman"/>
                      <w:color w:val="auto"/>
                      <w:lang w:eastAsia="zh-CN"/>
                    </w:rPr>
                    <w:t>项目符合国家产业政策，不属于《市场准</w:t>
                  </w:r>
                  <w:r>
                    <w:rPr>
                      <w:rFonts w:hint="eastAsia" w:ascii="Times New Roman" w:hAnsi="Times New Roman" w:eastAsia="宋体" w:cs="Times New Roman"/>
                      <w:color w:val="auto"/>
                      <w:lang w:eastAsia="zh-CN"/>
                    </w:rPr>
                    <w:t>入</w:t>
                  </w:r>
                  <w:r>
                    <w:rPr>
                      <w:rFonts w:ascii="Times New Roman" w:hAnsi="Times New Roman" w:eastAsia="宋体" w:cs="Times New Roman"/>
                      <w:color w:val="auto"/>
                      <w:lang w:eastAsia="zh-CN"/>
                    </w:rPr>
                    <w:t>负面清单》</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2022</w:t>
                  </w:r>
                  <w:r>
                    <w:rPr>
                      <w:rFonts w:ascii="Times New Roman" w:hAnsi="Times New Roman" w:eastAsia="宋体" w:cs="Times New Roman"/>
                      <w:color w:val="auto"/>
                      <w:lang w:eastAsia="zh-CN"/>
                    </w:rPr>
                    <w:t>年版</w:t>
                  </w:r>
                  <w:r>
                    <w:rPr>
                      <w:rFonts w:hint="eastAsia" w:ascii="Times New Roman" w:hAnsi="Times New Roman" w:eastAsia="宋体" w:cs="Times New Roman"/>
                      <w:color w:val="auto"/>
                      <w:lang w:eastAsia="zh-CN"/>
                    </w:rPr>
                    <w:t>）</w:t>
                  </w:r>
                  <w:r>
                    <w:rPr>
                      <w:rFonts w:ascii="Times New Roman" w:hAnsi="Times New Roman" w:eastAsia="宋体" w:cs="Times New Roman"/>
                      <w:color w:val="auto"/>
                      <w:lang w:eastAsia="zh-CN"/>
                    </w:rPr>
                    <w:t>中禁止准入类项目</w:t>
                  </w:r>
                  <w:r>
                    <w:rPr>
                      <w:rFonts w:hint="eastAsia" w:ascii="Times New Roman" w:hAnsi="Times New Roman" w:eastAsia="宋体" w:cs="Times New Roman"/>
                      <w:color w:val="auto"/>
                      <w:lang w:eastAsia="zh-CN"/>
                    </w:rPr>
                    <w:t>，不属于</w:t>
                  </w:r>
                  <w:r>
                    <w:rPr>
                      <w:rFonts w:hint="default" w:ascii="Times New Roman" w:hAnsi="Times New Roman" w:eastAsia="宋体" w:cs="Times New Roman"/>
                      <w:color w:val="auto"/>
                      <w:lang w:val="en-US" w:eastAsia="zh-CN"/>
                    </w:rPr>
                    <w:t>《产业结构调整指导目录》（2024年本）中的限制类与淘汰类，属于允许类</w:t>
                  </w:r>
                  <w:r>
                    <w:rPr>
                      <w:rFonts w:hint="eastAsia" w:ascii="Times New Roman" w:hAnsi="Times New Roman" w:eastAsia="宋体" w:cs="Times New Roman"/>
                      <w:color w:val="auto"/>
                      <w:lang w:eastAsia="zh-CN"/>
                    </w:rPr>
                    <w:t>；对照《福建省人民政府关于实施“三线一单”生态环境分区管控的通知》全省生态环境总体准入要求，项目符合《福建省人民政府关于实施“三线一单”生态环境分区管控的通知》（闽政（2020）12号）中的全省生态环境总体准入要求；</w:t>
                  </w:r>
                </w:p>
              </w:tc>
              <w:tc>
                <w:tcPr>
                  <w:tcW w:w="537" w:type="pct"/>
                  <w:noWrap/>
                  <w:vAlign w:val="center"/>
                </w:tcPr>
                <w:p>
                  <w:pPr>
                    <w:pStyle w:val="39"/>
                    <w:rPr>
                      <w:rFonts w:ascii="Times New Roman" w:hAnsi="Times New Roman" w:eastAsia="宋体" w:cs="Times New Roman"/>
                      <w:color w:val="auto"/>
                      <w:lang w:eastAsia="zh-CN"/>
                    </w:rPr>
                  </w:pPr>
                  <w:r>
                    <w:rPr>
                      <w:rFonts w:ascii="Times New Roman" w:hAnsi="Times New Roman" w:eastAsia="宋体" w:cs="Times New Roman"/>
                      <w:color w:val="auto"/>
                      <w:lang w:eastAsia="zh-CN"/>
                    </w:rPr>
                    <w:t>符合</w:t>
                  </w:r>
                </w:p>
              </w:tc>
            </w:tr>
          </w:tbl>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olor w:val="auto"/>
                <w:sz w:val="21"/>
                <w:szCs w:val="21"/>
                <w:lang w:val="en-US" w:eastAsia="zh-CN"/>
              </w:rPr>
            </w:pPr>
            <w:r>
              <w:rPr>
                <w:rFonts w:hint="eastAsia"/>
                <w:color w:val="auto"/>
                <w:sz w:val="21"/>
                <w:szCs w:val="21"/>
                <w:lang w:val="en-US" w:eastAsia="zh-CN"/>
              </w:rPr>
              <w:t>②项目与《福建省人民政府关于实施“三线一单”生态环境分区管控的通知》符合性分析</w:t>
            </w:r>
          </w:p>
          <w:p>
            <w:pPr>
              <w:pStyle w:val="36"/>
              <w:keepNext w:val="0"/>
              <w:keepLines w:val="0"/>
              <w:pageBreakBefore w:val="0"/>
              <w:widowControl w:val="0"/>
              <w:kinsoku/>
              <w:wordWrap/>
              <w:overflowPunct/>
              <w:topLinePunct w:val="0"/>
              <w:autoSpaceDE w:val="0"/>
              <w:autoSpaceDN w:val="0"/>
              <w:bidi w:val="0"/>
              <w:adjustRightInd w:val="0"/>
              <w:snapToGrid/>
              <w:spacing w:before="157" w:beforeLines="50" w:after="0" w:line="240" w:lineRule="auto"/>
              <w:ind w:right="0"/>
              <w:textAlignment w:val="baseline"/>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表1.6-2 项目与《福建省人民政府关于实施“三线一单”生态环境分区管控的通知》生态环境准入条件清单对照分析</w:t>
            </w:r>
          </w:p>
          <w:tbl>
            <w:tblPr>
              <w:tblStyle w:val="2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0"/>
              <w:gridCol w:w="377"/>
              <w:gridCol w:w="3307"/>
              <w:gridCol w:w="1405"/>
              <w:gridCol w:w="7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9" w:type="pct"/>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rPr>
                      <w:rFonts w:ascii="Times New Roman" w:hAnsi="Times New Roman" w:eastAsia="宋体"/>
                      <w:b/>
                      <w:bCs/>
                      <w:color w:val="auto"/>
                      <w:sz w:val="21"/>
                      <w:szCs w:val="21"/>
                    </w:rPr>
                  </w:pPr>
                  <w:r>
                    <w:rPr>
                      <w:rFonts w:hint="eastAsia" w:ascii="Times New Roman" w:hAnsi="Times New Roman" w:eastAsia="宋体"/>
                      <w:b/>
                      <w:bCs/>
                      <w:color w:val="auto"/>
                      <w:sz w:val="21"/>
                      <w:szCs w:val="21"/>
                    </w:rPr>
                    <w:t>适用范围</w:t>
                  </w:r>
                </w:p>
              </w:tc>
              <w:tc>
                <w:tcPr>
                  <w:tcW w:w="2841" w:type="pct"/>
                  <w:gridSpan w:val="2"/>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rPr>
                      <w:rFonts w:ascii="Times New Roman" w:hAnsi="Times New Roman" w:eastAsia="宋体"/>
                      <w:b/>
                      <w:bCs/>
                      <w:color w:val="auto"/>
                      <w:sz w:val="21"/>
                      <w:szCs w:val="21"/>
                    </w:rPr>
                  </w:pPr>
                  <w:r>
                    <w:rPr>
                      <w:rFonts w:hint="eastAsia" w:ascii="Times New Roman" w:hAnsi="Times New Roman" w:eastAsia="宋体"/>
                      <w:b/>
                      <w:bCs/>
                      <w:color w:val="auto"/>
                      <w:sz w:val="21"/>
                      <w:szCs w:val="21"/>
                    </w:rPr>
                    <w:t>准入要求</w:t>
                  </w:r>
                </w:p>
              </w:tc>
              <w:tc>
                <w:tcPr>
                  <w:tcW w:w="1084" w:type="pct"/>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rPr>
                      <w:rFonts w:ascii="Times New Roman" w:hAnsi="Times New Roman" w:eastAsia="宋体"/>
                      <w:b/>
                      <w:bCs/>
                      <w:color w:val="auto"/>
                      <w:sz w:val="21"/>
                      <w:szCs w:val="21"/>
                    </w:rPr>
                  </w:pPr>
                  <w:r>
                    <w:rPr>
                      <w:rFonts w:hint="eastAsia" w:ascii="Times New Roman" w:hAnsi="Times New Roman" w:eastAsia="宋体"/>
                      <w:b/>
                      <w:bCs/>
                      <w:color w:val="auto"/>
                      <w:sz w:val="21"/>
                      <w:szCs w:val="21"/>
                    </w:rPr>
                    <w:t>本项目情况</w:t>
                  </w:r>
                </w:p>
              </w:tc>
              <w:tc>
                <w:tcPr>
                  <w:tcW w:w="564" w:type="pct"/>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rPr>
                      <w:rFonts w:ascii="Times New Roman" w:hAnsi="Times New Roman" w:eastAsia="宋体"/>
                      <w:b/>
                      <w:bCs/>
                      <w:color w:val="auto"/>
                      <w:sz w:val="21"/>
                      <w:szCs w:val="21"/>
                    </w:rPr>
                  </w:pPr>
                  <w:r>
                    <w:rPr>
                      <w:rFonts w:hint="eastAsia" w:ascii="Times New Roman" w:hAnsi="Times New Roman" w:eastAsia="宋体"/>
                      <w:b/>
                      <w:bCs/>
                      <w:color w:val="auto"/>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9" w:type="pct"/>
                  <w:vMerge w:val="restart"/>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rPr>
                      <w:rFonts w:ascii="Times New Roman" w:hAnsi="Times New Roman" w:eastAsia="宋体"/>
                      <w:color w:val="auto"/>
                      <w:sz w:val="21"/>
                      <w:szCs w:val="21"/>
                    </w:rPr>
                  </w:pPr>
                  <w:r>
                    <w:rPr>
                      <w:rFonts w:hint="eastAsia" w:ascii="Times New Roman" w:hAnsi="Times New Roman" w:eastAsia="宋体"/>
                      <w:color w:val="auto"/>
                      <w:sz w:val="21"/>
                      <w:szCs w:val="21"/>
                    </w:rPr>
                    <w:t>全省陆域</w:t>
                  </w:r>
                </w:p>
              </w:tc>
              <w:tc>
                <w:tcPr>
                  <w:tcW w:w="291" w:type="pct"/>
                  <w:tcBorders>
                    <w:tl2br w:val="nil"/>
                    <w:tr2bl w:val="nil"/>
                  </w:tcBorders>
                  <w:noWrap/>
                  <w:vAlign w:val="center"/>
                </w:tcPr>
                <w:p>
                  <w:pPr>
                    <w:pStyle w:val="39"/>
                    <w:keepNext w:val="0"/>
                    <w:keepLines w:val="0"/>
                    <w:pageBreakBefore w:val="0"/>
                    <w:widowControl w:val="0"/>
                    <w:kinsoku/>
                    <w:wordWrap/>
                    <w:overflowPunct/>
                    <w:topLinePunct w:val="0"/>
                    <w:bidi w:val="0"/>
                    <w:snapToGrid/>
                    <w:ind w:right="0"/>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空间布局约束</w:t>
                  </w:r>
                </w:p>
              </w:tc>
              <w:tc>
                <w:tcPr>
                  <w:tcW w:w="2550" w:type="pct"/>
                  <w:tcBorders>
                    <w:tl2br w:val="nil"/>
                    <w:tr2bl w:val="nil"/>
                  </w:tcBorders>
                  <w:noWrap/>
                  <w:vAlign w:val="center"/>
                </w:tcPr>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1.石化、汽车、船舶、冶金、水泥、制浆造纸、印染等重点产业，要符合全省规划布局要求。</w:t>
                  </w:r>
                </w:p>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2.严控钢铁、水泥、平板玻璃等产能过剩行业新增产能，新增产能应实施产能等量或减量置换。</w:t>
                  </w:r>
                </w:p>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3.除列入国家规划的大型煤电和符合相关要求的等容量替代项目，以及以供热为主的热电联产项目外，原则上不再建设新的煤电项目。</w:t>
                  </w:r>
                </w:p>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4.氟化工产业应集中布</w:t>
                  </w:r>
                  <w:r>
                    <w:rPr>
                      <w:rFonts w:hint="eastAsia" w:ascii="Times New Roman" w:hAnsi="Times New Roman" w:cs="Times New Roman"/>
                      <w:color w:val="auto"/>
                      <w:lang w:val="en-US" w:eastAsia="zh-CN"/>
                    </w:rPr>
                    <w:t>·</w:t>
                  </w:r>
                  <w:r>
                    <w:rPr>
                      <w:rFonts w:hint="eastAsia" w:ascii="Times New Roman" w:hAnsi="Times New Roman" w:eastAsia="宋体" w:cs="Times New Roman"/>
                      <w:color w:val="auto"/>
                      <w:lang w:eastAsia="zh-CN"/>
                    </w:rPr>
                    <w:t>局在《关于促进我省氟化工产业绿色高效发展的若干意见》中确定的园区，在上述园区之外不再新建氟化工项目，园区之外现有氟化工项目不再扩大规模。</w:t>
                  </w:r>
                </w:p>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5.禁止在水环境质量不能稳定达标的区域内，建设新增相应不达标污染物指标排放量的工业项目。</w:t>
                  </w:r>
                </w:p>
              </w:tc>
              <w:tc>
                <w:tcPr>
                  <w:tcW w:w="1084" w:type="pct"/>
                  <w:tcBorders>
                    <w:tl2br w:val="nil"/>
                    <w:tr2bl w:val="nil"/>
                  </w:tcBorders>
                  <w:noWrap/>
                  <w:vAlign w:val="center"/>
                </w:tcPr>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1.项目不属于石化、汽车、船舶、冶金、水泥、制浆造纸、印染等重点产业；</w:t>
                  </w:r>
                </w:p>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2.项目不属于钢铁、水泥、平板玻璃等产能过剩行业新增产能；</w:t>
                  </w:r>
                </w:p>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3.项目不属于煤电项目；</w:t>
                  </w:r>
                </w:p>
                <w:p>
                  <w:pPr>
                    <w:pStyle w:val="39"/>
                    <w:keepNext w:val="0"/>
                    <w:keepLines w:val="0"/>
                    <w:pageBreakBefore w:val="0"/>
                    <w:widowControl w:val="0"/>
                    <w:kinsoku/>
                    <w:wordWrap/>
                    <w:overflowPunct/>
                    <w:topLinePunct w:val="0"/>
                    <w:bidi w:val="0"/>
                    <w:snapToGrid/>
                    <w:ind w:right="0"/>
                    <w:jc w:val="left"/>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4.项目不属于氟化工产业；</w:t>
                  </w:r>
                </w:p>
                <w:p>
                  <w:pPr>
                    <w:pStyle w:val="39"/>
                    <w:keepNext w:val="0"/>
                    <w:keepLines w:val="0"/>
                    <w:pageBreakBefore w:val="0"/>
                    <w:widowControl w:val="0"/>
                    <w:kinsoku/>
                    <w:wordWrap/>
                    <w:overflowPunct/>
                    <w:topLinePunct w:val="0"/>
                    <w:bidi w:val="0"/>
                    <w:snapToGrid/>
                    <w:ind w:right="0"/>
                    <w:jc w:val="left"/>
                    <w:rPr>
                      <w:rFonts w:ascii="Times New Roman" w:hAnsi="Times New Roman" w:eastAsia="宋体"/>
                      <w:color w:val="auto"/>
                      <w:lang w:eastAsia="zh-CN"/>
                    </w:rPr>
                  </w:pPr>
                  <w:r>
                    <w:rPr>
                      <w:rFonts w:hint="eastAsia" w:ascii="Times New Roman" w:hAnsi="Times New Roman" w:eastAsia="宋体" w:cs="Times New Roman"/>
                      <w:color w:val="auto"/>
                      <w:lang w:eastAsia="zh-CN"/>
                    </w:rPr>
                    <w:t>5.项目位于水环境质量稳定达标的区域。</w:t>
                  </w:r>
                </w:p>
              </w:tc>
              <w:tc>
                <w:tcPr>
                  <w:tcW w:w="564" w:type="pct"/>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rPr>
                      <w:rFonts w:ascii="Times New Roman" w:hAnsi="Times New Roman" w:eastAsia="宋体"/>
                      <w:color w:val="auto"/>
                      <w:sz w:val="21"/>
                      <w:szCs w:val="21"/>
                    </w:rPr>
                  </w:pPr>
                  <w:r>
                    <w:rPr>
                      <w:rFonts w:ascii="Times New Roman" w:hAnsi="Times New Roman" w:eastAsia="宋体"/>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9" w:type="pct"/>
                  <w:vMerge w:val="continue"/>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rPr>
                      <w:rFonts w:ascii="Times New Roman" w:hAnsi="Times New Roman" w:eastAsia="宋体"/>
                      <w:color w:val="auto"/>
                      <w:sz w:val="21"/>
                      <w:szCs w:val="21"/>
                    </w:rPr>
                  </w:pPr>
                </w:p>
              </w:tc>
              <w:tc>
                <w:tcPr>
                  <w:tcW w:w="291" w:type="pct"/>
                  <w:tcBorders>
                    <w:tl2br w:val="nil"/>
                    <w:tr2bl w:val="nil"/>
                  </w:tcBorders>
                  <w:noWrap/>
                  <w:vAlign w:val="center"/>
                </w:tcPr>
                <w:p>
                  <w:pPr>
                    <w:pStyle w:val="39"/>
                    <w:keepNext w:val="0"/>
                    <w:keepLines w:val="0"/>
                    <w:pageBreakBefore w:val="0"/>
                    <w:widowControl w:val="0"/>
                    <w:kinsoku/>
                    <w:wordWrap/>
                    <w:overflowPunct/>
                    <w:topLinePunct w:val="0"/>
                    <w:bidi w:val="0"/>
                    <w:snapToGrid/>
                    <w:ind w:right="0"/>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污染物排放管控</w:t>
                  </w:r>
                </w:p>
              </w:tc>
              <w:tc>
                <w:tcPr>
                  <w:tcW w:w="2550" w:type="pct"/>
                  <w:tcBorders>
                    <w:tl2br w:val="nil"/>
                    <w:tr2bl w:val="nil"/>
                  </w:tcBorders>
                  <w:noWrap/>
                  <w:vAlign w:val="center"/>
                </w:tcPr>
                <w:p>
                  <w:pPr>
                    <w:pStyle w:val="39"/>
                    <w:keepNext w:val="0"/>
                    <w:keepLines w:val="0"/>
                    <w:pageBreakBefore w:val="0"/>
                    <w:widowControl w:val="0"/>
                    <w:kinsoku/>
                    <w:wordWrap/>
                    <w:overflowPunct/>
                    <w:topLinePunct w:val="0"/>
                    <w:bidi w:val="0"/>
                    <w:snapToGrid/>
                    <w:ind w:right="0"/>
                    <w:jc w:val="both"/>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1.建设项目新增的主要污染物排放量应按要求实行等量或倍量替代。涉及总磷排放的建设项目应按照要求实行总磷排放量倍量或等量削减替代。涉及重金属重点行业建设项目新增的重点重金属污染物应按要求实行“减量置换”或“等量替换”。涉新增VOCs排放项目，VOCs排放实行区域内等量替代，福州、厦门、漳州、泉州、莆田、宁德等6个重点控制区可实施倍量替代。</w:t>
                  </w:r>
                </w:p>
                <w:p>
                  <w:pPr>
                    <w:pStyle w:val="39"/>
                    <w:keepNext w:val="0"/>
                    <w:keepLines w:val="0"/>
                    <w:pageBreakBefore w:val="0"/>
                    <w:widowControl w:val="0"/>
                    <w:kinsoku/>
                    <w:wordWrap/>
                    <w:overflowPunct/>
                    <w:topLinePunct w:val="0"/>
                    <w:bidi w:val="0"/>
                    <w:snapToGrid/>
                    <w:ind w:right="0"/>
                    <w:jc w:val="both"/>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2.新建水泥、有色金属项目应执行大气污染物特别排放限值，钢铁项目应执行超低排放指标要求，火电项目应达到超低排放限值。</w:t>
                  </w:r>
                </w:p>
                <w:p>
                  <w:pPr>
                    <w:pStyle w:val="39"/>
                    <w:keepNext w:val="0"/>
                    <w:keepLines w:val="0"/>
                    <w:pageBreakBefore w:val="0"/>
                    <w:widowControl w:val="0"/>
                    <w:kinsoku/>
                    <w:wordWrap/>
                    <w:overflowPunct/>
                    <w:topLinePunct w:val="0"/>
                    <w:bidi w:val="0"/>
                    <w:snapToGrid/>
                    <w:ind w:right="0"/>
                    <w:jc w:val="both"/>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3.尾水排入近岸海域汇水区域、“六江两溪”流域以及湖泊、水库等封闭半封闭水域的城镇污水处理设施执行不低于一级A排放标准。</w:t>
                  </w:r>
                </w:p>
              </w:tc>
              <w:tc>
                <w:tcPr>
                  <w:tcW w:w="1084" w:type="pct"/>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jc w:val="left"/>
                    <w:rPr>
                      <w:rFonts w:ascii="Times New Roman" w:hAnsi="Times New Roman" w:eastAsia="宋体"/>
                      <w:color w:val="auto"/>
                      <w:sz w:val="21"/>
                      <w:szCs w:val="21"/>
                    </w:rPr>
                  </w:pPr>
                  <w:r>
                    <w:rPr>
                      <w:rFonts w:hint="eastAsia" w:ascii="Times New Roman" w:hAnsi="Times New Roman" w:eastAsia="宋体"/>
                      <w:color w:val="auto"/>
                      <w:sz w:val="21"/>
                      <w:szCs w:val="21"/>
                    </w:rPr>
                    <w:t>1.本项目</w:t>
                  </w:r>
                  <w:r>
                    <w:rPr>
                      <w:rFonts w:hint="eastAsia" w:ascii="Times New Roman" w:hAnsi="Times New Roman" w:eastAsia="宋体"/>
                      <w:color w:val="auto"/>
                      <w:sz w:val="21"/>
                      <w:szCs w:val="21"/>
                      <w:lang w:eastAsia="zh-CN"/>
                    </w:rPr>
                    <w:t>不</w:t>
                  </w:r>
                  <w:r>
                    <w:rPr>
                      <w:rFonts w:hint="eastAsia" w:ascii="Times New Roman" w:hAnsi="Times New Roman" w:eastAsia="宋体"/>
                      <w:color w:val="auto"/>
                      <w:sz w:val="21"/>
                      <w:szCs w:val="21"/>
                    </w:rPr>
                    <w:t>涉及VOCs的排放，按区域要求申请总量倍量调剂后可符合管控要求；项目不涉及总磷和重金属污染物的排放；</w:t>
                  </w:r>
                </w:p>
                <w:p>
                  <w:pPr>
                    <w:pStyle w:val="36"/>
                    <w:keepNext w:val="0"/>
                    <w:keepLines w:val="0"/>
                    <w:pageBreakBefore w:val="0"/>
                    <w:widowControl w:val="0"/>
                    <w:kinsoku/>
                    <w:wordWrap/>
                    <w:overflowPunct/>
                    <w:topLinePunct w:val="0"/>
                    <w:bidi w:val="0"/>
                    <w:snapToGrid/>
                    <w:spacing w:before="0" w:after="0" w:line="240" w:lineRule="auto"/>
                    <w:ind w:right="0"/>
                    <w:jc w:val="left"/>
                    <w:rPr>
                      <w:rFonts w:ascii="Times New Roman" w:hAnsi="Times New Roman" w:eastAsia="宋体"/>
                      <w:color w:val="auto"/>
                      <w:sz w:val="21"/>
                      <w:szCs w:val="21"/>
                    </w:rPr>
                  </w:pPr>
                  <w:r>
                    <w:rPr>
                      <w:rFonts w:hint="eastAsia" w:ascii="Times New Roman" w:hAnsi="Times New Roman" w:eastAsia="宋体"/>
                      <w:color w:val="auto"/>
                      <w:sz w:val="21"/>
                      <w:szCs w:val="21"/>
                    </w:rPr>
                    <w:t>2.项目不属于新建水泥、有色金属、钢铁、火电项目；</w:t>
                  </w:r>
                </w:p>
                <w:p>
                  <w:pPr>
                    <w:pStyle w:val="36"/>
                    <w:keepNext w:val="0"/>
                    <w:keepLines w:val="0"/>
                    <w:pageBreakBefore w:val="0"/>
                    <w:widowControl w:val="0"/>
                    <w:kinsoku/>
                    <w:wordWrap/>
                    <w:overflowPunct/>
                    <w:topLinePunct w:val="0"/>
                    <w:bidi w:val="0"/>
                    <w:snapToGrid/>
                    <w:spacing w:before="0" w:after="0" w:line="240" w:lineRule="auto"/>
                    <w:ind w:right="0"/>
                    <w:jc w:val="left"/>
                    <w:rPr>
                      <w:rFonts w:ascii="Times New Roman" w:hAnsi="Times New Roman" w:eastAsia="宋体"/>
                      <w:color w:val="auto"/>
                      <w:sz w:val="21"/>
                      <w:szCs w:val="21"/>
                    </w:rPr>
                  </w:pPr>
                  <w:r>
                    <w:rPr>
                      <w:rFonts w:hint="eastAsia" w:ascii="Times New Roman" w:hAnsi="Times New Roman" w:eastAsia="宋体"/>
                      <w:color w:val="auto"/>
                      <w:sz w:val="21"/>
                      <w:szCs w:val="21"/>
                    </w:rPr>
                    <w:t>3.项目不属于城镇污水处理设施。</w:t>
                  </w:r>
                </w:p>
              </w:tc>
              <w:tc>
                <w:tcPr>
                  <w:tcW w:w="564" w:type="pct"/>
                  <w:tcBorders>
                    <w:tl2br w:val="nil"/>
                    <w:tr2bl w:val="nil"/>
                  </w:tcBorders>
                  <w:noWrap/>
                  <w:vAlign w:val="center"/>
                </w:tcPr>
                <w:p>
                  <w:pPr>
                    <w:pStyle w:val="36"/>
                    <w:keepNext w:val="0"/>
                    <w:keepLines w:val="0"/>
                    <w:pageBreakBefore w:val="0"/>
                    <w:widowControl w:val="0"/>
                    <w:kinsoku/>
                    <w:wordWrap/>
                    <w:overflowPunct/>
                    <w:topLinePunct w:val="0"/>
                    <w:bidi w:val="0"/>
                    <w:snapToGrid/>
                    <w:spacing w:before="0" w:after="0" w:line="240" w:lineRule="auto"/>
                    <w:ind w:right="0"/>
                    <w:rPr>
                      <w:rFonts w:ascii="Times New Roman" w:hAnsi="Times New Roman" w:eastAsia="宋体"/>
                      <w:color w:val="auto"/>
                      <w:sz w:val="21"/>
                      <w:szCs w:val="21"/>
                    </w:rPr>
                  </w:pPr>
                  <w:r>
                    <w:rPr>
                      <w:rFonts w:ascii="Times New Roman" w:hAnsi="Times New Roman" w:eastAsia="宋体"/>
                      <w:color w:val="auto"/>
                      <w:sz w:val="21"/>
                      <w:szCs w:val="21"/>
                    </w:rPr>
                    <w:t>符合</w:t>
                  </w:r>
                </w:p>
              </w:tc>
            </w:tr>
          </w:tbl>
          <w:p>
            <w:pPr>
              <w:spacing w:line="360" w:lineRule="auto"/>
              <w:ind w:firstLine="420" w:firstLineChars="200"/>
              <w:textAlignment w:val="baseline"/>
              <w:rPr>
                <w:rFonts w:ascii="Times New Roman" w:hAnsi="Times New Roman" w:eastAsia="宋体"/>
                <w:color w:val="auto"/>
                <w:sz w:val="21"/>
                <w:szCs w:val="21"/>
              </w:rPr>
            </w:pPr>
            <w:r>
              <w:rPr>
                <w:rFonts w:hint="eastAsia" w:ascii="Times New Roman" w:hAnsi="Times New Roman" w:eastAsia="宋体"/>
                <w:color w:val="auto"/>
                <w:sz w:val="21"/>
                <w:szCs w:val="21"/>
              </w:rPr>
              <w:t>综上分析，项目建设符合福建省“三线一单”生态环境分区管控要求。</w:t>
            </w:r>
          </w:p>
          <w:p>
            <w:pPr>
              <w:spacing w:line="360" w:lineRule="auto"/>
              <w:ind w:firstLine="420" w:firstLineChars="200"/>
              <w:rPr>
                <w:color w:val="auto"/>
                <w:sz w:val="21"/>
                <w:szCs w:val="21"/>
              </w:rPr>
            </w:pPr>
            <w:r>
              <w:rPr>
                <w:rFonts w:hint="eastAsia"/>
                <w:color w:val="auto"/>
                <w:sz w:val="21"/>
                <w:szCs w:val="21"/>
                <w:lang w:eastAsia="zh-CN"/>
              </w:rPr>
              <w:t>③</w:t>
            </w:r>
            <w:r>
              <w:rPr>
                <w:color w:val="auto"/>
                <w:sz w:val="21"/>
                <w:szCs w:val="21"/>
              </w:rPr>
              <w:t>与</w:t>
            </w:r>
            <w:r>
              <w:rPr>
                <w:color w:val="auto"/>
                <w:sz w:val="21"/>
                <w:szCs w:val="21"/>
                <w:lang w:val="en-GB"/>
              </w:rPr>
              <w:t>《福州市人民政府关于实施“三线一单”生态分区管控的通知》</w:t>
            </w:r>
            <w:r>
              <w:rPr>
                <w:color w:val="auto"/>
                <w:sz w:val="21"/>
                <w:szCs w:val="21"/>
              </w:rPr>
              <w:t>符合性分析</w:t>
            </w:r>
          </w:p>
          <w:p>
            <w:pPr>
              <w:autoSpaceDE w:val="0"/>
              <w:autoSpaceDN w:val="0"/>
              <w:adjustRightInd w:val="0"/>
              <w:snapToGrid w:val="0"/>
              <w:spacing w:line="360" w:lineRule="auto"/>
              <w:ind w:firstLine="420" w:firstLineChars="200"/>
              <w:rPr>
                <w:color w:val="auto"/>
                <w:sz w:val="21"/>
                <w:szCs w:val="21"/>
              </w:rPr>
            </w:pPr>
            <w:r>
              <w:rPr>
                <w:rFonts w:hint="eastAsia"/>
                <w:color w:val="auto"/>
                <w:sz w:val="21"/>
                <w:szCs w:val="21"/>
                <w:lang w:val="en-US" w:eastAsia="zh-CN"/>
              </w:rPr>
              <w:t>项目</w:t>
            </w:r>
            <w:r>
              <w:rPr>
                <w:rFonts w:hint="default"/>
                <w:color w:val="auto"/>
                <w:sz w:val="21"/>
                <w:szCs w:val="21"/>
                <w:lang w:val="en-US" w:eastAsia="zh-CN"/>
              </w:rPr>
              <w:t>福州市生态环境总体准入要求</w:t>
            </w:r>
            <w:r>
              <w:rPr>
                <w:rFonts w:hint="eastAsia"/>
                <w:color w:val="auto"/>
                <w:sz w:val="21"/>
                <w:szCs w:val="21"/>
                <w:lang w:val="en-US" w:eastAsia="zh-CN"/>
              </w:rPr>
              <w:t>符合性分析</w:t>
            </w:r>
            <w:r>
              <w:rPr>
                <w:color w:val="auto"/>
                <w:sz w:val="21"/>
                <w:szCs w:val="21"/>
              </w:rPr>
              <w:t>具体见表</w:t>
            </w:r>
            <w:r>
              <w:rPr>
                <w:rFonts w:hint="eastAsia"/>
                <w:color w:val="auto"/>
                <w:sz w:val="21"/>
                <w:szCs w:val="21"/>
                <w:lang w:val="en-US" w:eastAsia="zh-CN"/>
              </w:rPr>
              <w:t>1.6-3</w:t>
            </w:r>
            <w:r>
              <w:rPr>
                <w:color w:val="auto"/>
                <w:sz w:val="21"/>
                <w:szCs w:val="21"/>
              </w:rPr>
              <w:t>。</w:t>
            </w:r>
          </w:p>
          <w:p>
            <w:pPr>
              <w:bidi w:val="0"/>
              <w:jc w:val="center"/>
              <w:rPr>
                <w:rFonts w:hint="default"/>
                <w:b/>
                <w:bCs/>
                <w:color w:val="auto"/>
                <w:lang w:val="en-US" w:eastAsia="zh-CN"/>
              </w:rPr>
            </w:pPr>
            <w:r>
              <w:rPr>
                <w:rFonts w:hint="default"/>
                <w:b/>
                <w:bCs/>
                <w:color w:val="auto"/>
                <w:lang w:val="en-US" w:eastAsia="zh-CN"/>
              </w:rPr>
              <w:t>表</w:t>
            </w:r>
            <w:r>
              <w:rPr>
                <w:rFonts w:hint="eastAsia"/>
                <w:b/>
                <w:bCs/>
                <w:color w:val="auto"/>
                <w:lang w:val="en-US" w:eastAsia="zh-CN"/>
              </w:rPr>
              <w:t>1.6-3</w:t>
            </w:r>
            <w:r>
              <w:rPr>
                <w:rFonts w:hint="default"/>
                <w:b/>
                <w:bCs/>
                <w:color w:val="auto"/>
                <w:lang w:val="en-US" w:eastAsia="zh-CN"/>
              </w:rPr>
              <w:t xml:space="preserve"> 与福州市生态环境总体准入要求的符合性分析</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1"/>
              <w:gridCol w:w="684"/>
              <w:gridCol w:w="3294"/>
              <w:gridCol w:w="16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5" w:type="dxa"/>
                  <w:gridSpan w:val="2"/>
                  <w:noWrap w:val="0"/>
                  <w:vAlign w:val="center"/>
                </w:tcPr>
                <w:p>
                  <w:pPr>
                    <w:pStyle w:val="32"/>
                    <w:jc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类别</w:t>
                  </w:r>
                </w:p>
              </w:tc>
              <w:tc>
                <w:tcPr>
                  <w:tcW w:w="3294" w:type="dxa"/>
                  <w:noWrap w:val="0"/>
                  <w:vAlign w:val="center"/>
                </w:tcPr>
                <w:p>
                  <w:pPr>
                    <w:pStyle w:val="32"/>
                    <w:jc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总体管控要求</w:t>
                  </w:r>
                </w:p>
              </w:tc>
              <w:tc>
                <w:tcPr>
                  <w:tcW w:w="1628" w:type="dxa"/>
                  <w:noWrap w:val="0"/>
                  <w:vAlign w:val="center"/>
                </w:tcPr>
                <w:p>
                  <w:pPr>
                    <w:pStyle w:val="32"/>
                    <w:jc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项目</w:t>
                  </w:r>
                </w:p>
                <w:p>
                  <w:pPr>
                    <w:pStyle w:val="32"/>
                    <w:jc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1" w:type="dxa"/>
                  <w:noWrap w:val="0"/>
                  <w:vAlign w:val="center"/>
                </w:tcPr>
                <w:p>
                  <w:pPr>
                    <w:pStyle w:val="32"/>
                    <w:jc w:val="center"/>
                    <w:rPr>
                      <w:rFonts w:hint="eastAsia" w:ascii="Times New Roman" w:hAnsi="Times New Roman" w:eastAsia="新宋体" w:cs="Times New Roman"/>
                      <w:b w:val="0"/>
                      <w:bCs w:val="0"/>
                      <w:color w:val="auto"/>
                      <w:sz w:val="18"/>
                      <w:szCs w:val="18"/>
                      <w:lang w:val="en-US" w:eastAsia="zh-CN"/>
                    </w:rPr>
                  </w:pPr>
                  <w:r>
                    <w:rPr>
                      <w:rFonts w:hint="eastAsia" w:ascii="Times New Roman" w:cs="Times New Roman"/>
                      <w:b w:val="0"/>
                      <w:bCs w:val="0"/>
                      <w:color w:val="auto"/>
                      <w:sz w:val="18"/>
                      <w:szCs w:val="18"/>
                      <w:lang w:val="en-US" w:eastAsia="zh-CN"/>
                    </w:rPr>
                    <w:t>福州</w:t>
                  </w:r>
                </w:p>
              </w:tc>
              <w:tc>
                <w:tcPr>
                  <w:tcW w:w="684" w:type="dxa"/>
                  <w:noWrap w:val="0"/>
                  <w:vAlign w:val="center"/>
                </w:tcPr>
                <w:p>
                  <w:pPr>
                    <w:pStyle w:val="32"/>
                    <w:jc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空间布局约束</w:t>
                  </w:r>
                </w:p>
              </w:tc>
              <w:tc>
                <w:tcPr>
                  <w:tcW w:w="329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eastAsia" w:ascii="Times New Roman" w:hAnsi="Times New Roman" w:eastAsia="新宋体" w:cs="Times New Roman"/>
                      <w:b w:val="0"/>
                      <w:bCs w:val="0"/>
                      <w:color w:val="auto"/>
                      <w:kern w:val="0"/>
                      <w:sz w:val="18"/>
                      <w:szCs w:val="18"/>
                      <w:lang w:val="en-US" w:eastAsia="zh-CN" w:bidi="ar-SA"/>
                    </w:rPr>
                  </w:pPr>
                  <w:r>
                    <w:rPr>
                      <w:rFonts w:hint="eastAsia" w:ascii="Times New Roman" w:hAnsi="Times New Roman" w:eastAsia="新宋体" w:cs="Times New Roman"/>
                      <w:b w:val="0"/>
                      <w:bCs w:val="0"/>
                      <w:color w:val="auto"/>
                      <w:kern w:val="0"/>
                      <w:sz w:val="18"/>
                      <w:szCs w:val="18"/>
                      <w:lang w:val="en-US" w:eastAsia="zh-CN" w:bidi="ar-SA"/>
                    </w:rPr>
                    <w:t>1.福州市石化中上游项目重点在江阴化工新材料专区、连江可门化工新材料产业园布局。</w:t>
                  </w:r>
                </w:p>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eastAsia" w:ascii="Times New Roman" w:hAnsi="Times New Roman" w:eastAsia="新宋体" w:cs="Times New Roman"/>
                      <w:b w:val="0"/>
                      <w:bCs w:val="0"/>
                      <w:color w:val="auto"/>
                      <w:kern w:val="0"/>
                      <w:sz w:val="18"/>
                      <w:szCs w:val="18"/>
                      <w:lang w:val="en-US" w:eastAsia="zh-CN" w:bidi="ar-SA"/>
                    </w:rPr>
                  </w:pPr>
                  <w:r>
                    <w:rPr>
                      <w:rFonts w:hint="eastAsia" w:ascii="Times New Roman" w:hAnsi="Times New Roman" w:eastAsia="新宋体" w:cs="Times New Roman"/>
                      <w:b w:val="0"/>
                      <w:bCs w:val="0"/>
                      <w:color w:val="auto"/>
                      <w:kern w:val="0"/>
                      <w:sz w:val="18"/>
                      <w:szCs w:val="18"/>
                      <w:lang w:val="en-US" w:eastAsia="zh-CN" w:bidi="ar-SA"/>
                    </w:rPr>
                    <w:t>2.鼓楼区内福州高新技术产业开发区洪山片禁止生产型企业的引入；仓山区内福州高新技术产业开发区仓山片不再新增生物医药原料药制造类企业。</w:t>
                  </w:r>
                </w:p>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eastAsia" w:ascii="Times New Roman" w:hAnsi="Times New Roman" w:eastAsia="新宋体" w:cs="Times New Roman"/>
                      <w:b w:val="0"/>
                      <w:bCs w:val="0"/>
                      <w:color w:val="auto"/>
                      <w:kern w:val="0"/>
                      <w:sz w:val="18"/>
                      <w:szCs w:val="18"/>
                      <w:lang w:val="en-US" w:eastAsia="zh-CN" w:bidi="ar-SA"/>
                    </w:rPr>
                  </w:pPr>
                  <w:r>
                    <w:rPr>
                      <w:rFonts w:hint="eastAsia" w:ascii="Times New Roman" w:hAnsi="Times New Roman" w:eastAsia="新宋体" w:cs="Times New Roman"/>
                      <w:b w:val="0"/>
                      <w:bCs w:val="0"/>
                      <w:color w:val="auto"/>
                      <w:kern w:val="0"/>
                      <w:sz w:val="18"/>
                      <w:szCs w:val="18"/>
                      <w:lang w:val="en-US" w:eastAsia="zh-CN" w:bidi="ar-SA"/>
                    </w:rPr>
                    <w:t>3.罗源县内福州台商投资区松山片区禁止引进、建设集中电镀、制浆、医药、农药、酿造等重污染项目；连江县内福州台商投资区大官坂片区不再扩大聚酰胺一体化项目规模。</w:t>
                  </w:r>
                </w:p>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eastAsia" w:ascii="Times New Roman" w:hAnsi="Times New Roman" w:eastAsia="新宋体" w:cs="Times New Roman"/>
                      <w:b w:val="0"/>
                      <w:bCs w:val="0"/>
                      <w:color w:val="auto"/>
                      <w:kern w:val="0"/>
                      <w:sz w:val="18"/>
                      <w:szCs w:val="18"/>
                      <w:lang w:val="en-US" w:eastAsia="zh-CN" w:bidi="ar-SA"/>
                    </w:rPr>
                  </w:pPr>
                  <w:r>
                    <w:rPr>
                      <w:rFonts w:hint="eastAsia" w:ascii="Times New Roman" w:hAnsi="Times New Roman" w:eastAsia="新宋体" w:cs="Times New Roman"/>
                      <w:b w:val="0"/>
                      <w:bCs w:val="0"/>
                      <w:color w:val="auto"/>
                      <w:kern w:val="0"/>
                      <w:sz w:val="18"/>
                      <w:szCs w:val="18"/>
                      <w:lang w:val="en-US" w:eastAsia="zh-CN" w:bidi="ar-SA"/>
                    </w:rPr>
                    <w:t>4.禁止在闽江马尾罗星塔以上流域范围新、扩建制革项目，严控新（扩）建植物制浆、印染、合成革及人造革、电镀项目。</w:t>
                  </w:r>
                </w:p>
                <w:p>
                  <w:pPr>
                    <w:pStyle w:val="32"/>
                    <w:jc w:val="center"/>
                    <w:rPr>
                      <w:rFonts w:hint="default" w:ascii="Times New Roman" w:hAnsi="Times New Roman" w:cs="Times New Roman"/>
                      <w:b w:val="0"/>
                      <w:bCs w:val="0"/>
                      <w:color w:val="auto"/>
                      <w:sz w:val="18"/>
                      <w:szCs w:val="18"/>
                    </w:rPr>
                  </w:pPr>
                  <w:r>
                    <w:rPr>
                      <w:rFonts w:hint="eastAsia" w:ascii="Times New Roman" w:hAnsi="Times New Roman" w:eastAsia="新宋体" w:cs="Times New Roman"/>
                      <w:b w:val="0"/>
                      <w:bCs w:val="0"/>
                      <w:color w:val="auto"/>
                      <w:kern w:val="0"/>
                      <w:sz w:val="18"/>
                      <w:szCs w:val="18"/>
                      <w:lang w:val="en-US" w:eastAsia="zh-CN" w:bidi="ar-SA"/>
                    </w:rPr>
                    <w:t>5.禁止在通风廊道和主导风向的上风向布局大气重污染企业，逐步将大气重污染企业和环境风险企业搬出城市建成区和生态保护红线范围。</w:t>
                  </w:r>
                </w:p>
              </w:tc>
              <w:tc>
                <w:tcPr>
                  <w:tcW w:w="1628" w:type="dxa"/>
                  <w:noWrap w:val="0"/>
                  <w:vAlign w:val="center"/>
                </w:tcPr>
                <w:p>
                  <w:pPr>
                    <w:pStyle w:val="32"/>
                    <w:jc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符合，本项目</w:t>
                  </w:r>
                  <w:r>
                    <w:rPr>
                      <w:rFonts w:hint="default" w:ascii="Times New Roman" w:hAnsi="Times New Roman" w:cs="Times New Roman"/>
                      <w:b w:val="0"/>
                      <w:bCs w:val="0"/>
                      <w:color w:val="auto"/>
                      <w:sz w:val="18"/>
                      <w:szCs w:val="18"/>
                      <w:lang w:val="en-US" w:eastAsia="zh-CN"/>
                    </w:rPr>
                    <w:t>主要从事医疗服务，</w:t>
                  </w:r>
                  <w:r>
                    <w:rPr>
                      <w:rFonts w:hint="default" w:ascii="Times New Roman" w:hAnsi="Times New Roman" w:cs="Times New Roman"/>
                      <w:b w:val="0"/>
                      <w:bCs w:val="0"/>
                      <w:color w:val="auto"/>
                      <w:sz w:val="18"/>
                      <w:szCs w:val="18"/>
                    </w:rPr>
                    <w:t>属于医院服务</w:t>
                  </w:r>
                  <w:r>
                    <w:rPr>
                      <w:rFonts w:hint="eastAsia" w:ascii="Times New Roman" w:cs="Times New Roman"/>
                      <w:b w:val="0"/>
                      <w:bCs w:val="0"/>
                      <w:color w:val="auto"/>
                      <w:sz w:val="18"/>
                      <w:szCs w:val="18"/>
                      <w:lang w:eastAsia="zh-CN"/>
                    </w:rPr>
                    <w:t>。</w:t>
                  </w:r>
                  <w:r>
                    <w:rPr>
                      <w:rFonts w:hint="eastAsia" w:ascii="Times New Roman" w:cs="Times New Roman"/>
                      <w:b w:val="0"/>
                      <w:bCs w:val="0"/>
                      <w:color w:val="auto"/>
                      <w:sz w:val="18"/>
                      <w:szCs w:val="18"/>
                      <w:lang w:val="en-US" w:eastAsia="zh-CN"/>
                    </w:rPr>
                    <w:t>不属于</w:t>
                  </w:r>
                  <w:r>
                    <w:rPr>
                      <w:rFonts w:hint="eastAsia" w:ascii="Times New Roman" w:hAnsi="Times New Roman" w:eastAsia="新宋体" w:cs="Times New Roman"/>
                      <w:b w:val="0"/>
                      <w:bCs w:val="0"/>
                      <w:color w:val="auto"/>
                      <w:kern w:val="0"/>
                      <w:sz w:val="18"/>
                      <w:szCs w:val="18"/>
                      <w:lang w:val="en-US" w:eastAsia="zh-CN" w:bidi="ar-SA"/>
                    </w:rPr>
                    <w:t>大气重污染企业</w:t>
                  </w:r>
                  <w:r>
                    <w:rPr>
                      <w:rFonts w:hint="eastAsia" w:ascii="Times New Roman" w:cs="Times New Roman"/>
                      <w:b w:val="0"/>
                      <w:bCs w:val="0"/>
                      <w:color w:val="auto"/>
                      <w:kern w:val="0"/>
                      <w:sz w:val="18"/>
                      <w:szCs w:val="18"/>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1" w:type="dxa"/>
                  <w:noWrap w:val="0"/>
                  <w:vAlign w:val="center"/>
                </w:tcPr>
                <w:p>
                  <w:pPr>
                    <w:pStyle w:val="32"/>
                    <w:jc w:val="center"/>
                    <w:rPr>
                      <w:rFonts w:hint="default" w:ascii="Times New Roman" w:hAnsi="Times New Roman" w:cs="Times New Roman"/>
                      <w:b w:val="0"/>
                      <w:bCs w:val="0"/>
                      <w:color w:val="auto"/>
                      <w:sz w:val="18"/>
                      <w:szCs w:val="18"/>
                    </w:rPr>
                  </w:pPr>
                  <w:r>
                    <w:rPr>
                      <w:rFonts w:hint="eastAsia" w:ascii="Times New Roman" w:hAnsi="Times New Roman" w:cs="Times New Roman"/>
                      <w:b w:val="0"/>
                      <w:bCs w:val="0"/>
                      <w:color w:val="auto"/>
                      <w:sz w:val="18"/>
                      <w:szCs w:val="18"/>
                    </w:rPr>
                    <w:t>深入推进闽江流域上生态环境综合治理工作方案</w:t>
                  </w:r>
                </w:p>
              </w:tc>
              <w:tc>
                <w:tcPr>
                  <w:tcW w:w="684" w:type="dxa"/>
                  <w:noWrap w:val="0"/>
                  <w:vAlign w:val="center"/>
                </w:tcPr>
                <w:p>
                  <w:pPr>
                    <w:pStyle w:val="32"/>
                    <w:jc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污染物排放管控</w:t>
                  </w:r>
                </w:p>
              </w:tc>
              <w:tc>
                <w:tcPr>
                  <w:tcW w:w="329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eastAsia" w:ascii="Times New Roman" w:hAnsi="Times New Roman" w:eastAsia="新宋体" w:cs="Times New Roman"/>
                      <w:b w:val="0"/>
                      <w:bCs w:val="0"/>
                      <w:color w:val="auto"/>
                      <w:kern w:val="0"/>
                      <w:sz w:val="18"/>
                      <w:szCs w:val="18"/>
                      <w:lang w:val="en-US" w:eastAsia="zh-CN" w:bidi="ar-SA"/>
                    </w:rPr>
                  </w:pPr>
                  <w:r>
                    <w:rPr>
                      <w:rFonts w:hint="eastAsia" w:ascii="Times New Roman" w:hAnsi="Times New Roman" w:eastAsia="新宋体" w:cs="Times New Roman"/>
                      <w:b w:val="0"/>
                      <w:bCs w:val="0"/>
                      <w:color w:val="auto"/>
                      <w:kern w:val="0"/>
                      <w:sz w:val="18"/>
                      <w:szCs w:val="18"/>
                      <w:lang w:val="en-US" w:eastAsia="zh-CN" w:bidi="ar-SA"/>
                    </w:rPr>
                    <w:t>1.建设规划部门划定的县级以上城市建成区及福州市环境总体规划（2013-2030）划定的大气环境二级管控区的大气污染型工业企业（现阶段指排放二氧化硫、氮氧化物的工业企业，但不含使用天然气、液化石油气等作为燃料的非火电锅炉和工业炉窑排放二氧化硫、氮氧化物的工业企业）新增大气污染物排放量，按不低于1.5倍交易。</w:t>
                  </w:r>
                </w:p>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eastAsia" w:ascii="Times New Roman" w:hAnsi="Times New Roman" w:eastAsia="新宋体" w:cs="Times New Roman"/>
                      <w:b w:val="0"/>
                      <w:bCs w:val="0"/>
                      <w:color w:val="auto"/>
                      <w:kern w:val="0"/>
                      <w:sz w:val="18"/>
                      <w:szCs w:val="18"/>
                      <w:lang w:val="en-US" w:eastAsia="zh-CN" w:bidi="ar-SA"/>
                    </w:rPr>
                  </w:pPr>
                  <w:r>
                    <w:rPr>
                      <w:rFonts w:hint="eastAsia" w:ascii="Times New Roman" w:hAnsi="Times New Roman" w:eastAsia="新宋体" w:cs="Times New Roman"/>
                      <w:b w:val="0"/>
                      <w:bCs w:val="0"/>
                      <w:color w:val="auto"/>
                      <w:kern w:val="0"/>
                      <w:sz w:val="18"/>
                      <w:szCs w:val="18"/>
                      <w:lang w:val="en-US" w:eastAsia="zh-CN" w:bidi="ar-SA"/>
                    </w:rPr>
                    <w:t>2.省级（含）以上工业园区外的工业企业新增主要污染物排放量（不含使用天然气、液化石油气等作为燃料的非火电锅炉和工业炉窑的工业企业新增的二氧化硫、氮氧化物排放量），按不低于1.2倍交易。</w:t>
                  </w:r>
                </w:p>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eastAsia" w:ascii="Times New Roman" w:hAnsi="Times New Roman" w:eastAsia="新宋体" w:cs="Times New Roman"/>
                      <w:b w:val="0"/>
                      <w:bCs w:val="0"/>
                      <w:color w:val="auto"/>
                      <w:kern w:val="0"/>
                      <w:sz w:val="18"/>
                      <w:szCs w:val="18"/>
                      <w:lang w:val="en-US" w:eastAsia="zh-CN" w:bidi="ar-SA"/>
                    </w:rPr>
                  </w:pPr>
                  <w:r>
                    <w:rPr>
                      <w:rFonts w:hint="eastAsia" w:ascii="Times New Roman" w:hAnsi="Times New Roman" w:eastAsia="新宋体" w:cs="Times New Roman"/>
                      <w:b w:val="0"/>
                      <w:bCs w:val="0"/>
                      <w:color w:val="auto"/>
                      <w:kern w:val="0"/>
                      <w:sz w:val="18"/>
                      <w:szCs w:val="18"/>
                      <w:lang w:val="en-US" w:eastAsia="zh-CN" w:bidi="ar-SA"/>
                    </w:rPr>
                    <w:t>3.涉新增VOCs排放项目，VOCs排放实行区域内倍量替代。</w:t>
                  </w:r>
                </w:p>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eastAsia" w:ascii="Times New Roman" w:hAnsi="Times New Roman" w:eastAsia="新宋体" w:cs="Times New Roman"/>
                      <w:b w:val="0"/>
                      <w:bCs w:val="0"/>
                      <w:color w:val="auto"/>
                      <w:kern w:val="0"/>
                      <w:sz w:val="18"/>
                      <w:szCs w:val="18"/>
                      <w:lang w:val="en-US" w:eastAsia="zh-CN" w:bidi="ar-SA"/>
                    </w:rPr>
                  </w:pPr>
                  <w:r>
                    <w:rPr>
                      <w:rFonts w:hint="eastAsia" w:ascii="Times New Roman" w:hAnsi="Times New Roman" w:eastAsia="新宋体" w:cs="Times New Roman"/>
                      <w:b w:val="0"/>
                      <w:bCs w:val="0"/>
                      <w:color w:val="auto"/>
                      <w:kern w:val="0"/>
                      <w:sz w:val="18"/>
                      <w:szCs w:val="18"/>
                      <w:lang w:val="en-US" w:eastAsia="zh-CN" w:bidi="ar-SA"/>
                    </w:rPr>
                    <w:t>4.严格控制新建、改建、扩建钢铁、水泥、平板玻璃、有色金属冶炼、化工等工业项目。新建钢铁、火电、水泥、有色项目应当执行大气污染物特别排放限值。重点控制区新建化工、石化及燃煤锅炉项目应当执行大气污染物特别排放限值。</w:t>
                  </w:r>
                </w:p>
                <w:p>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auto"/>
                    <w:outlineLvl w:val="9"/>
                    <w:rPr>
                      <w:rFonts w:hint="default" w:ascii="Times New Roman" w:hAnsi="Times New Roman" w:cs="Times New Roman"/>
                      <w:b w:val="0"/>
                      <w:bCs w:val="0"/>
                      <w:color w:val="auto"/>
                      <w:sz w:val="18"/>
                      <w:szCs w:val="18"/>
                    </w:rPr>
                  </w:pPr>
                  <w:r>
                    <w:rPr>
                      <w:rFonts w:hint="eastAsia" w:ascii="Times New Roman" w:hAnsi="Times New Roman" w:eastAsia="新宋体" w:cs="Times New Roman"/>
                      <w:b w:val="0"/>
                      <w:bCs w:val="0"/>
                      <w:color w:val="auto"/>
                      <w:kern w:val="0"/>
                      <w:sz w:val="18"/>
                      <w:szCs w:val="18"/>
                      <w:lang w:val="en-US" w:eastAsia="zh-CN" w:bidi="ar-SA"/>
                    </w:rPr>
                    <w:t>5.氟化工、印染、电镀等行业企业实行水污染物特别排放限值。</w:t>
                  </w:r>
                </w:p>
              </w:tc>
              <w:tc>
                <w:tcPr>
                  <w:tcW w:w="1628" w:type="dxa"/>
                  <w:noWrap w:val="0"/>
                  <w:vAlign w:val="center"/>
                </w:tcPr>
                <w:p>
                  <w:pPr>
                    <w:pStyle w:val="77"/>
                    <w:bidi w:val="0"/>
                    <w:jc w:val="center"/>
                    <w:rPr>
                      <w:rFonts w:hint="default" w:ascii="Times New Roman" w:hAnsi="Times New Roman" w:eastAsia="宋体" w:cs="Times New Roman"/>
                      <w:b w:val="0"/>
                      <w:bCs w:val="0"/>
                      <w:color w:val="auto"/>
                      <w:sz w:val="18"/>
                      <w:szCs w:val="18"/>
                    </w:rPr>
                  </w:pPr>
                  <w:r>
                    <w:rPr>
                      <w:rFonts w:hint="default" w:ascii="Times New Roman" w:hAnsi="Times New Roman" w:cs="Times New Roman"/>
                      <w:b w:val="0"/>
                      <w:bCs w:val="0"/>
                      <w:color w:val="auto"/>
                      <w:sz w:val="18"/>
                      <w:szCs w:val="18"/>
                    </w:rPr>
                    <w:t>符合，项目</w:t>
                  </w:r>
                  <w:r>
                    <w:rPr>
                      <w:rFonts w:hint="default" w:ascii="Times New Roman" w:hAnsi="Times New Roman" w:cs="Times New Roman"/>
                      <w:b w:val="0"/>
                      <w:bCs w:val="0"/>
                      <w:color w:val="auto"/>
                      <w:sz w:val="18"/>
                      <w:szCs w:val="18"/>
                      <w:lang w:eastAsia="zh-CN"/>
                    </w:rPr>
                    <w:t>不</w:t>
                  </w:r>
                  <w:r>
                    <w:rPr>
                      <w:rFonts w:hint="default" w:ascii="Times New Roman" w:hAnsi="Times New Roman" w:eastAsia="宋体" w:cs="Times New Roman"/>
                      <w:b w:val="0"/>
                      <w:bCs w:val="0"/>
                      <w:color w:val="auto"/>
                      <w:sz w:val="18"/>
                      <w:szCs w:val="18"/>
                    </w:rPr>
                    <w:t>涉及VOC</w:t>
                  </w:r>
                  <w:r>
                    <w:rPr>
                      <w:rFonts w:hint="default" w:ascii="Times New Roman" w:hAnsi="Times New Roman" w:eastAsia="宋体" w:cs="Times New Roman"/>
                      <w:b w:val="0"/>
                      <w:bCs w:val="0"/>
                      <w:color w:val="auto"/>
                      <w:sz w:val="18"/>
                      <w:szCs w:val="18"/>
                      <w:lang w:val="en-US" w:eastAsia="zh-CN"/>
                    </w:rPr>
                    <w:t>s</w:t>
                  </w:r>
                  <w:r>
                    <w:rPr>
                      <w:rFonts w:hint="default" w:ascii="Times New Roman" w:hAnsi="Times New Roman" w:eastAsia="宋体" w:cs="Times New Roman"/>
                      <w:b w:val="0"/>
                      <w:bCs w:val="0"/>
                      <w:color w:val="auto"/>
                      <w:sz w:val="18"/>
                      <w:szCs w:val="18"/>
                    </w:rPr>
                    <w:t>排放。</w:t>
                  </w:r>
                </w:p>
                <w:p>
                  <w:pPr>
                    <w:pStyle w:val="32"/>
                    <w:jc w:val="center"/>
                    <w:rPr>
                      <w:rFonts w:hint="default" w:ascii="Times New Roman" w:hAnsi="Times New Roman" w:cs="Times New Roman"/>
                      <w:b w:val="0"/>
                      <w:bCs w:val="0"/>
                      <w:color w:val="auto"/>
                      <w:sz w:val="18"/>
                      <w:szCs w:val="18"/>
                    </w:rPr>
                  </w:pP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本项目与</w:t>
            </w:r>
            <w:r>
              <w:rPr>
                <w:rFonts w:hint="eastAsia"/>
                <w:color w:val="auto"/>
                <w:lang w:eastAsia="zh-CN"/>
              </w:rPr>
              <w:t>福清市</w:t>
            </w:r>
            <w:r>
              <w:rPr>
                <w:rFonts w:hint="default"/>
                <w:color w:val="auto"/>
              </w:rPr>
              <w:t>生态环境准入清单符合性分析，详见表1.</w:t>
            </w:r>
            <w:r>
              <w:rPr>
                <w:rFonts w:hint="eastAsia"/>
                <w:color w:val="auto"/>
                <w:lang w:val="en-US" w:eastAsia="zh-CN"/>
              </w:rPr>
              <w:t>6</w:t>
            </w:r>
            <w:r>
              <w:rPr>
                <w:rFonts w:hint="default"/>
                <w:color w:val="auto"/>
              </w:rPr>
              <w:t>-</w:t>
            </w:r>
            <w:r>
              <w:rPr>
                <w:rFonts w:hint="eastAsia"/>
                <w:color w:val="auto"/>
                <w:lang w:val="en-US" w:eastAsia="zh-CN"/>
              </w:rPr>
              <w:t>4</w:t>
            </w:r>
            <w:r>
              <w:rPr>
                <w:rFonts w:hint="default"/>
                <w:color w:val="auto"/>
              </w:rPr>
              <w:t>。</w:t>
            </w:r>
          </w:p>
          <w:p>
            <w:pPr>
              <w:bidi w:val="0"/>
              <w:jc w:val="center"/>
              <w:rPr>
                <w:b/>
                <w:bCs/>
                <w:color w:val="auto"/>
              </w:rPr>
            </w:pPr>
            <w:r>
              <w:rPr>
                <w:rFonts w:hint="eastAsia"/>
                <w:b/>
                <w:bCs/>
                <w:color w:val="auto"/>
                <w:lang w:val="en-US" w:eastAsia="zh-CN"/>
              </w:rPr>
              <w:t xml:space="preserve">1.6-4 </w:t>
            </w:r>
            <w:r>
              <w:rPr>
                <w:b/>
                <w:bCs/>
                <w:color w:val="auto"/>
              </w:rPr>
              <w:t>与</w:t>
            </w:r>
            <w:r>
              <w:rPr>
                <w:rFonts w:hint="eastAsia"/>
                <w:b/>
                <w:bCs/>
                <w:color w:val="auto"/>
                <w:lang w:val="en-US" w:eastAsia="zh-CN"/>
              </w:rPr>
              <w:t>福清市</w:t>
            </w:r>
            <w:r>
              <w:rPr>
                <w:b/>
                <w:bCs/>
                <w:color w:val="auto"/>
              </w:rPr>
              <w:t>生态环境准入清单符合性分析</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76"/>
              <w:gridCol w:w="658"/>
              <w:gridCol w:w="536"/>
              <w:gridCol w:w="3764"/>
              <w:gridCol w:w="8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76" w:type="dxa"/>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18"/>
                      <w:szCs w:val="18"/>
                    </w:rPr>
                  </w:pPr>
                  <w:r>
                    <w:rPr>
                      <w:b w:val="0"/>
                      <w:bCs w:val="0"/>
                      <w:color w:val="auto"/>
                      <w:sz w:val="18"/>
                      <w:szCs w:val="18"/>
                    </w:rPr>
                    <w:t>管控单元</w:t>
                  </w:r>
                </w:p>
              </w:tc>
              <w:tc>
                <w:tcPr>
                  <w:tcW w:w="658" w:type="dxa"/>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18"/>
                      <w:szCs w:val="18"/>
                      <w:lang w:val="en-US" w:eastAsia="zh-CN"/>
                    </w:rPr>
                  </w:pPr>
                  <w:r>
                    <w:rPr>
                      <w:rFonts w:hint="eastAsia"/>
                      <w:b w:val="0"/>
                      <w:bCs w:val="0"/>
                      <w:color w:val="auto"/>
                      <w:sz w:val="18"/>
                      <w:szCs w:val="18"/>
                      <w:lang w:val="en-US" w:eastAsia="zh-CN"/>
                    </w:rPr>
                    <w:t>类别</w:t>
                  </w:r>
                </w:p>
              </w:tc>
              <w:tc>
                <w:tcPr>
                  <w:tcW w:w="4300" w:type="dxa"/>
                  <w:gridSpan w:val="2"/>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18"/>
                      <w:szCs w:val="18"/>
                    </w:rPr>
                  </w:pPr>
                  <w:r>
                    <w:rPr>
                      <w:b w:val="0"/>
                      <w:bCs w:val="0"/>
                      <w:color w:val="auto"/>
                      <w:sz w:val="18"/>
                      <w:szCs w:val="18"/>
                    </w:rPr>
                    <w:t>管控要求</w:t>
                  </w:r>
                </w:p>
              </w:tc>
              <w:tc>
                <w:tcPr>
                  <w:tcW w:w="853" w:type="dxa"/>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18"/>
                      <w:szCs w:val="18"/>
                    </w:rPr>
                  </w:pPr>
                  <w:r>
                    <w:rPr>
                      <w:b w:val="0"/>
                      <w:bCs w:val="0"/>
                      <w:color w:val="auto"/>
                      <w:sz w:val="18"/>
                      <w:szCs w:val="18"/>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76"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福清市水土保持生态保护红线</w:t>
                  </w:r>
                </w:p>
              </w:tc>
              <w:tc>
                <w:tcPr>
                  <w:tcW w:w="658"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优先保护单元</w:t>
                  </w:r>
                </w:p>
              </w:tc>
              <w:tc>
                <w:tcPr>
                  <w:tcW w:w="536"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空间布局约束</w:t>
                  </w:r>
                </w:p>
              </w:tc>
              <w:tc>
                <w:tcPr>
                  <w:tcW w:w="3764"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依据《关于在国土空间规划中统筹划定落实三条控制线的指导意见》进行管理，严格禁止开发性、生产性建设活动，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tc>
              <w:tc>
                <w:tcPr>
                  <w:tcW w:w="853"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符合，本项目不涉及生态保护红线。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76"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福清市一般生态空间-水土保持</w:t>
                  </w:r>
                </w:p>
              </w:tc>
              <w:tc>
                <w:tcPr>
                  <w:tcW w:w="658"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优先保护单元</w:t>
                  </w:r>
                </w:p>
              </w:tc>
              <w:tc>
                <w:tcPr>
                  <w:tcW w:w="536"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空间布局约束</w:t>
                  </w:r>
                </w:p>
              </w:tc>
              <w:tc>
                <w:tcPr>
                  <w:tcW w:w="3764"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禁止全坡面开垦、顺坡开垦耕种等开发生产活动，禁止在25度以上陡坡地开垦种植农作物。禁止新建土地资源高消耗产业。禁止在崩塌、滑坡危险区和泥石流易发区从事取土、挖砂、采石、开采零星矿产资源等可能造成水土流失的活动。</w:t>
                  </w:r>
                </w:p>
              </w:tc>
              <w:tc>
                <w:tcPr>
                  <w:tcW w:w="853"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default"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符合，本项目不涉及空间布局约束的相关内容。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76"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福清市重点管控单元1</w:t>
                  </w:r>
                </w:p>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p>
              </w:tc>
              <w:tc>
                <w:tcPr>
                  <w:tcW w:w="658" w:type="dxa"/>
                  <w:vMerge w:val="restart"/>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重点管控单元</w:t>
                  </w:r>
                </w:p>
              </w:tc>
              <w:tc>
                <w:tcPr>
                  <w:tcW w:w="536"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空间布局约束</w:t>
                  </w:r>
                </w:p>
              </w:tc>
              <w:tc>
                <w:tcPr>
                  <w:tcW w:w="3764"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1.严禁在人口聚集区新建涉及化学品和危险废物排放的项目，城市建成区内现有有色金属、印染、原料药制造、化工等污染较重的企业应有序搬迁改造或依法关闭。</w:t>
                  </w:r>
                </w:p>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2.严格控制包装印刷、工业涂装、制鞋等高VOCs排放的项目建设，相关新建项目必须进入工业园区。</w:t>
                  </w:r>
                </w:p>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3.禁止开发利用未经评估和无害化处理的列入建设用地污染地块名录及开发利用负面清单的土地。</w:t>
                  </w:r>
                </w:p>
              </w:tc>
              <w:tc>
                <w:tcPr>
                  <w:tcW w:w="853"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符合，本项目不涉及空间布局约束的相关内容。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76"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福清市重点管控单元2</w:t>
                  </w:r>
                </w:p>
              </w:tc>
              <w:tc>
                <w:tcPr>
                  <w:tcW w:w="658" w:type="dxa"/>
                  <w:vMerge w:val="continue"/>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p>
              </w:tc>
              <w:tc>
                <w:tcPr>
                  <w:tcW w:w="536"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污染物排放管控</w:t>
                  </w:r>
                </w:p>
              </w:tc>
              <w:tc>
                <w:tcPr>
                  <w:tcW w:w="3764"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城市建成区的大气污染型工业企业的新增大气污染物（二氧化硫、氮氧化物）排放量，按不低于1.5倍调剂。</w:t>
                  </w:r>
                </w:p>
              </w:tc>
              <w:tc>
                <w:tcPr>
                  <w:tcW w:w="853"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符合，本项目不涉及污染物排放管控的相关内容。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76"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bookmarkStart w:id="12" w:name="_Toc30614"/>
                  <w:r>
                    <w:rPr>
                      <w:rFonts w:hint="eastAsia" w:ascii="宋体" w:hAnsi="宋体" w:eastAsia="宋体" w:cs="宋体"/>
                      <w:b w:val="0"/>
                      <w:bCs w:val="0"/>
                      <w:color w:val="auto"/>
                      <w:kern w:val="2"/>
                      <w:sz w:val="18"/>
                      <w:szCs w:val="18"/>
                      <w:lang w:val="en-US" w:eastAsia="zh-CN" w:bidi="ar-SA"/>
                    </w:rPr>
                    <w:t>福清市重点管控单元3</w:t>
                  </w:r>
                </w:p>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p>
              </w:tc>
              <w:tc>
                <w:tcPr>
                  <w:tcW w:w="658" w:type="dxa"/>
                  <w:vMerge w:val="continue"/>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p>
              </w:tc>
              <w:tc>
                <w:tcPr>
                  <w:tcW w:w="536"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环境风险防控</w:t>
                  </w:r>
                </w:p>
              </w:tc>
              <w:tc>
                <w:tcPr>
                  <w:tcW w:w="3764"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853"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符合，本项目不涉及环境风险防控的相关内容。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76"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福清市重点管控单元4</w:t>
                  </w:r>
                </w:p>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p>
              </w:tc>
              <w:tc>
                <w:tcPr>
                  <w:tcW w:w="658" w:type="dxa"/>
                  <w:vMerge w:val="continue"/>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p>
              </w:tc>
              <w:tc>
                <w:tcPr>
                  <w:tcW w:w="536"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资源开发效率要求</w:t>
                  </w:r>
                </w:p>
              </w:tc>
              <w:tc>
                <w:tcPr>
                  <w:tcW w:w="3764"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高污染燃料禁燃区内禁止燃用高污染燃料，禁止新建、扩建燃用高污染燃料的设施。已建的燃用高污染燃料设施，限期改用电、天然气、液化石油气等清洁能源。</w:t>
                  </w:r>
                </w:p>
              </w:tc>
              <w:tc>
                <w:tcPr>
                  <w:tcW w:w="853"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符合，本项目不涉及资源开发效率要求的相关内容。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76"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福清市一般管控单元</w:t>
                  </w:r>
                </w:p>
              </w:tc>
              <w:tc>
                <w:tcPr>
                  <w:tcW w:w="658"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一般管控单元</w:t>
                  </w:r>
                </w:p>
              </w:tc>
              <w:tc>
                <w:tcPr>
                  <w:tcW w:w="536" w:type="dxa"/>
                  <w:noWrap w:val="0"/>
                  <w:tcMar>
                    <w:left w:w="57" w:type="dxa"/>
                    <w:right w:w="57" w:type="dxa"/>
                  </w:tcMar>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空间布局约束</w:t>
                  </w:r>
                </w:p>
              </w:tc>
              <w:tc>
                <w:tcPr>
                  <w:tcW w:w="3764" w:type="dxa"/>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1.一般建设项目不得占用永久基本农田，重大建设项目选址确实难以避让永久基本农田的，必须依法依规办理。严禁通过擅自调整县乡国土空间规划，规避占用永久基本农田的审批。</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2.禁止随意砍伐防风固沙林和农田保护林。</w:t>
                  </w:r>
                </w:p>
              </w:tc>
              <w:tc>
                <w:tcPr>
                  <w:tcW w:w="853" w:type="dxa"/>
                  <w:noWrap w:val="0"/>
                  <w:tcMar>
                    <w:left w:w="57" w:type="dxa"/>
                    <w:right w:w="57" w:type="dxa"/>
                  </w:tcMar>
                  <w:vAlign w:val="center"/>
                </w:tcPr>
                <w:p>
                  <w:pPr>
                    <w:pStyle w:val="32"/>
                    <w:keepNext w:val="0"/>
                    <w:keepLines w:val="0"/>
                    <w:pageBreakBefore w:val="0"/>
                    <w:kinsoku/>
                    <w:wordWrap/>
                    <w:overflowPunct/>
                    <w:topLinePunct w:val="0"/>
                    <w:autoSpaceDE/>
                    <w:autoSpaceDN/>
                    <w:bidi w:val="0"/>
                    <w:spacing w:beforeLines="0" w:afterLines="0" w:line="240" w:lineRule="auto"/>
                    <w:ind w:firstLine="0" w:firstLineChars="0"/>
                    <w:jc w:val="center"/>
                    <w:textAlignment w:val="auto"/>
                    <w:rPr>
                      <w:rFonts w:hint="default" w:ascii="宋体" w:hAnsi="宋体" w:eastAsia="宋体" w:cs="宋体"/>
                      <w:b w:val="0"/>
                      <w:bCs w:val="0"/>
                      <w:color w:val="auto"/>
                      <w:kern w:val="2"/>
                      <w:sz w:val="18"/>
                      <w:szCs w:val="18"/>
                      <w:lang w:val="en-US" w:eastAsia="zh-CN" w:bidi="ar-SA"/>
                    </w:rPr>
                  </w:pPr>
                  <w:r>
                    <w:rPr>
                      <w:rFonts w:hint="eastAsia" w:ascii="宋体" w:hAnsi="宋体" w:eastAsia="宋体" w:cs="宋体"/>
                      <w:b w:val="0"/>
                      <w:bCs w:val="0"/>
                      <w:color w:val="auto"/>
                      <w:kern w:val="2"/>
                      <w:sz w:val="18"/>
                      <w:szCs w:val="18"/>
                      <w:lang w:val="en-US" w:eastAsia="zh-CN" w:bidi="ar-SA"/>
                    </w:rPr>
                    <w:t>符合，本项目，未占用永久基本农田，不会随意砍伐防风固沙林和农田保 护林</w:t>
                  </w:r>
                </w:p>
              </w:tc>
            </w:tr>
          </w:tbl>
          <w:p>
            <w:pPr>
              <w:pStyle w:val="3"/>
              <w:numPr>
                <w:ilvl w:val="1"/>
                <w:numId w:val="0"/>
              </w:numPr>
              <w:bidi w:val="0"/>
              <w:ind w:leftChars="0"/>
              <w:rPr>
                <w:rFonts w:hint="eastAsia"/>
                <w:color w:val="auto"/>
                <w:lang w:val="en-US" w:eastAsia="zh-CN"/>
              </w:rPr>
            </w:pPr>
            <w:r>
              <w:rPr>
                <w:rFonts w:hint="eastAsia"/>
                <w:color w:val="auto"/>
                <w:lang w:val="en-US" w:eastAsia="zh-CN"/>
              </w:rPr>
              <w:t>1.7与《医院污水处理工程技术规范》（HJ2029-2013）符合性分析</w:t>
            </w:r>
            <w:bookmarkEnd w:id="12"/>
          </w:p>
          <w:p>
            <w:pPr>
              <w:spacing w:line="360" w:lineRule="auto"/>
              <w:ind w:firstLine="420" w:firstLineChars="200"/>
              <w:rPr>
                <w:color w:val="auto"/>
                <w:sz w:val="21"/>
                <w:szCs w:val="16"/>
              </w:rPr>
            </w:pPr>
            <w:r>
              <w:rPr>
                <w:color w:val="auto"/>
                <w:sz w:val="21"/>
                <w:szCs w:val="16"/>
              </w:rPr>
              <w:t>项目</w:t>
            </w:r>
            <w:r>
              <w:rPr>
                <w:rFonts w:hint="eastAsia"/>
                <w:color w:val="auto"/>
                <w:sz w:val="21"/>
                <w:szCs w:val="16"/>
              </w:rPr>
              <w:t>污水处理站</w:t>
            </w:r>
            <w:r>
              <w:rPr>
                <w:color w:val="auto"/>
                <w:sz w:val="21"/>
                <w:szCs w:val="16"/>
              </w:rPr>
              <w:t>采用地埋式，项目</w:t>
            </w:r>
            <w:r>
              <w:rPr>
                <w:rFonts w:hint="eastAsia"/>
                <w:color w:val="auto"/>
                <w:sz w:val="21"/>
                <w:szCs w:val="16"/>
              </w:rPr>
              <w:t>污水站</w:t>
            </w:r>
            <w:r>
              <w:rPr>
                <w:color w:val="auto"/>
                <w:sz w:val="21"/>
                <w:szCs w:val="16"/>
              </w:rPr>
              <w:t>的</w:t>
            </w:r>
            <w:r>
              <w:rPr>
                <w:rFonts w:hint="eastAsia"/>
                <w:color w:val="auto"/>
                <w:sz w:val="21"/>
                <w:szCs w:val="16"/>
              </w:rPr>
              <w:t>建设</w:t>
            </w:r>
            <w:r>
              <w:rPr>
                <w:color w:val="auto"/>
                <w:sz w:val="21"/>
                <w:szCs w:val="16"/>
              </w:rPr>
              <w:t>与《</w:t>
            </w:r>
            <w:r>
              <w:rPr>
                <w:rFonts w:hint="eastAsia"/>
                <w:color w:val="auto"/>
                <w:sz w:val="21"/>
                <w:szCs w:val="16"/>
              </w:rPr>
              <w:t>医院污水处理工程技术规范</w:t>
            </w:r>
            <w:r>
              <w:rPr>
                <w:color w:val="auto"/>
                <w:sz w:val="21"/>
                <w:szCs w:val="16"/>
              </w:rPr>
              <w:t>》（</w:t>
            </w:r>
            <w:r>
              <w:rPr>
                <w:rFonts w:hint="eastAsia"/>
                <w:color w:val="auto"/>
                <w:sz w:val="21"/>
                <w:szCs w:val="16"/>
              </w:rPr>
              <w:t>HJ2029-2013</w:t>
            </w:r>
            <w:r>
              <w:rPr>
                <w:color w:val="auto"/>
                <w:sz w:val="21"/>
                <w:szCs w:val="16"/>
              </w:rPr>
              <w:t>）相关要求的一致性分析详见</w:t>
            </w:r>
            <w:r>
              <w:rPr>
                <w:color w:val="auto"/>
                <w:sz w:val="21"/>
                <w:szCs w:val="21"/>
              </w:rPr>
              <w:fldChar w:fldCharType="begin"/>
            </w:r>
            <w:r>
              <w:rPr>
                <w:color w:val="auto"/>
                <w:sz w:val="21"/>
                <w:szCs w:val="21"/>
              </w:rPr>
              <w:instrText xml:space="preserve"> REF _Ref471841531 \h  \* MERGEFORMAT </w:instrText>
            </w:r>
            <w:r>
              <w:rPr>
                <w:color w:val="auto"/>
                <w:sz w:val="21"/>
                <w:szCs w:val="21"/>
              </w:rPr>
              <w:fldChar w:fldCharType="separate"/>
            </w:r>
            <w:r>
              <w:rPr>
                <w:color w:val="auto"/>
                <w:sz w:val="21"/>
                <w:szCs w:val="21"/>
              </w:rPr>
              <w:t>表</w:t>
            </w:r>
            <w:r>
              <w:rPr>
                <w:color w:val="auto"/>
                <w:sz w:val="21"/>
                <w:szCs w:val="21"/>
              </w:rPr>
              <w:fldChar w:fldCharType="end"/>
            </w:r>
            <w:r>
              <w:rPr>
                <w:color w:val="auto"/>
                <w:sz w:val="21"/>
                <w:szCs w:val="16"/>
              </w:rPr>
              <w:t>。</w:t>
            </w:r>
          </w:p>
          <w:p>
            <w:pPr>
              <w:bidi w:val="0"/>
              <w:jc w:val="center"/>
              <w:rPr>
                <w:b/>
                <w:bCs/>
                <w:color w:val="auto"/>
                <w:sz w:val="21"/>
                <w:szCs w:val="21"/>
              </w:rPr>
            </w:pPr>
            <w:bookmarkStart w:id="13" w:name="_Ref471841531"/>
            <w:r>
              <w:rPr>
                <w:b/>
                <w:bCs/>
                <w:color w:val="auto"/>
                <w:sz w:val="21"/>
                <w:szCs w:val="21"/>
              </w:rPr>
              <w:t>表</w:t>
            </w:r>
            <w:bookmarkEnd w:id="13"/>
            <w:r>
              <w:rPr>
                <w:rFonts w:hint="eastAsia"/>
                <w:b/>
                <w:bCs/>
                <w:color w:val="auto"/>
                <w:sz w:val="21"/>
                <w:szCs w:val="21"/>
              </w:rPr>
              <w:t>1.</w:t>
            </w:r>
            <w:r>
              <w:rPr>
                <w:rFonts w:hint="eastAsia"/>
                <w:b/>
                <w:bCs/>
                <w:color w:val="auto"/>
                <w:sz w:val="21"/>
                <w:szCs w:val="21"/>
                <w:lang w:val="en-US" w:eastAsia="zh-CN"/>
              </w:rPr>
              <w:t>7</w:t>
            </w:r>
            <w:r>
              <w:rPr>
                <w:rFonts w:hint="eastAsia"/>
                <w:b/>
                <w:bCs/>
                <w:color w:val="auto"/>
                <w:sz w:val="21"/>
                <w:szCs w:val="21"/>
              </w:rPr>
              <w:t>-</w:t>
            </w:r>
            <w:r>
              <w:rPr>
                <w:rFonts w:hint="eastAsia"/>
                <w:b/>
                <w:bCs/>
                <w:color w:val="auto"/>
                <w:sz w:val="21"/>
                <w:szCs w:val="21"/>
                <w:lang w:val="en-US" w:eastAsia="zh-CN"/>
              </w:rPr>
              <w:t>1</w:t>
            </w:r>
            <w:r>
              <w:rPr>
                <w:rFonts w:hint="eastAsia"/>
                <w:b/>
                <w:bCs/>
                <w:color w:val="auto"/>
                <w:sz w:val="21"/>
                <w:szCs w:val="21"/>
              </w:rPr>
              <w:t xml:space="preserve"> 与医院污水处理工程技术规范相符性一览表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90"/>
              <w:gridCol w:w="2265"/>
              <w:gridCol w:w="7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医院污水处理工程技术规范要求</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本项目</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是否相符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新（改、扩）建医院，在设计医院污水处理系统时应考虑将医院病区、非病区、传染病房、非传染病房污水分别收集。</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项目不属于传染病医院，运营过程废水分类收集预处理，再排入污水处理站</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特殊性质污水应单独收集，经预处理后与医院污水合并处理，不得将特殊性质污水随意排入下水道。</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项目检验科废液全部作为医疗废物处置</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医院污水处理工程应采用成熟可靠的技术、工艺和设备。</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项目污水处理工艺为《排污许可证申请与核发技术规范 医疗机构》中推荐的可行性技术</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医院污水处理构筑物应按两组并联设计</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本评价要求污水处理构筑物按两组并联设计</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医院污水处理构筑物应采取防腐蚀、防渗漏、防冻等技术措施，各种构筑物宜加盖密闭，并设通气装置。</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根据设计资料，项目污水处理构筑物拟采取防腐蚀、防渗漏等技术措施，各构筑物加盖密闭，并设废气收集装置。</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医院污水处理过程产生的污泥、废渣的堆放应符合《医疗废物集中处置技术规范》、HJ/T177-2005及HJ/T276-2006的有关规定。渗出液、沥下液应收集并返回调节池。</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项目废水污泥定期清掏，并采用生石灰消毒处理后由有资质单位清运处置，储泥池采取防腐蚀、防渗漏等技术措施</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医院污水处理工程以采用低噪声设备和采取隔音为主的控制措施，辅以消声、隔振、吸音等综合噪声治理措施。医院污水处理工程场界噪声应符合GB3096和GB 12348的规定，建筑物内部设施噪声源控制应符合GBJ87中的有关规定。</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项目污水处理工程采用低噪声设备，并采用消声、隔振、吸音等综合噪声治理措施。厂界噪声可满足GB12348的规定</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应保持医院污水处理工程场界内环境整洁，无污泥杂物遗洒、污水横流等脏乱现象，采取灭蝇、灭蚊、灭鼠措施，做到清洁整齐，文明卫生。</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项目安排专人对医院污水处理站进行管理，维护其场界内环境整洁</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医院污水处理工程应有便利的交通、运输和水电条件，便于污水排放和污泥贮运。</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项目污水处理工程有便利的交通、运输和水电条件</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传染病医院污水处理工程，其生产管理建筑物和生活设施宜集中布置，位置和朝向应力求合理，且应与污水处理构、建筑物严格隔离。</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项目为非传染病医院。</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医院污水处理工程与病房、居民区等建筑物之间应设绿化防护带或隔离带，以减少臭气和噪音对病人或居民的干扰。</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医院污水处理工程与病房、居民区等建筑物之间设有绿化防护带</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特殊性质污水应经预处理后进入医院污水处理系统。</w:t>
                  </w:r>
                </w:p>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传染病医院污水应在预消毒后采用二级处理+消毒工艺或二级处理+深度处理+消毒工艺。</w:t>
                  </w:r>
                </w:p>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非传染病医院污水，若处理出水直接或间接排入地表水体或海域时，应采用二级处理+消毒工艺或二级处理+深度处理+消毒工艺；若处理出水排入终端已建有正常运行的二级污水处理厂的城市污水管网时，可采用一级强化处理+消毒工艺。</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本项目不涉及含汞废水，检验室废液全部作为危险废物处置，医疗污水处理站采取“调节池+好氧池+消毒池”</w:t>
                  </w:r>
                  <w:r>
                    <w:rPr>
                      <w:rFonts w:hint="default" w:ascii="Times New Roman" w:hAnsi="Times New Roman" w:eastAsia="宋体" w:cs="Times New Roman"/>
                      <w:b w:val="0"/>
                      <w:bCs w:val="0"/>
                      <w:color w:val="auto"/>
                      <w:lang w:val="en-US" w:eastAsia="zh-CN"/>
                    </w:rPr>
                    <w:t>工艺</w:t>
                  </w:r>
                  <w:r>
                    <w:rPr>
                      <w:rFonts w:hint="eastAsia" w:ascii="Times New Roman" w:hAnsi="Times New Roman" w:eastAsia="宋体" w:cs="Times New Roman"/>
                      <w:b w:val="0"/>
                      <w:bCs w:val="0"/>
                      <w:color w:val="auto"/>
                      <w:lang w:val="en-US" w:eastAsia="zh-CN"/>
                    </w:rPr>
                    <w:t>，处理后的废水排入</w:t>
                  </w:r>
                  <w:r>
                    <w:rPr>
                      <w:rFonts w:hint="eastAsia" w:ascii="Times New Roman" w:eastAsia="宋体" w:cs="Times New Roman"/>
                      <w:b w:val="0"/>
                      <w:bCs w:val="0"/>
                      <w:color w:val="auto"/>
                      <w:lang w:val="en-US" w:eastAsia="zh-CN"/>
                    </w:rPr>
                    <w:t>福清市融元污水处理厂</w:t>
                  </w:r>
                  <w:r>
                    <w:rPr>
                      <w:rFonts w:hint="eastAsia" w:ascii="Times New Roman" w:hAnsi="Times New Roman" w:eastAsia="宋体" w:cs="Times New Roman"/>
                      <w:b w:val="0"/>
                      <w:bCs w:val="0"/>
                      <w:color w:val="auto"/>
                      <w:lang w:val="en-US" w:eastAsia="zh-CN"/>
                    </w:rPr>
                    <w:t>。</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8"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医院污水处理工程应设应急事故池，以贮存处理系统事故或其它突发事件时医院污水。传染病医院污水处理工程应急事故池容积不小于日排放量的100%，非传染病医院污水处理工程应急事故池容积不小于日排放量的30%。</w:t>
                  </w:r>
                </w:p>
              </w:tc>
              <w:tc>
                <w:tcPr>
                  <w:tcW w:w="2471"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项目为非传染病医院，应急事故池容积为30m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zh-CN" w:eastAsia="zh-CN"/>
                    </w:rPr>
                    <w:t>，</w:t>
                  </w:r>
                  <w:r>
                    <w:rPr>
                      <w:rFonts w:hint="eastAsia" w:ascii="Times New Roman" w:hAnsi="Times New Roman" w:eastAsia="宋体" w:cs="Times New Roman"/>
                      <w:b w:val="0"/>
                      <w:bCs w:val="0"/>
                      <w:color w:val="auto"/>
                      <w:lang w:val="en-US" w:eastAsia="zh-CN"/>
                    </w:rPr>
                    <w:t>满足不小于日排放量的30%的规定。</w:t>
                  </w:r>
                </w:p>
              </w:tc>
              <w:tc>
                <w:tcPr>
                  <w:tcW w:w="799" w:type="dxa"/>
                  <w:noWrap w:val="0"/>
                  <w:vAlign w:val="center"/>
                </w:tcPr>
                <w:p>
                  <w:pPr>
                    <w:pStyle w:val="32"/>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相符</w:t>
                  </w:r>
                </w:p>
              </w:tc>
            </w:tr>
          </w:tbl>
          <w:p>
            <w:pPr>
              <w:bidi w:val="0"/>
              <w:rPr>
                <w:rFonts w:hint="default"/>
                <w:color w:val="auto"/>
                <w:lang w:val="en-US" w:eastAsia="zh-CN"/>
              </w:rPr>
            </w:pPr>
          </w:p>
        </w:tc>
      </w:tr>
    </w:tbl>
    <w:p>
      <w:pPr>
        <w:pStyle w:val="2"/>
        <w:numPr>
          <w:ilvl w:val="0"/>
          <w:numId w:val="3"/>
        </w:numPr>
        <w:bidi w:val="0"/>
        <w:jc w:val="center"/>
        <w:rPr>
          <w:rFonts w:hint="eastAsia" w:eastAsia="宋体"/>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2"/>
        <w:numPr>
          <w:ilvl w:val="0"/>
          <w:numId w:val="3"/>
        </w:numPr>
        <w:bidi w:val="0"/>
        <w:jc w:val="center"/>
        <w:rPr>
          <w:rFonts w:hint="eastAsia" w:eastAsia="宋体"/>
          <w:color w:val="auto"/>
          <w:lang w:val="en-US" w:eastAsia="zh-CN"/>
        </w:rPr>
      </w:pPr>
      <w:bookmarkStart w:id="14" w:name="_Toc32665"/>
      <w:bookmarkStart w:id="15" w:name="_Toc22472"/>
      <w:r>
        <w:rPr>
          <w:rFonts w:hint="default"/>
          <w:color w:val="auto"/>
        </w:rPr>
        <w:t>建设项目工程分析</w:t>
      </w:r>
      <w:bookmarkEnd w:id="4"/>
      <w:bookmarkEnd w:id="14"/>
      <w:bookmarkEnd w:id="15"/>
    </w:p>
    <w:tbl>
      <w:tblPr>
        <w:tblStyle w:val="26"/>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2"/>
        <w:gridCol w:w="77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trPr>
        <w:tc>
          <w:tcPr>
            <w:tcW w:w="458" w:type="pct"/>
            <w:noWrap w:val="0"/>
            <w:vAlign w:val="center"/>
          </w:tcPr>
          <w:p>
            <w:pPr>
              <w:pStyle w:val="24"/>
              <w:adjustRightInd w:val="0"/>
              <w:snapToGrid w:val="0"/>
              <w:spacing w:before="0" w:beforeAutospacing="0" w:after="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4"/>
                <w:szCs w:val="24"/>
              </w:rPr>
              <w:t>建设内容</w:t>
            </w:r>
          </w:p>
        </w:tc>
        <w:tc>
          <w:tcPr>
            <w:tcW w:w="4541" w:type="pct"/>
            <w:noWrap w:val="0"/>
            <w:vAlign w:val="top"/>
          </w:tcPr>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lang w:val="en-US" w:eastAsia="zh-CN"/>
              </w:rPr>
            </w:pPr>
            <w:bookmarkStart w:id="16" w:name="_Toc10982"/>
            <w:bookmarkStart w:id="17" w:name="_Toc28055"/>
            <w:r>
              <w:rPr>
                <w:rFonts w:hint="default" w:ascii="Times New Roman" w:hAnsi="Times New Roman" w:eastAsia="宋体" w:cs="Times New Roman"/>
                <w:b/>
                <w:bCs/>
                <w:color w:val="auto"/>
                <w:sz w:val="28"/>
                <w:szCs w:val="28"/>
                <w:lang w:val="en-US" w:eastAsia="zh-CN"/>
              </w:rPr>
              <w:t>2.1 项目由来</w:t>
            </w:r>
            <w:bookmarkEnd w:id="16"/>
            <w:bookmarkEnd w:id="17"/>
          </w:p>
          <w:p>
            <w:pPr>
              <w:widowControl/>
              <w:ind w:firstLine="480"/>
              <w:jc w:val="left"/>
              <w:rPr>
                <w:color w:val="auto"/>
                <w:kern w:val="0"/>
                <w:lang w:bidi="ar"/>
              </w:rPr>
            </w:pPr>
            <w:r>
              <w:rPr>
                <w:color w:val="auto"/>
                <w:kern w:val="0"/>
                <w:lang w:bidi="ar"/>
              </w:rPr>
              <w:t>精神卫生是影响经济社会发展的重大的公共卫生问题，是重要的民生问题，现阶段还是较为严重的社会问题，与人民群众的健康福祉息息相关，与经济社会发展紧密相连。加强精神卫生工作，是深化医药卫生体制改革、维护和增进人民群众身心健康的重要内容。</w:t>
            </w:r>
          </w:p>
          <w:p>
            <w:pPr>
              <w:ind w:firstLine="480"/>
              <w:rPr>
                <w:rFonts w:hint="eastAsia"/>
                <w:color w:val="auto"/>
                <w:kern w:val="0"/>
                <w:lang w:val="en-US" w:eastAsia="zh-CN" w:bidi="ar"/>
              </w:rPr>
            </w:pPr>
            <w:r>
              <w:rPr>
                <w:rFonts w:hint="default"/>
                <w:color w:val="auto"/>
                <w:kern w:val="0"/>
                <w:lang w:val="zh-CN" w:bidi="ar"/>
              </w:rPr>
              <w:t>福清市健安医疗服务有限公司</w:t>
            </w:r>
            <w:r>
              <w:rPr>
                <w:rFonts w:hint="eastAsia"/>
                <w:color w:val="auto"/>
                <w:kern w:val="0"/>
                <w:lang w:val="zh-CN" w:bidi="ar"/>
              </w:rPr>
              <w:t>成立于2020</w:t>
            </w:r>
            <w:r>
              <w:rPr>
                <w:rFonts w:hint="eastAsia"/>
                <w:color w:val="auto"/>
                <w:kern w:val="0"/>
                <w:lang w:val="zh-CN" w:eastAsia="zh-CN" w:bidi="ar"/>
              </w:rPr>
              <w:t>年</w:t>
            </w:r>
            <w:r>
              <w:rPr>
                <w:rFonts w:hint="eastAsia"/>
                <w:color w:val="auto"/>
                <w:kern w:val="0"/>
                <w:lang w:val="zh-CN" w:bidi="ar"/>
              </w:rPr>
              <w:t>06</w:t>
            </w:r>
            <w:r>
              <w:rPr>
                <w:rFonts w:hint="eastAsia"/>
                <w:color w:val="auto"/>
                <w:kern w:val="0"/>
                <w:lang w:val="zh-CN" w:eastAsia="zh-CN" w:bidi="ar"/>
              </w:rPr>
              <w:t>月</w:t>
            </w:r>
            <w:r>
              <w:rPr>
                <w:rFonts w:hint="eastAsia"/>
                <w:color w:val="auto"/>
                <w:kern w:val="0"/>
                <w:lang w:val="zh-CN" w:bidi="ar"/>
              </w:rPr>
              <w:t>05</w:t>
            </w:r>
            <w:r>
              <w:rPr>
                <w:rFonts w:hint="eastAsia"/>
                <w:color w:val="auto"/>
                <w:kern w:val="0"/>
                <w:lang w:val="zh-CN" w:eastAsia="zh-CN" w:bidi="ar"/>
              </w:rPr>
              <w:t>日</w:t>
            </w:r>
            <w:r>
              <w:rPr>
                <w:rFonts w:hint="eastAsia"/>
                <w:color w:val="auto"/>
                <w:kern w:val="0"/>
                <w:lang w:val="en-US" w:eastAsia="zh-CN" w:bidi="ar"/>
              </w:rPr>
              <w:t>（营业执照见附件2，法人</w:t>
            </w:r>
            <w:r>
              <w:rPr>
                <w:rFonts w:hint="default"/>
                <w:color w:val="auto"/>
                <w:kern w:val="0"/>
                <w:lang w:val="en-US" w:eastAsia="zh-CN" w:bidi="ar"/>
              </w:rPr>
              <w:t>身份证见附件</w:t>
            </w:r>
            <w:r>
              <w:rPr>
                <w:rFonts w:hint="eastAsia"/>
                <w:color w:val="auto"/>
                <w:kern w:val="0"/>
                <w:lang w:val="en-US" w:eastAsia="zh-CN" w:bidi="ar"/>
              </w:rPr>
              <w:t>4）</w:t>
            </w:r>
            <w:r>
              <w:rPr>
                <w:rFonts w:hint="eastAsia"/>
                <w:color w:val="auto"/>
                <w:kern w:val="0"/>
                <w:lang w:val="zh-CN" w:eastAsia="zh-CN" w:bidi="ar"/>
              </w:rPr>
              <w:t>，</w:t>
            </w:r>
            <w:r>
              <w:rPr>
                <w:rFonts w:hint="eastAsia"/>
                <w:color w:val="auto"/>
                <w:kern w:val="0"/>
                <w:lang w:val="en-US" w:eastAsia="zh-CN" w:bidi="ar"/>
              </w:rPr>
              <w:t>租赁福清巨盛制衣有限公司厂房，面积</w:t>
            </w:r>
            <w:r>
              <w:rPr>
                <w:rFonts w:hint="default"/>
                <w:color w:val="auto"/>
                <w:kern w:val="0"/>
                <w:lang w:val="en-US" w:eastAsia="zh-CN" w:bidi="ar"/>
              </w:rPr>
              <w:t>15007</w:t>
            </w:r>
            <w:r>
              <w:rPr>
                <w:rFonts w:hint="eastAsia"/>
                <w:color w:val="auto"/>
                <w:kern w:val="0"/>
                <w:lang w:val="en-US" w:eastAsia="zh-CN" w:bidi="ar"/>
              </w:rPr>
              <w:t>平方米并进行改造。</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sz w:val="21"/>
                <w:szCs w:val="21"/>
                <w:lang w:val="en-US" w:eastAsia="zh-CN"/>
              </w:rPr>
            </w:pPr>
            <w:r>
              <w:rPr>
                <w:rFonts w:hint="eastAsia"/>
                <w:color w:val="auto"/>
                <w:kern w:val="0"/>
                <w:lang w:val="en-US" w:eastAsia="zh-CN" w:bidi="ar"/>
              </w:rPr>
              <w:t>根据福清市自然资源和规划局关于福清市健安医疗服务有限公司临时调整建筑使用功能的函（融自然函（2024）285 号），同意按照《实施意见》精神，将福清巨盛制衣有限公司位于福清市龙江街道的空置厂房建筑使用功能临时调整为医疗用房，临时调整年限不超过5年。本项目将仅在该厂房被允许临时调整为医疗用房的期限内进行建设和运营。五年期满后，建设单位将根据当时的相关政策、法规及市场需求，重新评估并决定是否继续租赁该厂房或寻找其他合适的场地进行医院建设。因此本环评也是针对这五年的建设和运营期进行的。</w:t>
            </w:r>
          </w:p>
          <w:p>
            <w:pPr>
              <w:ind w:firstLine="480"/>
              <w:rPr>
                <w:color w:val="auto"/>
                <w:lang w:val="zh-CN"/>
              </w:rPr>
            </w:pPr>
            <w:r>
              <w:rPr>
                <w:rFonts w:hint="default"/>
                <w:color w:val="auto"/>
                <w:kern w:val="0"/>
                <w:lang w:val="en-US" w:eastAsia="zh-CN" w:bidi="ar"/>
              </w:rPr>
              <w:t>该项目于</w:t>
            </w:r>
            <w:r>
              <w:rPr>
                <w:rFonts w:hint="eastAsia"/>
                <w:color w:val="auto"/>
                <w:kern w:val="0"/>
                <w:lang w:val="en-US" w:eastAsia="zh-CN" w:bidi="ar"/>
              </w:rPr>
              <w:t>2024年08月27日</w:t>
            </w:r>
            <w:r>
              <w:rPr>
                <w:rFonts w:hint="default"/>
                <w:color w:val="auto"/>
                <w:kern w:val="0"/>
                <w:lang w:val="en-US" w:eastAsia="zh-CN" w:bidi="ar"/>
              </w:rPr>
              <w:t>通过了</w:t>
            </w:r>
            <w:r>
              <w:rPr>
                <w:rFonts w:hint="eastAsia"/>
                <w:color w:val="auto"/>
                <w:kern w:val="0"/>
                <w:lang w:val="en-US" w:eastAsia="zh-CN" w:bidi="ar"/>
              </w:rPr>
              <w:t>福清市发展和改革局</w:t>
            </w:r>
            <w:r>
              <w:rPr>
                <w:rFonts w:hint="default"/>
                <w:color w:val="auto"/>
                <w:kern w:val="0"/>
                <w:lang w:val="en-US" w:eastAsia="zh-CN" w:bidi="ar"/>
              </w:rPr>
              <w:t>的备案(</w:t>
            </w:r>
            <w:r>
              <w:rPr>
                <w:rFonts w:hint="default"/>
                <w:color w:val="auto"/>
                <w:kern w:val="0"/>
                <w:lang w:val="zh-CN" w:bidi="ar"/>
              </w:rPr>
              <w:t>闽发改备[2024]A060105号</w:t>
            </w:r>
            <w:r>
              <w:rPr>
                <w:rFonts w:hint="default"/>
                <w:color w:val="auto"/>
                <w:kern w:val="0"/>
                <w:lang w:val="en-US" w:eastAsia="zh-CN" w:bidi="ar"/>
              </w:rPr>
              <w:t>，详见附件</w:t>
            </w:r>
            <w:r>
              <w:rPr>
                <w:rFonts w:hint="eastAsia"/>
                <w:color w:val="auto"/>
                <w:kern w:val="0"/>
                <w:lang w:val="en-US" w:eastAsia="zh-CN" w:bidi="ar"/>
              </w:rPr>
              <w:t>5</w:t>
            </w:r>
            <w:r>
              <w:rPr>
                <w:rFonts w:hint="default"/>
                <w:color w:val="auto"/>
                <w:kern w:val="0"/>
                <w:lang w:val="en-US" w:eastAsia="zh-CN" w:bidi="ar"/>
              </w:rPr>
              <w:t>)。</w:t>
            </w:r>
            <w:r>
              <w:rPr>
                <w:rFonts w:hint="eastAsia"/>
                <w:color w:val="auto"/>
                <w:kern w:val="0"/>
                <w:lang w:val="en-US" w:eastAsia="zh-CN" w:bidi="ar"/>
              </w:rPr>
              <w:t>项目设计精神科、康复科等科室，购置大型医疗设备，经颅磁治疗仪等相关附属设备，设置床位</w:t>
            </w:r>
            <w:r>
              <w:rPr>
                <w:rFonts w:hint="default"/>
                <w:color w:val="auto"/>
                <w:kern w:val="0"/>
                <w:lang w:val="en-US" w:eastAsia="zh-CN" w:bidi="ar"/>
              </w:rPr>
              <w:t>99</w:t>
            </w:r>
            <w:r>
              <w:rPr>
                <w:rFonts w:hint="eastAsia"/>
                <w:color w:val="auto"/>
                <w:kern w:val="0"/>
                <w:lang w:val="en-US" w:eastAsia="zh-CN" w:bidi="ar"/>
              </w:rPr>
              <w:t>张，主要建筑物面积</w:t>
            </w:r>
            <w:r>
              <w:rPr>
                <w:rFonts w:hint="default"/>
                <w:color w:val="auto"/>
                <w:kern w:val="0"/>
                <w:lang w:val="en-US" w:eastAsia="zh-CN" w:bidi="ar"/>
              </w:rPr>
              <w:t>15007</w:t>
            </w:r>
            <w:r>
              <w:rPr>
                <w:rFonts w:hint="eastAsia"/>
                <w:color w:val="auto"/>
                <w:kern w:val="0"/>
                <w:lang w:val="en-US" w:eastAsia="zh-CN" w:bidi="ar"/>
              </w:rPr>
              <w:t>平方米。</w:t>
            </w:r>
            <w:r>
              <w:rPr>
                <w:rFonts w:hint="eastAsia"/>
                <w:color w:val="auto"/>
                <w:kern w:val="0"/>
                <w:lang w:val="zh-CN" w:bidi="ar"/>
              </w:rPr>
              <w:t>配</w:t>
            </w:r>
            <w:r>
              <w:rPr>
                <w:color w:val="auto"/>
                <w:lang w:val="zh-CN"/>
              </w:rPr>
              <w:t>备员工</w:t>
            </w:r>
            <w:r>
              <w:rPr>
                <w:rFonts w:hint="eastAsia"/>
                <w:color w:val="auto"/>
                <w:lang w:val="en-US" w:eastAsia="zh-CN"/>
              </w:rPr>
              <w:t>100</w:t>
            </w:r>
            <w:r>
              <w:rPr>
                <w:color w:val="auto"/>
                <w:lang w:val="zh-CN"/>
              </w:rPr>
              <w:t>人，设有精神科、康复科等科室。</w:t>
            </w:r>
          </w:p>
          <w:p>
            <w:pPr>
              <w:pStyle w:val="10"/>
              <w:keepNext w:val="0"/>
              <w:keepLines w:val="0"/>
              <w:pageBreakBefore w:val="0"/>
              <w:widowControl w:val="0"/>
              <w:kinsoku/>
              <w:wordWrap/>
              <w:overflowPunct/>
              <w:topLinePunct w:val="0"/>
              <w:autoSpaceDE/>
              <w:autoSpaceDN/>
              <w:bidi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sz w:val="24"/>
                <w:szCs w:val="24"/>
                <w:highlight w:val="none"/>
              </w:rPr>
              <w:t>根据《中华人民共和国环境保护法》(2015年)、《中华人民共和国环境影响评价法》(201</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修正</w:t>
            </w:r>
            <w:r>
              <w:rPr>
                <w:rFonts w:hint="default" w:ascii="Times New Roman" w:hAnsi="Times New Roman" w:eastAsia="宋体" w:cs="Times New Roman"/>
                <w:color w:val="auto"/>
                <w:sz w:val="24"/>
                <w:szCs w:val="24"/>
                <w:highlight w:val="none"/>
              </w:rPr>
              <w:t>)、《建设项目环境保护管理条例》(2017年)的相关规定，</w:t>
            </w:r>
            <w:r>
              <w:rPr>
                <w:rFonts w:hint="default" w:ascii="Times New Roman" w:hAnsi="Times New Roman" w:eastAsia="宋体" w:cs="Times New Roman"/>
                <w:color w:val="auto"/>
                <w:sz w:val="24"/>
                <w:szCs w:val="24"/>
                <w:highlight w:val="none"/>
                <w:lang w:eastAsia="zh-CN"/>
              </w:rPr>
              <w:t>项目需要办理环境影响评价手续；根据</w:t>
            </w:r>
            <w:r>
              <w:rPr>
                <w:rFonts w:hint="default" w:ascii="Times New Roman" w:hAnsi="Times New Roman" w:eastAsia="宋体" w:cs="Times New Roman"/>
                <w:color w:val="auto"/>
                <w:sz w:val="24"/>
                <w:szCs w:val="24"/>
                <w:highlight w:val="none"/>
              </w:rPr>
              <w:t>《建设项目环境影响评价分类管理名录》(20</w:t>
            </w:r>
            <w:r>
              <w:rPr>
                <w:rFonts w:hint="default" w:ascii="Times New Roman" w:hAnsi="Times New Roman" w:eastAsia="宋体" w:cs="Times New Roman"/>
                <w:color w:val="auto"/>
                <w:sz w:val="24"/>
                <w:szCs w:val="24"/>
                <w:highlight w:val="none"/>
                <w:lang w:val="en-US" w:eastAsia="zh-CN"/>
              </w:rPr>
              <w:t>21年</w:t>
            </w:r>
            <w:r>
              <w:rPr>
                <w:rFonts w:hint="default" w:ascii="Times New Roman" w:hAnsi="Times New Roman" w:eastAsia="宋体" w:cs="Times New Roman"/>
                <w:color w:val="auto"/>
                <w:sz w:val="24"/>
                <w:szCs w:val="24"/>
                <w:highlight w:val="none"/>
                <w:lang w:eastAsia="zh-CN"/>
              </w:rPr>
              <w:t>版</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规定，</w:t>
            </w:r>
            <w:r>
              <w:rPr>
                <w:rFonts w:hint="default" w:ascii="Times New Roman" w:hAnsi="Times New Roman" w:eastAsia="宋体" w:cs="Times New Roman"/>
                <w:color w:val="auto"/>
                <w:sz w:val="24"/>
                <w:szCs w:val="24"/>
                <w:highlight w:val="none"/>
              </w:rPr>
              <w:t>本项目环评类别为报告表，详见表2</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为此，建设单位</w:t>
            </w:r>
            <w:r>
              <w:rPr>
                <w:rFonts w:hint="default" w:ascii="Times New Roman" w:hAnsi="Times New Roman" w:eastAsia="宋体" w:cs="Times New Roman"/>
                <w:color w:val="auto"/>
                <w:sz w:val="24"/>
                <w:szCs w:val="24"/>
                <w:highlight w:val="none"/>
              </w:rPr>
              <w:t>委托</w:t>
            </w:r>
            <w:r>
              <w:rPr>
                <w:rFonts w:hint="eastAsia" w:ascii="Times New Roman" w:hAnsi="Times New Roman" w:eastAsia="宋体" w:cs="Times New Roman"/>
                <w:color w:val="auto"/>
                <w:sz w:val="24"/>
                <w:szCs w:val="24"/>
                <w:highlight w:val="none"/>
                <w:lang w:eastAsia="zh-CN"/>
              </w:rPr>
              <w:t>我司</w:t>
            </w:r>
            <w:r>
              <w:rPr>
                <w:rFonts w:hint="default" w:ascii="Times New Roman" w:hAnsi="Times New Roman" w:eastAsia="宋体" w:cs="Times New Roman"/>
                <w:color w:val="auto"/>
                <w:sz w:val="24"/>
                <w:szCs w:val="24"/>
                <w:highlight w:val="none"/>
              </w:rPr>
              <w:t>编制该项目的环境影响报告表(委托书详见附件</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)。本环评单位接受委托后，立即派技术人员踏勘现场和收集有关资料，</w:t>
            </w:r>
            <w:r>
              <w:rPr>
                <w:rFonts w:hint="default" w:ascii="Times New Roman" w:hAnsi="Times New Roman" w:eastAsia="宋体" w:cs="Times New Roman"/>
                <w:color w:val="auto"/>
                <w:sz w:val="24"/>
                <w:szCs w:val="24"/>
              </w:rPr>
              <w:t>按照</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建设项目环境影响报告表编制技术指南</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rPr>
              <w:t>污染影响类</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rPr>
              <w:t>试行</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及相关技术规范要求，</w:t>
            </w:r>
            <w:r>
              <w:rPr>
                <w:rFonts w:hint="default" w:ascii="Times New Roman" w:hAnsi="Times New Roman" w:eastAsia="宋体" w:cs="Times New Roman"/>
                <w:color w:val="auto"/>
                <w:kern w:val="0"/>
                <w:sz w:val="24"/>
                <w:szCs w:val="24"/>
                <w:highlight w:val="none"/>
              </w:rPr>
              <w:t>编制了本环境影响报告表，供建设单位上报</w:t>
            </w:r>
            <w:r>
              <w:rPr>
                <w:rFonts w:hint="default" w:ascii="Times New Roman" w:hAnsi="Times New Roman" w:eastAsia="宋体" w:cs="Times New Roman"/>
                <w:color w:val="auto"/>
                <w:kern w:val="0"/>
                <w:sz w:val="24"/>
                <w:szCs w:val="24"/>
                <w:highlight w:val="none"/>
                <w:lang w:eastAsia="zh-CN"/>
              </w:rPr>
              <w:t>生态环境行政主管部门</w:t>
            </w:r>
            <w:r>
              <w:rPr>
                <w:rFonts w:hint="default" w:ascii="Times New Roman" w:hAnsi="Times New Roman" w:eastAsia="宋体" w:cs="Times New Roman"/>
                <w:color w:val="auto"/>
                <w:kern w:val="0"/>
                <w:sz w:val="24"/>
                <w:szCs w:val="24"/>
                <w:highlight w:val="none"/>
              </w:rPr>
              <w:t>审批。</w:t>
            </w:r>
          </w:p>
          <w:p>
            <w:pPr>
              <w:bidi w:val="0"/>
              <w:jc w:val="center"/>
              <w:rPr>
                <w:b/>
                <w:bCs/>
                <w:color w:val="auto"/>
              </w:rPr>
            </w:pPr>
            <w:r>
              <w:rPr>
                <w:b/>
                <w:bCs/>
                <w:color w:val="auto"/>
              </w:rPr>
              <w:t>表2</w:t>
            </w:r>
            <w:r>
              <w:rPr>
                <w:rFonts w:hint="eastAsia"/>
                <w:b/>
                <w:bCs/>
                <w:color w:val="auto"/>
                <w:lang w:val="en-US" w:eastAsia="zh-CN"/>
              </w:rPr>
              <w:t>.1</w:t>
            </w:r>
            <w:r>
              <w:rPr>
                <w:b/>
                <w:bCs/>
                <w:color w:val="auto"/>
              </w:rPr>
              <w:t>-1  建设项目环境影响评价分类管理名录(摘录)</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
              <w:gridCol w:w="3172"/>
              <w:gridCol w:w="1022"/>
              <w:gridCol w:w="1602"/>
              <w:gridCol w:w="12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19" w:type="pct"/>
                  <w:gridSpan w:val="2"/>
                  <w:tcBorders>
                    <w:tl2br w:val="single" w:color="auto" w:sz="6" w:space="0"/>
                  </w:tcBorders>
                  <w:shd w:val="clear" w:color="auto" w:fill="auto"/>
                  <w:noWrap w:val="0"/>
                  <w:vAlign w:val="top"/>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      </w:t>
                  </w:r>
                  <w:r>
                    <w:rPr>
                      <w:rFonts w:hint="default" w:ascii="Times New Roman" w:hAnsi="Times New Roman" w:eastAsia="宋体" w:cs="Times New Roman"/>
                      <w:color w:val="auto"/>
                      <w:kern w:val="2"/>
                      <w:sz w:val="21"/>
                      <w:szCs w:val="21"/>
                      <w:lang w:val="en-US" w:eastAsia="zh-CN" w:bidi="ar-SA"/>
                    </w:rPr>
                    <w:t>环评类别</w:t>
                  </w:r>
                </w:p>
                <w:p>
                  <w:pPr>
                    <w:keepNext w:val="0"/>
                    <w:keepLines w:val="0"/>
                    <w:pageBreakBefore w:val="0"/>
                    <w:widowControl w:val="0"/>
                    <w:kinsoku/>
                    <w:wordWrap/>
                    <w:overflowPunct/>
                    <w:topLinePunct w:val="0"/>
                    <w:autoSpaceDE/>
                    <w:autoSpaceDN/>
                    <w:bidi w:val="0"/>
                    <w:spacing w:line="240" w:lineRule="auto"/>
                    <w:ind w:firstLine="0" w:firstLine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项目类别</w:t>
                  </w:r>
                </w:p>
              </w:tc>
              <w:tc>
                <w:tcPr>
                  <w:tcW w:w="68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报告书</w:t>
                  </w:r>
                </w:p>
              </w:tc>
              <w:tc>
                <w:tcPr>
                  <w:tcW w:w="1066" w:type="pct"/>
                  <w:tcBorders>
                    <w:tl2br w:val="nil"/>
                    <w:tr2bl w:val="nil"/>
                  </w:tcBorders>
                  <w:shd w:val="clear" w:color="auto" w:fill="BEBEB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报告表</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Times New Roman"/>
                      <w:color w:val="auto"/>
                      <w:sz w:val="21"/>
                      <w:szCs w:val="21"/>
                      <w:lang w:val="zh-CN"/>
                    </w:rPr>
                    <w:t>四十九、卫生84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w:t>
                  </w:r>
                </w:p>
              </w:tc>
              <w:tc>
                <w:tcPr>
                  <w:tcW w:w="211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Times New Roman"/>
                      <w:color w:val="auto"/>
                      <w:sz w:val="21"/>
                      <w:szCs w:val="21"/>
                      <w:lang w:val="zh-CN"/>
                    </w:rPr>
                    <w:t>108.医院841；专科疾病防治院（所、站）8432；妇幼保健院（所、站）8433；急救中心（站）服务8434；采供血机构服务8435；基层医疗卫生服务842</w:t>
                  </w:r>
                </w:p>
              </w:tc>
              <w:tc>
                <w:tcPr>
                  <w:tcW w:w="68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Times New Roman"/>
                      <w:color w:val="auto"/>
                      <w:sz w:val="21"/>
                      <w:szCs w:val="21"/>
                      <w:lang w:val="zh-CN"/>
                    </w:rPr>
                    <w:t>新建、扩建住院床位500张及以上的</w:t>
                  </w:r>
                </w:p>
              </w:tc>
              <w:tc>
                <w:tcPr>
                  <w:tcW w:w="1066" w:type="pct"/>
                  <w:tcBorders>
                    <w:tl2br w:val="nil"/>
                    <w:tr2bl w:val="nil"/>
                  </w:tcBorders>
                  <w:shd w:val="clear" w:color="auto" w:fill="BEBEB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Times New Roman"/>
                      <w:color w:val="auto"/>
                      <w:sz w:val="21"/>
                      <w:szCs w:val="21"/>
                      <w:lang w:val="zh-CN"/>
                    </w:rPr>
                    <w:t>其他（住院床位20张以下的除外）</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Times New Roman"/>
                      <w:color w:val="auto"/>
                      <w:sz w:val="21"/>
                      <w:szCs w:val="21"/>
                      <w:lang w:val="zh-CN"/>
                    </w:rPr>
                    <w:t>住院床位20张以下的（不含20张住院床位的）</w:t>
                  </w:r>
                </w:p>
              </w:tc>
            </w:tr>
          </w:tbl>
          <w:p>
            <w:pPr>
              <w:bidi w:val="0"/>
              <w:rPr>
                <w:rFonts w:hint="default"/>
                <w:b/>
                <w:bCs/>
                <w:color w:val="auto"/>
                <w:sz w:val="28"/>
                <w:szCs w:val="28"/>
              </w:rPr>
            </w:pPr>
            <w:bookmarkStart w:id="18" w:name="_Toc13695"/>
            <w:r>
              <w:rPr>
                <w:rFonts w:hint="default"/>
                <w:b/>
                <w:bCs/>
                <w:color w:val="auto"/>
                <w:sz w:val="28"/>
                <w:szCs w:val="28"/>
              </w:rPr>
              <w:t>2.</w:t>
            </w:r>
            <w:r>
              <w:rPr>
                <w:rFonts w:hint="default"/>
                <w:b/>
                <w:bCs/>
                <w:color w:val="auto"/>
                <w:sz w:val="28"/>
                <w:szCs w:val="28"/>
                <w:lang w:val="en-US" w:eastAsia="zh-CN"/>
              </w:rPr>
              <w:t>2</w:t>
            </w:r>
            <w:r>
              <w:rPr>
                <w:rFonts w:hint="default"/>
                <w:b/>
                <w:bCs/>
                <w:color w:val="auto"/>
                <w:sz w:val="28"/>
                <w:szCs w:val="28"/>
              </w:rPr>
              <w:t>工程概况</w:t>
            </w:r>
            <w:bookmarkEnd w:id="18"/>
          </w:p>
          <w:p>
            <w:pPr>
              <w:pStyle w:val="44"/>
              <w:spacing w:line="360" w:lineRule="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w:t>
            </w:r>
            <w:r>
              <w:rPr>
                <w:rFonts w:hint="default" w:ascii="Times New Roman" w:hAnsi="Times New Roman"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 xml:space="preserve"> 项目基本概况</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default"/>
                <w:color w:val="auto"/>
              </w:rPr>
              <w:t>项目名称：</w:t>
            </w:r>
            <w:r>
              <w:rPr>
                <w:rFonts w:hint="default"/>
                <w:color w:val="auto"/>
                <w:lang w:val="zh-CN"/>
              </w:rPr>
              <w:t>福清福宁医院</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default"/>
                <w:color w:val="auto"/>
              </w:rPr>
              <w:t>建设单位：</w:t>
            </w:r>
            <w:r>
              <w:rPr>
                <w:rFonts w:hint="default"/>
                <w:color w:val="auto"/>
                <w:lang w:val="zh-CN"/>
              </w:rPr>
              <w:t>福清市健安医疗服务有限公司</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w:t>
            </w:r>
            <w:r>
              <w:rPr>
                <w:rFonts w:hint="default"/>
                <w:color w:val="auto"/>
              </w:rPr>
              <w:t>建设地点：</w:t>
            </w:r>
            <w:r>
              <w:rPr>
                <w:rFonts w:hint="default"/>
                <w:color w:val="auto"/>
                <w:lang w:val="en-US" w:eastAsia="zh-CN"/>
              </w:rPr>
              <w:t>福建省福州市福清市龙江街道龙江路667号</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rFonts w:hint="default"/>
                <w:color w:val="auto"/>
              </w:rPr>
              <w:t>企业性质：内资企业</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w:t>
            </w:r>
            <w:r>
              <w:rPr>
                <w:rFonts w:hint="default"/>
                <w:color w:val="auto"/>
              </w:rPr>
              <w:t>项目总投资</w:t>
            </w:r>
            <w:r>
              <w:rPr>
                <w:rFonts w:hint="eastAsia"/>
                <w:color w:val="auto"/>
                <w:lang w:eastAsia="zh-CN"/>
              </w:rPr>
              <w:t>：</w:t>
            </w:r>
            <w:r>
              <w:rPr>
                <w:rFonts w:hint="eastAsia"/>
                <w:color w:val="auto"/>
                <w:lang w:val="en-US" w:eastAsia="zh-CN"/>
              </w:rPr>
              <w:t>6000万元</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lang w:val="en-US" w:eastAsia="zh-CN"/>
              </w:rPr>
            </w:pPr>
            <w:r>
              <w:rPr>
                <w:rFonts w:hint="eastAsia"/>
                <w:color w:val="auto"/>
                <w:lang w:val="en-US" w:eastAsia="zh-CN"/>
              </w:rPr>
              <w:t>（6）建设规模及内容：建筑面积</w:t>
            </w:r>
            <w:r>
              <w:rPr>
                <w:rFonts w:hint="default"/>
                <w:color w:val="auto"/>
                <w:lang w:val="en-US" w:eastAsia="zh-CN"/>
              </w:rPr>
              <w:t>15007</w:t>
            </w:r>
            <w:r>
              <w:rPr>
                <w:rFonts w:hint="eastAsia"/>
                <w:color w:val="auto"/>
                <w:lang w:val="en-US" w:eastAsia="zh-CN"/>
              </w:rPr>
              <w:t>㎡，设置床位</w:t>
            </w:r>
            <w:r>
              <w:rPr>
                <w:rFonts w:hint="default"/>
                <w:color w:val="auto"/>
                <w:lang w:val="en-US" w:eastAsia="zh-CN"/>
              </w:rPr>
              <w:t>99</w:t>
            </w:r>
            <w:r>
              <w:rPr>
                <w:rFonts w:hint="eastAsia"/>
                <w:color w:val="auto"/>
                <w:lang w:val="en-US" w:eastAsia="zh-CN"/>
              </w:rPr>
              <w:t>张</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eastAsia="zh-CN"/>
              </w:rPr>
            </w:pPr>
            <w:r>
              <w:rPr>
                <w:rFonts w:hint="eastAsia"/>
                <w:color w:val="auto"/>
                <w:lang w:val="en-US" w:eastAsia="zh-CN"/>
              </w:rPr>
              <w:t>（7）</w:t>
            </w:r>
            <w:r>
              <w:rPr>
                <w:rFonts w:hint="default"/>
                <w:color w:val="auto"/>
              </w:rPr>
              <w:t>职工人数：</w:t>
            </w:r>
            <w:r>
              <w:rPr>
                <w:rFonts w:hint="eastAsia"/>
                <w:color w:val="auto"/>
                <w:lang w:val="en-US" w:eastAsia="zh-CN"/>
              </w:rPr>
              <w:t>150</w:t>
            </w:r>
            <w:r>
              <w:rPr>
                <w:color w:val="auto"/>
              </w:rPr>
              <w:t>人（医务人员</w:t>
            </w:r>
            <w:r>
              <w:rPr>
                <w:rFonts w:hint="eastAsia"/>
                <w:color w:val="auto"/>
                <w:lang w:val="en-US" w:eastAsia="zh-CN"/>
              </w:rPr>
              <w:t>100</w:t>
            </w:r>
            <w:r>
              <w:rPr>
                <w:color w:val="auto"/>
              </w:rPr>
              <w:t>人，行政办公人员</w:t>
            </w:r>
            <w:r>
              <w:rPr>
                <w:rFonts w:hint="eastAsia"/>
                <w:color w:val="auto"/>
                <w:lang w:val="en-US" w:eastAsia="zh-CN"/>
              </w:rPr>
              <w:t>50</w:t>
            </w:r>
            <w:r>
              <w:rPr>
                <w:color w:val="auto"/>
              </w:rPr>
              <w:t>人）</w:t>
            </w:r>
          </w:p>
          <w:p>
            <w:pPr>
              <w:bidi w:val="0"/>
              <w:rPr>
                <w:rFonts w:hint="default"/>
                <w:b/>
                <w:bCs/>
                <w:color w:val="auto"/>
              </w:rPr>
            </w:pPr>
            <w:r>
              <w:rPr>
                <w:rFonts w:hint="default"/>
                <w:b/>
                <w:bCs/>
                <w:color w:val="auto"/>
                <w:lang w:val="en-US" w:eastAsia="zh-CN"/>
              </w:rPr>
              <w:t>2</w:t>
            </w:r>
            <w:r>
              <w:rPr>
                <w:rFonts w:hint="default"/>
                <w:b/>
                <w:bCs/>
                <w:color w:val="auto"/>
              </w:rPr>
              <w:t>.</w:t>
            </w:r>
            <w:r>
              <w:rPr>
                <w:rFonts w:hint="default"/>
                <w:b/>
                <w:bCs/>
                <w:color w:val="auto"/>
                <w:lang w:val="en-US" w:eastAsia="zh-CN"/>
              </w:rPr>
              <w:t>2</w:t>
            </w:r>
            <w:r>
              <w:rPr>
                <w:rFonts w:hint="default"/>
                <w:b/>
                <w:bCs/>
                <w:color w:val="auto"/>
              </w:rPr>
              <w:t>.</w:t>
            </w:r>
            <w:r>
              <w:rPr>
                <w:rFonts w:hint="eastAsia"/>
                <w:b/>
                <w:bCs/>
                <w:color w:val="auto"/>
                <w:lang w:val="en-US" w:eastAsia="zh-CN"/>
              </w:rPr>
              <w:t>2</w:t>
            </w:r>
            <w:r>
              <w:rPr>
                <w:rFonts w:hint="default"/>
                <w:b/>
                <w:bCs/>
                <w:color w:val="auto"/>
              </w:rPr>
              <w:t>项目组成及建设内容</w:t>
            </w:r>
          </w:p>
          <w:p>
            <w:pPr>
              <w:widowControl/>
              <w:ind w:firstLine="480"/>
              <w:jc w:val="left"/>
              <w:rPr>
                <w:color w:val="auto"/>
              </w:rPr>
            </w:pPr>
            <w:r>
              <w:rPr>
                <w:color w:val="auto"/>
                <w:kern w:val="0"/>
                <w:lang w:bidi="ar"/>
              </w:rPr>
              <w:t>项目</w:t>
            </w:r>
            <w:r>
              <w:rPr>
                <w:rFonts w:hint="eastAsia"/>
                <w:color w:val="auto"/>
                <w:lang w:val="en-US" w:eastAsia="zh-CN"/>
              </w:rPr>
              <w:t>建筑</w:t>
            </w:r>
            <w:r>
              <w:rPr>
                <w:color w:val="auto"/>
                <w:kern w:val="0"/>
                <w:lang w:bidi="ar"/>
              </w:rPr>
              <w:t>面积</w:t>
            </w:r>
            <w:r>
              <w:rPr>
                <w:rFonts w:hint="eastAsia"/>
                <w:color w:val="auto"/>
                <w:kern w:val="0"/>
                <w:lang w:val="en-US" w:eastAsia="zh-CN" w:bidi="ar"/>
              </w:rPr>
              <w:t>15007</w:t>
            </w:r>
            <w:r>
              <w:rPr>
                <w:rFonts w:hint="eastAsia"/>
                <w:color w:val="auto"/>
                <w:lang w:val="en-US" w:eastAsia="zh-CN"/>
              </w:rPr>
              <w:t>m</w:t>
            </w:r>
            <w:r>
              <w:rPr>
                <w:rFonts w:hint="eastAsia"/>
                <w:color w:val="auto"/>
                <w:vertAlign w:val="superscript"/>
                <w:lang w:val="en-US" w:eastAsia="zh-CN"/>
              </w:rPr>
              <w:t>2</w:t>
            </w:r>
            <w:r>
              <w:rPr>
                <w:color w:val="auto"/>
                <w:kern w:val="0"/>
                <w:lang w:bidi="ar"/>
              </w:rPr>
              <w:t>，</w:t>
            </w:r>
            <w:r>
              <w:rPr>
                <w:rFonts w:hint="eastAsia"/>
                <w:color w:val="auto"/>
                <w:kern w:val="0"/>
                <w:lang w:eastAsia="zh-CN" w:bidi="ar"/>
              </w:rPr>
              <w:t>其中1#门诊综合楼（5F）、2#综合楼（5F）、3#配套用房（</w:t>
            </w:r>
            <w:r>
              <w:rPr>
                <w:rFonts w:hint="eastAsia"/>
                <w:color w:val="auto"/>
                <w:kern w:val="0"/>
                <w:lang w:val="en-US" w:eastAsia="zh-CN" w:bidi="ar"/>
              </w:rPr>
              <w:t>3F</w:t>
            </w:r>
            <w:r>
              <w:rPr>
                <w:rFonts w:hint="eastAsia"/>
                <w:color w:val="auto"/>
                <w:kern w:val="0"/>
                <w:lang w:eastAsia="zh-CN" w:bidi="ar"/>
              </w:rPr>
              <w:t>）。</w:t>
            </w:r>
            <w:r>
              <w:rPr>
                <w:color w:val="auto"/>
                <w:kern w:val="0"/>
                <w:lang w:bidi="ar"/>
              </w:rPr>
              <w:t>计容建筑面积</w:t>
            </w:r>
            <w:r>
              <w:rPr>
                <w:rFonts w:hint="default" w:ascii="Times New Roman" w:hAnsi="Times New Roman" w:eastAsia="Times New Roman"/>
                <w:color w:val="auto"/>
                <w:sz w:val="24"/>
                <w:szCs w:val="24"/>
                <w:lang w:val="zh-CN"/>
              </w:rPr>
              <w:t>16122.82</w:t>
            </w:r>
            <w:r>
              <w:rPr>
                <w:color w:val="auto"/>
                <w:kern w:val="0"/>
                <w:lang w:bidi="ar"/>
              </w:rPr>
              <w:t>平方米</w:t>
            </w:r>
            <w:r>
              <w:rPr>
                <w:rFonts w:hint="eastAsia"/>
                <w:color w:val="auto"/>
                <w:kern w:val="0"/>
                <w:lang w:eastAsia="zh-CN" w:bidi="ar"/>
              </w:rPr>
              <w:t>，</w:t>
            </w:r>
            <w:r>
              <w:rPr>
                <w:color w:val="auto"/>
                <w:kern w:val="0"/>
                <w:lang w:bidi="ar"/>
              </w:rPr>
              <w:t>容积率1.</w:t>
            </w:r>
            <w:r>
              <w:rPr>
                <w:rFonts w:hint="eastAsia"/>
                <w:color w:val="auto"/>
                <w:kern w:val="0"/>
                <w:lang w:val="en-US" w:eastAsia="zh-CN" w:bidi="ar"/>
              </w:rPr>
              <w:t>61</w:t>
            </w:r>
            <w:r>
              <w:rPr>
                <w:color w:val="auto"/>
                <w:kern w:val="0"/>
                <w:lang w:bidi="ar"/>
              </w:rPr>
              <w:t>，建筑密度3</w:t>
            </w:r>
            <w:r>
              <w:rPr>
                <w:rFonts w:hint="eastAsia"/>
                <w:color w:val="auto"/>
                <w:kern w:val="0"/>
                <w:lang w:val="en-US" w:eastAsia="zh-CN" w:bidi="ar"/>
              </w:rPr>
              <w:t>3.86</w:t>
            </w:r>
            <w:r>
              <w:rPr>
                <w:color w:val="auto"/>
                <w:kern w:val="0"/>
                <w:lang w:bidi="ar"/>
              </w:rPr>
              <w:t>%，绿地面积</w:t>
            </w:r>
            <w:r>
              <w:rPr>
                <w:rFonts w:hint="default" w:ascii="Times New Roman" w:hAnsi="Times New Roman" w:eastAsia="Times New Roman"/>
                <w:color w:val="auto"/>
                <w:sz w:val="24"/>
                <w:szCs w:val="24"/>
                <w:lang w:val="zh-CN"/>
              </w:rPr>
              <w:t>264.54</w:t>
            </w:r>
            <w:r>
              <w:rPr>
                <w:color w:val="auto"/>
                <w:kern w:val="0"/>
                <w:lang w:bidi="ar"/>
              </w:rPr>
              <w:t>平方米，绿地率</w:t>
            </w:r>
            <w:r>
              <w:rPr>
                <w:rFonts w:hint="eastAsia"/>
                <w:color w:val="auto"/>
                <w:kern w:val="0"/>
                <w:lang w:val="en-US" w:eastAsia="zh-CN" w:bidi="ar"/>
              </w:rPr>
              <w:t>2.65</w:t>
            </w:r>
            <w:r>
              <w:rPr>
                <w:color w:val="auto"/>
                <w:kern w:val="0"/>
                <w:lang w:bidi="ar"/>
              </w:rPr>
              <w:t>%，机动车车位数为</w:t>
            </w:r>
            <w:r>
              <w:rPr>
                <w:rFonts w:hint="eastAsia"/>
                <w:color w:val="auto"/>
                <w:kern w:val="0"/>
                <w:lang w:val="en-US" w:eastAsia="zh-CN" w:bidi="ar"/>
              </w:rPr>
              <w:t>46</w:t>
            </w:r>
            <w:r>
              <w:rPr>
                <w:color w:val="auto"/>
                <w:kern w:val="0"/>
                <w:lang w:bidi="ar"/>
              </w:rPr>
              <w:t>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项目</w:t>
            </w:r>
            <w:r>
              <w:rPr>
                <w:rFonts w:hint="default"/>
                <w:color w:val="auto"/>
                <w:lang w:eastAsia="zh-CN"/>
              </w:rPr>
              <w:t>工程</w:t>
            </w:r>
            <w:r>
              <w:rPr>
                <w:rFonts w:hint="default"/>
                <w:color w:val="auto"/>
              </w:rPr>
              <w:t>组成及建设内容</w:t>
            </w:r>
            <w:r>
              <w:rPr>
                <w:rFonts w:hint="default"/>
                <w:color w:val="auto"/>
                <w:lang w:eastAsia="zh-CN"/>
              </w:rPr>
              <w:t>见</w:t>
            </w:r>
            <w:r>
              <w:rPr>
                <w:rFonts w:hint="default"/>
                <w:color w:val="auto"/>
              </w:rPr>
              <w:t>表</w:t>
            </w:r>
            <w:r>
              <w:rPr>
                <w:rFonts w:hint="default"/>
                <w:color w:val="auto"/>
                <w:lang w:val="en-US" w:eastAsia="zh-CN"/>
              </w:rPr>
              <w:t>2</w:t>
            </w:r>
            <w:r>
              <w:rPr>
                <w:rFonts w:hint="default"/>
                <w:color w:val="auto"/>
              </w:rPr>
              <w:t>.</w:t>
            </w:r>
            <w:r>
              <w:rPr>
                <w:rFonts w:hint="default"/>
                <w:color w:val="auto"/>
                <w:lang w:val="en-US" w:eastAsia="zh-CN"/>
              </w:rPr>
              <w:t>2</w:t>
            </w:r>
            <w:r>
              <w:rPr>
                <w:rFonts w:hint="default"/>
                <w:color w:val="auto"/>
              </w:rPr>
              <w:t>-</w:t>
            </w:r>
            <w:r>
              <w:rPr>
                <w:rFonts w:hint="eastAsia"/>
                <w:color w:val="auto"/>
                <w:lang w:val="en-US" w:eastAsia="zh-CN"/>
              </w:rPr>
              <w:t>1</w:t>
            </w:r>
            <w:r>
              <w:rPr>
                <w:rFonts w:hint="default"/>
                <w:color w:val="auto"/>
              </w:rPr>
              <w:t>。</w:t>
            </w:r>
          </w:p>
          <w:p>
            <w:pPr>
              <w:bidi w:val="0"/>
              <w:jc w:val="center"/>
              <w:rPr>
                <w:rFonts w:hint="default"/>
                <w:b/>
                <w:bCs/>
                <w:color w:val="auto"/>
              </w:rPr>
            </w:pPr>
            <w:r>
              <w:rPr>
                <w:rFonts w:hint="default"/>
                <w:b/>
                <w:bCs/>
                <w:color w:val="auto"/>
              </w:rPr>
              <w:t>表</w:t>
            </w:r>
            <w:r>
              <w:rPr>
                <w:rFonts w:hint="default"/>
                <w:b/>
                <w:bCs/>
                <w:color w:val="auto"/>
                <w:lang w:val="en-US" w:eastAsia="zh-CN"/>
              </w:rPr>
              <w:t>2</w:t>
            </w:r>
            <w:r>
              <w:rPr>
                <w:rFonts w:hint="default"/>
                <w:b/>
                <w:bCs/>
                <w:color w:val="auto"/>
              </w:rPr>
              <w:t>.</w:t>
            </w:r>
            <w:r>
              <w:rPr>
                <w:rFonts w:hint="default"/>
                <w:b/>
                <w:bCs/>
                <w:color w:val="auto"/>
                <w:lang w:val="en-US" w:eastAsia="zh-CN"/>
              </w:rPr>
              <w:t>2</w:t>
            </w:r>
            <w:r>
              <w:rPr>
                <w:rFonts w:hint="default"/>
                <w:b/>
                <w:bCs/>
                <w:color w:val="auto"/>
              </w:rPr>
              <w:t>-</w:t>
            </w:r>
            <w:r>
              <w:rPr>
                <w:rFonts w:hint="eastAsia"/>
                <w:b/>
                <w:bCs/>
                <w:color w:val="auto"/>
                <w:lang w:val="en-US" w:eastAsia="zh-CN"/>
              </w:rPr>
              <w:t>1</w:t>
            </w:r>
            <w:r>
              <w:rPr>
                <w:rFonts w:hint="default"/>
                <w:b/>
                <w:bCs/>
                <w:color w:val="auto"/>
              </w:rPr>
              <w:t xml:space="preserve"> </w:t>
            </w:r>
            <w:r>
              <w:rPr>
                <w:rFonts w:hint="eastAsia"/>
                <w:b/>
                <w:bCs/>
                <w:color w:val="auto"/>
                <w:lang w:val="en-US" w:eastAsia="zh-CN"/>
              </w:rPr>
              <w:t>工程</w:t>
            </w:r>
            <w:r>
              <w:rPr>
                <w:rFonts w:hint="default"/>
                <w:b/>
                <w:bCs/>
                <w:color w:val="auto"/>
              </w:rPr>
              <w:t>组成一览表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135"/>
              <w:gridCol w:w="3969"/>
              <w:gridCol w:w="14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612" w:type="pct"/>
                  <w:shd w:val="clear" w:color="auto" w:fill="auto"/>
                  <w:noWrap w:val="0"/>
                  <w:vAlign w:val="center"/>
                </w:tcPr>
                <w:p>
                  <w:pPr>
                    <w:spacing w:line="240" w:lineRule="auto"/>
                    <w:ind w:firstLine="0" w:firstLineChars="0"/>
                    <w:jc w:val="center"/>
                    <w:rPr>
                      <w:b/>
                      <w:bCs/>
                      <w:color w:val="auto"/>
                      <w:sz w:val="21"/>
                      <w:szCs w:val="21"/>
                    </w:rPr>
                  </w:pPr>
                  <w:r>
                    <w:rPr>
                      <w:b/>
                      <w:bCs/>
                      <w:color w:val="auto"/>
                      <w:sz w:val="21"/>
                      <w:szCs w:val="21"/>
                    </w:rPr>
                    <w:t>类别</w:t>
                  </w:r>
                </w:p>
              </w:tc>
              <w:tc>
                <w:tcPr>
                  <w:tcW w:w="754" w:type="pct"/>
                  <w:shd w:val="clear" w:color="auto" w:fill="auto"/>
                  <w:noWrap w:val="0"/>
                  <w:vAlign w:val="center"/>
                </w:tcPr>
                <w:p>
                  <w:pPr>
                    <w:spacing w:line="240" w:lineRule="auto"/>
                    <w:ind w:firstLine="0" w:firstLineChars="0"/>
                    <w:jc w:val="center"/>
                    <w:rPr>
                      <w:b/>
                      <w:bCs/>
                      <w:color w:val="auto"/>
                      <w:sz w:val="21"/>
                      <w:szCs w:val="21"/>
                    </w:rPr>
                  </w:pPr>
                  <w:r>
                    <w:rPr>
                      <w:b/>
                      <w:bCs/>
                      <w:color w:val="auto"/>
                      <w:sz w:val="21"/>
                      <w:szCs w:val="21"/>
                    </w:rPr>
                    <w:t>项目名称</w:t>
                  </w:r>
                </w:p>
              </w:tc>
              <w:tc>
                <w:tcPr>
                  <w:tcW w:w="2637" w:type="pct"/>
                  <w:shd w:val="clear" w:color="auto" w:fill="auto"/>
                  <w:noWrap w:val="0"/>
                  <w:vAlign w:val="center"/>
                </w:tcPr>
                <w:p>
                  <w:pPr>
                    <w:spacing w:line="240" w:lineRule="auto"/>
                    <w:ind w:firstLine="0" w:firstLineChars="0"/>
                    <w:jc w:val="center"/>
                    <w:rPr>
                      <w:b/>
                      <w:bCs/>
                      <w:color w:val="auto"/>
                      <w:sz w:val="21"/>
                      <w:szCs w:val="21"/>
                    </w:rPr>
                  </w:pPr>
                  <w:r>
                    <w:rPr>
                      <w:b/>
                      <w:bCs/>
                      <w:color w:val="auto"/>
                      <w:sz w:val="21"/>
                      <w:szCs w:val="21"/>
                    </w:rPr>
                    <w:t>主要功能</w:t>
                  </w:r>
                </w:p>
              </w:tc>
              <w:tc>
                <w:tcPr>
                  <w:tcW w:w="995" w:type="pct"/>
                  <w:shd w:val="clear" w:color="auto" w:fill="auto"/>
                  <w:noWrap w:val="0"/>
                  <w:vAlign w:val="center"/>
                </w:tcPr>
                <w:p>
                  <w:pPr>
                    <w:spacing w:line="240" w:lineRule="auto"/>
                    <w:ind w:firstLine="0" w:firstLineChars="0"/>
                    <w:jc w:val="center"/>
                    <w:rPr>
                      <w:b/>
                      <w:bCs/>
                      <w:color w:val="auto"/>
                      <w:sz w:val="21"/>
                      <w:szCs w:val="21"/>
                    </w:rPr>
                  </w:pPr>
                  <w:r>
                    <w:rPr>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restart"/>
                  <w:shd w:val="clear" w:color="auto" w:fill="auto"/>
                  <w:noWrap w:val="0"/>
                  <w:vAlign w:val="center"/>
                </w:tcPr>
                <w:p>
                  <w:pPr>
                    <w:spacing w:line="240" w:lineRule="auto"/>
                    <w:ind w:firstLine="0" w:firstLineChars="0"/>
                    <w:jc w:val="center"/>
                    <w:rPr>
                      <w:color w:val="auto"/>
                      <w:sz w:val="21"/>
                      <w:szCs w:val="21"/>
                    </w:rPr>
                  </w:pPr>
                  <w:r>
                    <w:rPr>
                      <w:color w:val="auto"/>
                      <w:sz w:val="21"/>
                      <w:szCs w:val="21"/>
                    </w:rPr>
                    <w:t>主体工程</w:t>
                  </w:r>
                </w:p>
              </w:tc>
              <w:tc>
                <w:tcPr>
                  <w:tcW w:w="754" w:type="pct"/>
                  <w:vMerge w:val="restart"/>
                  <w:shd w:val="clear" w:color="auto" w:fill="auto"/>
                  <w:noWrap w:val="0"/>
                  <w:vAlign w:val="center"/>
                </w:tcPr>
                <w:p>
                  <w:pPr>
                    <w:spacing w:line="240" w:lineRule="auto"/>
                    <w:ind w:firstLine="0" w:firstLineChars="0"/>
                    <w:jc w:val="center"/>
                    <w:rPr>
                      <w:color w:val="auto"/>
                      <w:sz w:val="21"/>
                      <w:szCs w:val="21"/>
                    </w:rPr>
                  </w:pPr>
                  <w:r>
                    <w:rPr>
                      <w:rFonts w:hint="eastAsia"/>
                      <w:color w:val="auto"/>
                      <w:kern w:val="0"/>
                      <w:sz w:val="21"/>
                      <w:szCs w:val="21"/>
                      <w:lang w:eastAsia="zh-CN" w:bidi="ar"/>
                    </w:rPr>
                    <w:t>1#门诊综合楼（5F）</w:t>
                  </w:r>
                </w:p>
              </w:tc>
              <w:tc>
                <w:tcPr>
                  <w:tcW w:w="2637" w:type="pct"/>
                  <w:shd w:val="clear" w:color="auto" w:fill="auto"/>
                  <w:noWrap w:val="0"/>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1F：大厅、检验科、内科、外科、精神科、B超、彩超、肺功能科、儿科、中医科、中药库、西药库、推拿室、水疗室、超市、儿童娱乐区等</w:t>
                  </w:r>
                </w:p>
              </w:tc>
              <w:tc>
                <w:tcPr>
                  <w:tcW w:w="995" w:type="pct"/>
                  <w:vMerge w:val="restart"/>
                  <w:shd w:val="clear" w:color="auto" w:fill="auto"/>
                  <w:noWrap w:val="0"/>
                  <w:vAlign w:val="center"/>
                </w:tcPr>
                <w:p>
                  <w:pPr>
                    <w:spacing w:line="240" w:lineRule="auto"/>
                    <w:ind w:firstLine="0" w:firstLineChars="0"/>
                    <w:jc w:val="center"/>
                    <w:rPr>
                      <w:color w:val="auto"/>
                      <w:sz w:val="21"/>
                      <w:szCs w:val="21"/>
                    </w:rPr>
                  </w:pPr>
                  <w:r>
                    <w:rPr>
                      <w:rFonts w:hint="eastAsia" w:ascii="Times New Roman" w:hAnsi="Times New Roman" w:eastAsia="Times New Roman"/>
                      <w:color w:val="auto"/>
                      <w:sz w:val="21"/>
                      <w:szCs w:val="21"/>
                      <w:lang w:val="zh-CN"/>
                    </w:rPr>
                    <w:t>占地面积2197.08</w:t>
                  </w:r>
                  <w:r>
                    <w:rPr>
                      <w:rFonts w:hint="eastAsia" w:eastAsia="宋体"/>
                      <w:color w:val="auto"/>
                      <w:sz w:val="21"/>
                      <w:szCs w:val="21"/>
                      <w:lang w:val="en-US" w:eastAsia="zh-CN"/>
                    </w:rPr>
                    <w:t>m</w:t>
                  </w:r>
                  <w:r>
                    <w:rPr>
                      <w:rFonts w:hint="eastAsia" w:eastAsia="宋体"/>
                      <w:color w:val="auto"/>
                      <w:sz w:val="21"/>
                      <w:szCs w:val="21"/>
                      <w:vertAlign w:val="superscript"/>
                      <w:lang w:val="en-US" w:eastAsia="zh-CN"/>
                    </w:rPr>
                    <w:t>2</w:t>
                  </w:r>
                  <w:r>
                    <w:rPr>
                      <w:rFonts w:hint="eastAsia" w:ascii="Times New Roman" w:hAnsi="Times New Roman" w:eastAsia="Times New Roman"/>
                      <w:color w:val="auto"/>
                      <w:sz w:val="21"/>
                      <w:szCs w:val="21"/>
                      <w:lang w:val="zh-CN"/>
                    </w:rPr>
                    <w:t>，建筑面积11287.24</w:t>
                  </w:r>
                  <w:r>
                    <w:rPr>
                      <w:rFonts w:hint="eastAsia" w:eastAsia="宋体"/>
                      <w:color w:val="auto"/>
                      <w:sz w:val="21"/>
                      <w:szCs w:val="21"/>
                      <w:lang w:val="en-US" w:eastAsia="zh-CN"/>
                    </w:rPr>
                    <w:t>m</w:t>
                  </w:r>
                  <w:r>
                    <w:rPr>
                      <w:rFonts w:hint="eastAsia" w:eastAsia="宋体"/>
                      <w:color w:val="auto"/>
                      <w:sz w:val="21"/>
                      <w:szCs w:val="21"/>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vMerge w:val="continue"/>
                  <w:shd w:val="clear" w:color="auto" w:fill="auto"/>
                  <w:noWrap w:val="0"/>
                  <w:vAlign w:val="center"/>
                </w:tcPr>
                <w:p>
                  <w:pPr>
                    <w:spacing w:line="240" w:lineRule="auto"/>
                    <w:ind w:firstLine="0" w:firstLineChars="0"/>
                    <w:jc w:val="center"/>
                    <w:rPr>
                      <w:color w:val="auto"/>
                      <w:sz w:val="21"/>
                      <w:szCs w:val="21"/>
                    </w:rPr>
                  </w:pPr>
                </w:p>
              </w:tc>
              <w:tc>
                <w:tcPr>
                  <w:tcW w:w="2637"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2F~5F：病房区、护士站、办公室、活动室</w:t>
                  </w:r>
                </w:p>
              </w:tc>
              <w:tc>
                <w:tcPr>
                  <w:tcW w:w="995" w:type="pct"/>
                  <w:vMerge w:val="continue"/>
                  <w:shd w:val="clear" w:color="auto" w:fill="auto"/>
                  <w:noWrap w:val="0"/>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shd w:val="clear" w:color="auto" w:fill="auto"/>
                  <w:noWrap w:val="0"/>
                  <w:vAlign w:val="center"/>
                </w:tcPr>
                <w:p>
                  <w:pPr>
                    <w:spacing w:line="240" w:lineRule="auto"/>
                    <w:ind w:firstLine="0" w:firstLineChars="0"/>
                    <w:jc w:val="center"/>
                    <w:rPr>
                      <w:color w:val="auto"/>
                      <w:sz w:val="21"/>
                      <w:szCs w:val="21"/>
                    </w:rPr>
                  </w:pPr>
                  <w:r>
                    <w:rPr>
                      <w:rFonts w:hint="eastAsia"/>
                      <w:color w:val="auto"/>
                      <w:kern w:val="0"/>
                      <w:sz w:val="21"/>
                      <w:szCs w:val="21"/>
                      <w:lang w:eastAsia="zh-CN" w:bidi="ar"/>
                    </w:rPr>
                    <w:t>2#综合楼（5F）</w:t>
                  </w:r>
                </w:p>
              </w:tc>
              <w:tc>
                <w:tcPr>
                  <w:tcW w:w="2637"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1F：多功能厅、柴油发电机房、变配电室、工具间、生活技能培训室</w:t>
                  </w:r>
                </w:p>
                <w:p>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2F：个人训练室、教室</w:t>
                  </w:r>
                </w:p>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3F~5F：高级病房</w:t>
                  </w:r>
                </w:p>
              </w:tc>
              <w:tc>
                <w:tcPr>
                  <w:tcW w:w="995" w:type="pct"/>
                  <w:shd w:val="clear" w:color="auto" w:fill="auto"/>
                  <w:noWrap w:val="0"/>
                  <w:vAlign w:val="center"/>
                </w:tcPr>
                <w:p>
                  <w:pPr>
                    <w:spacing w:line="240" w:lineRule="auto"/>
                    <w:ind w:firstLine="0" w:firstLineChars="0"/>
                    <w:jc w:val="center"/>
                    <w:rPr>
                      <w:color w:val="auto"/>
                      <w:sz w:val="21"/>
                      <w:szCs w:val="21"/>
                    </w:rPr>
                  </w:pPr>
                  <w:r>
                    <w:rPr>
                      <w:rFonts w:hint="eastAsia" w:ascii="Times New Roman" w:hAnsi="Times New Roman" w:eastAsia="Times New Roman"/>
                      <w:color w:val="auto"/>
                      <w:sz w:val="21"/>
                      <w:szCs w:val="21"/>
                      <w:lang w:val="zh-CN"/>
                    </w:rPr>
                    <w:t>占地</w:t>
                  </w:r>
                  <w:r>
                    <w:rPr>
                      <w:rFonts w:hint="eastAsia" w:ascii="Times New Roman" w:hAnsi="Times New Roman" w:eastAsia="宋体" w:cs="Times New Roman"/>
                      <w:color w:val="auto"/>
                      <w:sz w:val="21"/>
                      <w:szCs w:val="21"/>
                      <w:lang w:val="zh-CN" w:eastAsia="zh-CN"/>
                    </w:rPr>
                    <w:t>面积</w:t>
                  </w:r>
                  <w:r>
                    <w:rPr>
                      <w:rFonts w:hint="eastAsia" w:ascii="Times New Roman" w:hAnsi="Times New Roman" w:eastAsia="宋体" w:cs="Times New Roman"/>
                      <w:color w:val="auto"/>
                      <w:sz w:val="21"/>
                      <w:szCs w:val="21"/>
                      <w:lang w:val="en-US" w:eastAsia="zh-CN"/>
                    </w:rPr>
                    <w:t>720</w:t>
                  </w:r>
                  <w:r>
                    <w:rPr>
                      <w:rFonts w:hint="eastAsia" w:eastAsia="宋体"/>
                      <w:color w:val="auto"/>
                      <w:sz w:val="21"/>
                      <w:szCs w:val="21"/>
                      <w:lang w:val="en-US" w:eastAsia="zh-CN"/>
                    </w:rPr>
                    <w:t>m</w:t>
                  </w:r>
                  <w:r>
                    <w:rPr>
                      <w:rFonts w:hint="eastAsia" w:eastAsia="宋体"/>
                      <w:color w:val="auto"/>
                      <w:sz w:val="21"/>
                      <w:szCs w:val="21"/>
                      <w:vertAlign w:val="superscript"/>
                      <w:lang w:val="en-US" w:eastAsia="zh-CN"/>
                    </w:rPr>
                    <w:t>2</w:t>
                  </w:r>
                  <w:r>
                    <w:rPr>
                      <w:rFonts w:hint="eastAsia" w:ascii="Times New Roman" w:hAnsi="Times New Roman" w:eastAsia="宋体" w:cs="Times New Roman"/>
                      <w:color w:val="auto"/>
                      <w:sz w:val="21"/>
                      <w:szCs w:val="21"/>
                      <w:lang w:val="zh-CN" w:eastAsia="zh-CN"/>
                    </w:rPr>
                    <w:t>，建筑面积</w:t>
                  </w:r>
                  <w:r>
                    <w:rPr>
                      <w:rFonts w:hint="default" w:ascii="Times New Roman" w:hAnsi="Times New Roman" w:eastAsia="宋体" w:cs="Times New Roman"/>
                      <w:color w:val="auto"/>
                      <w:sz w:val="21"/>
                      <w:szCs w:val="21"/>
                      <w:lang w:val="zh-CN" w:eastAsia="zh-CN"/>
                    </w:rPr>
                    <w:t>4105. 65</w:t>
                  </w:r>
                  <w:r>
                    <w:rPr>
                      <w:rFonts w:hint="eastAsia" w:eastAsia="宋体"/>
                      <w:color w:val="auto"/>
                      <w:sz w:val="21"/>
                      <w:szCs w:val="21"/>
                      <w:lang w:val="en-US" w:eastAsia="zh-CN"/>
                    </w:rPr>
                    <w:t>m</w:t>
                  </w:r>
                  <w:r>
                    <w:rPr>
                      <w:rFonts w:hint="eastAsia" w:eastAsia="宋体"/>
                      <w:color w:val="auto"/>
                      <w:sz w:val="21"/>
                      <w:szCs w:val="21"/>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辅助工程</w:t>
                  </w:r>
                </w:p>
              </w:tc>
              <w:tc>
                <w:tcPr>
                  <w:tcW w:w="754"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3#配套用房</w:t>
                  </w:r>
                </w:p>
              </w:tc>
              <w:tc>
                <w:tcPr>
                  <w:tcW w:w="2637" w:type="pct"/>
                  <w:shd w:val="clear" w:color="auto" w:fill="auto"/>
                  <w:noWrap w:val="0"/>
                  <w:vAlign w:val="center"/>
                </w:tcPr>
                <w:p>
                  <w:pPr>
                    <w:spacing w:line="240" w:lineRule="auto"/>
                    <w:ind w:firstLine="0" w:firstLineChars="0"/>
                    <w:jc w:val="center"/>
                    <w:rPr>
                      <w:rFonts w:hint="default" w:ascii="Times New Roman" w:hAnsi="Times New Roman" w:eastAsia="宋体" w:cs="Times New Roman"/>
                      <w:color w:val="auto"/>
                      <w:sz w:val="21"/>
                      <w:szCs w:val="21"/>
                      <w:lang w:val="zh-CN" w:eastAsia="zh-CN"/>
                    </w:rPr>
                  </w:pPr>
                  <w:r>
                    <w:rPr>
                      <w:rFonts w:hint="eastAsia" w:ascii="Times New Roman" w:hAnsi="Times New Roman" w:eastAsia="宋体" w:cs="Times New Roman"/>
                      <w:color w:val="auto"/>
                      <w:sz w:val="21"/>
                      <w:szCs w:val="21"/>
                      <w:lang w:val="en-US" w:eastAsia="zh-CN"/>
                    </w:rPr>
                    <w:t>1F：</w:t>
                  </w:r>
                  <w:r>
                    <w:rPr>
                      <w:rFonts w:hint="default" w:ascii="Times New Roman" w:hAnsi="Times New Roman" w:eastAsia="宋体" w:cs="Times New Roman"/>
                      <w:color w:val="auto"/>
                      <w:sz w:val="21"/>
                      <w:szCs w:val="21"/>
                      <w:lang w:val="zh-CN" w:eastAsia="zh-CN"/>
                    </w:rPr>
                    <w:t>主厨区、加工区、冷藏库、备餐间、面点间、仓库、收货区</w:t>
                  </w:r>
                </w:p>
                <w:p>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2F：餐厅、包厢、售卖区</w:t>
                  </w:r>
                </w:p>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3F：洗衣房</w:t>
                  </w:r>
                </w:p>
              </w:tc>
              <w:tc>
                <w:tcPr>
                  <w:tcW w:w="995"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auto"/>
                      <w:sz w:val="21"/>
                      <w:szCs w:val="21"/>
                      <w:lang w:val="zh-CN" w:eastAsia="zh-CN"/>
                    </w:rPr>
                  </w:pPr>
                  <w:r>
                    <w:rPr>
                      <w:rFonts w:hint="eastAsia" w:ascii="Times New Roman" w:hAnsi="Times New Roman" w:eastAsia="宋体" w:cs="Times New Roman"/>
                      <w:color w:val="auto"/>
                      <w:sz w:val="21"/>
                      <w:szCs w:val="21"/>
                      <w:lang w:val="zh-CN" w:eastAsia="zh-CN"/>
                    </w:rPr>
                    <w:t>占地面积417.76</w:t>
                  </w:r>
                  <w:r>
                    <w:rPr>
                      <w:rFonts w:hint="eastAsia" w:eastAsia="宋体"/>
                      <w:color w:val="auto"/>
                      <w:sz w:val="21"/>
                      <w:szCs w:val="21"/>
                      <w:lang w:val="en-US" w:eastAsia="zh-CN"/>
                    </w:rPr>
                    <w:t>m</w:t>
                  </w:r>
                  <w:r>
                    <w:rPr>
                      <w:rFonts w:hint="eastAsia" w:eastAsia="宋体"/>
                      <w:color w:val="auto"/>
                      <w:sz w:val="21"/>
                      <w:szCs w:val="21"/>
                      <w:vertAlign w:val="superscript"/>
                      <w:lang w:val="en-US" w:eastAsia="zh-CN"/>
                    </w:rPr>
                    <w:t>2</w:t>
                  </w:r>
                  <w:r>
                    <w:rPr>
                      <w:rFonts w:hint="eastAsia" w:ascii="Times New Roman" w:hAnsi="Times New Roman" w:eastAsia="宋体" w:cs="Times New Roman"/>
                      <w:color w:val="auto"/>
                      <w:sz w:val="21"/>
                      <w:szCs w:val="21"/>
                      <w:lang w:val="zh-CN" w:eastAsia="zh-CN"/>
                    </w:rPr>
                    <w:t>，建筑面积1063.80</w:t>
                  </w:r>
                  <w:r>
                    <w:rPr>
                      <w:rFonts w:hint="eastAsia" w:eastAsia="宋体"/>
                      <w:color w:val="auto"/>
                      <w:sz w:val="21"/>
                      <w:szCs w:val="21"/>
                      <w:lang w:val="en-US" w:eastAsia="zh-CN"/>
                    </w:rPr>
                    <w:t>m</w:t>
                  </w:r>
                  <w:r>
                    <w:rPr>
                      <w:rFonts w:hint="eastAsia" w:eastAsia="宋体"/>
                      <w:color w:val="auto"/>
                      <w:sz w:val="21"/>
                      <w:szCs w:val="21"/>
                      <w:vertAlign w:val="superscript"/>
                      <w:lang w:val="en-US" w:eastAsia="zh-CN"/>
                    </w:rPr>
                    <w:t>2</w:t>
                  </w:r>
                </w:p>
                <w:p>
                  <w:pPr>
                    <w:spacing w:line="240" w:lineRule="auto"/>
                    <w:ind w:firstLine="0" w:firstLineChars="0"/>
                    <w:jc w:val="center"/>
                    <w:rPr>
                      <w:rFonts w:hint="eastAsia"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restart"/>
                  <w:shd w:val="clear" w:color="auto" w:fill="auto"/>
                  <w:noWrap w:val="0"/>
                  <w:vAlign w:val="center"/>
                </w:tcPr>
                <w:p>
                  <w:pPr>
                    <w:spacing w:line="240" w:lineRule="auto"/>
                    <w:ind w:firstLine="0" w:firstLineChars="0"/>
                    <w:jc w:val="center"/>
                    <w:rPr>
                      <w:color w:val="auto"/>
                      <w:sz w:val="21"/>
                      <w:szCs w:val="21"/>
                    </w:rPr>
                  </w:pPr>
                  <w:r>
                    <w:rPr>
                      <w:color w:val="auto"/>
                      <w:sz w:val="21"/>
                      <w:szCs w:val="21"/>
                    </w:rPr>
                    <w:t>公用工程</w:t>
                  </w: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给水工程</w:t>
                  </w:r>
                </w:p>
              </w:tc>
              <w:tc>
                <w:tcPr>
                  <w:tcW w:w="2637" w:type="pct"/>
                  <w:shd w:val="clear" w:color="auto" w:fill="auto"/>
                  <w:noWrap w:val="0"/>
                  <w:vAlign w:val="center"/>
                </w:tcPr>
                <w:p>
                  <w:pPr>
                    <w:spacing w:line="240" w:lineRule="auto"/>
                    <w:ind w:firstLine="0" w:firstLineChars="0"/>
                    <w:jc w:val="center"/>
                    <w:rPr>
                      <w:color w:val="auto"/>
                      <w:sz w:val="21"/>
                      <w:szCs w:val="21"/>
                    </w:rPr>
                  </w:pPr>
                  <w:r>
                    <w:rPr>
                      <w:rFonts w:hint="eastAsia" w:ascii="宋体" w:hAnsi="宋体" w:cs="宋体"/>
                      <w:color w:val="auto"/>
                      <w:sz w:val="21"/>
                      <w:szCs w:val="21"/>
                    </w:rPr>
                    <w:t>①</w:t>
                  </w:r>
                  <w:r>
                    <w:rPr>
                      <w:rFonts w:hint="eastAsia"/>
                      <w:color w:val="auto"/>
                      <w:sz w:val="21"/>
                      <w:szCs w:val="21"/>
                      <w:lang w:val="en-US" w:eastAsia="zh-CN"/>
                    </w:rPr>
                    <w:t>1~2层</w:t>
                  </w:r>
                  <w:r>
                    <w:rPr>
                      <w:color w:val="auto"/>
                      <w:sz w:val="21"/>
                      <w:szCs w:val="21"/>
                    </w:rPr>
                    <w:t>由市压直接公示；</w:t>
                  </w:r>
                </w:p>
                <w:p>
                  <w:pPr>
                    <w:spacing w:line="240" w:lineRule="auto"/>
                    <w:ind w:firstLine="0" w:firstLineChars="0"/>
                    <w:jc w:val="center"/>
                    <w:rPr>
                      <w:color w:val="auto"/>
                    </w:rPr>
                  </w:pPr>
                  <w:r>
                    <w:rPr>
                      <w:rFonts w:hint="eastAsia" w:ascii="宋体" w:hAnsi="宋体" w:cs="宋体"/>
                      <w:color w:val="auto"/>
                      <w:sz w:val="21"/>
                      <w:szCs w:val="21"/>
                    </w:rPr>
                    <w:t>②</w:t>
                  </w:r>
                  <w:r>
                    <w:rPr>
                      <w:color w:val="auto"/>
                      <w:sz w:val="21"/>
                      <w:szCs w:val="21"/>
                    </w:rPr>
                    <w:t>3层及以上由水箱供水。</w:t>
                  </w:r>
                </w:p>
              </w:tc>
              <w:tc>
                <w:tcPr>
                  <w:tcW w:w="995"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排水工程</w:t>
                  </w:r>
                </w:p>
              </w:tc>
              <w:tc>
                <w:tcPr>
                  <w:tcW w:w="2637" w:type="pct"/>
                  <w:shd w:val="clear" w:color="auto" w:fill="auto"/>
                  <w:noWrap w:val="0"/>
                  <w:vAlign w:val="center"/>
                </w:tcPr>
                <w:p>
                  <w:pPr>
                    <w:spacing w:line="240" w:lineRule="auto"/>
                    <w:ind w:firstLine="0" w:firstLineChars="0"/>
                    <w:jc w:val="center"/>
                    <w:rPr>
                      <w:color w:val="auto"/>
                      <w:sz w:val="21"/>
                      <w:szCs w:val="21"/>
                    </w:rPr>
                  </w:pPr>
                  <w:r>
                    <w:rPr>
                      <w:rFonts w:hint="eastAsia" w:ascii="宋体" w:hAnsi="宋体" w:cs="宋体"/>
                      <w:color w:val="auto"/>
                      <w:sz w:val="21"/>
                      <w:szCs w:val="21"/>
                    </w:rPr>
                    <w:t>①</w:t>
                  </w:r>
                  <w:r>
                    <w:rPr>
                      <w:color w:val="auto"/>
                      <w:sz w:val="21"/>
                    </w:rPr>
                    <w:t>各类废水</w:t>
                  </w:r>
                  <w:r>
                    <w:rPr>
                      <w:rFonts w:hint="eastAsia"/>
                      <w:color w:val="auto"/>
                      <w:sz w:val="21"/>
                      <w:lang w:val="en-US" w:eastAsia="zh-CN"/>
                    </w:rPr>
                    <w:t>依托于厂区化粪池</w:t>
                  </w:r>
                  <w:r>
                    <w:rPr>
                      <w:color w:val="auto"/>
                      <w:sz w:val="21"/>
                    </w:rPr>
                    <w:t>预处理后，分别进入院内设置的污水处理站进行处理</w:t>
                  </w:r>
                  <w:r>
                    <w:rPr>
                      <w:color w:val="auto"/>
                      <w:sz w:val="21"/>
                      <w:szCs w:val="21"/>
                    </w:rPr>
                    <w:t>，处理达标后</w:t>
                  </w:r>
                  <w:r>
                    <w:rPr>
                      <w:rFonts w:hint="eastAsia"/>
                      <w:color w:val="auto"/>
                      <w:sz w:val="21"/>
                      <w:szCs w:val="21"/>
                      <w:lang w:eastAsia="zh-CN"/>
                    </w:rPr>
                    <w:t>进入污</w:t>
                  </w:r>
                  <w:r>
                    <w:rPr>
                      <w:rFonts w:hint="eastAsia" w:ascii="Times New Roman" w:hAnsi="Times New Roman" w:eastAsia="宋体" w:cs="Times New Roman"/>
                      <w:color w:val="auto"/>
                      <w:sz w:val="21"/>
                      <w:lang w:eastAsia="zh-CN"/>
                    </w:rPr>
                    <w:t>水处理厂</w:t>
                  </w:r>
                  <w:r>
                    <w:rPr>
                      <w:rFonts w:ascii="Times New Roman" w:hAnsi="Times New Roman" w:eastAsia="宋体" w:cs="Times New Roman"/>
                      <w:color w:val="auto"/>
                      <w:sz w:val="21"/>
                    </w:rPr>
                    <w:t>；</w:t>
                  </w:r>
                </w:p>
                <w:p>
                  <w:pPr>
                    <w:spacing w:line="240" w:lineRule="auto"/>
                    <w:ind w:firstLine="0" w:firstLineChars="0"/>
                    <w:jc w:val="center"/>
                    <w:rPr>
                      <w:color w:val="auto"/>
                    </w:rPr>
                  </w:pPr>
                  <w:r>
                    <w:rPr>
                      <w:rFonts w:hint="eastAsia" w:ascii="宋体" w:hAnsi="宋体" w:cs="宋体"/>
                      <w:color w:val="auto"/>
                      <w:sz w:val="21"/>
                      <w:szCs w:val="21"/>
                    </w:rPr>
                    <w:t>②</w:t>
                  </w:r>
                  <w:r>
                    <w:rPr>
                      <w:color w:val="auto"/>
                      <w:sz w:val="21"/>
                      <w:szCs w:val="21"/>
                    </w:rPr>
                    <w:t>特殊废液委托有资质的单位进行处置。</w:t>
                  </w:r>
                </w:p>
              </w:tc>
              <w:tc>
                <w:tcPr>
                  <w:tcW w:w="995"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供电工程</w:t>
                  </w:r>
                </w:p>
              </w:tc>
              <w:tc>
                <w:tcPr>
                  <w:tcW w:w="2637"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由市政引来一路10kV电源供电，同时设置一台400kW柴油发电机组备用。</w:t>
                  </w:r>
                </w:p>
              </w:tc>
              <w:tc>
                <w:tcPr>
                  <w:tcW w:w="995"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暖通工程</w:t>
                  </w:r>
                </w:p>
              </w:tc>
              <w:tc>
                <w:tcPr>
                  <w:tcW w:w="2637"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 xml:space="preserve">需24小时专用的房间设独立的空调系统，可独立调节以保证环境所需 </w:t>
                  </w:r>
                </w:p>
                <w:p>
                  <w:pPr>
                    <w:spacing w:line="240" w:lineRule="auto"/>
                    <w:ind w:firstLine="0" w:firstLineChars="0"/>
                    <w:jc w:val="center"/>
                    <w:rPr>
                      <w:color w:val="auto"/>
                      <w:sz w:val="21"/>
                      <w:szCs w:val="21"/>
                    </w:rPr>
                  </w:pPr>
                  <w:r>
                    <w:rPr>
                      <w:color w:val="auto"/>
                      <w:sz w:val="21"/>
                      <w:szCs w:val="21"/>
                    </w:rPr>
                    <w:t xml:space="preserve">的温湿度要求，如信息中心采用恒温恒湿空调系统、消防控制中心及大型 </w:t>
                  </w:r>
                </w:p>
                <w:p>
                  <w:pPr>
                    <w:spacing w:line="240" w:lineRule="auto"/>
                    <w:ind w:firstLine="0" w:firstLineChars="0"/>
                    <w:jc w:val="center"/>
                    <w:rPr>
                      <w:color w:val="auto"/>
                      <w:sz w:val="21"/>
                      <w:szCs w:val="21"/>
                    </w:rPr>
                  </w:pPr>
                  <w:r>
                    <w:rPr>
                      <w:color w:val="auto"/>
                      <w:sz w:val="21"/>
                      <w:szCs w:val="21"/>
                    </w:rPr>
                    <w:t>医疗设备机房、各科室值班室等采用独立的风冷柜式空调机组。</w:t>
                  </w:r>
                </w:p>
              </w:tc>
              <w:tc>
                <w:tcPr>
                  <w:tcW w:w="995"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restart"/>
                  <w:shd w:val="clear" w:color="auto" w:fill="auto"/>
                  <w:noWrap w:val="0"/>
                  <w:vAlign w:val="center"/>
                </w:tcPr>
                <w:p>
                  <w:pPr>
                    <w:spacing w:line="240" w:lineRule="auto"/>
                    <w:ind w:firstLine="0" w:firstLineChars="0"/>
                    <w:jc w:val="center"/>
                    <w:rPr>
                      <w:color w:val="auto"/>
                      <w:sz w:val="21"/>
                      <w:szCs w:val="21"/>
                    </w:rPr>
                  </w:pPr>
                  <w:r>
                    <w:rPr>
                      <w:color w:val="auto"/>
                      <w:sz w:val="21"/>
                      <w:szCs w:val="21"/>
                    </w:rPr>
                    <w:t>环保工程</w:t>
                  </w: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废气处理</w:t>
                  </w:r>
                </w:p>
              </w:tc>
              <w:tc>
                <w:tcPr>
                  <w:tcW w:w="2637" w:type="pct"/>
                  <w:shd w:val="clear" w:color="auto" w:fill="auto"/>
                  <w:noWrap w:val="0"/>
                  <w:vAlign w:val="center"/>
                </w:tcPr>
                <w:p>
                  <w:pPr>
                    <w:spacing w:line="240" w:lineRule="auto"/>
                    <w:ind w:firstLine="0" w:firstLineChars="0"/>
                    <w:jc w:val="left"/>
                    <w:rPr>
                      <w:rFonts w:hint="eastAsia" w:eastAsia="宋体"/>
                      <w:color w:val="auto"/>
                      <w:sz w:val="21"/>
                      <w:szCs w:val="21"/>
                      <w:lang w:eastAsia="zh-CN"/>
                    </w:rPr>
                  </w:pPr>
                  <w:r>
                    <w:rPr>
                      <w:rFonts w:hint="eastAsia" w:ascii="宋体" w:hAnsi="宋体" w:cs="宋体"/>
                      <w:color w:val="auto"/>
                      <w:sz w:val="21"/>
                      <w:szCs w:val="21"/>
                    </w:rPr>
                    <w:t>①</w:t>
                  </w:r>
                  <w:r>
                    <w:rPr>
                      <w:color w:val="auto"/>
                      <w:sz w:val="21"/>
                      <w:szCs w:val="21"/>
                    </w:rPr>
                    <w:t>污水处理站恶臭废气：污水处理站</w:t>
                  </w:r>
                  <w:r>
                    <w:rPr>
                      <w:rFonts w:hint="eastAsia"/>
                      <w:color w:val="auto"/>
                      <w:sz w:val="21"/>
                      <w:szCs w:val="21"/>
                      <w:lang w:eastAsia="zh-CN"/>
                    </w:rPr>
                    <w:t>密闭，定期喷洒除臭剂；</w:t>
                  </w:r>
                </w:p>
                <w:p>
                  <w:pPr>
                    <w:spacing w:line="240" w:lineRule="auto"/>
                    <w:ind w:firstLine="0" w:firstLineChars="0"/>
                    <w:jc w:val="left"/>
                    <w:rPr>
                      <w:color w:val="auto"/>
                      <w:sz w:val="21"/>
                    </w:rPr>
                  </w:pPr>
                  <w:r>
                    <w:rPr>
                      <w:rFonts w:hint="eastAsia" w:ascii="宋体" w:hAnsi="宋体" w:cs="宋体"/>
                      <w:color w:val="auto"/>
                      <w:sz w:val="21"/>
                      <w:szCs w:val="21"/>
                    </w:rPr>
                    <w:t>②</w:t>
                  </w:r>
                  <w:r>
                    <w:rPr>
                      <w:color w:val="auto"/>
                      <w:sz w:val="21"/>
                      <w:szCs w:val="21"/>
                    </w:rPr>
                    <w:t>食堂油烟废气：设油烟净化器对油烟处理后通过油烟通道</w:t>
                  </w:r>
                  <w:r>
                    <w:rPr>
                      <w:color w:val="auto"/>
                      <w:sz w:val="21"/>
                    </w:rPr>
                    <w:t>排放。</w:t>
                  </w:r>
                </w:p>
                <w:p>
                  <w:pPr>
                    <w:spacing w:line="240" w:lineRule="auto"/>
                    <w:ind w:firstLine="0" w:firstLineChars="0"/>
                    <w:jc w:val="left"/>
                    <w:rPr>
                      <w:rFonts w:hint="eastAsia" w:eastAsia="宋体"/>
                      <w:color w:val="auto"/>
                      <w:sz w:val="21"/>
                      <w:lang w:val="en-US" w:eastAsia="zh-CN"/>
                    </w:rPr>
                  </w:pPr>
                  <w:r>
                    <w:rPr>
                      <w:rFonts w:hint="eastAsia"/>
                      <w:color w:val="auto"/>
                      <w:sz w:val="21"/>
                      <w:lang w:val="en-US" w:eastAsia="zh-CN"/>
                    </w:rPr>
                    <w:t>③</w:t>
                  </w:r>
                  <w:r>
                    <w:rPr>
                      <w:rFonts w:hint="eastAsia"/>
                      <w:color w:val="auto"/>
                      <w:sz w:val="21"/>
                      <w:szCs w:val="21"/>
                      <w:lang w:val="en-US" w:eastAsia="zh-CN"/>
                    </w:rPr>
                    <w:t>实验室废气：</w:t>
                  </w:r>
                  <w:r>
                    <w:rPr>
                      <w:rFonts w:hint="eastAsia"/>
                      <w:color w:val="auto"/>
                      <w:sz w:val="21"/>
                      <w:szCs w:val="21"/>
                      <w:lang w:eastAsia="zh-CN"/>
                    </w:rPr>
                    <w:t>活性炭吸附处理后由屋顶高空排放，排放高度2</w:t>
                  </w:r>
                  <w:r>
                    <w:rPr>
                      <w:rFonts w:hint="eastAsia"/>
                      <w:color w:val="auto"/>
                      <w:sz w:val="21"/>
                      <w:szCs w:val="21"/>
                      <w:lang w:val="en-US" w:eastAsia="zh-CN"/>
                    </w:rPr>
                    <w:t>0</w:t>
                  </w:r>
                  <w:r>
                    <w:rPr>
                      <w:rFonts w:hint="eastAsia"/>
                      <w:color w:val="auto"/>
                      <w:sz w:val="21"/>
                      <w:szCs w:val="21"/>
                      <w:lang w:eastAsia="zh-CN"/>
                    </w:rPr>
                    <w:t>m。</w:t>
                  </w:r>
                </w:p>
              </w:tc>
              <w:tc>
                <w:tcPr>
                  <w:tcW w:w="995"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废水处理</w:t>
                  </w:r>
                </w:p>
              </w:tc>
              <w:tc>
                <w:tcPr>
                  <w:tcW w:w="2637" w:type="pct"/>
                  <w:shd w:val="clear" w:color="auto" w:fill="auto"/>
                  <w:noWrap w:val="0"/>
                  <w:vAlign w:val="center"/>
                </w:tcPr>
                <w:p>
                  <w:pPr>
                    <w:spacing w:line="240" w:lineRule="auto"/>
                    <w:ind w:firstLine="0" w:firstLineChars="0"/>
                    <w:jc w:val="center"/>
                    <w:rPr>
                      <w:color w:val="auto"/>
                      <w:sz w:val="21"/>
                      <w:szCs w:val="21"/>
                    </w:rPr>
                  </w:pPr>
                  <w:r>
                    <w:rPr>
                      <w:rFonts w:hint="eastAsia" w:ascii="宋体" w:hAnsi="宋体" w:cs="宋体"/>
                      <w:color w:val="auto"/>
                      <w:sz w:val="21"/>
                      <w:szCs w:val="21"/>
                    </w:rPr>
                    <w:t>①</w:t>
                  </w:r>
                  <w:r>
                    <w:rPr>
                      <w:color w:val="auto"/>
                      <w:sz w:val="21"/>
                      <w:szCs w:val="21"/>
                    </w:rPr>
                    <w:t>食堂废水经隔油池预处理后接区内综合污水处理设施处理达标后综合利用；</w:t>
                  </w:r>
                </w:p>
                <w:p>
                  <w:pPr>
                    <w:spacing w:line="240" w:lineRule="auto"/>
                    <w:ind w:firstLine="0" w:firstLineChars="0"/>
                    <w:jc w:val="center"/>
                    <w:rPr>
                      <w:color w:val="auto"/>
                      <w:sz w:val="21"/>
                      <w:szCs w:val="21"/>
                    </w:rPr>
                  </w:pPr>
                  <w:r>
                    <w:rPr>
                      <w:rFonts w:hint="eastAsia" w:ascii="宋体" w:hAnsi="宋体" w:cs="宋体"/>
                      <w:color w:val="auto"/>
                      <w:sz w:val="21"/>
                      <w:szCs w:val="21"/>
                    </w:rPr>
                    <w:t>②</w:t>
                  </w:r>
                  <w:r>
                    <w:rPr>
                      <w:color w:val="auto"/>
                      <w:sz w:val="21"/>
                      <w:szCs w:val="21"/>
                    </w:rPr>
                    <w:t>生活废水及医疗废水</w:t>
                  </w:r>
                  <w:r>
                    <w:rPr>
                      <w:rFonts w:hint="eastAsia"/>
                      <w:color w:val="auto"/>
                      <w:sz w:val="21"/>
                      <w:lang w:val="en-US" w:eastAsia="zh-CN"/>
                    </w:rPr>
                    <w:t>依托于厂区</w:t>
                  </w:r>
                  <w:r>
                    <w:rPr>
                      <w:color w:val="auto"/>
                      <w:sz w:val="21"/>
                      <w:szCs w:val="21"/>
                    </w:rPr>
                    <w:t>化粪池预处理后接区内综合污水处理设施处理达标后综合利用，不外排。</w:t>
                  </w:r>
                </w:p>
              </w:tc>
              <w:tc>
                <w:tcPr>
                  <w:tcW w:w="995"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噪声防治措施</w:t>
                  </w:r>
                </w:p>
              </w:tc>
              <w:tc>
                <w:tcPr>
                  <w:tcW w:w="2637" w:type="pct"/>
                  <w:shd w:val="clear" w:color="auto" w:fill="auto"/>
                  <w:noWrap w:val="0"/>
                  <w:vAlign w:val="center"/>
                </w:tcPr>
                <w:p>
                  <w:pPr>
                    <w:spacing w:line="240" w:lineRule="auto"/>
                    <w:ind w:firstLine="0" w:firstLineChars="0"/>
                    <w:jc w:val="center"/>
                    <w:rPr>
                      <w:color w:val="auto"/>
                      <w:sz w:val="21"/>
                      <w:szCs w:val="21"/>
                    </w:rPr>
                  </w:pPr>
                  <w:r>
                    <w:rPr>
                      <w:color w:val="auto"/>
                      <w:sz w:val="21"/>
                    </w:rPr>
                    <w:t>对项目主要高噪声机械设备采取减振、吸声、隔声等降噪措施，加强医院进出车辆管理。</w:t>
                  </w:r>
                </w:p>
              </w:tc>
              <w:tc>
                <w:tcPr>
                  <w:tcW w:w="995"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固废处置</w:t>
                  </w:r>
                </w:p>
              </w:tc>
              <w:tc>
                <w:tcPr>
                  <w:tcW w:w="2637" w:type="pct"/>
                  <w:shd w:val="clear" w:color="auto" w:fill="auto"/>
                  <w:noWrap w:val="0"/>
                  <w:vAlign w:val="center"/>
                </w:tcPr>
                <w:p>
                  <w:pPr>
                    <w:spacing w:line="240" w:lineRule="auto"/>
                    <w:ind w:firstLine="0" w:firstLineChars="0"/>
                    <w:jc w:val="center"/>
                    <w:rPr>
                      <w:color w:val="auto"/>
                      <w:sz w:val="21"/>
                      <w:szCs w:val="21"/>
                    </w:rPr>
                  </w:pPr>
                  <w:r>
                    <w:rPr>
                      <w:rFonts w:hint="eastAsia" w:ascii="宋体" w:hAnsi="宋体" w:cs="宋体"/>
                      <w:color w:val="auto"/>
                      <w:sz w:val="21"/>
                      <w:szCs w:val="21"/>
                    </w:rPr>
                    <w:t>①</w:t>
                  </w:r>
                  <w:r>
                    <w:rPr>
                      <w:color w:val="auto"/>
                      <w:sz w:val="21"/>
                      <w:szCs w:val="21"/>
                    </w:rPr>
                    <w:t>设置一间医疗垃圾站，采用特殊标准的塑料袋或桶分类收集后贮存（含医疗废物、污水站污泥、医疗废液及废活性炭等），最后委托有资质单位进行处理。</w:t>
                  </w:r>
                  <w:r>
                    <w:rPr>
                      <w:rFonts w:hint="eastAsia" w:ascii="宋体" w:hAnsi="宋体" w:cs="宋体"/>
                      <w:color w:val="auto"/>
                      <w:sz w:val="21"/>
                      <w:szCs w:val="21"/>
                    </w:rPr>
                    <w:t>②</w:t>
                  </w:r>
                  <w:r>
                    <w:rPr>
                      <w:color w:val="auto"/>
                      <w:sz w:val="21"/>
                      <w:szCs w:val="21"/>
                    </w:rPr>
                    <w:t>各楼层设置垃圾收集装置，对产生的生活垃圾进行统一收集，及时清运。</w:t>
                  </w:r>
                </w:p>
              </w:tc>
              <w:tc>
                <w:tcPr>
                  <w:tcW w:w="995" w:type="pct"/>
                  <w:shd w:val="clear" w:color="auto" w:fill="auto"/>
                  <w:noWrap w:val="0"/>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12" w:type="pct"/>
                  <w:vMerge w:val="continue"/>
                  <w:shd w:val="clear" w:color="auto" w:fill="auto"/>
                  <w:noWrap w:val="0"/>
                  <w:vAlign w:val="center"/>
                </w:tcPr>
                <w:p>
                  <w:pPr>
                    <w:spacing w:line="240" w:lineRule="auto"/>
                    <w:ind w:firstLine="0" w:firstLineChars="0"/>
                    <w:jc w:val="center"/>
                    <w:rPr>
                      <w:color w:val="auto"/>
                      <w:sz w:val="21"/>
                      <w:szCs w:val="21"/>
                    </w:rPr>
                  </w:pPr>
                </w:p>
              </w:tc>
              <w:tc>
                <w:tcPr>
                  <w:tcW w:w="754"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绿化工程</w:t>
                  </w:r>
                </w:p>
              </w:tc>
              <w:tc>
                <w:tcPr>
                  <w:tcW w:w="2637"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区内绿化率</w:t>
                  </w:r>
                  <w:r>
                    <w:rPr>
                      <w:rFonts w:ascii="Times New Roman" w:hAnsi="Times New Roman" w:eastAsia="宋体" w:cs="Times New Roman"/>
                      <w:color w:val="auto"/>
                      <w:sz w:val="21"/>
                      <w:szCs w:val="21"/>
                    </w:rPr>
                    <w:t>达</w:t>
                  </w:r>
                  <w:r>
                    <w:rPr>
                      <w:rFonts w:hint="eastAsia" w:ascii="Times New Roman" w:hAnsi="Times New Roman" w:eastAsia="宋体" w:cs="Times New Roman"/>
                      <w:color w:val="auto"/>
                      <w:sz w:val="21"/>
                      <w:szCs w:val="21"/>
                      <w:lang w:val="en-US" w:eastAsia="zh-CN"/>
                    </w:rPr>
                    <w:t>2.65</w:t>
                  </w:r>
                  <w:r>
                    <w:rPr>
                      <w:rFonts w:ascii="Times New Roman" w:hAnsi="Times New Roman" w:eastAsia="宋体" w:cs="Times New Roman"/>
                      <w:color w:val="auto"/>
                      <w:sz w:val="21"/>
                      <w:szCs w:val="21"/>
                    </w:rPr>
                    <w:t>%</w:t>
                  </w:r>
                </w:p>
              </w:tc>
              <w:tc>
                <w:tcPr>
                  <w:tcW w:w="995" w:type="pct"/>
                  <w:shd w:val="clear" w:color="auto" w:fill="auto"/>
                  <w:noWrap w:val="0"/>
                  <w:vAlign w:val="center"/>
                </w:tcPr>
                <w:p>
                  <w:pPr>
                    <w:spacing w:line="240" w:lineRule="auto"/>
                    <w:ind w:firstLine="0" w:firstLineChars="0"/>
                    <w:jc w:val="center"/>
                    <w:rPr>
                      <w:color w:val="auto"/>
                      <w:sz w:val="21"/>
                      <w:szCs w:val="21"/>
                    </w:rPr>
                  </w:pPr>
                  <w:r>
                    <w:rPr>
                      <w:color w:val="auto"/>
                      <w:sz w:val="21"/>
                      <w:szCs w:val="21"/>
                    </w:rPr>
                    <w:t>/</w:t>
                  </w:r>
                </w:p>
              </w:tc>
            </w:tr>
          </w:tbl>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2.2.</w:t>
            </w:r>
            <w:r>
              <w:rPr>
                <w:rFonts w:hint="eastAsia" w:cs="Times New Roman"/>
                <w:b/>
                <w:color w:val="auto"/>
                <w:kern w:val="2"/>
                <w:sz w:val="24"/>
                <w:szCs w:val="24"/>
                <w:highlight w:val="none"/>
                <w:lang w:val="en-US" w:eastAsia="zh-CN" w:bidi="ar-SA"/>
              </w:rPr>
              <w:t>3</w:t>
            </w:r>
            <w:r>
              <w:rPr>
                <w:rFonts w:hint="default" w:ascii="Times New Roman" w:hAnsi="Times New Roman" w:eastAsia="宋体" w:cs="Times New Roman"/>
                <w:b/>
                <w:color w:val="auto"/>
                <w:kern w:val="2"/>
                <w:sz w:val="24"/>
                <w:szCs w:val="24"/>
                <w:highlight w:val="none"/>
                <w:lang w:val="en-US" w:eastAsia="zh-CN" w:bidi="ar-SA"/>
              </w:rPr>
              <w:t>主要生产设备</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本项目的主要生产设备详见表2.2-</w:t>
            </w:r>
            <w:r>
              <w:rPr>
                <w:rFonts w:hint="eastAsia"/>
                <w:color w:val="auto"/>
                <w:lang w:val="en-US" w:eastAsia="zh-CN"/>
              </w:rPr>
              <w:t>2</w:t>
            </w:r>
            <w:r>
              <w:rPr>
                <w:rFonts w:hint="default"/>
                <w:color w:val="auto"/>
              </w:rPr>
              <w:t>。</w:t>
            </w:r>
          </w:p>
          <w:p>
            <w:pPr>
              <w:bidi w:val="0"/>
              <w:jc w:val="center"/>
              <w:rPr>
                <w:rFonts w:hint="default"/>
                <w:b/>
                <w:bCs/>
                <w:color w:val="auto"/>
              </w:rPr>
            </w:pPr>
            <w:r>
              <w:rPr>
                <w:rFonts w:hint="default"/>
                <w:b/>
                <w:bCs/>
                <w:color w:val="auto"/>
              </w:rPr>
              <w:t>表2.2-</w:t>
            </w:r>
            <w:r>
              <w:rPr>
                <w:rFonts w:hint="eastAsia"/>
                <w:b/>
                <w:bCs/>
                <w:color w:val="auto"/>
                <w:lang w:val="en-US" w:eastAsia="zh-CN"/>
              </w:rPr>
              <w:t>2</w:t>
            </w:r>
            <w:r>
              <w:rPr>
                <w:rFonts w:hint="default"/>
                <w:b/>
                <w:bCs/>
                <w:color w:val="auto"/>
              </w:rPr>
              <w:t xml:space="preserve"> 项目主要设备一览表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3"/>
              <w:gridCol w:w="2950"/>
              <w:gridCol w:w="1830"/>
              <w:gridCol w:w="810"/>
              <w:gridCol w:w="7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9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医疗设备名称</w:t>
                  </w:r>
                </w:p>
              </w:tc>
              <w:tc>
                <w:tcPr>
                  <w:tcW w:w="12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型号</w:t>
                  </w:r>
                </w:p>
              </w:tc>
              <w:tc>
                <w:tcPr>
                  <w:tcW w:w="53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单位</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麻醉机</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4"/>
                      <w:szCs w:val="24"/>
                      <w:u w:val="none"/>
                      <w:lang w:val="en-US" w:eastAsia="zh-CN" w:bidi="ar"/>
                    </w:rPr>
                    <w:t>wato ex-20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心电监护仪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Umec6</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呼吸机</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SH300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数字化摄影X射线机</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RayNova DRsc4</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电动洗胃机</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DXW-A</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彩色多普勒超声系统</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Consona N6T</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数字脑电地形图仪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EK-8200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全数字多道心电图机</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BeneHeart</w:t>
                  </w:r>
                  <w:r>
                    <w:rPr>
                      <w:rFonts w:hint="eastAsia" w:ascii="Times New Roman" w:hAnsi="Times New Roman" w:cs="Times New Roman"/>
                      <w:i w:val="0"/>
                      <w:iCs w:val="0"/>
                      <w:color w:val="auto"/>
                      <w:kern w:val="0"/>
                      <w:sz w:val="22"/>
                      <w:szCs w:val="22"/>
                      <w:u w:val="none"/>
                      <w:lang w:val="en-US" w:eastAsia="zh-CN" w:bidi="ar"/>
                    </w:rPr>
                    <w:t xml:space="preserve"> </w:t>
                  </w:r>
                  <w:r>
                    <w:rPr>
                      <w:rFonts w:hint="default" w:ascii="Times New Roman" w:hAnsi="Times New Roman" w:eastAsia="宋体" w:cs="Times New Roman"/>
                      <w:i w:val="0"/>
                      <w:iCs w:val="0"/>
                      <w:color w:val="auto"/>
                      <w:kern w:val="0"/>
                      <w:sz w:val="22"/>
                      <w:szCs w:val="22"/>
                      <w:u w:val="none"/>
                      <w:lang w:val="en-US" w:eastAsia="zh-CN" w:bidi="ar"/>
                    </w:rPr>
                    <w:t>R12</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多导睡眠监测仪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PSM-R</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半自动体外除颤器</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BeneHeart S1</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全自动血液细胞分析仪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BC-5380CRP</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全自动生化分析仪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BS-830S</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全自动化学发光免疫分析仪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CL-900I</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尿液分析仪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URIT-180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医用离心机</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TD4Z-ws</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生物反馈仪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FM-P100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经颅磁刺激仪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NTK-TMS-II100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美丽心灵心理测评与心理危机干预系统V10.0网络版</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BS-XLCPWL-3</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套</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美丽心灵韦氏智力测验系统V6.0第3版（成人+儿童）</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V6.0第3版</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套</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中频脉冲治疗仪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立柜SC-ZP-3100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19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低频脉冲治疗仪</w:t>
                  </w:r>
                </w:p>
              </w:tc>
              <w:tc>
                <w:tcPr>
                  <w:tcW w:w="121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立柜SC-DP-1000</w:t>
                  </w:r>
                </w:p>
              </w:tc>
              <w:tc>
                <w:tcPr>
                  <w:tcW w:w="53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台</w:t>
                  </w:r>
                </w:p>
              </w:tc>
              <w:tc>
                <w:tcPr>
                  <w:tcW w:w="4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2</w:t>
                  </w:r>
                </w:p>
              </w:tc>
            </w:tr>
          </w:tbl>
          <w:p>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Times New Roman" w:hAnsi="Times New Roman"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备注：本项目不含放射性仪器</w:t>
            </w:r>
            <w:r>
              <w:rPr>
                <w:rFonts w:hint="eastAsia" w:ascii="Times New Roman" w:hAnsi="Times New Roman" w:cs="Times New Roman"/>
                <w:i w:val="0"/>
                <w:iCs w:val="0"/>
                <w:color w:val="auto"/>
                <w:kern w:val="0"/>
                <w:sz w:val="22"/>
                <w:szCs w:val="22"/>
                <w:u w:val="none"/>
                <w:lang w:val="en-US" w:eastAsia="zh-CN" w:bidi="ar"/>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2.2.</w:t>
            </w:r>
            <w:r>
              <w:rPr>
                <w:rFonts w:hint="eastAsia" w:cs="Times New Roman"/>
                <w:b/>
                <w:color w:val="auto"/>
                <w:kern w:val="2"/>
                <w:sz w:val="24"/>
                <w:szCs w:val="24"/>
                <w:highlight w:val="none"/>
                <w:lang w:val="en-US" w:eastAsia="zh-CN" w:bidi="ar-SA"/>
              </w:rPr>
              <w:t>4</w:t>
            </w:r>
            <w:r>
              <w:rPr>
                <w:rFonts w:hint="default" w:ascii="Times New Roman" w:hAnsi="Times New Roman" w:eastAsia="宋体" w:cs="Times New Roman"/>
                <w:b/>
                <w:color w:val="auto"/>
                <w:kern w:val="2"/>
                <w:sz w:val="24"/>
                <w:szCs w:val="24"/>
                <w:highlight w:val="none"/>
                <w:lang w:val="en-US" w:eastAsia="zh-CN" w:bidi="ar-SA"/>
              </w:rPr>
              <w:t>主要生产设备</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本项目的主要</w:t>
            </w:r>
            <w:r>
              <w:rPr>
                <w:rFonts w:hint="eastAsia"/>
                <w:color w:val="auto"/>
                <w:lang w:val="en-US" w:eastAsia="zh-CN"/>
              </w:rPr>
              <w:t>医疗用品</w:t>
            </w:r>
            <w:r>
              <w:rPr>
                <w:rFonts w:hint="default"/>
                <w:color w:val="auto"/>
              </w:rPr>
              <w:t>详见表2.2-</w:t>
            </w:r>
            <w:r>
              <w:rPr>
                <w:rFonts w:hint="eastAsia"/>
                <w:color w:val="auto"/>
                <w:lang w:val="en-US" w:eastAsia="zh-CN"/>
              </w:rPr>
              <w:t>3</w:t>
            </w:r>
            <w:r>
              <w:rPr>
                <w:rFonts w:hint="default"/>
                <w:color w:val="auto"/>
              </w:rPr>
              <w:t>。</w:t>
            </w:r>
          </w:p>
          <w:p>
            <w:pPr>
              <w:keepNext w:val="0"/>
              <w:keepLines w:val="0"/>
              <w:pageBreakBefore w:val="0"/>
              <w:widowControl w:val="0"/>
              <w:kinsoku/>
              <w:wordWrap/>
              <w:overflowPunct/>
              <w:topLinePunct w:val="0"/>
              <w:autoSpaceDE/>
              <w:autoSpaceDN/>
              <w:bidi w:val="0"/>
              <w:adjustRightInd/>
              <w:snapToGrid/>
              <w:ind w:firstLine="482" w:firstLineChars="200"/>
              <w:jc w:val="center"/>
              <w:textAlignment w:val="auto"/>
              <w:rPr>
                <w:rFonts w:hint="eastAsia"/>
                <w:b/>
                <w:bCs/>
                <w:color w:val="auto"/>
                <w:lang w:val="en-US" w:eastAsia="zh-CN"/>
              </w:rPr>
            </w:pPr>
            <w:r>
              <w:rPr>
                <w:rFonts w:hint="eastAsia"/>
                <w:b/>
                <w:bCs/>
                <w:color w:val="auto"/>
                <w:lang w:val="en-US" w:eastAsia="zh-CN"/>
              </w:rPr>
              <w:t>表2.2-3 医疗用品消耗表</w:t>
            </w:r>
          </w:p>
          <w:tbl>
            <w:tblPr>
              <w:tblStyle w:val="27"/>
              <w:tblW w:w="752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2399"/>
              <w:gridCol w:w="1881"/>
              <w:gridCol w:w="1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3" w:type="dxa"/>
                  <w:tcBorders>
                    <w:top w:val="single" w:color="auto" w:sz="12" w:space="0"/>
                    <w:lef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序号</w:t>
                  </w:r>
                </w:p>
              </w:tc>
              <w:tc>
                <w:tcPr>
                  <w:tcW w:w="2399" w:type="dxa"/>
                  <w:tcBorders>
                    <w:top w:val="single" w:color="auto" w:sz="12"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名称</w:t>
                  </w:r>
                </w:p>
              </w:tc>
              <w:tc>
                <w:tcPr>
                  <w:tcW w:w="1881" w:type="dxa"/>
                  <w:tcBorders>
                    <w:top w:val="single" w:color="auto" w:sz="12"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年用量</w:t>
                  </w:r>
                </w:p>
              </w:tc>
              <w:tc>
                <w:tcPr>
                  <w:tcW w:w="1881" w:type="dxa"/>
                  <w:tcBorders>
                    <w:top w:val="single" w:color="auto" w:sz="12"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3" w:type="dxa"/>
                  <w:tcBorders>
                    <w:lef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w:t>
                  </w:r>
                </w:p>
              </w:tc>
              <w:tc>
                <w:tcPr>
                  <w:tcW w:w="2399" w:type="dxa"/>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医用药品</w:t>
                  </w:r>
                </w:p>
              </w:tc>
              <w:tc>
                <w:tcPr>
                  <w:tcW w:w="1881" w:type="dxa"/>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1000</w:t>
                  </w:r>
                </w:p>
              </w:tc>
              <w:tc>
                <w:tcPr>
                  <w:tcW w:w="1881" w:type="dxa"/>
                  <w:tcBorders>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万支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3" w:type="dxa"/>
                  <w:tcBorders>
                    <w:lef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2</w:t>
                  </w:r>
                </w:p>
              </w:tc>
              <w:tc>
                <w:tcPr>
                  <w:tcW w:w="2399" w:type="dxa"/>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检测试剂</w:t>
                  </w:r>
                </w:p>
              </w:tc>
              <w:tc>
                <w:tcPr>
                  <w:tcW w:w="1881" w:type="dxa"/>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15</w:t>
                  </w:r>
                </w:p>
              </w:tc>
              <w:tc>
                <w:tcPr>
                  <w:tcW w:w="1881" w:type="dxa"/>
                  <w:tcBorders>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万支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3" w:type="dxa"/>
                  <w:tcBorders>
                    <w:lef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3</w:t>
                  </w:r>
                </w:p>
              </w:tc>
              <w:tc>
                <w:tcPr>
                  <w:tcW w:w="2399" w:type="dxa"/>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医护用品（敷料材料）</w:t>
                  </w:r>
                </w:p>
              </w:tc>
              <w:tc>
                <w:tcPr>
                  <w:tcW w:w="1881" w:type="dxa"/>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30</w:t>
                  </w:r>
                </w:p>
              </w:tc>
              <w:tc>
                <w:tcPr>
                  <w:tcW w:w="1881" w:type="dxa"/>
                  <w:tcBorders>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万快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363" w:type="dxa"/>
                  <w:tcBorders>
                    <w:lef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4</w:t>
                  </w:r>
                </w:p>
              </w:tc>
              <w:tc>
                <w:tcPr>
                  <w:tcW w:w="2399" w:type="dxa"/>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医护用品（注射材料）</w:t>
                  </w:r>
                </w:p>
              </w:tc>
              <w:tc>
                <w:tcPr>
                  <w:tcW w:w="1881" w:type="dxa"/>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10</w:t>
                  </w:r>
                </w:p>
              </w:tc>
              <w:tc>
                <w:tcPr>
                  <w:tcW w:w="1881" w:type="dxa"/>
                  <w:tcBorders>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万支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3" w:type="dxa"/>
                  <w:tcBorders>
                    <w:left w:val="nil"/>
                    <w:bottom w:val="single" w:color="auto" w:sz="12"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5</w:t>
                  </w:r>
                </w:p>
              </w:tc>
              <w:tc>
                <w:tcPr>
                  <w:tcW w:w="2399" w:type="dxa"/>
                  <w:tcBorders>
                    <w:bottom w:val="single" w:color="auto" w:sz="12"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医用消毒剂</w:t>
                  </w:r>
                </w:p>
              </w:tc>
              <w:tc>
                <w:tcPr>
                  <w:tcW w:w="1881" w:type="dxa"/>
                  <w:tcBorders>
                    <w:bottom w:val="single" w:color="auto" w:sz="12"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2</w:t>
                  </w:r>
                </w:p>
              </w:tc>
              <w:tc>
                <w:tcPr>
                  <w:tcW w:w="1881" w:type="dxa"/>
                  <w:tcBorders>
                    <w:bottom w:val="single" w:color="auto" w:sz="12"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万瓶</w:t>
                  </w:r>
                </w:p>
              </w:tc>
            </w:tr>
          </w:tbl>
          <w:p>
            <w:pPr>
              <w:bidi w:val="0"/>
              <w:rPr>
                <w:rFonts w:hint="eastAsia" w:ascii="Times New Roman" w:hAnsi="Times New Roman" w:eastAsia="宋体" w:cs="Times New Roman"/>
                <w:b/>
                <w:color w:val="auto"/>
                <w:sz w:val="24"/>
                <w:szCs w:val="24"/>
                <w:highlight w:val="none"/>
                <w:lang w:val="en-US" w:eastAsia="zh-CN"/>
              </w:rPr>
            </w:pPr>
            <w:r>
              <w:rPr>
                <w:rFonts w:hint="default"/>
                <w:b/>
                <w:bCs/>
                <w:color w:val="auto"/>
                <w:lang w:val="en-US" w:eastAsia="zh-CN"/>
              </w:rPr>
              <w:t>2.2.</w:t>
            </w:r>
            <w:r>
              <w:rPr>
                <w:rFonts w:hint="eastAsia"/>
                <w:b/>
                <w:bCs/>
                <w:color w:val="auto"/>
                <w:lang w:val="en-US" w:eastAsia="zh-CN"/>
              </w:rPr>
              <w:t>5</w:t>
            </w:r>
            <w:r>
              <w:rPr>
                <w:rFonts w:hint="eastAsia" w:ascii="Times New Roman" w:hAnsi="Times New Roman" w:eastAsia="宋体" w:cs="Times New Roman"/>
                <w:b/>
                <w:color w:val="auto"/>
                <w:sz w:val="24"/>
                <w:szCs w:val="24"/>
                <w:highlight w:val="none"/>
                <w:lang w:val="en-US" w:eastAsia="zh-CN"/>
              </w:rPr>
              <w:t>总平面布局方案</w:t>
            </w:r>
          </w:p>
          <w:p>
            <w:pPr>
              <w:widowControl/>
              <w:ind w:firstLine="480"/>
              <w:jc w:val="left"/>
              <w:rPr>
                <w:color w:val="auto"/>
                <w:kern w:val="0"/>
                <w:lang w:bidi="ar"/>
              </w:rPr>
            </w:pPr>
            <w:r>
              <w:rPr>
                <w:rFonts w:hint="default"/>
                <w:color w:val="auto"/>
                <w:lang w:val="zh-CN"/>
              </w:rPr>
              <w:t>福清福宁医院</w:t>
            </w:r>
            <w:r>
              <w:rPr>
                <w:color w:val="auto"/>
              </w:rPr>
              <w:t>项目建设地点位于</w:t>
            </w:r>
            <w:r>
              <w:rPr>
                <w:rFonts w:hint="default"/>
                <w:color w:val="auto"/>
                <w:lang w:val="en-US" w:eastAsia="zh-CN"/>
              </w:rPr>
              <w:t>福建省福州市福清市龙江街道龙江路667号</w:t>
            </w:r>
            <w:r>
              <w:rPr>
                <w:color w:val="auto"/>
              </w:rPr>
              <w:t>，项目用地面积10000m</w:t>
            </w:r>
            <w:r>
              <w:rPr>
                <w:color w:val="auto"/>
                <w:vertAlign w:val="superscript"/>
              </w:rPr>
              <w:t>2</w:t>
            </w:r>
            <w:r>
              <w:rPr>
                <w:rFonts w:hint="eastAsia"/>
                <w:color w:val="auto"/>
                <w:lang w:eastAsia="zh-CN"/>
              </w:rPr>
              <w:t>，建筑面积</w:t>
            </w:r>
            <w:r>
              <w:rPr>
                <w:color w:val="auto"/>
              </w:rPr>
              <w:t>1</w:t>
            </w:r>
            <w:r>
              <w:rPr>
                <w:rFonts w:hint="eastAsia"/>
                <w:color w:val="auto"/>
                <w:lang w:val="en-US" w:eastAsia="zh-CN"/>
              </w:rPr>
              <w:t>5</w:t>
            </w:r>
            <w:r>
              <w:rPr>
                <w:color w:val="auto"/>
              </w:rPr>
              <w:t>00</w:t>
            </w:r>
            <w:r>
              <w:rPr>
                <w:rFonts w:hint="eastAsia"/>
                <w:color w:val="auto"/>
                <w:lang w:val="en-US" w:eastAsia="zh-CN"/>
              </w:rPr>
              <w:t>7</w:t>
            </w:r>
            <w:r>
              <w:rPr>
                <w:color w:val="auto"/>
              </w:rPr>
              <w:t>m</w:t>
            </w:r>
            <w:r>
              <w:rPr>
                <w:color w:val="auto"/>
                <w:vertAlign w:val="superscript"/>
              </w:rPr>
              <w:t>2</w:t>
            </w:r>
            <w:r>
              <w:rPr>
                <w:color w:val="auto"/>
                <w:kern w:val="0"/>
                <w:lang w:bidi="ar"/>
              </w:rPr>
              <w:t>。该块地内</w:t>
            </w:r>
            <w:r>
              <w:rPr>
                <w:rFonts w:hint="eastAsia"/>
                <w:color w:val="auto"/>
                <w:kern w:val="0"/>
                <w:lang w:eastAsia="zh-CN" w:bidi="ar"/>
              </w:rPr>
              <w:t>为空置厂房，</w:t>
            </w:r>
            <w:r>
              <w:rPr>
                <w:color w:val="auto"/>
                <w:kern w:val="0"/>
                <w:lang w:bidi="ar"/>
              </w:rPr>
              <w:t>项目开工建设前此块地无遗留的环境问题，项目</w:t>
            </w:r>
            <w:r>
              <w:rPr>
                <w:rFonts w:hint="eastAsia"/>
                <w:color w:val="auto"/>
                <w:kern w:val="0"/>
                <w:lang w:eastAsia="zh-CN" w:bidi="ar"/>
              </w:rPr>
              <w:t>需</w:t>
            </w:r>
            <w:r>
              <w:rPr>
                <w:color w:val="auto"/>
                <w:kern w:val="0"/>
                <w:lang w:bidi="ar"/>
              </w:rPr>
              <w:t>对</w:t>
            </w:r>
            <w:r>
              <w:rPr>
                <w:rFonts w:hint="eastAsia"/>
                <w:color w:val="auto"/>
                <w:kern w:val="0"/>
                <w:lang w:eastAsia="zh-CN" w:bidi="ar"/>
              </w:rPr>
              <w:t>空置厂房</w:t>
            </w:r>
            <w:r>
              <w:rPr>
                <w:color w:val="auto"/>
                <w:kern w:val="0"/>
                <w:lang w:bidi="ar"/>
              </w:rPr>
              <w:t>进行</w:t>
            </w:r>
            <w:r>
              <w:rPr>
                <w:rFonts w:hint="eastAsia"/>
                <w:color w:val="auto"/>
                <w:kern w:val="0"/>
                <w:lang w:eastAsia="zh-CN" w:bidi="ar"/>
              </w:rPr>
              <w:t>整改</w:t>
            </w:r>
            <w:r>
              <w:rPr>
                <w:color w:val="auto"/>
                <w:kern w:val="0"/>
                <w:lang w:bidi="ar"/>
              </w:rPr>
              <w:t>。项目现场照片见图2.</w:t>
            </w:r>
            <w:r>
              <w:rPr>
                <w:rFonts w:hint="eastAsia"/>
                <w:color w:val="auto"/>
                <w:kern w:val="0"/>
                <w:lang w:val="en-US" w:eastAsia="zh-CN" w:bidi="ar"/>
              </w:rPr>
              <w:t>2</w:t>
            </w:r>
            <w:r>
              <w:rPr>
                <w:color w:val="auto"/>
                <w:kern w:val="0"/>
                <w:lang w:bidi="ar"/>
              </w:rPr>
              <w:t>-1。</w:t>
            </w:r>
          </w:p>
          <w:tbl>
            <w:tblPr>
              <w:tblStyle w:val="27"/>
              <w:tblW w:w="4999" w:type="pct"/>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802"/>
              <w:gridCol w:w="37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27" w:type="pct"/>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color w:val="auto"/>
                      <w:sz w:val="24"/>
                      <w:szCs w:val="24"/>
                      <w:highlight w:val="none"/>
                      <w:vertAlign w:val="baseline"/>
                      <w:lang w:val="en-US" w:eastAsia="zh-CN"/>
                    </w:rPr>
                  </w:pPr>
                  <w:r>
                    <w:rPr>
                      <w:color w:val="auto"/>
                    </w:rPr>
                    <w:drawing>
                      <wp:inline distT="0" distB="0" distL="114300" distR="114300">
                        <wp:extent cx="2289175" cy="1740535"/>
                        <wp:effectExtent l="0" t="0" r="15875" b="1206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2289175" cy="1740535"/>
                                </a:xfrm>
                                <a:prstGeom prst="rect">
                                  <a:avLst/>
                                </a:prstGeom>
                                <a:noFill/>
                                <a:ln>
                                  <a:noFill/>
                                </a:ln>
                              </pic:spPr>
                            </pic:pic>
                          </a:graphicData>
                        </a:graphic>
                      </wp:inline>
                    </w:drawing>
                  </w:r>
                </w:p>
              </w:tc>
              <w:tc>
                <w:tcPr>
                  <w:tcW w:w="2472" w:type="pct"/>
                </w:tcPr>
                <w:p>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color w:val="auto"/>
                      <w:sz w:val="24"/>
                      <w:szCs w:val="24"/>
                      <w:highlight w:val="none"/>
                      <w:vertAlign w:val="baseline"/>
                      <w:lang w:val="en-US" w:eastAsia="zh-CN"/>
                    </w:rPr>
                  </w:pPr>
                  <w:r>
                    <w:rPr>
                      <w:color w:val="auto"/>
                    </w:rPr>
                    <w:drawing>
                      <wp:inline distT="0" distB="0" distL="114300" distR="114300">
                        <wp:extent cx="2272030" cy="1703070"/>
                        <wp:effectExtent l="0" t="0" r="13970" b="1143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tretch>
                                  <a:fillRect/>
                                </a:stretch>
                              </pic:blipFill>
                              <pic:spPr>
                                <a:xfrm>
                                  <a:off x="0" y="0"/>
                                  <a:ext cx="2272030" cy="1703070"/>
                                </a:xfrm>
                                <a:prstGeom prst="rect">
                                  <a:avLst/>
                                </a:prstGeom>
                                <a:noFill/>
                                <a:ln>
                                  <a:noFill/>
                                </a:ln>
                              </pic:spPr>
                            </pic:pic>
                          </a:graphicData>
                        </a:graphic>
                      </wp:inline>
                    </w:drawing>
                  </w:r>
                </w:p>
              </w:tc>
            </w:tr>
          </w:tbl>
          <w:p>
            <w:pPr>
              <w:bidi w:val="0"/>
              <w:jc w:val="center"/>
              <w:rPr>
                <w:rFonts w:hint="default"/>
                <w:color w:val="auto"/>
                <w:lang w:val="en-US" w:eastAsia="zh-CN"/>
              </w:rPr>
            </w:pPr>
            <w:r>
              <w:rPr>
                <w:rFonts w:hint="default"/>
                <w:b/>
                <w:bCs/>
                <w:color w:val="auto"/>
                <w:lang w:val="en-US" w:eastAsia="zh-CN"/>
              </w:rPr>
              <w:t>图2.</w:t>
            </w:r>
            <w:r>
              <w:rPr>
                <w:rFonts w:hint="eastAsia"/>
                <w:b/>
                <w:bCs/>
                <w:color w:val="auto"/>
                <w:lang w:val="en-US" w:eastAsia="zh-CN"/>
              </w:rPr>
              <w:t>2</w:t>
            </w:r>
            <w:r>
              <w:rPr>
                <w:rFonts w:hint="default"/>
                <w:b/>
                <w:bCs/>
                <w:color w:val="auto"/>
                <w:lang w:val="en-US" w:eastAsia="zh-CN"/>
              </w:rPr>
              <w:t>-1  项目现场照片</w:t>
            </w:r>
          </w:p>
          <w:p>
            <w:pPr>
              <w:pStyle w:val="4"/>
              <w:bidi w:val="0"/>
              <w:rPr>
                <w:rFonts w:hint="default"/>
                <w:color w:val="auto"/>
                <w:lang w:val="en-US" w:eastAsia="zh-CN"/>
              </w:rPr>
            </w:pPr>
            <w:r>
              <w:rPr>
                <w:rFonts w:hint="default"/>
                <w:color w:val="auto"/>
                <w:lang w:val="en-US" w:eastAsia="zh-CN"/>
              </w:rPr>
              <w:t>2.</w:t>
            </w:r>
            <w:r>
              <w:rPr>
                <w:rFonts w:hint="eastAsia"/>
                <w:color w:val="auto"/>
                <w:lang w:val="en-US" w:eastAsia="zh-CN"/>
              </w:rPr>
              <w:t>2</w:t>
            </w:r>
            <w:r>
              <w:rPr>
                <w:rFonts w:hint="default"/>
                <w:color w:val="auto"/>
                <w:lang w:val="en-US" w:eastAsia="zh-CN"/>
              </w:rPr>
              <w:t>.</w:t>
            </w:r>
            <w:r>
              <w:rPr>
                <w:rFonts w:hint="eastAsia"/>
                <w:color w:val="auto"/>
                <w:lang w:val="en-US" w:eastAsia="zh-CN"/>
              </w:rPr>
              <w:t>6</w:t>
            </w:r>
            <w:r>
              <w:rPr>
                <w:rFonts w:hint="default"/>
                <w:color w:val="auto"/>
                <w:lang w:val="en-US" w:eastAsia="zh-CN"/>
              </w:rPr>
              <w:t>总平面布置</w:t>
            </w:r>
          </w:p>
          <w:p>
            <w:pPr>
              <w:widowControl/>
              <w:ind w:firstLine="480"/>
              <w:jc w:val="left"/>
              <w:rPr>
                <w:color w:val="auto"/>
                <w:kern w:val="0"/>
                <w:lang w:bidi="ar"/>
              </w:rPr>
            </w:pPr>
            <w:r>
              <w:rPr>
                <w:color w:val="auto"/>
                <w:kern w:val="0"/>
                <w:lang w:bidi="ar"/>
              </w:rPr>
              <w:t>项目建设内容包括</w:t>
            </w:r>
            <w:r>
              <w:rPr>
                <w:rFonts w:hint="eastAsia"/>
                <w:color w:val="auto"/>
                <w:kern w:val="0"/>
                <w:lang w:eastAsia="zh-CN" w:bidi="ar"/>
              </w:rPr>
              <w:t>1#门诊综合楼（5F）、2#综合楼（5F）以及3#配套用房（</w:t>
            </w:r>
            <w:r>
              <w:rPr>
                <w:rFonts w:hint="eastAsia"/>
                <w:color w:val="auto"/>
                <w:kern w:val="0"/>
                <w:lang w:val="en-US" w:eastAsia="zh-CN" w:bidi="ar"/>
              </w:rPr>
              <w:t>3F</w:t>
            </w:r>
            <w:r>
              <w:rPr>
                <w:rFonts w:hint="eastAsia"/>
                <w:color w:val="auto"/>
                <w:kern w:val="0"/>
                <w:lang w:eastAsia="zh-CN" w:bidi="ar"/>
              </w:rPr>
              <w:t>）</w:t>
            </w:r>
            <w:r>
              <w:rPr>
                <w:color w:val="auto"/>
                <w:kern w:val="0"/>
                <w:lang w:bidi="ar"/>
              </w:rPr>
              <w:t>等。院区设置两个出入口，可以降低进出院区交通对城市道路的影响，各出入口独立设置。全院区以</w:t>
            </w:r>
            <w:r>
              <w:rPr>
                <w:rFonts w:hint="eastAsia"/>
                <w:color w:val="auto"/>
                <w:kern w:val="0"/>
                <w:lang w:eastAsia="zh-CN" w:bidi="ar"/>
              </w:rPr>
              <w:t>西北侧路口</w:t>
            </w:r>
            <w:r>
              <w:rPr>
                <w:color w:val="auto"/>
                <w:kern w:val="0"/>
                <w:lang w:bidi="ar"/>
              </w:rPr>
              <w:t>为门诊、急诊出入口，主要提供普通门诊，急诊使用；</w:t>
            </w:r>
            <w:r>
              <w:rPr>
                <w:rFonts w:hint="eastAsia"/>
                <w:color w:val="auto"/>
                <w:kern w:val="0"/>
                <w:lang w:eastAsia="zh-CN" w:bidi="ar"/>
              </w:rPr>
              <w:t>东北侧路口</w:t>
            </w:r>
            <w:r>
              <w:rPr>
                <w:color w:val="auto"/>
                <w:kern w:val="0"/>
                <w:lang w:bidi="ar"/>
              </w:rPr>
              <w:t>设有住院出入口。</w:t>
            </w:r>
          </w:p>
          <w:p>
            <w:pPr>
              <w:pStyle w:val="18"/>
              <w:ind w:firstLine="480"/>
              <w:rPr>
                <w:color w:val="auto"/>
              </w:rPr>
            </w:pPr>
            <w:r>
              <w:rPr>
                <w:color w:val="auto"/>
              </w:rPr>
              <w:t>建筑结合基地特点，充分利用自然资源，建筑尽可能沿地场地错落布置，形成流动式空间组合序列，合理布局各功能需求，有效规划交通流线，努力达到功能组织合理，合理配置恰当，结构清晰，整齐有序，创造具有良好环境、有完善基础和配套设施的新型医院。</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2.</w:t>
            </w:r>
            <w:r>
              <w:rPr>
                <w:rFonts w:hint="eastAsia" w:ascii="Times New Roman" w:hAnsi="Times New Roman" w:eastAsia="宋体" w:cs="Times New Roman"/>
                <w:b/>
                <w:color w:val="auto"/>
                <w:kern w:val="2"/>
                <w:sz w:val="24"/>
                <w:szCs w:val="24"/>
                <w:highlight w:val="none"/>
                <w:lang w:val="en-US" w:eastAsia="zh-CN" w:bidi="ar-SA"/>
              </w:rPr>
              <w:t>2</w:t>
            </w:r>
            <w:r>
              <w:rPr>
                <w:rFonts w:hint="default" w:ascii="Times New Roman" w:hAnsi="Times New Roman" w:eastAsia="宋体" w:cs="Times New Roman"/>
                <w:b/>
                <w:color w:val="auto"/>
                <w:kern w:val="2"/>
                <w:sz w:val="24"/>
                <w:szCs w:val="24"/>
                <w:highlight w:val="none"/>
                <w:lang w:val="en-US" w:eastAsia="zh-CN" w:bidi="ar-SA"/>
              </w:rPr>
              <w:t>.</w:t>
            </w:r>
            <w:r>
              <w:rPr>
                <w:rFonts w:hint="eastAsia" w:cs="Times New Roman"/>
                <w:b/>
                <w:color w:val="auto"/>
                <w:kern w:val="2"/>
                <w:sz w:val="24"/>
                <w:szCs w:val="24"/>
                <w:highlight w:val="none"/>
                <w:lang w:val="en-US" w:eastAsia="zh-CN" w:bidi="ar-SA"/>
              </w:rPr>
              <w:t>7</w:t>
            </w:r>
            <w:r>
              <w:rPr>
                <w:rFonts w:hint="default" w:ascii="Times New Roman" w:hAnsi="Times New Roman" w:eastAsia="宋体" w:cs="Times New Roman"/>
                <w:b/>
                <w:color w:val="auto"/>
                <w:kern w:val="2"/>
                <w:sz w:val="24"/>
                <w:szCs w:val="24"/>
                <w:highlight w:val="none"/>
                <w:lang w:val="en-US" w:eastAsia="zh-CN" w:bidi="ar-SA"/>
              </w:rPr>
              <w:t>无障碍设计</w:t>
            </w:r>
          </w:p>
          <w:p>
            <w:pPr>
              <w:widowControl/>
              <w:ind w:firstLine="480"/>
              <w:jc w:val="left"/>
              <w:rPr>
                <w:color w:val="auto"/>
              </w:rPr>
            </w:pPr>
            <w:r>
              <w:rPr>
                <w:color w:val="auto"/>
              </w:rPr>
              <w:t xml:space="preserve">本建设项目按照无障碍设计要求进行设计，各主要出入口为无障碍入口，坡道面均作防滑处理。各层主要公共卫生间均设一间可供残疾人士使用的专厕，男厕另考虑一小便器，并设助力拉手。另设无障碍电梯，在踏步起始点及电梯门前铺设有触感提示的地面材料，为弱视者提供方便。 </w:t>
            </w:r>
          </w:p>
          <w:p>
            <w:pPr>
              <w:widowControl/>
              <w:ind w:firstLine="480"/>
              <w:jc w:val="left"/>
              <w:rPr>
                <w:color w:val="auto"/>
              </w:rPr>
            </w:pPr>
            <w:r>
              <w:rPr>
                <w:color w:val="auto"/>
              </w:rPr>
              <w:t>服务台、挂号、取药、公共电话、饮水器及查询台均作无障碍设计。</w:t>
            </w:r>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kern w:val="2"/>
                <w:sz w:val="28"/>
                <w:szCs w:val="28"/>
                <w:lang w:val="en-US" w:eastAsia="zh-CN" w:bidi="ar-SA"/>
              </w:rPr>
            </w:pPr>
            <w:bookmarkStart w:id="19" w:name="_Toc17414"/>
            <w:bookmarkStart w:id="20" w:name="_Toc7105"/>
            <w:r>
              <w:rPr>
                <w:rFonts w:hint="default" w:ascii="Times New Roman" w:hAnsi="Times New Roman" w:eastAsia="宋体" w:cs="Times New Roman"/>
                <w:b/>
                <w:bCs/>
                <w:color w:val="auto"/>
                <w:kern w:val="2"/>
                <w:sz w:val="28"/>
                <w:szCs w:val="28"/>
                <w:lang w:val="en-US" w:eastAsia="zh-CN" w:bidi="ar-SA"/>
              </w:rPr>
              <w:t>2.</w:t>
            </w:r>
            <w:r>
              <w:rPr>
                <w:rFonts w:hint="eastAsia" w:cs="Times New Roman"/>
                <w:b/>
                <w:bCs/>
                <w:color w:val="auto"/>
                <w:kern w:val="2"/>
                <w:sz w:val="28"/>
                <w:szCs w:val="28"/>
                <w:lang w:val="en-US" w:eastAsia="zh-CN" w:bidi="ar-SA"/>
              </w:rPr>
              <w:t>3</w:t>
            </w:r>
            <w:r>
              <w:rPr>
                <w:rFonts w:hint="default" w:ascii="Times New Roman" w:hAnsi="Times New Roman" w:eastAsia="宋体" w:cs="Times New Roman"/>
                <w:b/>
                <w:bCs/>
                <w:color w:val="auto"/>
                <w:kern w:val="2"/>
                <w:sz w:val="28"/>
                <w:szCs w:val="28"/>
                <w:lang w:val="en-US" w:eastAsia="zh-CN" w:bidi="ar-SA"/>
              </w:rPr>
              <w:t>公用工程</w:t>
            </w:r>
            <w:bookmarkEnd w:id="19"/>
            <w:bookmarkEnd w:id="20"/>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2.</w:t>
            </w: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.1给水工程</w:t>
            </w:r>
          </w:p>
          <w:p>
            <w:pPr>
              <w:pStyle w:val="22"/>
              <w:ind w:firstLine="480" w:firstLineChars="200"/>
              <w:rPr>
                <w:rFonts w:ascii="Times New Roman"/>
                <w:b w:val="0"/>
                <w:bCs w:val="0"/>
                <w:color w:val="auto"/>
              </w:rPr>
            </w:pPr>
            <w:r>
              <w:rPr>
                <w:rFonts w:ascii="Times New Roman"/>
                <w:b w:val="0"/>
                <w:bCs w:val="0"/>
                <w:color w:val="auto"/>
              </w:rPr>
              <w:t>（1）水源</w:t>
            </w:r>
          </w:p>
          <w:p>
            <w:pPr>
              <w:widowControl/>
              <w:ind w:firstLine="480"/>
              <w:jc w:val="left"/>
              <w:rPr>
                <w:color w:val="auto"/>
                <w:kern w:val="0"/>
                <w:lang w:bidi="ar"/>
              </w:rPr>
            </w:pPr>
            <w:r>
              <w:rPr>
                <w:color w:val="auto"/>
                <w:kern w:val="0"/>
                <w:lang w:bidi="ar"/>
              </w:rPr>
              <w:t>本项目位于</w:t>
            </w:r>
            <w:r>
              <w:rPr>
                <w:rFonts w:hint="default"/>
                <w:color w:val="auto"/>
                <w:lang w:val="zh-CN"/>
              </w:rPr>
              <w:t>福清福宁医院</w:t>
            </w:r>
            <w:r>
              <w:rPr>
                <w:color w:val="auto"/>
                <w:kern w:val="0"/>
                <w:lang w:bidi="ar"/>
              </w:rPr>
              <w:t>，本工程的供水水源为城市自来水。从市政引一根DN150的市政给水管，分支出一根DN150给水管经生活水表后接入用地红线，作为全院区的生活给水水源；再分支出一根DN200经消防水表后接入用地红线，在红线内构成给水环状供水管网，作为全院区的消防给水水源，市政最低供水压力0.20MPa。</w:t>
            </w:r>
          </w:p>
          <w:p>
            <w:pPr>
              <w:widowControl/>
              <w:ind w:firstLine="480"/>
              <w:jc w:val="left"/>
              <w:rPr>
                <w:color w:val="auto"/>
              </w:rPr>
            </w:pPr>
            <w:r>
              <w:rPr>
                <w:color w:val="auto"/>
                <w:kern w:val="0"/>
                <w:lang w:bidi="ar"/>
              </w:rPr>
              <w:t xml:space="preserve">（2）项目给水 </w:t>
            </w:r>
          </w:p>
          <w:p>
            <w:pPr>
              <w:widowControl/>
              <w:ind w:firstLine="480"/>
              <w:jc w:val="left"/>
              <w:rPr>
                <w:color w:val="auto"/>
              </w:rPr>
            </w:pPr>
            <w:r>
              <w:rPr>
                <w:rFonts w:hint="eastAsia" w:ascii="宋体" w:hAnsi="宋体" w:cs="宋体"/>
                <w:color w:val="auto"/>
                <w:kern w:val="0"/>
                <w:lang w:bidi="ar"/>
              </w:rPr>
              <w:t>①</w:t>
            </w:r>
            <w:r>
              <w:rPr>
                <w:color w:val="auto"/>
                <w:kern w:val="0"/>
                <w:lang w:bidi="ar"/>
              </w:rPr>
              <w:t xml:space="preserve">生活给水 </w:t>
            </w:r>
          </w:p>
          <w:p>
            <w:pPr>
              <w:widowControl/>
              <w:ind w:firstLine="480"/>
              <w:jc w:val="left"/>
              <w:rPr>
                <w:color w:val="auto"/>
                <w:kern w:val="0"/>
                <w:lang w:bidi="ar"/>
              </w:rPr>
            </w:pPr>
            <w:r>
              <w:rPr>
                <w:color w:val="auto"/>
                <w:kern w:val="0"/>
                <w:lang w:bidi="ar"/>
              </w:rPr>
              <w:t>本工程在</w:t>
            </w:r>
            <w:r>
              <w:rPr>
                <w:rFonts w:hint="eastAsia"/>
                <w:color w:val="auto"/>
                <w:kern w:val="0"/>
                <w:lang w:eastAsia="zh-CN" w:bidi="ar"/>
              </w:rPr>
              <w:t>1#门诊综合楼</w:t>
            </w:r>
            <w:r>
              <w:rPr>
                <w:color w:val="auto"/>
                <w:kern w:val="0"/>
                <w:lang w:bidi="ar"/>
              </w:rPr>
              <w:t>顶设水箱向给水系统供水。根据建筑高度、建设标准、建筑内使用功能、水源条件、节水、节能和供水安全等原则，本工程给水系统分为2个区：地上1-2层为低区，为市政直供；地上3-</w:t>
            </w:r>
            <w:r>
              <w:rPr>
                <w:rFonts w:hint="eastAsia"/>
                <w:color w:val="auto"/>
                <w:kern w:val="0"/>
                <w:lang w:val="en-US" w:eastAsia="zh-CN" w:bidi="ar"/>
              </w:rPr>
              <w:t>5</w:t>
            </w:r>
            <w:r>
              <w:rPr>
                <w:color w:val="auto"/>
                <w:kern w:val="0"/>
                <w:lang w:bidi="ar"/>
              </w:rPr>
              <w:t>层为高区，为水箱供给。二次加压给水系统采用一套恒压变量生活给水变频调速泵组供水，其供水流量不小于设计秒流量。各分区最不利点水压不小于0.1Mpa，最低用水点静压不大于0.35Mpa。</w:t>
            </w:r>
          </w:p>
          <w:p>
            <w:pPr>
              <w:widowControl/>
              <w:ind w:firstLine="480"/>
              <w:jc w:val="left"/>
              <w:rPr>
                <w:color w:val="auto"/>
              </w:rPr>
            </w:pPr>
            <w:r>
              <w:rPr>
                <w:rFonts w:hint="eastAsia" w:ascii="宋体" w:hAnsi="宋体" w:cs="宋体"/>
                <w:color w:val="auto"/>
                <w:kern w:val="0"/>
                <w:lang w:bidi="ar"/>
              </w:rPr>
              <w:t>②</w:t>
            </w:r>
            <w:r>
              <w:rPr>
                <w:color w:val="auto"/>
                <w:kern w:val="0"/>
                <w:lang w:bidi="ar"/>
              </w:rPr>
              <w:t xml:space="preserve">消防给水 </w:t>
            </w:r>
          </w:p>
          <w:p>
            <w:pPr>
              <w:widowControl/>
              <w:ind w:firstLine="480"/>
              <w:jc w:val="left"/>
              <w:rPr>
                <w:color w:val="auto"/>
                <w:kern w:val="0"/>
                <w:lang w:bidi="ar"/>
              </w:rPr>
            </w:pPr>
            <w:r>
              <w:rPr>
                <w:color w:val="auto"/>
                <w:kern w:val="0"/>
                <w:lang w:bidi="ar"/>
              </w:rPr>
              <w:t>室外消火栓给水由室外给水管网供给，在院区内呈环状敷设，沿道路设室外地下式消火栓，并设明显标志，消火栓间距不大于120m，距路边距离不大于2m。因室外消火栓系统采用临时高压制，在水箱间设置室外消火栓增压稳压设备1套。</w:t>
            </w:r>
          </w:p>
          <w:p>
            <w:pPr>
              <w:widowControl/>
              <w:ind w:firstLine="480"/>
              <w:jc w:val="left"/>
              <w:rPr>
                <w:color w:val="auto"/>
              </w:rPr>
            </w:pPr>
            <w:r>
              <w:rPr>
                <w:rFonts w:hint="eastAsia" w:ascii="宋体" w:hAnsi="宋体" w:cs="宋体"/>
                <w:color w:val="auto"/>
                <w:kern w:val="0"/>
                <w:lang w:bidi="ar"/>
              </w:rPr>
              <w:t>③</w:t>
            </w:r>
            <w:r>
              <w:rPr>
                <w:color w:val="auto"/>
                <w:kern w:val="0"/>
                <w:lang w:bidi="ar"/>
              </w:rPr>
              <w:t xml:space="preserve">热水、开水供应 </w:t>
            </w:r>
          </w:p>
          <w:p>
            <w:pPr>
              <w:pStyle w:val="22"/>
              <w:ind w:firstLine="480" w:firstLineChars="200"/>
              <w:rPr>
                <w:rFonts w:ascii="Times New Roman"/>
                <w:b w:val="0"/>
                <w:bCs w:val="0"/>
                <w:color w:val="auto"/>
                <w:kern w:val="0"/>
                <w:lang w:bidi="ar"/>
              </w:rPr>
            </w:pPr>
            <w:r>
              <w:rPr>
                <w:rFonts w:ascii="Times New Roman"/>
                <w:b w:val="0"/>
                <w:bCs w:val="0"/>
                <w:color w:val="auto"/>
                <w:kern w:val="0"/>
                <w:lang w:bidi="ar"/>
              </w:rPr>
              <w:t xml:space="preserve">本工程综合楼热源采用太阳能和辅助热泵机组，太阳能系统设置在综合楼屋顶。院区为全日制集中热水供应系统，为保证生活热水的供应温度，设计采用机械循环管道系统。在综合楼屋顶的生活热水回水管道设热水循环水泵。综合楼热水系统竖向分区方式同生活冷水系统。按楼层设电加热饮水机，容积为70L，N=7.5kW。饮水机设置在卫生条件良好通风的房间或场所，不应设置在卫生间或盥洗间内。淋浴或浴缸用水点应设置冷、热水混合水温控制装置，使用水点且最高出水温度在任何时间都不应大于49℃。 </w:t>
            </w:r>
          </w:p>
          <w:p>
            <w:pPr>
              <w:pStyle w:val="22"/>
              <w:ind w:firstLine="480" w:firstLineChars="200"/>
              <w:rPr>
                <w:rFonts w:ascii="Times New Roman"/>
                <w:color w:val="auto"/>
              </w:rPr>
            </w:pPr>
            <w:r>
              <w:rPr>
                <w:rFonts w:ascii="Times New Roman"/>
                <w:b w:val="0"/>
                <w:bCs w:val="0"/>
                <w:color w:val="auto"/>
                <w:kern w:val="0"/>
                <w:lang w:bidi="ar"/>
              </w:rPr>
              <w:t>热水系统管道采用不锈钢管，橡塑海棉保温</w:t>
            </w:r>
            <w:r>
              <w:rPr>
                <w:rFonts w:ascii="Times New Roman"/>
                <w:color w:val="auto"/>
                <w:kern w:val="0"/>
                <w:lang w:bidi="ar"/>
              </w:rPr>
              <w:t>。</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rPr>
                <w:rFonts w:hint="eastAsia" w:cs="Times New Roman"/>
                <w:b/>
                <w:bCs/>
                <w:color w:val="auto"/>
                <w:kern w:val="2"/>
                <w:sz w:val="24"/>
                <w:szCs w:val="24"/>
                <w:highlight w:val="none"/>
                <w:lang w:val="en-US" w:eastAsia="zh-CN" w:bidi="ar-SA"/>
              </w:rPr>
            </w:pPr>
            <w:r>
              <w:rPr>
                <w:rFonts w:hint="default" w:cs="Times New Roman"/>
                <w:b/>
                <w:bCs/>
                <w:color w:val="auto"/>
                <w:kern w:val="2"/>
                <w:sz w:val="24"/>
                <w:szCs w:val="24"/>
                <w:highlight w:val="none"/>
                <w:lang w:val="en-US" w:eastAsia="zh-CN" w:bidi="ar-SA"/>
              </w:rPr>
              <w:t>2.</w:t>
            </w:r>
            <w:r>
              <w:rPr>
                <w:rFonts w:hint="eastAsia" w:cs="Times New Roman"/>
                <w:b/>
                <w:bCs/>
                <w:color w:val="auto"/>
                <w:kern w:val="2"/>
                <w:sz w:val="24"/>
                <w:szCs w:val="24"/>
                <w:highlight w:val="none"/>
                <w:lang w:val="en-US" w:eastAsia="zh-CN" w:bidi="ar-SA"/>
              </w:rPr>
              <w:t>3</w:t>
            </w:r>
            <w:r>
              <w:rPr>
                <w:rFonts w:hint="default" w:cs="Times New Roman"/>
                <w:b/>
                <w:bCs/>
                <w:color w:val="auto"/>
                <w:kern w:val="2"/>
                <w:sz w:val="24"/>
                <w:szCs w:val="24"/>
                <w:highlight w:val="none"/>
                <w:lang w:val="en-US" w:eastAsia="zh-CN" w:bidi="ar-SA"/>
              </w:rPr>
              <w:t>.</w:t>
            </w:r>
            <w:r>
              <w:rPr>
                <w:rFonts w:hint="eastAsia" w:cs="Times New Roman"/>
                <w:b/>
                <w:bCs/>
                <w:color w:val="auto"/>
                <w:kern w:val="2"/>
                <w:sz w:val="24"/>
                <w:szCs w:val="24"/>
                <w:highlight w:val="none"/>
                <w:lang w:val="en-US" w:eastAsia="zh-CN" w:bidi="ar-SA"/>
              </w:rPr>
              <w:t>2排水工程</w:t>
            </w:r>
          </w:p>
          <w:p>
            <w:pPr>
              <w:widowControl/>
              <w:ind w:firstLine="480"/>
              <w:jc w:val="left"/>
              <w:rPr>
                <w:color w:val="auto"/>
              </w:rPr>
            </w:pPr>
            <w:r>
              <w:rPr>
                <w:color w:val="auto"/>
                <w:kern w:val="0"/>
                <w:lang w:bidi="ar"/>
              </w:rPr>
              <w:t xml:space="preserve"> 项目排</w:t>
            </w:r>
            <w:r>
              <w:rPr>
                <w:color w:val="auto"/>
              </w:rPr>
              <w:t>水采取雨、污分流制。屋顶设87型雨水斗，规格DN100，由立管排至室外。建筑屋面雨水经雨水斗、地面雨水经雨水口收集后排入市政雨水管网。</w:t>
            </w:r>
          </w:p>
          <w:p>
            <w:pPr>
              <w:ind w:firstLine="480"/>
              <w:rPr>
                <w:rFonts w:hint="default"/>
                <w:color w:val="auto"/>
                <w:highlight w:val="yellow"/>
                <w:lang w:val="en-US"/>
              </w:rPr>
            </w:pPr>
            <w:r>
              <w:rPr>
                <w:color w:val="auto"/>
              </w:rPr>
              <w:t>项目</w:t>
            </w:r>
            <w:r>
              <w:rPr>
                <w:rFonts w:ascii="Times New Roman" w:hAnsi="Times New Roman" w:cs="Times New Roman"/>
                <w:color w:val="auto"/>
              </w:rPr>
              <w:t>拟于</w:t>
            </w:r>
            <w:r>
              <w:rPr>
                <w:rFonts w:hint="eastAsia" w:ascii="Times New Roman" w:hAnsi="Times New Roman" w:cs="Times New Roman"/>
                <w:color w:val="auto"/>
                <w:lang w:eastAsia="zh-CN"/>
              </w:rPr>
              <w:t>项目区域东北角</w:t>
            </w:r>
            <w:r>
              <w:rPr>
                <w:rFonts w:ascii="Times New Roman" w:hAnsi="Times New Roman" w:cs="Times New Roman"/>
                <w:color w:val="auto"/>
              </w:rPr>
              <w:t>地块建设一座污水处理站，食堂</w:t>
            </w:r>
            <w:r>
              <w:rPr>
                <w:color w:val="auto"/>
              </w:rPr>
              <w:t>废水经隔油池预处理，生活废水、医疗废水</w:t>
            </w:r>
            <w:r>
              <w:rPr>
                <w:rFonts w:hint="eastAsia"/>
                <w:color w:val="auto"/>
                <w:lang w:val="en-US" w:eastAsia="zh-CN"/>
              </w:rPr>
              <w:t>依托厂区</w:t>
            </w:r>
            <w:r>
              <w:rPr>
                <w:color w:val="auto"/>
              </w:rPr>
              <w:t>化粪池预处理后，一同排入院内污水处理站进行处理，废水</w:t>
            </w:r>
            <w:r>
              <w:rPr>
                <w:color w:val="auto"/>
                <w:kern w:val="2"/>
              </w:rPr>
              <w:t>经自建污水站</w:t>
            </w:r>
            <w:r>
              <w:rPr>
                <w:rFonts w:hint="eastAsia"/>
                <w:color w:val="auto"/>
                <w:kern w:val="2"/>
                <w:lang w:eastAsia="zh-CN"/>
              </w:rPr>
              <w:t>（</w:t>
            </w:r>
            <w:r>
              <w:rPr>
                <w:rFonts w:hint="eastAsia"/>
                <w:color w:val="auto"/>
                <w:kern w:val="2"/>
                <w:lang w:val="en-US" w:eastAsia="zh-CN"/>
              </w:rPr>
              <w:t>处理规模：200m</w:t>
            </w:r>
            <w:r>
              <w:rPr>
                <w:rFonts w:hint="eastAsia"/>
                <w:color w:val="auto"/>
                <w:kern w:val="2"/>
                <w:vertAlign w:val="superscript"/>
                <w:lang w:val="en-US" w:eastAsia="zh-CN"/>
              </w:rPr>
              <w:t>3</w:t>
            </w:r>
            <w:r>
              <w:rPr>
                <w:rFonts w:hint="eastAsia"/>
                <w:color w:val="auto"/>
                <w:kern w:val="2"/>
                <w:lang w:eastAsia="zh-CN"/>
              </w:rPr>
              <w:t>）</w:t>
            </w:r>
            <w:r>
              <w:rPr>
                <w:color w:val="auto"/>
                <w:kern w:val="2"/>
              </w:rPr>
              <w:t>处理后</w:t>
            </w:r>
            <w:r>
              <w:rPr>
                <w:color w:val="auto"/>
              </w:rPr>
              <w:t>由DW001排入市政污水管网进入</w:t>
            </w:r>
            <w:r>
              <w:rPr>
                <w:rFonts w:hint="eastAsia"/>
                <w:color w:val="auto"/>
                <w:lang w:eastAsia="zh-CN"/>
              </w:rPr>
              <w:t>福清市融元污水处理厂。</w:t>
            </w:r>
          </w:p>
          <w:p>
            <w:pPr>
              <w:pStyle w:val="18"/>
              <w:ind w:firstLine="480"/>
              <w:rPr>
                <w:color w:val="auto"/>
              </w:rPr>
            </w:pPr>
            <w:r>
              <w:rPr>
                <w:color w:val="auto"/>
              </w:rPr>
              <w:t>污水处理站污泥经消毒处理后，委托具有相应资质的单位进行处理。</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rPr>
                <w:rFonts w:hint="eastAsia"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2.3.3电气工程</w:t>
            </w:r>
          </w:p>
          <w:p>
            <w:pPr>
              <w:ind w:firstLine="480"/>
              <w:rPr>
                <w:color w:val="auto"/>
              </w:rPr>
            </w:pPr>
            <w:r>
              <w:rPr>
                <w:color w:val="auto"/>
              </w:rPr>
              <w:t>医院从周边的电站，引来两路10kV电源，每路均能承担本工程全部负荷。两路10kV电源同时工作，互为备用，采用埋地引入院区变配电房，两路10kV电源均能承担本项目100%用电负荷。医院在综合楼设置1台400 kW柴油发电机组作为备用电源。</w:t>
            </w:r>
          </w:p>
          <w:p>
            <w:pPr>
              <w:ind w:firstLine="480"/>
              <w:rPr>
                <w:color w:val="auto"/>
              </w:rPr>
            </w:pPr>
            <w:r>
              <w:rPr>
                <w:color w:val="auto"/>
              </w:rPr>
              <w:t>本工程变配电房</w:t>
            </w:r>
            <w:r>
              <w:rPr>
                <w:rFonts w:hint="eastAsia"/>
                <w:color w:val="auto"/>
                <w:lang w:val="en-US" w:eastAsia="zh-CN"/>
              </w:rPr>
              <w:t>设在</w:t>
            </w:r>
            <w:r>
              <w:rPr>
                <w:rFonts w:hint="eastAsia"/>
                <w:color w:val="auto"/>
                <w:lang w:eastAsia="zh-CN"/>
              </w:rPr>
              <w:t>2#综合楼</w:t>
            </w:r>
            <w:r>
              <w:rPr>
                <w:rFonts w:hint="eastAsia"/>
                <w:color w:val="auto"/>
                <w:lang w:val="en-US" w:eastAsia="zh-CN"/>
              </w:rPr>
              <w:t>1层，</w:t>
            </w:r>
            <w:r>
              <w:rPr>
                <w:color w:val="auto"/>
              </w:rPr>
              <w:t>内设置高、低压配电系统，高压系统为双电源单母线分段、母联自投互为备用的接线方式，提供项目建构筑物用电。变压器低压侧均为单母线分段单独运行。</w:t>
            </w:r>
          </w:p>
          <w:p>
            <w:pPr>
              <w:ind w:firstLine="480"/>
              <w:rPr>
                <w:color w:val="auto"/>
              </w:rPr>
            </w:pPr>
            <w:r>
              <w:rPr>
                <w:color w:val="auto"/>
              </w:rPr>
              <w:t>本工程选用1台柴油发电机组，主用功率为400kW，作为第三路电源。当双路10kV市电停电、缺相、电压或频率超出范围，或同一变配电所三台变压器同时故障时，自动启动柴油发电机组，柴油发电机组30s内达到额定转速、电压、频率后，投入额定负载运作。当市电恢复30-60s后自动恢复市电供电，柴油发电机组经冷却延时后，自动停机。</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rPr>
                <w:rFonts w:hint="eastAsia"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2.3.4照明工程</w:t>
            </w:r>
          </w:p>
          <w:p>
            <w:pPr>
              <w:ind w:firstLine="480"/>
              <w:rPr>
                <w:color w:val="auto"/>
              </w:rPr>
            </w:pPr>
            <w:r>
              <w:rPr>
                <w:color w:val="auto"/>
              </w:rPr>
              <w:t>（1）本工程设计有应急照明、疏散指示照明及一般照明，病房及其走道设置夜间照明，供电电源均为～220V。</w:t>
            </w:r>
          </w:p>
          <w:p>
            <w:pPr>
              <w:ind w:firstLine="480"/>
              <w:rPr>
                <w:color w:val="auto"/>
              </w:rPr>
            </w:pPr>
            <w:r>
              <w:rPr>
                <w:color w:val="auto"/>
              </w:rPr>
              <w:t>（2）医院照明光源以荧光灯为主，X射线室及CT诊疗室采用可调光白炽灯具。</w:t>
            </w:r>
          </w:p>
          <w:p>
            <w:pPr>
              <w:ind w:firstLine="480"/>
              <w:rPr>
                <w:color w:val="auto"/>
              </w:rPr>
            </w:pPr>
            <w:r>
              <w:rPr>
                <w:color w:val="auto"/>
              </w:rPr>
              <w:t xml:space="preserve">（3）诊断室、治疗室、检验室等部门选用高显色性灯具，采取减少眩光措施，以满足医疗环境的视觉要求。 </w:t>
            </w:r>
          </w:p>
          <w:p>
            <w:pPr>
              <w:ind w:firstLine="480"/>
              <w:rPr>
                <w:color w:val="auto"/>
              </w:rPr>
            </w:pPr>
            <w:r>
              <w:rPr>
                <w:color w:val="auto"/>
              </w:rPr>
              <w:t xml:space="preserve">（4）病房、护理单元通道的照明设计宜避免卧床病人在其视野范围内产生直射眩光；病房照明应满足病人的视觉要求，无频闪、无噪声。 </w:t>
            </w:r>
          </w:p>
          <w:p>
            <w:pPr>
              <w:ind w:firstLine="480"/>
              <w:rPr>
                <w:color w:val="auto"/>
              </w:rPr>
            </w:pPr>
            <w:r>
              <w:rPr>
                <w:color w:val="auto"/>
              </w:rPr>
              <w:t xml:space="preserve">（5）本工程荧光灯采用电子镇流器，以提高功率因数，减少频闪和噪声。 </w:t>
            </w:r>
          </w:p>
          <w:p>
            <w:pPr>
              <w:ind w:firstLine="480"/>
              <w:rPr>
                <w:color w:val="auto"/>
              </w:rPr>
            </w:pPr>
            <w:r>
              <w:rPr>
                <w:color w:val="auto"/>
              </w:rPr>
              <w:t>（</w:t>
            </w:r>
            <w:r>
              <w:rPr>
                <w:rFonts w:hint="eastAsia"/>
                <w:color w:val="auto"/>
                <w:lang w:val="en-US" w:eastAsia="zh-CN"/>
              </w:rPr>
              <w:t>6</w:t>
            </w:r>
            <w:r>
              <w:rPr>
                <w:color w:val="auto"/>
              </w:rPr>
              <w:t xml:space="preserve">）病房及其走廊设夜间巡视脚灯。 </w:t>
            </w:r>
          </w:p>
          <w:p>
            <w:pPr>
              <w:ind w:firstLine="480"/>
              <w:rPr>
                <w:color w:val="auto"/>
              </w:rPr>
            </w:pPr>
            <w:r>
              <w:rPr>
                <w:color w:val="auto"/>
              </w:rPr>
              <w:t>（</w:t>
            </w:r>
            <w:r>
              <w:rPr>
                <w:rFonts w:hint="eastAsia"/>
                <w:color w:val="auto"/>
                <w:lang w:val="en-US" w:eastAsia="zh-CN"/>
              </w:rPr>
              <w:t>7</w:t>
            </w:r>
            <w:r>
              <w:rPr>
                <w:color w:val="auto"/>
              </w:rPr>
              <w:t xml:space="preserve">）在变配电房、柴油发电机房、网络中心、消防控制中心、水泵房、防排烟风机房、重症监护病房、走廊、楼梯间、电梯前室、急诊室、门厅等处设置应急照明。 </w:t>
            </w:r>
          </w:p>
          <w:p>
            <w:pPr>
              <w:ind w:firstLine="480"/>
              <w:rPr>
                <w:color w:val="auto"/>
              </w:rPr>
            </w:pPr>
            <w:r>
              <w:rPr>
                <w:color w:val="auto"/>
              </w:rPr>
              <w:t>（</w:t>
            </w:r>
            <w:r>
              <w:rPr>
                <w:rFonts w:hint="eastAsia"/>
                <w:color w:val="auto"/>
                <w:lang w:val="en-US" w:eastAsia="zh-CN"/>
              </w:rPr>
              <w:t>8</w:t>
            </w:r>
            <w:r>
              <w:rPr>
                <w:color w:val="auto"/>
              </w:rPr>
              <w:t>）在走廊、安全出口、大厅、楼梯间等处设置疏散指示灯。</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2.</w:t>
            </w: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无障碍设计</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rPr>
            </w:pPr>
            <w:r>
              <w:rPr>
                <w:color w:val="auto"/>
              </w:rPr>
              <w:t xml:space="preserve">本建设项目按照无障碍设计要求进行设计，各主要出入口为无障碍入口，坡道面均作防滑处理。各层主要公共卫生间均设一间可供残疾人士使用的专厕，男厕另考虑一小便器，并设助力拉手。另设无障碍电梯，在踏步起始点及电梯门前铺设有触感提示的地面材料，为弱视者提供方便。 </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rPr>
            </w:pPr>
            <w:r>
              <w:rPr>
                <w:color w:val="auto"/>
              </w:rPr>
              <w:t>服务台、挂号、取药、公共电话、饮水器及查询台均作无障碍设计。</w:t>
            </w:r>
          </w:p>
          <w:p>
            <w:pPr>
              <w:pStyle w:val="3"/>
              <w:numPr>
                <w:ilvl w:val="1"/>
                <w:numId w:val="0"/>
              </w:numPr>
              <w:bidi w:val="0"/>
              <w:ind w:leftChars="0"/>
              <w:rPr>
                <w:color w:val="auto"/>
              </w:rPr>
            </w:pPr>
            <w:bookmarkStart w:id="21" w:name="_Toc28946"/>
            <w:r>
              <w:rPr>
                <w:rFonts w:hint="eastAsia"/>
                <w:color w:val="auto"/>
                <w:lang w:val="en-US" w:eastAsia="zh-CN"/>
              </w:rPr>
              <w:t>2.4</w:t>
            </w:r>
            <w:r>
              <w:rPr>
                <w:color w:val="auto"/>
              </w:rPr>
              <w:t>项目水平衡</w:t>
            </w:r>
            <w:bookmarkEnd w:id="21"/>
          </w:p>
          <w:p>
            <w:pPr>
              <w:pStyle w:val="4"/>
              <w:bidi w:val="0"/>
              <w:rPr>
                <w:color w:val="auto"/>
              </w:rPr>
            </w:pPr>
            <w:r>
              <w:rPr>
                <w:rFonts w:hint="eastAsia"/>
                <w:color w:val="auto"/>
                <w:lang w:val="en-US" w:eastAsia="zh-CN"/>
              </w:rPr>
              <w:t>2.4.1</w:t>
            </w:r>
            <w:r>
              <w:rPr>
                <w:color w:val="auto"/>
              </w:rPr>
              <w:t>给水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rPr>
            </w:pPr>
            <w:r>
              <w:rPr>
                <w:rFonts w:hint="default"/>
                <w:color w:val="auto"/>
              </w:rPr>
              <w:t>本次项目用水主要</w:t>
            </w:r>
            <w:r>
              <w:rPr>
                <w:color w:val="auto"/>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eastAsia"/>
                <w:color w:val="auto"/>
                <w:lang w:val="en-US" w:eastAsia="zh-CN"/>
              </w:rPr>
              <w:t>（1）医护人员用</w:t>
            </w:r>
            <w:r>
              <w:rPr>
                <w:rFonts w:hint="default"/>
                <w:color w:val="auto"/>
              </w:rPr>
              <w:t>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lang w:val="en-US" w:eastAsia="zh-CN"/>
              </w:rPr>
              <w:t>项目</w:t>
            </w:r>
            <w:r>
              <w:rPr>
                <w:rFonts w:hint="eastAsia"/>
                <w:color w:val="auto"/>
                <w:lang w:val="en-US" w:eastAsia="zh-CN"/>
              </w:rPr>
              <w:t>医护人员100</w:t>
            </w:r>
            <w:r>
              <w:rPr>
                <w:rFonts w:hint="default"/>
                <w:color w:val="auto"/>
                <w:lang w:val="en-US" w:eastAsia="zh-CN"/>
              </w:rPr>
              <w:t>人</w:t>
            </w:r>
            <w:r>
              <w:rPr>
                <w:rFonts w:hint="eastAsia"/>
                <w:color w:val="auto"/>
                <w:lang w:val="en-US" w:eastAsia="zh-CN"/>
              </w:rPr>
              <w:t>。</w:t>
            </w:r>
            <w:r>
              <w:rPr>
                <w:rFonts w:hint="default"/>
                <w:color w:val="auto"/>
              </w:rPr>
              <w:t>参考</w:t>
            </w:r>
            <w:r>
              <w:rPr>
                <w:color w:val="auto"/>
              </w:rPr>
              <w:t>《综合医院建筑设计规范》（GB51039-2014）中“表6.2</w:t>
            </w:r>
            <w:r>
              <w:rPr>
                <w:rFonts w:hint="eastAsia"/>
                <w:color w:val="auto"/>
                <w:lang w:val="en-US" w:eastAsia="zh-CN"/>
              </w:rPr>
              <w:t>.</w:t>
            </w:r>
            <w:r>
              <w:rPr>
                <w:color w:val="auto"/>
              </w:rPr>
              <w:t>2医院生活用水量定额”中“</w:t>
            </w:r>
            <w:r>
              <w:rPr>
                <w:rFonts w:hint="eastAsia"/>
                <w:color w:val="auto"/>
                <w:lang w:val="en-US" w:eastAsia="zh-CN"/>
              </w:rPr>
              <w:t>医务人员150</w:t>
            </w:r>
            <w:r>
              <w:rPr>
                <w:color w:val="auto"/>
              </w:rPr>
              <w:t>~</w:t>
            </w:r>
            <w:r>
              <w:rPr>
                <w:rFonts w:hint="eastAsia"/>
                <w:color w:val="auto"/>
                <w:lang w:val="en-US" w:eastAsia="zh-CN"/>
              </w:rPr>
              <w:t>25</w:t>
            </w:r>
            <w:r>
              <w:rPr>
                <w:color w:val="auto"/>
              </w:rPr>
              <w:t>0</w:t>
            </w:r>
            <w:r>
              <w:rPr>
                <w:rFonts w:hint="default"/>
                <w:color w:val="auto"/>
              </w:rPr>
              <w:t>L/人·班</w:t>
            </w:r>
            <w:r>
              <w:rPr>
                <w:color w:val="auto"/>
              </w:rPr>
              <w:t>”</w:t>
            </w:r>
            <w:r>
              <w:rPr>
                <w:rFonts w:hint="default"/>
                <w:color w:val="auto"/>
              </w:rPr>
              <w:t>。本次环评取值</w:t>
            </w:r>
            <w:r>
              <w:rPr>
                <w:rFonts w:hint="eastAsia"/>
                <w:color w:val="auto"/>
                <w:lang w:val="en-US" w:eastAsia="zh-CN"/>
              </w:rPr>
              <w:t>200</w:t>
            </w:r>
            <w:r>
              <w:rPr>
                <w:rFonts w:hint="default"/>
                <w:color w:val="auto"/>
              </w:rPr>
              <w:t>L/班·人</w:t>
            </w:r>
            <w:r>
              <w:rPr>
                <w:rFonts w:hint="default"/>
                <w:color w:val="auto"/>
                <w:lang w:val="en-US" w:eastAsia="zh-CN"/>
              </w:rPr>
              <w:t>，</w:t>
            </w:r>
            <w:r>
              <w:rPr>
                <w:rFonts w:hint="default"/>
                <w:color w:val="auto"/>
              </w:rPr>
              <w:t>项目工作为365d/a，则</w:t>
            </w:r>
            <w:r>
              <w:rPr>
                <w:rFonts w:hint="eastAsia"/>
                <w:color w:val="auto"/>
                <w:lang w:val="en-US" w:eastAsia="zh-CN"/>
              </w:rPr>
              <w:t>医护人员</w:t>
            </w:r>
            <w:r>
              <w:rPr>
                <w:rFonts w:hint="default"/>
                <w:color w:val="auto"/>
              </w:rPr>
              <w:t>用水量为</w:t>
            </w:r>
            <w:r>
              <w:rPr>
                <w:rFonts w:hint="eastAsia"/>
                <w:color w:val="auto"/>
                <w:lang w:val="en-US" w:eastAsia="zh-CN"/>
              </w:rPr>
              <w:t>20t/</w:t>
            </w:r>
            <w:r>
              <w:rPr>
                <w:rFonts w:hint="default"/>
                <w:color w:val="auto"/>
              </w:rPr>
              <w:t>d（约合</w:t>
            </w:r>
            <w:r>
              <w:rPr>
                <w:rFonts w:hint="eastAsia"/>
                <w:color w:val="auto"/>
                <w:lang w:val="en-US" w:eastAsia="zh-CN"/>
              </w:rPr>
              <w:t>7300t</w:t>
            </w:r>
            <w:r>
              <w:rPr>
                <w:rFonts w:hint="default"/>
                <w:color w:val="auto"/>
              </w:rPr>
              <w:t>/a）。</w:t>
            </w:r>
          </w:p>
          <w:p>
            <w:pPr>
              <w:pStyle w:val="55"/>
              <w:numPr>
                <w:ilvl w:val="0"/>
                <w:numId w:val="0"/>
              </w:numPr>
              <w:ind w:leftChars="0" w:firstLine="480" w:firstLineChars="200"/>
              <w:rPr>
                <w:rFonts w:hint="default" w:cs="Times New Roman"/>
                <w:color w:val="auto"/>
              </w:rPr>
            </w:pPr>
            <w:r>
              <w:rPr>
                <w:rFonts w:hint="eastAsia" w:cs="Times New Roman"/>
                <w:color w:val="auto"/>
                <w:lang w:val="en-US" w:eastAsia="zh-CN"/>
              </w:rPr>
              <w:t>（2）后勤人员用</w:t>
            </w:r>
            <w:r>
              <w:rPr>
                <w:rFonts w:hint="default" w:cs="Times New Roman"/>
                <w:color w:val="auto"/>
              </w:rPr>
              <w:t>水</w:t>
            </w:r>
          </w:p>
          <w:p>
            <w:pPr>
              <w:pStyle w:val="55"/>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项目</w:t>
            </w:r>
            <w:r>
              <w:rPr>
                <w:rFonts w:hint="eastAsia" w:ascii="Times New Roman" w:hAnsi="Times New Roman" w:eastAsia="宋体" w:cs="Times New Roman"/>
                <w:color w:val="auto"/>
                <w:lang w:val="en-US" w:eastAsia="zh-CN"/>
              </w:rPr>
              <w:t>行政后勤人员50</w:t>
            </w:r>
            <w:r>
              <w:rPr>
                <w:rFonts w:hint="default" w:ascii="Times New Roman" w:hAnsi="Times New Roman" w:eastAsia="宋体" w:cs="Times New Roman"/>
                <w:color w:val="auto"/>
                <w:lang w:val="en-US" w:eastAsia="zh-CN"/>
              </w:rPr>
              <w:t>人</w:t>
            </w:r>
            <w:r>
              <w:rPr>
                <w:rFonts w:hint="eastAsia" w:ascii="Times New Roman" w:hAnsi="Times New Roman" w:eastAsia="宋体" w:cs="Times New Roman"/>
                <w:color w:val="auto"/>
                <w:lang w:val="en-US" w:eastAsia="zh-CN"/>
              </w:rPr>
              <w:t>。</w:t>
            </w:r>
            <w:r>
              <w:rPr>
                <w:rFonts w:hint="default" w:cs="Times New Roman"/>
                <w:color w:val="auto"/>
              </w:rPr>
              <w:t>参考</w:t>
            </w:r>
            <w:r>
              <w:rPr>
                <w:rFonts w:cs="Times New Roman"/>
                <w:color w:val="auto"/>
              </w:rPr>
              <w:t>《综合医院建筑设计规范》（GB51039-2014）中“表6.2</w:t>
            </w:r>
            <w:r>
              <w:rPr>
                <w:rFonts w:hint="eastAsia" w:cs="Times New Roman"/>
                <w:color w:val="auto"/>
                <w:lang w:val="en-US" w:eastAsia="zh-CN"/>
              </w:rPr>
              <w:t>.</w:t>
            </w:r>
            <w:r>
              <w:rPr>
                <w:rFonts w:cs="Times New Roman"/>
                <w:color w:val="auto"/>
              </w:rPr>
              <w:t>2医院生活用水量定额”中“</w:t>
            </w:r>
            <w:r>
              <w:rPr>
                <w:rFonts w:hint="eastAsia" w:cs="Times New Roman"/>
                <w:color w:val="auto"/>
                <w:lang w:val="en-US" w:eastAsia="zh-CN"/>
              </w:rPr>
              <w:t>后勤人员80</w:t>
            </w:r>
            <w:r>
              <w:rPr>
                <w:rFonts w:cs="Times New Roman"/>
                <w:color w:val="auto"/>
              </w:rPr>
              <w:t>~</w:t>
            </w:r>
            <w:r>
              <w:rPr>
                <w:rFonts w:hint="eastAsia" w:cs="Times New Roman"/>
                <w:color w:val="auto"/>
                <w:lang w:val="en-US" w:eastAsia="zh-CN"/>
              </w:rPr>
              <w:t>10</w:t>
            </w:r>
            <w:r>
              <w:rPr>
                <w:rFonts w:cs="Times New Roman"/>
                <w:color w:val="auto"/>
              </w:rPr>
              <w:t>0</w:t>
            </w:r>
            <w:r>
              <w:rPr>
                <w:rFonts w:hint="default" w:cs="Times New Roman"/>
                <w:color w:val="auto"/>
              </w:rPr>
              <w:t>L/人·班</w:t>
            </w:r>
            <w:r>
              <w:rPr>
                <w:rFonts w:cs="Times New Roman"/>
                <w:color w:val="auto"/>
              </w:rPr>
              <w:t>”</w:t>
            </w:r>
            <w:r>
              <w:rPr>
                <w:rFonts w:hint="default" w:cs="Times New Roman"/>
                <w:color w:val="auto"/>
              </w:rPr>
              <w:t>。本次环评取值</w:t>
            </w:r>
            <w:r>
              <w:rPr>
                <w:rFonts w:hint="eastAsia" w:cs="Times New Roman"/>
                <w:color w:val="auto"/>
                <w:lang w:val="en-US" w:eastAsia="zh-CN"/>
              </w:rPr>
              <w:t>90</w:t>
            </w:r>
            <w:r>
              <w:rPr>
                <w:rFonts w:hint="default" w:cs="Times New Roman"/>
                <w:color w:val="auto"/>
              </w:rPr>
              <w:t>L/班·人</w:t>
            </w:r>
            <w:r>
              <w:rPr>
                <w:rFonts w:hint="default" w:ascii="Times New Roman" w:hAnsi="Times New Roman" w:eastAsia="宋体" w:cs="Times New Roman"/>
                <w:color w:val="auto"/>
                <w:lang w:val="en-US" w:eastAsia="zh-CN"/>
              </w:rPr>
              <w:t>，</w:t>
            </w:r>
            <w:r>
              <w:rPr>
                <w:rFonts w:hint="default" w:cs="Times New Roman"/>
                <w:color w:val="auto"/>
              </w:rPr>
              <w:t>项目工作为365d/a，则</w:t>
            </w:r>
            <w:r>
              <w:rPr>
                <w:rFonts w:hint="eastAsia" w:cs="Times New Roman"/>
                <w:color w:val="auto"/>
                <w:lang w:val="en-US" w:eastAsia="zh-CN"/>
              </w:rPr>
              <w:t>后勤人员</w:t>
            </w:r>
            <w:r>
              <w:rPr>
                <w:rFonts w:hint="default" w:cs="Times New Roman"/>
                <w:color w:val="auto"/>
              </w:rPr>
              <w:t>用水量为</w:t>
            </w:r>
            <w:r>
              <w:rPr>
                <w:rFonts w:hint="eastAsia" w:cs="Times New Roman"/>
                <w:color w:val="auto"/>
                <w:lang w:val="en-US" w:eastAsia="zh-CN"/>
              </w:rPr>
              <w:t>4.5t</w:t>
            </w:r>
            <w:r>
              <w:rPr>
                <w:rFonts w:hint="default" w:cs="Times New Roman"/>
                <w:color w:val="auto"/>
              </w:rPr>
              <w:t>/d（约合</w:t>
            </w:r>
            <w:r>
              <w:rPr>
                <w:rFonts w:hint="eastAsia" w:cs="Times New Roman"/>
                <w:color w:val="auto"/>
                <w:lang w:val="en-US" w:eastAsia="zh-CN"/>
              </w:rPr>
              <w:t>1642.5t</w:t>
            </w:r>
            <w:r>
              <w:rPr>
                <w:rFonts w:hint="default" w:cs="Times New Roman"/>
                <w:color w:val="auto"/>
              </w:rPr>
              <w:t>/a）。</w:t>
            </w:r>
          </w:p>
          <w:p>
            <w:pPr>
              <w:pStyle w:val="55"/>
              <w:numPr>
                <w:ilvl w:val="0"/>
                <w:numId w:val="0"/>
              </w:numPr>
              <w:ind w:firstLine="480" w:firstLineChars="200"/>
              <w:rPr>
                <w:rFonts w:hint="default" w:cs="Times New Roman"/>
                <w:color w:val="auto"/>
              </w:rPr>
            </w:pPr>
            <w:r>
              <w:rPr>
                <w:rFonts w:hint="eastAsia" w:cs="Times New Roman"/>
                <w:color w:val="auto"/>
                <w:lang w:val="en-US" w:eastAsia="zh-CN"/>
              </w:rPr>
              <w:t>（3）食堂用</w:t>
            </w:r>
            <w:r>
              <w:rPr>
                <w:rFonts w:hint="default" w:cs="Times New Roman"/>
                <w:color w:val="auto"/>
              </w:rPr>
              <w:t>水</w:t>
            </w:r>
          </w:p>
          <w:p>
            <w:pPr>
              <w:pStyle w:val="55"/>
              <w:ind w:firstLine="480"/>
              <w:rPr>
                <w:rFonts w:hint="eastAsia" w:ascii="Times New Roman" w:hAnsi="Times New Roman" w:eastAsia="宋体" w:cs="Times New Roman"/>
                <w:color w:val="auto"/>
                <w:lang w:eastAsia="zh-CN"/>
              </w:rPr>
            </w:pPr>
            <w:r>
              <w:rPr>
                <w:rFonts w:hint="default" w:cs="Times New Roman"/>
                <w:color w:val="auto"/>
              </w:rPr>
              <w:t>根据</w:t>
            </w:r>
            <w:r>
              <w:rPr>
                <w:rFonts w:hint="eastAsia" w:cs="Times New Roman"/>
                <w:color w:val="auto"/>
                <w:lang w:val="en-US" w:eastAsia="zh-CN"/>
              </w:rPr>
              <w:t>建设单位提供的资料，</w:t>
            </w:r>
            <w:r>
              <w:rPr>
                <w:rFonts w:hint="default" w:cs="Times New Roman"/>
                <w:color w:val="auto"/>
              </w:rPr>
              <w:t>食堂预计用餐人数</w:t>
            </w:r>
            <w:r>
              <w:rPr>
                <w:rFonts w:hint="eastAsia" w:cs="Times New Roman"/>
                <w:color w:val="auto"/>
                <w:lang w:eastAsia="zh-CN"/>
              </w:rPr>
              <w:t>约</w:t>
            </w:r>
            <w:r>
              <w:rPr>
                <w:rFonts w:hint="default" w:cs="Times New Roman"/>
                <w:color w:val="auto"/>
              </w:rPr>
              <w:t>为</w:t>
            </w:r>
            <w:r>
              <w:rPr>
                <w:rFonts w:hint="eastAsia" w:cs="Times New Roman"/>
                <w:color w:val="auto"/>
                <w:lang w:val="en-US" w:eastAsia="zh-CN"/>
              </w:rPr>
              <w:t>300</w:t>
            </w:r>
            <w:r>
              <w:rPr>
                <w:rFonts w:hint="default" w:cs="Times New Roman"/>
                <w:color w:val="auto"/>
              </w:rPr>
              <w:t>人/d，用水量参考</w:t>
            </w:r>
            <w:r>
              <w:rPr>
                <w:rFonts w:cs="Times New Roman"/>
                <w:color w:val="auto"/>
              </w:rPr>
              <w:t>《综合医院建筑设计规范》（GB51039-2014）中“表6.22医院生活用水量定额”中“食堂20~25</w:t>
            </w:r>
            <w:r>
              <w:rPr>
                <w:rFonts w:hint="default" w:cs="Times New Roman"/>
                <w:color w:val="auto"/>
              </w:rPr>
              <w:t>L/人·</w:t>
            </w:r>
            <w:r>
              <w:rPr>
                <w:rFonts w:cs="Times New Roman"/>
                <w:color w:val="auto"/>
              </w:rPr>
              <w:t>次”</w:t>
            </w:r>
            <w:r>
              <w:rPr>
                <w:rFonts w:hint="default" w:cs="Times New Roman"/>
                <w:color w:val="auto"/>
              </w:rPr>
              <w:t>。本次环评取值</w:t>
            </w:r>
            <w:r>
              <w:rPr>
                <w:rFonts w:cs="Times New Roman"/>
                <w:color w:val="auto"/>
              </w:rPr>
              <w:t>2</w:t>
            </w:r>
            <w:r>
              <w:rPr>
                <w:rFonts w:hint="eastAsia" w:cs="Times New Roman"/>
                <w:color w:val="auto"/>
                <w:lang w:val="en-US" w:eastAsia="zh-CN"/>
              </w:rPr>
              <w:t>3</w:t>
            </w:r>
            <w:r>
              <w:rPr>
                <w:rFonts w:hint="default" w:cs="Times New Roman"/>
                <w:color w:val="auto"/>
              </w:rPr>
              <w:t>L/人·</w:t>
            </w:r>
            <w:r>
              <w:rPr>
                <w:rFonts w:cs="Times New Roman"/>
                <w:color w:val="auto"/>
              </w:rPr>
              <w:t>次</w:t>
            </w:r>
            <w:r>
              <w:rPr>
                <w:rFonts w:hint="default" w:cs="Times New Roman"/>
                <w:color w:val="auto"/>
              </w:rPr>
              <w:t>。项目工作为365d/a，则食堂用水量为</w:t>
            </w:r>
            <w:r>
              <w:rPr>
                <w:rFonts w:hint="eastAsia" w:cs="Times New Roman"/>
                <w:color w:val="auto"/>
                <w:lang w:val="en-US" w:eastAsia="zh-CN"/>
              </w:rPr>
              <w:t>6.9t</w:t>
            </w:r>
            <w:r>
              <w:rPr>
                <w:rFonts w:hint="default" w:cs="Times New Roman"/>
                <w:color w:val="auto"/>
              </w:rPr>
              <w:t>/d（约合</w:t>
            </w:r>
            <w:r>
              <w:rPr>
                <w:rFonts w:hint="eastAsia" w:cs="Times New Roman"/>
                <w:color w:val="auto"/>
                <w:lang w:val="en-US" w:eastAsia="zh-CN"/>
              </w:rPr>
              <w:t>2518.5t</w:t>
            </w:r>
            <w:r>
              <w:rPr>
                <w:rFonts w:hint="default" w:cs="Times New Roman"/>
                <w:color w:val="auto"/>
              </w:rPr>
              <w:t>/a）。</w:t>
            </w:r>
          </w:p>
          <w:p>
            <w:pPr>
              <w:pStyle w:val="55"/>
              <w:numPr>
                <w:ilvl w:val="0"/>
                <w:numId w:val="0"/>
              </w:numPr>
              <w:ind w:firstLine="480" w:firstLineChars="200"/>
              <w:rPr>
                <w:rFonts w:hint="default" w:cs="Times New Roman"/>
                <w:color w:val="auto"/>
              </w:rPr>
            </w:pPr>
            <w:r>
              <w:rPr>
                <w:rFonts w:hint="eastAsia" w:cs="Times New Roman"/>
                <w:color w:val="auto"/>
                <w:lang w:val="en-US" w:eastAsia="zh-CN"/>
              </w:rPr>
              <w:t>（4）门诊病人用</w:t>
            </w:r>
            <w:r>
              <w:rPr>
                <w:rFonts w:hint="default" w:cs="Times New Roman"/>
                <w:color w:val="auto"/>
              </w:rPr>
              <w:t>水</w:t>
            </w:r>
          </w:p>
          <w:p>
            <w:pPr>
              <w:pStyle w:val="55"/>
              <w:ind w:firstLine="480"/>
              <w:rPr>
                <w:rFonts w:hint="eastAsia" w:cs="Times New Roman"/>
                <w:color w:val="auto"/>
                <w:lang w:eastAsia="zh-CN"/>
              </w:rPr>
            </w:pPr>
            <w:r>
              <w:rPr>
                <w:rFonts w:hint="eastAsia" w:cs="Times New Roman"/>
                <w:color w:val="auto"/>
                <w:lang w:val="en-US" w:eastAsia="zh-CN"/>
              </w:rPr>
              <w:t>根据建设单位提供的资料</w:t>
            </w:r>
            <w:r>
              <w:rPr>
                <w:rFonts w:hint="default" w:cs="Times New Roman"/>
                <w:color w:val="auto"/>
              </w:rPr>
              <w:t>，项目门诊、就医人员日流量为</w:t>
            </w:r>
            <w:r>
              <w:rPr>
                <w:rFonts w:hint="eastAsia" w:cs="Times New Roman"/>
                <w:color w:val="auto"/>
                <w:lang w:val="en-US" w:eastAsia="zh-CN"/>
              </w:rPr>
              <w:t>5</w:t>
            </w:r>
            <w:r>
              <w:rPr>
                <w:rFonts w:hint="default" w:cs="Times New Roman"/>
                <w:color w:val="auto"/>
              </w:rPr>
              <w:t>0人次，参考</w:t>
            </w:r>
            <w:r>
              <w:rPr>
                <w:rFonts w:cs="Times New Roman"/>
                <w:color w:val="auto"/>
              </w:rPr>
              <w:t>《综合医院建筑设计规范》（GB51039-2014）中“表6.22医院生活用水量定额”中“门、急诊患者10~15</w:t>
            </w:r>
            <w:r>
              <w:rPr>
                <w:rFonts w:hint="default" w:cs="Times New Roman"/>
                <w:color w:val="auto"/>
              </w:rPr>
              <w:t>L/人·</w:t>
            </w:r>
            <w:r>
              <w:rPr>
                <w:rFonts w:cs="Times New Roman"/>
                <w:color w:val="auto"/>
              </w:rPr>
              <w:t>次”</w:t>
            </w:r>
            <w:r>
              <w:rPr>
                <w:rFonts w:hint="default" w:cs="Times New Roman"/>
                <w:color w:val="auto"/>
              </w:rPr>
              <w:t>。本次环评取值</w:t>
            </w:r>
            <w:r>
              <w:rPr>
                <w:rFonts w:cs="Times New Roman"/>
                <w:color w:val="auto"/>
              </w:rPr>
              <w:t>1</w:t>
            </w:r>
            <w:r>
              <w:rPr>
                <w:rFonts w:hint="eastAsia" w:cs="Times New Roman"/>
                <w:color w:val="auto"/>
                <w:lang w:val="en-US" w:eastAsia="zh-CN"/>
              </w:rPr>
              <w:t>3</w:t>
            </w:r>
            <w:r>
              <w:rPr>
                <w:rFonts w:hint="default" w:cs="Times New Roman"/>
                <w:color w:val="auto"/>
              </w:rPr>
              <w:t>L/人·</w:t>
            </w:r>
            <w:r>
              <w:rPr>
                <w:rFonts w:cs="Times New Roman"/>
                <w:color w:val="auto"/>
              </w:rPr>
              <w:t>次。</w:t>
            </w:r>
            <w:r>
              <w:rPr>
                <w:rFonts w:hint="default" w:cs="Times New Roman"/>
                <w:color w:val="auto"/>
              </w:rPr>
              <w:t>项目工作为365d/a，则门诊病人生活用水量为</w:t>
            </w:r>
            <w:r>
              <w:rPr>
                <w:rFonts w:hint="eastAsia" w:cs="Times New Roman"/>
                <w:color w:val="auto"/>
                <w:lang w:val="en-US" w:eastAsia="zh-CN"/>
              </w:rPr>
              <w:t>0.65t</w:t>
            </w:r>
            <w:r>
              <w:rPr>
                <w:rFonts w:hint="default" w:cs="Times New Roman"/>
                <w:color w:val="auto"/>
              </w:rPr>
              <w:t>/d（约合</w:t>
            </w:r>
            <w:r>
              <w:rPr>
                <w:rFonts w:hint="eastAsia" w:cs="Times New Roman"/>
                <w:color w:val="auto"/>
                <w:lang w:val="en-US" w:eastAsia="zh-CN"/>
              </w:rPr>
              <w:t>237.25t</w:t>
            </w:r>
            <w:r>
              <w:rPr>
                <w:rFonts w:hint="default" w:cs="Times New Roman"/>
                <w:color w:val="auto"/>
              </w:rPr>
              <w:t>/a）</w:t>
            </w:r>
            <w:r>
              <w:rPr>
                <w:rFonts w:hint="eastAsia" w:cs="Times New Roman"/>
                <w:color w:val="auto"/>
                <w:lang w:eastAsia="zh-CN"/>
              </w:rPr>
              <w:t>。</w:t>
            </w:r>
          </w:p>
          <w:p>
            <w:pPr>
              <w:pStyle w:val="55"/>
              <w:numPr>
                <w:ilvl w:val="0"/>
                <w:numId w:val="0"/>
              </w:numPr>
              <w:ind w:firstLine="480" w:firstLineChars="200"/>
              <w:rPr>
                <w:rFonts w:hint="default" w:cs="Times New Roman"/>
                <w:color w:val="auto"/>
              </w:rPr>
            </w:pPr>
            <w:r>
              <w:rPr>
                <w:rFonts w:hint="eastAsia" w:cs="Times New Roman"/>
                <w:color w:val="auto"/>
                <w:lang w:val="en-US" w:eastAsia="zh-CN"/>
              </w:rPr>
              <w:t>（5）住院病人用</w:t>
            </w:r>
            <w:r>
              <w:rPr>
                <w:rFonts w:hint="default" w:cs="Times New Roman"/>
                <w:color w:val="auto"/>
              </w:rPr>
              <w:t>水</w:t>
            </w:r>
          </w:p>
          <w:p>
            <w:pPr>
              <w:pStyle w:val="55"/>
              <w:ind w:firstLine="48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本次项目拟新增</w:t>
            </w:r>
            <w:r>
              <w:rPr>
                <w:rFonts w:hint="eastAsia" w:ascii="Times New Roman" w:hAnsi="Times New Roman" w:eastAsia="宋体" w:cs="Times New Roman"/>
                <w:color w:val="auto"/>
                <w:kern w:val="2"/>
                <w:sz w:val="24"/>
                <w:szCs w:val="24"/>
                <w:lang w:val="en-US" w:eastAsia="zh-CN" w:bidi="ar-SA"/>
              </w:rPr>
              <w:t>99张床位</w:t>
            </w:r>
            <w:r>
              <w:rPr>
                <w:rFonts w:hint="default" w:ascii="Times New Roman" w:hAnsi="Times New Roman" w:eastAsia="宋体" w:cs="Times New Roman"/>
                <w:color w:val="auto"/>
                <w:kern w:val="2"/>
                <w:sz w:val="24"/>
                <w:szCs w:val="24"/>
                <w:lang w:val="en-US" w:eastAsia="zh-CN" w:bidi="ar-SA"/>
              </w:rPr>
              <w:t>，用水参考</w:t>
            </w:r>
            <w:r>
              <w:rPr>
                <w:rFonts w:hint="eastAsia" w:ascii="Times New Roman" w:hAnsi="Times New Roman" w:eastAsia="宋体" w:cs="Times New Roman"/>
                <w:color w:val="auto"/>
                <w:kern w:val="2"/>
                <w:sz w:val="24"/>
                <w:szCs w:val="24"/>
                <w:lang w:val="en-US" w:eastAsia="zh-CN" w:bidi="ar-SA"/>
              </w:rPr>
              <w:t>《综合医院建筑设计规范》（GB51039-2014）中“表6.22医院生活用水量定额”中“病房设浴室、卫生间、盥洗250~400</w:t>
            </w:r>
            <w:r>
              <w:rPr>
                <w:rFonts w:hint="default" w:ascii="Times New Roman" w:hAnsi="Times New Roman" w:eastAsia="宋体" w:cs="Times New Roman"/>
                <w:color w:val="auto"/>
                <w:kern w:val="2"/>
                <w:sz w:val="24"/>
                <w:szCs w:val="24"/>
                <w:lang w:val="en-US" w:eastAsia="zh-CN" w:bidi="ar-SA"/>
              </w:rPr>
              <w:t>L/</w:t>
            </w:r>
            <w:r>
              <w:rPr>
                <w:rFonts w:hint="eastAsia" w:ascii="Times New Roman" w:hAnsi="Times New Roman" w:eastAsia="宋体" w:cs="Times New Roman"/>
                <w:color w:val="auto"/>
                <w:kern w:val="2"/>
                <w:sz w:val="24"/>
                <w:szCs w:val="24"/>
                <w:lang w:val="en-US" w:eastAsia="zh-CN" w:bidi="ar-SA"/>
              </w:rPr>
              <w:t>床</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d”</w:t>
            </w:r>
            <w:r>
              <w:rPr>
                <w:rFonts w:hint="default" w:ascii="Times New Roman" w:hAnsi="Times New Roman" w:eastAsia="宋体" w:cs="Times New Roman"/>
                <w:color w:val="auto"/>
                <w:kern w:val="2"/>
                <w:sz w:val="24"/>
                <w:szCs w:val="24"/>
                <w:lang w:val="en-US" w:eastAsia="zh-CN" w:bidi="ar-SA"/>
              </w:rPr>
              <w:t>。本次环评取值</w:t>
            </w:r>
            <w:r>
              <w:rPr>
                <w:rFonts w:hint="eastAsia" w:ascii="Times New Roman" w:hAnsi="Times New Roman" w:eastAsia="宋体" w:cs="Times New Roman"/>
                <w:color w:val="auto"/>
                <w:kern w:val="2"/>
                <w:sz w:val="24"/>
                <w:szCs w:val="24"/>
                <w:lang w:val="en-US" w:eastAsia="zh-CN" w:bidi="ar-SA"/>
              </w:rPr>
              <w:t>330</w:t>
            </w:r>
            <w:r>
              <w:rPr>
                <w:rFonts w:hint="default" w:ascii="Times New Roman" w:hAnsi="Times New Roman" w:eastAsia="宋体" w:cs="Times New Roman"/>
                <w:color w:val="auto"/>
                <w:kern w:val="2"/>
                <w:sz w:val="24"/>
                <w:szCs w:val="24"/>
                <w:lang w:val="en-US" w:eastAsia="zh-CN" w:bidi="ar-SA"/>
              </w:rPr>
              <w:t>L/</w:t>
            </w:r>
            <w:r>
              <w:rPr>
                <w:rFonts w:hint="eastAsia" w:ascii="Times New Roman" w:hAnsi="Times New Roman" w:eastAsia="宋体" w:cs="Times New Roman"/>
                <w:color w:val="auto"/>
                <w:kern w:val="2"/>
                <w:sz w:val="24"/>
                <w:szCs w:val="24"/>
                <w:lang w:val="en-US" w:eastAsia="zh-CN" w:bidi="ar-SA"/>
              </w:rPr>
              <w:t>床</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d。</w:t>
            </w:r>
            <w:r>
              <w:rPr>
                <w:rFonts w:hint="default" w:ascii="Times New Roman" w:hAnsi="Times New Roman" w:eastAsia="宋体" w:cs="Times New Roman"/>
                <w:color w:val="auto"/>
                <w:kern w:val="2"/>
                <w:sz w:val="24"/>
                <w:szCs w:val="24"/>
                <w:lang w:val="en-US" w:eastAsia="zh-CN" w:bidi="ar-SA"/>
              </w:rPr>
              <w:t>项目工作为365d/a，则住院病人生活用水量为</w:t>
            </w:r>
            <w:r>
              <w:rPr>
                <w:rFonts w:hint="eastAsia" w:ascii="Times New Roman" w:hAnsi="Times New Roman" w:eastAsia="宋体" w:cs="Times New Roman"/>
                <w:color w:val="auto"/>
                <w:kern w:val="2"/>
                <w:sz w:val="24"/>
                <w:szCs w:val="24"/>
                <w:lang w:val="en-US" w:eastAsia="zh-CN" w:bidi="ar-SA"/>
              </w:rPr>
              <w:t>32.67t</w:t>
            </w:r>
            <w:r>
              <w:rPr>
                <w:rFonts w:hint="default" w:ascii="Times New Roman" w:hAnsi="Times New Roman" w:eastAsia="宋体" w:cs="Times New Roman"/>
                <w:color w:val="auto"/>
                <w:kern w:val="2"/>
                <w:sz w:val="24"/>
                <w:szCs w:val="24"/>
                <w:lang w:val="en-US" w:eastAsia="zh-CN" w:bidi="ar-SA"/>
              </w:rPr>
              <w:t>/d（约合</w:t>
            </w:r>
            <w:r>
              <w:rPr>
                <w:rFonts w:hint="eastAsia" w:ascii="Times New Roman" w:hAnsi="Times New Roman" w:eastAsia="宋体" w:cs="Times New Roman"/>
                <w:color w:val="auto"/>
                <w:kern w:val="2"/>
                <w:sz w:val="24"/>
                <w:szCs w:val="24"/>
                <w:lang w:val="en-US" w:eastAsia="zh-CN" w:bidi="ar-SA"/>
              </w:rPr>
              <w:t>11924.55t</w:t>
            </w:r>
            <w:r>
              <w:rPr>
                <w:rFonts w:hint="default" w:ascii="Times New Roman" w:hAnsi="Times New Roman" w:eastAsia="宋体" w:cs="Times New Roman"/>
                <w:color w:val="auto"/>
                <w:kern w:val="2"/>
                <w:sz w:val="24"/>
                <w:szCs w:val="24"/>
                <w:lang w:val="en-US" w:eastAsia="zh-CN" w:bidi="ar-SA"/>
              </w:rPr>
              <w:t>/a）。</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lang w:val="en-US" w:eastAsia="zh-CN"/>
              </w:rPr>
            </w:pPr>
            <w:r>
              <w:rPr>
                <w:rFonts w:hint="eastAsia"/>
                <w:color w:val="auto"/>
                <w:lang w:val="en-US" w:eastAsia="zh-CN"/>
              </w:rPr>
              <w:t>（6）特殊医疗废水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lang w:val="en-US" w:eastAsia="zh-CN"/>
              </w:rPr>
            </w:pPr>
            <w:r>
              <w:rPr>
                <w:rFonts w:hint="eastAsia"/>
                <w:color w:val="auto"/>
                <w:lang w:val="en-US" w:eastAsia="zh-CN"/>
              </w:rPr>
              <w:t>本项目不涉及含氰废水、含铬、含汞等废水，项目检验主要是进行常规化验，主要采用生理盐水、显微镜以及少量酸碱试剂等。每次化验完成后需对仪器进行清洗，将产生少量酸碱废水。项目检验科用水量 0.1m</w:t>
            </w:r>
            <w:r>
              <w:rPr>
                <w:rFonts w:hint="eastAsia"/>
                <w:color w:val="auto"/>
                <w:vertAlign w:val="superscript"/>
                <w:lang w:val="en-US" w:eastAsia="zh-CN"/>
              </w:rPr>
              <w:t>3</w:t>
            </w:r>
            <w:r>
              <w:rPr>
                <w:rFonts w:hint="eastAsia"/>
                <w:color w:val="auto"/>
                <w:lang w:val="en-US" w:eastAsia="zh-CN"/>
              </w:rPr>
              <w:t>/d，36.5m</w:t>
            </w:r>
            <w:r>
              <w:rPr>
                <w:rFonts w:hint="eastAsia"/>
                <w:color w:val="auto"/>
                <w:vertAlign w:val="superscript"/>
                <w:lang w:val="en-US" w:eastAsia="zh-CN"/>
              </w:rPr>
              <w:t>3</w:t>
            </w:r>
            <w:r>
              <w:rPr>
                <w:rFonts w:hint="eastAsia"/>
                <w:color w:val="auto"/>
                <w:lang w:val="en-US" w:eastAsia="zh-CN"/>
              </w:rPr>
              <w:t>/a，污水产生系数按0.8计，则检验科废水量为0.08m</w:t>
            </w:r>
            <w:r>
              <w:rPr>
                <w:rFonts w:hint="eastAsia"/>
                <w:color w:val="auto"/>
                <w:vertAlign w:val="superscript"/>
                <w:lang w:val="en-US" w:eastAsia="zh-CN"/>
              </w:rPr>
              <w:t>3</w:t>
            </w:r>
            <w:r>
              <w:rPr>
                <w:rFonts w:hint="eastAsia"/>
                <w:color w:val="auto"/>
                <w:lang w:val="en-US" w:eastAsia="zh-CN"/>
              </w:rPr>
              <w:t>/d，29.2m</w:t>
            </w:r>
            <w:r>
              <w:rPr>
                <w:rFonts w:hint="eastAsia"/>
                <w:color w:val="auto"/>
                <w:vertAlign w:val="superscript"/>
                <w:lang w:val="en-US" w:eastAsia="zh-CN"/>
              </w:rPr>
              <w:t>3</w:t>
            </w:r>
            <w:r>
              <w:rPr>
                <w:rFonts w:hint="eastAsia"/>
                <w:color w:val="auto"/>
                <w:lang w:val="en-US" w:eastAsia="zh-CN"/>
              </w:rPr>
              <w:t>/a，检验废水经酸碱中和等调节至中性后处理。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eastAsia"/>
                <w:color w:val="auto"/>
                <w:lang w:val="en-US" w:eastAsia="zh-CN"/>
              </w:rPr>
              <w:t>（7）洗衣房废水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项目设置洗衣房，清洗</w:t>
            </w:r>
            <w:r>
              <w:rPr>
                <w:rFonts w:hint="default" w:ascii="Times New Roman" w:hAnsi="Times New Roman" w:cs="Times New Roman"/>
                <w:color w:val="auto"/>
                <w:lang w:val="en-US" w:eastAsia="zh-CN"/>
              </w:rPr>
              <w:t>住院病人床单、被套、病号服等</w:t>
            </w:r>
            <w:r>
              <w:rPr>
                <w:rFonts w:hint="eastAsia" w:ascii="Times New Roman" w:hAnsi="Times New Roman" w:cs="Times New Roman"/>
                <w:color w:val="auto"/>
                <w:lang w:val="en-US" w:eastAsia="zh-CN"/>
              </w:rPr>
              <w:t>物件，洗衣房</w:t>
            </w:r>
            <w:r>
              <w:rPr>
                <w:rFonts w:hint="default" w:ascii="Times New Roman" w:hAnsi="Times New Roman" w:cs="Times New Roman"/>
                <w:color w:val="auto"/>
                <w:lang w:val="en-US" w:eastAsia="zh-CN"/>
              </w:rPr>
              <w:t>用水参考</w:t>
            </w:r>
            <w:r>
              <w:rPr>
                <w:rFonts w:hint="eastAsia" w:ascii="Times New Roman" w:hAnsi="Times New Roman" w:cs="Times New Roman"/>
                <w:color w:val="auto"/>
                <w:lang w:val="en-US" w:eastAsia="zh-CN"/>
              </w:rPr>
              <w:t>福建省《行业用水定额》（DB35/T 772-2013）中“7930洗衣房 60L/公斤干衣物”。根据建设单位提供的资料</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每天产生150kg干衣物，</w:t>
            </w:r>
            <w:r>
              <w:rPr>
                <w:rFonts w:hint="default" w:ascii="Times New Roman" w:hAnsi="Times New Roman" w:cs="Times New Roman"/>
                <w:color w:val="auto"/>
                <w:lang w:val="en-US" w:eastAsia="zh-CN"/>
              </w:rPr>
              <w:t>项目工作为365d/a，则住院病人生活用水量为</w:t>
            </w:r>
            <w:r>
              <w:rPr>
                <w:rFonts w:hint="eastAsia" w:ascii="Times New Roman" w:hAnsi="Times New Roman" w:cs="Times New Roman"/>
                <w:color w:val="auto"/>
                <w:lang w:val="en-US" w:eastAsia="zh-CN"/>
              </w:rPr>
              <w:t>9t</w:t>
            </w:r>
            <w:r>
              <w:rPr>
                <w:rFonts w:hint="default" w:ascii="Times New Roman" w:hAnsi="Times New Roman" w:cs="Times New Roman"/>
                <w:color w:val="auto"/>
                <w:lang w:val="en-US" w:eastAsia="zh-CN"/>
              </w:rPr>
              <w:t>/d（约合</w:t>
            </w:r>
            <w:r>
              <w:rPr>
                <w:rFonts w:hint="eastAsia" w:ascii="Times New Roman" w:hAnsi="Times New Roman" w:cs="Times New Roman"/>
                <w:color w:val="auto"/>
                <w:lang w:val="en-US" w:eastAsia="zh-CN"/>
              </w:rPr>
              <w:t>3285t</w:t>
            </w:r>
            <w:r>
              <w:rPr>
                <w:rFonts w:hint="default" w:ascii="Times New Roman" w:hAnsi="Times New Roman" w:cs="Times New Roman"/>
                <w:color w:val="auto"/>
                <w:lang w:val="en-US" w:eastAsia="zh-CN"/>
              </w:rPr>
              <w:t>/a）。</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项目用水见表2.</w:t>
            </w:r>
            <w:r>
              <w:rPr>
                <w:rFonts w:hint="eastAsia" w:ascii="Times New Roman" w:hAnsi="Times New Roman" w:cs="Times New Roman"/>
                <w:color w:val="auto"/>
                <w:lang w:val="en-US" w:eastAsia="zh-CN"/>
              </w:rPr>
              <w:t>4</w:t>
            </w:r>
            <w:r>
              <w:rPr>
                <w:rFonts w:hint="default" w:ascii="Times New Roman" w:hAnsi="Times New Roman" w:cs="Times New Roman"/>
                <w:color w:val="auto"/>
                <w:lang w:val="en-US" w:eastAsia="zh-CN"/>
              </w:rPr>
              <w:t>-1。</w:t>
            </w:r>
          </w:p>
          <w:p>
            <w:pPr>
              <w:bidi w:val="0"/>
              <w:jc w:val="center"/>
              <w:rPr>
                <w:b/>
                <w:bCs/>
                <w:color w:val="auto"/>
              </w:rPr>
            </w:pPr>
            <w:r>
              <w:rPr>
                <w:rFonts w:hint="eastAsia"/>
                <w:b/>
                <w:bCs/>
                <w:color w:val="auto"/>
                <w:lang w:eastAsia="zh-CN"/>
              </w:rPr>
              <w:t>表</w:t>
            </w:r>
            <w:r>
              <w:rPr>
                <w:rFonts w:hint="eastAsia"/>
                <w:b/>
                <w:bCs/>
                <w:color w:val="auto"/>
                <w:lang w:val="en-US" w:eastAsia="zh-CN"/>
              </w:rPr>
              <w:t xml:space="preserve">2.4-1 </w:t>
            </w:r>
            <w:r>
              <w:rPr>
                <w:b/>
                <w:bCs/>
                <w:color w:val="auto"/>
              </w:rPr>
              <w:t>项目用水量一览表</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1397"/>
              <w:gridCol w:w="1097"/>
              <w:gridCol w:w="1010"/>
              <w:gridCol w:w="733"/>
              <w:gridCol w:w="1028"/>
              <w:gridCol w:w="1112"/>
              <w:gridCol w:w="11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28"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项目</w:t>
                  </w:r>
                </w:p>
              </w:tc>
              <w:tc>
                <w:tcPr>
                  <w:tcW w:w="729"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单位</w:t>
                  </w:r>
                </w:p>
              </w:tc>
              <w:tc>
                <w:tcPr>
                  <w:tcW w:w="671"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用水定额</w:t>
                  </w:r>
                </w:p>
              </w:tc>
              <w:tc>
                <w:tcPr>
                  <w:tcW w:w="487"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数量</w:t>
                  </w:r>
                </w:p>
              </w:tc>
              <w:tc>
                <w:tcPr>
                  <w:tcW w:w="683"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水量m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/d</w:t>
                  </w:r>
                </w:p>
              </w:tc>
              <w:tc>
                <w:tcPr>
                  <w:tcW w:w="739"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用水量m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/a</w:t>
                  </w:r>
                </w:p>
              </w:tc>
              <w:tc>
                <w:tcPr>
                  <w:tcW w:w="759"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28"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医护人员</w:t>
                  </w:r>
                  <w:r>
                    <w:rPr>
                      <w:rFonts w:hint="default" w:ascii="Times New Roman" w:hAnsi="Times New Roman" w:cs="Times New Roman"/>
                      <w:b w:val="0"/>
                      <w:bCs w:val="0"/>
                      <w:color w:val="auto"/>
                      <w:sz w:val="21"/>
                      <w:szCs w:val="21"/>
                    </w:rPr>
                    <w:t>用水</w:t>
                  </w:r>
                </w:p>
              </w:tc>
              <w:tc>
                <w:tcPr>
                  <w:tcW w:w="729"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L/d·人</w:t>
                  </w:r>
                </w:p>
              </w:tc>
              <w:tc>
                <w:tcPr>
                  <w:tcW w:w="671"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200</w:t>
                  </w:r>
                </w:p>
              </w:tc>
              <w:tc>
                <w:tcPr>
                  <w:tcW w:w="487"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100</w:t>
                  </w:r>
                </w:p>
              </w:tc>
              <w:tc>
                <w:tcPr>
                  <w:tcW w:w="683"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20</w:t>
                  </w:r>
                </w:p>
              </w:tc>
              <w:tc>
                <w:tcPr>
                  <w:tcW w:w="739"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7300</w:t>
                  </w:r>
                </w:p>
              </w:tc>
              <w:tc>
                <w:tcPr>
                  <w:tcW w:w="759" w:type="pct"/>
                  <w:vMerge w:val="restar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市政自来水管网给水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28"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后勤人员用水</w:t>
                  </w:r>
                </w:p>
              </w:tc>
              <w:tc>
                <w:tcPr>
                  <w:tcW w:w="729"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L/班·人</w:t>
                  </w:r>
                </w:p>
              </w:tc>
              <w:tc>
                <w:tcPr>
                  <w:tcW w:w="671"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90</w:t>
                  </w:r>
                </w:p>
              </w:tc>
              <w:tc>
                <w:tcPr>
                  <w:tcW w:w="487"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50</w:t>
                  </w:r>
                </w:p>
              </w:tc>
              <w:tc>
                <w:tcPr>
                  <w:tcW w:w="683"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4.5</w:t>
                  </w:r>
                </w:p>
              </w:tc>
              <w:tc>
                <w:tcPr>
                  <w:tcW w:w="739"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1642.5</w:t>
                  </w:r>
                </w:p>
              </w:tc>
              <w:tc>
                <w:tcPr>
                  <w:tcW w:w="759" w:type="pct"/>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928"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食堂用水</w:t>
                  </w:r>
                </w:p>
              </w:tc>
              <w:tc>
                <w:tcPr>
                  <w:tcW w:w="729"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L/人·次</w:t>
                  </w:r>
                </w:p>
              </w:tc>
              <w:tc>
                <w:tcPr>
                  <w:tcW w:w="671"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23</w:t>
                  </w:r>
                </w:p>
              </w:tc>
              <w:tc>
                <w:tcPr>
                  <w:tcW w:w="487"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300</w:t>
                  </w:r>
                </w:p>
              </w:tc>
              <w:tc>
                <w:tcPr>
                  <w:tcW w:w="683"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6.9</w:t>
                  </w:r>
                </w:p>
              </w:tc>
              <w:tc>
                <w:tcPr>
                  <w:tcW w:w="739"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2518.5</w:t>
                  </w:r>
                </w:p>
              </w:tc>
              <w:tc>
                <w:tcPr>
                  <w:tcW w:w="759" w:type="pct"/>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28"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门诊病人用水</w:t>
                  </w:r>
                </w:p>
              </w:tc>
              <w:tc>
                <w:tcPr>
                  <w:tcW w:w="729"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L/人·次</w:t>
                  </w:r>
                </w:p>
              </w:tc>
              <w:tc>
                <w:tcPr>
                  <w:tcW w:w="671"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13</w:t>
                  </w:r>
                </w:p>
              </w:tc>
              <w:tc>
                <w:tcPr>
                  <w:tcW w:w="487"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50</w:t>
                  </w:r>
                </w:p>
              </w:tc>
              <w:tc>
                <w:tcPr>
                  <w:tcW w:w="683"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0.65</w:t>
                  </w:r>
                </w:p>
              </w:tc>
              <w:tc>
                <w:tcPr>
                  <w:tcW w:w="739"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237.25</w:t>
                  </w:r>
                </w:p>
              </w:tc>
              <w:tc>
                <w:tcPr>
                  <w:tcW w:w="759" w:type="pct"/>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928"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住院病人用水</w:t>
                  </w:r>
                </w:p>
              </w:tc>
              <w:tc>
                <w:tcPr>
                  <w:tcW w:w="729"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L/床·d</w:t>
                  </w:r>
                </w:p>
              </w:tc>
              <w:tc>
                <w:tcPr>
                  <w:tcW w:w="671"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330</w:t>
                  </w:r>
                </w:p>
              </w:tc>
              <w:tc>
                <w:tcPr>
                  <w:tcW w:w="487"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99</w:t>
                  </w:r>
                </w:p>
              </w:tc>
              <w:tc>
                <w:tcPr>
                  <w:tcW w:w="683"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32.67</w:t>
                  </w:r>
                </w:p>
              </w:tc>
              <w:tc>
                <w:tcPr>
                  <w:tcW w:w="739"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11924.55</w:t>
                  </w:r>
                </w:p>
              </w:tc>
              <w:tc>
                <w:tcPr>
                  <w:tcW w:w="759" w:type="pct"/>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28" w:type="pct"/>
                  <w:noWrap w:val="0"/>
                  <w:vAlign w:val="center"/>
                </w:tcPr>
                <w:p>
                  <w:pPr>
                    <w:pStyle w:val="32"/>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洗衣房用水</w:t>
                  </w:r>
                </w:p>
              </w:tc>
              <w:tc>
                <w:tcPr>
                  <w:tcW w:w="729"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L/公斤干衣物</w:t>
                  </w:r>
                </w:p>
              </w:tc>
              <w:tc>
                <w:tcPr>
                  <w:tcW w:w="671"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60</w:t>
                  </w:r>
                </w:p>
              </w:tc>
              <w:tc>
                <w:tcPr>
                  <w:tcW w:w="487"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150</w:t>
                  </w:r>
                </w:p>
              </w:tc>
              <w:tc>
                <w:tcPr>
                  <w:tcW w:w="683"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w:t>
                  </w:r>
                </w:p>
              </w:tc>
              <w:tc>
                <w:tcPr>
                  <w:tcW w:w="739"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3258</w:t>
                  </w:r>
                </w:p>
              </w:tc>
              <w:tc>
                <w:tcPr>
                  <w:tcW w:w="759" w:type="pct"/>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928"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eastAsia" w:ascii="Times New Roman" w:cs="Times New Roman"/>
                      <w:b w:val="0"/>
                      <w:bCs w:val="0"/>
                      <w:color w:val="auto"/>
                      <w:sz w:val="21"/>
                      <w:szCs w:val="21"/>
                      <w:lang w:val="en-US" w:eastAsia="zh-CN"/>
                    </w:rPr>
                    <w:t>检验科</w:t>
                  </w:r>
                </w:p>
              </w:tc>
              <w:tc>
                <w:tcPr>
                  <w:tcW w:w="729"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eastAsia" w:ascii="Times New Roman" w:cs="Times New Roman"/>
                      <w:b w:val="0"/>
                      <w:bCs w:val="0"/>
                      <w:color w:val="auto"/>
                      <w:sz w:val="21"/>
                      <w:szCs w:val="21"/>
                      <w:lang w:val="en-US" w:eastAsia="zh-CN"/>
                    </w:rPr>
                    <w:t>/</w:t>
                  </w:r>
                </w:p>
              </w:tc>
              <w:tc>
                <w:tcPr>
                  <w:tcW w:w="671"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eastAsia" w:ascii="Times New Roman" w:cs="Times New Roman"/>
                      <w:b w:val="0"/>
                      <w:bCs w:val="0"/>
                      <w:color w:val="auto"/>
                      <w:sz w:val="21"/>
                      <w:szCs w:val="21"/>
                      <w:lang w:val="en-US" w:eastAsia="zh-CN"/>
                    </w:rPr>
                    <w:t>/</w:t>
                  </w:r>
                </w:p>
              </w:tc>
              <w:tc>
                <w:tcPr>
                  <w:tcW w:w="487"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eastAsia" w:ascii="Times New Roman" w:cs="Times New Roman"/>
                      <w:b w:val="0"/>
                      <w:bCs w:val="0"/>
                      <w:color w:val="auto"/>
                      <w:sz w:val="21"/>
                      <w:szCs w:val="21"/>
                      <w:lang w:val="en-US" w:eastAsia="zh-CN"/>
                    </w:rPr>
                    <w:t>/</w:t>
                  </w:r>
                </w:p>
              </w:tc>
              <w:tc>
                <w:tcPr>
                  <w:tcW w:w="683"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eastAsia" w:ascii="Times New Roman" w:cs="Times New Roman"/>
                      <w:b w:val="0"/>
                      <w:bCs w:val="0"/>
                      <w:color w:val="auto"/>
                      <w:sz w:val="21"/>
                      <w:szCs w:val="21"/>
                      <w:lang w:val="en-US" w:eastAsia="zh-CN"/>
                    </w:rPr>
                    <w:t>0.1</w:t>
                  </w:r>
                </w:p>
              </w:tc>
              <w:tc>
                <w:tcPr>
                  <w:tcW w:w="739"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eastAsia" w:ascii="Times New Roman" w:cs="Times New Roman"/>
                      <w:b w:val="0"/>
                      <w:bCs w:val="0"/>
                      <w:color w:val="auto"/>
                      <w:sz w:val="21"/>
                      <w:szCs w:val="21"/>
                      <w:lang w:val="en-US" w:eastAsia="zh-CN"/>
                    </w:rPr>
                    <w:t>36.5</w:t>
                  </w:r>
                </w:p>
              </w:tc>
              <w:tc>
                <w:tcPr>
                  <w:tcW w:w="759" w:type="pct"/>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1658" w:type="pct"/>
                  <w:gridSpan w:val="2"/>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合计</w:t>
                  </w:r>
                </w:p>
              </w:tc>
              <w:tc>
                <w:tcPr>
                  <w:tcW w:w="671" w:type="pct"/>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w:t>
                  </w:r>
                </w:p>
              </w:tc>
              <w:tc>
                <w:tcPr>
                  <w:tcW w:w="487" w:type="pct"/>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w:t>
                  </w:r>
                </w:p>
              </w:tc>
              <w:tc>
                <w:tcPr>
                  <w:tcW w:w="68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73.</w:t>
                  </w:r>
                  <w:r>
                    <w:rPr>
                      <w:rFonts w:hint="eastAsia" w:cs="Times New Roman"/>
                      <w:b w:val="0"/>
                      <w:bCs w:val="0"/>
                      <w:color w:val="auto"/>
                      <w:kern w:val="2"/>
                      <w:sz w:val="21"/>
                      <w:szCs w:val="21"/>
                      <w:lang w:val="en-US" w:eastAsia="zh-CN" w:bidi="ar-SA"/>
                    </w:rPr>
                    <w:t>8</w:t>
                  </w:r>
                  <w:r>
                    <w:rPr>
                      <w:rFonts w:hint="default" w:ascii="Times New Roman" w:hAnsi="Times New Roman" w:eastAsia="宋体" w:cs="Times New Roman"/>
                      <w:b w:val="0"/>
                      <w:bCs w:val="0"/>
                      <w:color w:val="auto"/>
                      <w:kern w:val="2"/>
                      <w:sz w:val="21"/>
                      <w:szCs w:val="21"/>
                      <w:lang w:val="en-US" w:eastAsia="zh-CN" w:bidi="ar-SA"/>
                    </w:rPr>
                    <w:t>2</w:t>
                  </w:r>
                </w:p>
              </w:tc>
              <w:tc>
                <w:tcPr>
                  <w:tcW w:w="73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26</w:t>
                  </w:r>
                  <w:r>
                    <w:rPr>
                      <w:rFonts w:hint="eastAsia" w:cs="Times New Roman"/>
                      <w:b w:val="0"/>
                      <w:bCs w:val="0"/>
                      <w:color w:val="auto"/>
                      <w:kern w:val="2"/>
                      <w:sz w:val="21"/>
                      <w:szCs w:val="21"/>
                      <w:lang w:val="en-US" w:eastAsia="zh-CN" w:bidi="ar-SA"/>
                    </w:rPr>
                    <w:t>917</w:t>
                  </w:r>
                  <w:r>
                    <w:rPr>
                      <w:rFonts w:hint="default" w:ascii="Times New Roman" w:hAnsi="Times New Roman" w:eastAsia="宋体" w:cs="Times New Roman"/>
                      <w:b w:val="0"/>
                      <w:bCs w:val="0"/>
                      <w:color w:val="auto"/>
                      <w:kern w:val="2"/>
                      <w:sz w:val="21"/>
                      <w:szCs w:val="21"/>
                      <w:lang w:val="en-US" w:eastAsia="zh-CN" w:bidi="ar-SA"/>
                    </w:rPr>
                    <w:t>.</w:t>
                  </w:r>
                  <w:r>
                    <w:rPr>
                      <w:rFonts w:hint="eastAsia" w:cs="Times New Roman"/>
                      <w:b w:val="0"/>
                      <w:bCs w:val="0"/>
                      <w:color w:val="auto"/>
                      <w:kern w:val="2"/>
                      <w:sz w:val="21"/>
                      <w:szCs w:val="21"/>
                      <w:lang w:val="en-US" w:eastAsia="zh-CN" w:bidi="ar-SA"/>
                    </w:rPr>
                    <w:t>3</w:t>
                  </w:r>
                </w:p>
              </w:tc>
              <w:tc>
                <w:tcPr>
                  <w:tcW w:w="759" w:type="pct"/>
                  <w:vMerge w:val="continue"/>
                  <w:noWrap w:val="0"/>
                  <w:vAlign w:val="center"/>
                </w:tcPr>
                <w:p>
                  <w:pPr>
                    <w:pStyle w:val="32"/>
                    <w:rPr>
                      <w:rFonts w:hint="default" w:ascii="Times New Roman" w:hAnsi="Times New Roman" w:cs="Times New Roman"/>
                      <w:b w:val="0"/>
                      <w:bCs w:val="0"/>
                      <w:color w:val="auto"/>
                      <w:sz w:val="21"/>
                      <w:szCs w:val="21"/>
                    </w:rPr>
                  </w:pPr>
                </w:p>
              </w:tc>
            </w:tr>
          </w:tbl>
          <w:p>
            <w:pPr>
              <w:pStyle w:val="4"/>
              <w:bidi w:val="0"/>
              <w:rPr>
                <w:color w:val="auto"/>
              </w:rPr>
            </w:pPr>
            <w:r>
              <w:rPr>
                <w:rFonts w:hint="eastAsia"/>
                <w:color w:val="auto"/>
                <w:lang w:val="en-US" w:eastAsia="zh-CN"/>
              </w:rPr>
              <w:t>2.4.2</w:t>
            </w:r>
            <w:r>
              <w:rPr>
                <w:color w:val="auto"/>
              </w:rPr>
              <w:t>排水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项目给排水量详见表2.</w:t>
            </w:r>
            <w:r>
              <w:rPr>
                <w:rFonts w:hint="eastAsia"/>
                <w:color w:val="auto"/>
                <w:lang w:val="en-US" w:eastAsia="zh-CN"/>
              </w:rPr>
              <w:t>4</w:t>
            </w:r>
            <w:r>
              <w:rPr>
                <w:rFonts w:hint="default"/>
                <w:color w:val="auto"/>
              </w:rPr>
              <w:t>-2。</w:t>
            </w:r>
          </w:p>
          <w:p>
            <w:pPr>
              <w:bidi w:val="0"/>
              <w:jc w:val="center"/>
              <w:rPr>
                <w:b/>
                <w:bCs/>
                <w:color w:val="auto"/>
              </w:rPr>
            </w:pPr>
            <w:r>
              <w:rPr>
                <w:rFonts w:hint="eastAsia"/>
                <w:b/>
                <w:bCs/>
                <w:color w:val="auto"/>
                <w:lang w:eastAsia="zh-CN"/>
              </w:rPr>
              <w:t>表</w:t>
            </w:r>
            <w:r>
              <w:rPr>
                <w:rFonts w:hint="eastAsia"/>
                <w:b/>
                <w:bCs/>
                <w:color w:val="auto"/>
                <w:lang w:val="en-US" w:eastAsia="zh-CN"/>
              </w:rPr>
              <w:t xml:space="preserve">2.4-2 </w:t>
            </w:r>
            <w:r>
              <w:rPr>
                <w:b/>
                <w:bCs/>
                <w:color w:val="auto"/>
              </w:rPr>
              <w:t>项目给排水量一览表</w:t>
            </w:r>
          </w:p>
          <w:tbl>
            <w:tblPr>
              <w:tblStyle w:val="26"/>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1381"/>
              <w:gridCol w:w="827"/>
              <w:gridCol w:w="877"/>
              <w:gridCol w:w="782"/>
              <w:gridCol w:w="907"/>
              <w:gridCol w:w="987"/>
              <w:gridCol w:w="1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项目</w:t>
                  </w:r>
                </w:p>
              </w:tc>
              <w:tc>
                <w:tcPr>
                  <w:tcW w:w="550" w:type="pct"/>
                  <w:noWrap w:val="0"/>
                  <w:vAlign w:val="center"/>
                </w:tcPr>
                <w:p>
                  <w:pPr>
                    <w:pStyle w:val="32"/>
                    <w:spacing w:line="240" w:lineRule="auto"/>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rPr>
                    <w:t>用水量m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/d</w:t>
                  </w:r>
                </w:p>
              </w:tc>
              <w:tc>
                <w:tcPr>
                  <w:tcW w:w="583"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用水量</w:t>
                  </w:r>
                </w:p>
                <w:p>
                  <w:pPr>
                    <w:pStyle w:val="32"/>
                    <w:spacing w:line="240" w:lineRule="auto"/>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rPr>
                    <w:t>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/a</w:t>
                  </w:r>
                </w:p>
              </w:tc>
              <w:tc>
                <w:tcPr>
                  <w:tcW w:w="520" w:type="pct"/>
                  <w:noWrap w:val="0"/>
                  <w:vAlign w:val="center"/>
                </w:tcPr>
                <w:p>
                  <w:pPr>
                    <w:pStyle w:val="32"/>
                    <w:spacing w:line="240" w:lineRule="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产污</w:t>
                  </w:r>
                </w:p>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lang w:val="en-US" w:eastAsia="zh-CN"/>
                    </w:rPr>
                    <w:t>系数</w:t>
                  </w:r>
                </w:p>
              </w:tc>
              <w:tc>
                <w:tcPr>
                  <w:tcW w:w="603"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排水量</w:t>
                  </w:r>
                </w:p>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/d</w:t>
                  </w:r>
                </w:p>
              </w:tc>
              <w:tc>
                <w:tcPr>
                  <w:tcW w:w="656"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排水量</w:t>
                  </w:r>
                </w:p>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/a</w:t>
                  </w:r>
                </w:p>
              </w:tc>
              <w:tc>
                <w:tcPr>
                  <w:tcW w:w="1168"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lang w:val="en-US" w:eastAsia="zh-CN"/>
                    </w:rPr>
                    <w:t>医护人员</w:t>
                  </w:r>
                  <w:r>
                    <w:rPr>
                      <w:rFonts w:hint="default" w:ascii="Times New Roman" w:hAnsi="Times New Roman" w:cs="Times New Roman"/>
                      <w:b w:val="0"/>
                      <w:bCs/>
                      <w:color w:val="auto"/>
                      <w:sz w:val="21"/>
                      <w:szCs w:val="21"/>
                    </w:rPr>
                    <w:t>用水</w:t>
                  </w:r>
                </w:p>
              </w:tc>
              <w:tc>
                <w:tcPr>
                  <w:tcW w:w="55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20</w:t>
                  </w:r>
                </w:p>
              </w:tc>
              <w:tc>
                <w:tcPr>
                  <w:tcW w:w="583"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7300</w:t>
                  </w:r>
                </w:p>
              </w:tc>
              <w:tc>
                <w:tcPr>
                  <w:tcW w:w="52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0.9</w:t>
                  </w:r>
                </w:p>
              </w:tc>
              <w:tc>
                <w:tcPr>
                  <w:tcW w:w="603" w:type="pct"/>
                  <w:noWrap w:val="0"/>
                  <w:vAlign w:val="center"/>
                </w:tcPr>
                <w:p>
                  <w:pPr>
                    <w:pStyle w:val="32"/>
                    <w:spacing w:line="240" w:lineRule="auto"/>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18</w:t>
                  </w:r>
                </w:p>
              </w:tc>
              <w:tc>
                <w:tcPr>
                  <w:tcW w:w="656" w:type="pct"/>
                  <w:noWrap w:val="0"/>
                  <w:vAlign w:val="center"/>
                </w:tcPr>
                <w:p>
                  <w:pPr>
                    <w:pStyle w:val="32"/>
                    <w:spacing w:line="240" w:lineRule="auto"/>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6500</w:t>
                  </w:r>
                </w:p>
              </w:tc>
              <w:tc>
                <w:tcPr>
                  <w:tcW w:w="1168" w:type="pct"/>
                  <w:vMerge w:val="restar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lang w:val="en-US" w:eastAsia="zh-CN"/>
                    </w:rPr>
                    <w:t>接入化粪池+</w:t>
                  </w:r>
                  <w:r>
                    <w:rPr>
                      <w:rFonts w:hint="default" w:ascii="Times New Roman" w:hAnsi="Times New Roman" w:cs="Times New Roman"/>
                      <w:b w:val="0"/>
                      <w:bCs/>
                      <w:color w:val="auto"/>
                      <w:sz w:val="21"/>
                      <w:szCs w:val="21"/>
                    </w:rPr>
                    <w:t>自建污水站</w:t>
                  </w:r>
                  <w:r>
                    <w:rPr>
                      <w:rFonts w:hint="default" w:ascii="Times New Roman" w:hAnsi="Times New Roman" w:cs="Times New Roman"/>
                      <w:b w:val="0"/>
                      <w:bCs/>
                      <w:color w:val="auto"/>
                      <w:sz w:val="21"/>
                      <w:szCs w:val="21"/>
                      <w:lang w:val="en-US" w:eastAsia="zh-CN"/>
                    </w:rPr>
                    <w:t>处理后</w:t>
                  </w:r>
                  <w:r>
                    <w:rPr>
                      <w:rFonts w:hint="default" w:ascii="Times New Roman" w:hAnsi="Times New Roman" w:cs="Times New Roman"/>
                      <w:b w:val="0"/>
                      <w:bCs/>
                      <w:color w:val="auto"/>
                      <w:sz w:val="21"/>
                      <w:szCs w:val="21"/>
                    </w:rPr>
                    <w:t>由DW001排入市政污水管网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后勤人员用水</w:t>
                  </w:r>
                </w:p>
              </w:tc>
              <w:tc>
                <w:tcPr>
                  <w:tcW w:w="55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4.5</w:t>
                  </w:r>
                </w:p>
              </w:tc>
              <w:tc>
                <w:tcPr>
                  <w:tcW w:w="583"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1642.5</w:t>
                  </w:r>
                </w:p>
              </w:tc>
              <w:tc>
                <w:tcPr>
                  <w:tcW w:w="52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0.9</w:t>
                  </w:r>
                </w:p>
              </w:tc>
              <w:tc>
                <w:tcPr>
                  <w:tcW w:w="603" w:type="pct"/>
                  <w:noWrap w:val="0"/>
                  <w:vAlign w:val="center"/>
                </w:tcPr>
                <w:p>
                  <w:pPr>
                    <w:pStyle w:val="32"/>
                    <w:spacing w:line="240" w:lineRule="auto"/>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4.05</w:t>
                  </w:r>
                </w:p>
              </w:tc>
              <w:tc>
                <w:tcPr>
                  <w:tcW w:w="656" w:type="pct"/>
                  <w:noWrap w:val="0"/>
                  <w:vAlign w:val="center"/>
                </w:tcPr>
                <w:p>
                  <w:pPr>
                    <w:pStyle w:val="32"/>
                    <w:spacing w:line="240" w:lineRule="auto"/>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1478.25</w:t>
                  </w:r>
                </w:p>
              </w:tc>
              <w:tc>
                <w:tcPr>
                  <w:tcW w:w="1168" w:type="pct"/>
                  <w:vMerge w:val="continue"/>
                  <w:noWrap w:val="0"/>
                  <w:vAlign w:val="center"/>
                </w:tcPr>
                <w:p>
                  <w:pPr>
                    <w:pStyle w:val="32"/>
                    <w:spacing w:line="240" w:lineRule="auto"/>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食堂用水</w:t>
                  </w:r>
                </w:p>
              </w:tc>
              <w:tc>
                <w:tcPr>
                  <w:tcW w:w="55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6.9</w:t>
                  </w:r>
                </w:p>
              </w:tc>
              <w:tc>
                <w:tcPr>
                  <w:tcW w:w="583"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2518.5</w:t>
                  </w:r>
                </w:p>
              </w:tc>
              <w:tc>
                <w:tcPr>
                  <w:tcW w:w="52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0.9</w:t>
                  </w:r>
                </w:p>
              </w:tc>
              <w:tc>
                <w:tcPr>
                  <w:tcW w:w="603" w:type="pct"/>
                  <w:noWrap w:val="0"/>
                  <w:vAlign w:val="center"/>
                </w:tcPr>
                <w:p>
                  <w:pPr>
                    <w:pStyle w:val="32"/>
                    <w:spacing w:line="240" w:lineRule="auto"/>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6.21</w:t>
                  </w:r>
                </w:p>
              </w:tc>
              <w:tc>
                <w:tcPr>
                  <w:tcW w:w="656" w:type="pct"/>
                  <w:noWrap w:val="0"/>
                  <w:vAlign w:val="center"/>
                </w:tcPr>
                <w:p>
                  <w:pPr>
                    <w:pStyle w:val="32"/>
                    <w:spacing w:line="240" w:lineRule="auto"/>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2266.65</w:t>
                  </w:r>
                </w:p>
              </w:tc>
              <w:tc>
                <w:tcPr>
                  <w:tcW w:w="1168"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lang w:val="en-US" w:eastAsia="zh-CN"/>
                    </w:rPr>
                    <w:t>先</w:t>
                  </w:r>
                  <w:r>
                    <w:rPr>
                      <w:rFonts w:hint="default" w:ascii="Times New Roman" w:hAnsi="Times New Roman" w:cs="Times New Roman"/>
                      <w:b w:val="0"/>
                      <w:bCs/>
                      <w:color w:val="auto"/>
                      <w:sz w:val="21"/>
                      <w:szCs w:val="21"/>
                    </w:rPr>
                    <w:t>经隔油池</w:t>
                  </w:r>
                  <w:r>
                    <w:rPr>
                      <w:rFonts w:hint="default" w:ascii="Times New Roman" w:hAnsi="Times New Roman" w:cs="Times New Roman"/>
                      <w:b w:val="0"/>
                      <w:bCs/>
                      <w:color w:val="auto"/>
                      <w:sz w:val="21"/>
                      <w:szCs w:val="21"/>
                      <w:lang w:val="en-US" w:eastAsia="zh-CN"/>
                    </w:rPr>
                    <w:t>处理后在通过</w:t>
                  </w:r>
                  <w:r>
                    <w:rPr>
                      <w:rFonts w:hint="default" w:ascii="Times New Roman" w:hAnsi="Times New Roman" w:cs="Times New Roman"/>
                      <w:b w:val="0"/>
                      <w:bCs/>
                      <w:color w:val="auto"/>
                      <w:sz w:val="21"/>
                      <w:szCs w:val="21"/>
                    </w:rPr>
                    <w:t>化粪池</w:t>
                  </w:r>
                  <w:r>
                    <w:rPr>
                      <w:rFonts w:hint="default" w:ascii="Times New Roman" w:hAnsi="Times New Roman" w:cs="Times New Roman"/>
                      <w:b w:val="0"/>
                      <w:bCs/>
                      <w:color w:val="auto"/>
                      <w:sz w:val="21"/>
                      <w:szCs w:val="21"/>
                      <w:lang w:val="en-US" w:eastAsia="zh-CN"/>
                    </w:rPr>
                    <w:t>+</w:t>
                  </w:r>
                  <w:r>
                    <w:rPr>
                      <w:rFonts w:hint="default" w:ascii="Times New Roman" w:hAnsi="Times New Roman" w:cs="Times New Roman"/>
                      <w:b w:val="0"/>
                      <w:bCs/>
                      <w:color w:val="auto"/>
                      <w:sz w:val="21"/>
                      <w:szCs w:val="21"/>
                    </w:rPr>
                    <w:t>自建污水站处</w:t>
                  </w:r>
                  <w:r>
                    <w:rPr>
                      <w:rFonts w:hint="default" w:ascii="Times New Roman" w:hAnsi="Times New Roman" w:cs="Times New Roman"/>
                      <w:b w:val="0"/>
                      <w:bCs/>
                      <w:color w:val="auto"/>
                      <w:sz w:val="21"/>
                      <w:szCs w:val="21"/>
                      <w:lang w:val="en-US" w:eastAsia="zh-CN"/>
                    </w:rPr>
                    <w:t>理后</w:t>
                  </w:r>
                  <w:r>
                    <w:rPr>
                      <w:rFonts w:hint="default" w:ascii="Times New Roman" w:hAnsi="Times New Roman" w:cs="Times New Roman"/>
                      <w:b w:val="0"/>
                      <w:bCs/>
                      <w:color w:val="auto"/>
                      <w:sz w:val="21"/>
                      <w:szCs w:val="21"/>
                    </w:rPr>
                    <w:t>由DW001排入市政污水管网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门诊病人用水</w:t>
                  </w:r>
                </w:p>
              </w:tc>
              <w:tc>
                <w:tcPr>
                  <w:tcW w:w="55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0.65</w:t>
                  </w:r>
                </w:p>
              </w:tc>
              <w:tc>
                <w:tcPr>
                  <w:tcW w:w="583"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237.25</w:t>
                  </w:r>
                </w:p>
              </w:tc>
              <w:tc>
                <w:tcPr>
                  <w:tcW w:w="52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0.9</w:t>
                  </w:r>
                </w:p>
              </w:tc>
              <w:tc>
                <w:tcPr>
                  <w:tcW w:w="603" w:type="pct"/>
                  <w:noWrap w:val="0"/>
                  <w:vAlign w:val="center"/>
                </w:tcPr>
                <w:p>
                  <w:pPr>
                    <w:pStyle w:val="32"/>
                    <w:spacing w:line="240" w:lineRule="auto"/>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0.585</w:t>
                  </w:r>
                </w:p>
              </w:tc>
              <w:tc>
                <w:tcPr>
                  <w:tcW w:w="656" w:type="pct"/>
                  <w:noWrap w:val="0"/>
                  <w:vAlign w:val="center"/>
                </w:tcPr>
                <w:p>
                  <w:pPr>
                    <w:pStyle w:val="32"/>
                    <w:spacing w:line="240" w:lineRule="auto"/>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213.5</w:t>
                  </w:r>
                  <w:r>
                    <w:rPr>
                      <w:rFonts w:hint="default" w:ascii="Times New Roman" w:hAnsi="Times New Roman" w:cs="Times New Roman"/>
                      <w:b w:val="0"/>
                      <w:bCs/>
                      <w:color w:val="auto"/>
                      <w:kern w:val="2"/>
                      <w:sz w:val="21"/>
                      <w:szCs w:val="21"/>
                      <w:lang w:val="en-US" w:eastAsia="zh-CN" w:bidi="ar-SA"/>
                    </w:rPr>
                    <w:t>3</w:t>
                  </w:r>
                </w:p>
              </w:tc>
              <w:tc>
                <w:tcPr>
                  <w:tcW w:w="1168" w:type="pct"/>
                  <w:vMerge w:val="restar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lang w:val="en-US" w:eastAsia="zh-CN"/>
                    </w:rPr>
                    <w:t>接入化粪池+</w:t>
                  </w:r>
                  <w:r>
                    <w:rPr>
                      <w:rFonts w:hint="default" w:ascii="Times New Roman" w:hAnsi="Times New Roman" w:cs="Times New Roman"/>
                      <w:b w:val="0"/>
                      <w:bCs/>
                      <w:color w:val="auto"/>
                      <w:sz w:val="21"/>
                      <w:szCs w:val="21"/>
                    </w:rPr>
                    <w:t>自建污水站</w:t>
                  </w:r>
                  <w:r>
                    <w:rPr>
                      <w:rFonts w:hint="default" w:ascii="Times New Roman" w:hAnsi="Times New Roman" w:cs="Times New Roman"/>
                      <w:b w:val="0"/>
                      <w:bCs/>
                      <w:color w:val="auto"/>
                      <w:sz w:val="21"/>
                      <w:szCs w:val="21"/>
                      <w:lang w:val="en-US" w:eastAsia="zh-CN"/>
                    </w:rPr>
                    <w:t>处理后</w:t>
                  </w:r>
                  <w:r>
                    <w:rPr>
                      <w:rFonts w:hint="default" w:ascii="Times New Roman" w:hAnsi="Times New Roman" w:cs="Times New Roman"/>
                      <w:b w:val="0"/>
                      <w:bCs/>
                      <w:color w:val="auto"/>
                      <w:sz w:val="21"/>
                      <w:szCs w:val="21"/>
                    </w:rPr>
                    <w:t>由DW001排入市政污水管网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住院病人用水</w:t>
                  </w:r>
                </w:p>
              </w:tc>
              <w:tc>
                <w:tcPr>
                  <w:tcW w:w="55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32.67</w:t>
                  </w:r>
                </w:p>
              </w:tc>
              <w:tc>
                <w:tcPr>
                  <w:tcW w:w="583"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11924.55</w:t>
                  </w:r>
                </w:p>
              </w:tc>
              <w:tc>
                <w:tcPr>
                  <w:tcW w:w="52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0.9</w:t>
                  </w:r>
                </w:p>
              </w:tc>
              <w:tc>
                <w:tcPr>
                  <w:tcW w:w="603"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29.40</w:t>
                  </w:r>
                </w:p>
              </w:tc>
              <w:tc>
                <w:tcPr>
                  <w:tcW w:w="656"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10732.</w:t>
                  </w:r>
                  <w:r>
                    <w:rPr>
                      <w:rFonts w:hint="default" w:ascii="Times New Roman" w:hAnsi="Times New Roman" w:cs="Times New Roman"/>
                      <w:b w:val="0"/>
                      <w:bCs/>
                      <w:color w:val="auto"/>
                      <w:kern w:val="2"/>
                      <w:sz w:val="21"/>
                      <w:szCs w:val="21"/>
                      <w:lang w:val="en-US" w:eastAsia="zh-CN" w:bidi="ar-SA"/>
                    </w:rPr>
                    <w:t>10</w:t>
                  </w:r>
                </w:p>
              </w:tc>
              <w:tc>
                <w:tcPr>
                  <w:tcW w:w="1168" w:type="pct"/>
                  <w:vMerge w:val="continue"/>
                  <w:noWrap w:val="0"/>
                  <w:vAlign w:val="center"/>
                </w:tcPr>
                <w:p>
                  <w:pPr>
                    <w:pStyle w:val="32"/>
                    <w:spacing w:line="240" w:lineRule="auto"/>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洗衣房用水</w:t>
                  </w:r>
                </w:p>
              </w:tc>
              <w:tc>
                <w:tcPr>
                  <w:tcW w:w="55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9</w:t>
                  </w:r>
                </w:p>
              </w:tc>
              <w:tc>
                <w:tcPr>
                  <w:tcW w:w="583"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3285</w:t>
                  </w:r>
                </w:p>
              </w:tc>
              <w:tc>
                <w:tcPr>
                  <w:tcW w:w="52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0.9</w:t>
                  </w:r>
                </w:p>
              </w:tc>
              <w:tc>
                <w:tcPr>
                  <w:tcW w:w="603"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8.1</w:t>
                  </w:r>
                </w:p>
              </w:tc>
              <w:tc>
                <w:tcPr>
                  <w:tcW w:w="656"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2956.5</w:t>
                  </w:r>
                </w:p>
              </w:tc>
              <w:tc>
                <w:tcPr>
                  <w:tcW w:w="1168" w:type="pct"/>
                  <w:vMerge w:val="continue"/>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eastAsia" w:ascii="Times New Roman" w:eastAsia="宋体" w:cs="Times New Roman"/>
                      <w:b w:val="0"/>
                      <w:bCs/>
                      <w:color w:val="auto"/>
                      <w:sz w:val="21"/>
                      <w:szCs w:val="21"/>
                      <w:lang w:val="en-US" w:eastAsia="zh-CN"/>
                    </w:rPr>
                    <w:t>检验科</w:t>
                  </w:r>
                </w:p>
              </w:tc>
              <w:tc>
                <w:tcPr>
                  <w:tcW w:w="55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eastAsia" w:ascii="Times New Roman" w:eastAsia="宋体" w:cs="Times New Roman"/>
                      <w:b w:val="0"/>
                      <w:bCs/>
                      <w:color w:val="auto"/>
                      <w:sz w:val="21"/>
                      <w:szCs w:val="21"/>
                      <w:lang w:val="en-US" w:eastAsia="zh-CN"/>
                    </w:rPr>
                    <w:t>0.1</w:t>
                  </w:r>
                </w:p>
              </w:tc>
              <w:tc>
                <w:tcPr>
                  <w:tcW w:w="583"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eastAsia" w:ascii="Times New Roman" w:eastAsia="宋体" w:cs="Times New Roman"/>
                      <w:b w:val="0"/>
                      <w:bCs/>
                      <w:color w:val="auto"/>
                      <w:sz w:val="21"/>
                      <w:szCs w:val="21"/>
                      <w:lang w:val="en-US" w:eastAsia="zh-CN"/>
                    </w:rPr>
                    <w:t>36.5</w:t>
                  </w:r>
                </w:p>
              </w:tc>
              <w:tc>
                <w:tcPr>
                  <w:tcW w:w="520" w:type="pct"/>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r>
                    <w:rPr>
                      <w:rFonts w:hint="eastAsia" w:ascii="Times New Roman" w:eastAsia="宋体" w:cs="Times New Roman"/>
                      <w:b w:val="0"/>
                      <w:bCs/>
                      <w:color w:val="auto"/>
                      <w:sz w:val="21"/>
                      <w:szCs w:val="21"/>
                      <w:lang w:val="en-US" w:eastAsia="zh-CN"/>
                    </w:rPr>
                    <w:t>0.8</w:t>
                  </w:r>
                </w:p>
              </w:tc>
              <w:tc>
                <w:tcPr>
                  <w:tcW w:w="603"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kern w:val="2"/>
                      <w:sz w:val="21"/>
                      <w:szCs w:val="21"/>
                      <w:lang w:val="en-US" w:eastAsia="zh-CN" w:bidi="ar-SA"/>
                    </w:rPr>
                    <w:t>0.08</w:t>
                  </w:r>
                </w:p>
              </w:tc>
              <w:tc>
                <w:tcPr>
                  <w:tcW w:w="656"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kern w:val="2"/>
                      <w:sz w:val="21"/>
                      <w:szCs w:val="21"/>
                      <w:lang w:val="en-US" w:eastAsia="zh-CN" w:bidi="ar-SA"/>
                    </w:rPr>
                    <w:t>29.2</w:t>
                  </w:r>
                </w:p>
              </w:tc>
              <w:tc>
                <w:tcPr>
                  <w:tcW w:w="1168" w:type="pct"/>
                  <w:vMerge w:val="continue"/>
                  <w:noWrap w:val="0"/>
                  <w:vAlign w:val="center"/>
                </w:tcPr>
                <w:p>
                  <w:pPr>
                    <w:pStyle w:val="32"/>
                    <w:spacing w:line="240" w:lineRule="auto"/>
                    <w:rPr>
                      <w:rFonts w:hint="default" w:ascii="Times New Roman" w:hAnsi="Times New Roman" w:eastAsia="宋体" w:cs="Times New Roman"/>
                      <w:b w:val="0"/>
                      <w:bCs/>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trPr>
              <w:tc>
                <w:tcPr>
                  <w:tcW w:w="918" w:type="pct"/>
                  <w:noWrap w:val="0"/>
                  <w:vAlign w:val="center"/>
                </w:tcPr>
                <w:p>
                  <w:pPr>
                    <w:pStyle w:val="32"/>
                    <w:spacing w:line="240" w:lineRule="auto"/>
                    <w:ind w:firstLine="0" w:firstLineChars="0"/>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合计</w:t>
                  </w:r>
                </w:p>
              </w:tc>
              <w:tc>
                <w:tcPr>
                  <w:tcW w:w="827"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lang w:val="en-US" w:eastAsia="zh-CN" w:bidi="ar-SA"/>
                    </w:rPr>
                  </w:pPr>
                  <w:r>
                    <w:rPr>
                      <w:rFonts w:hint="eastAsia" w:ascii="Times New Roman" w:hAnsi="Times New Roman" w:eastAsia="宋体" w:cs="Times New Roman"/>
                      <w:b w:val="0"/>
                      <w:bCs/>
                      <w:color w:val="auto"/>
                      <w:kern w:val="0"/>
                      <w:sz w:val="21"/>
                      <w:szCs w:val="21"/>
                      <w:lang w:val="en-US" w:eastAsia="zh-CN" w:bidi="ar-SA"/>
                    </w:rPr>
                    <w:t>73.82</w:t>
                  </w:r>
                </w:p>
              </w:tc>
              <w:tc>
                <w:tcPr>
                  <w:tcW w:w="877"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lang w:val="en-US" w:eastAsia="zh-CN" w:bidi="ar-SA"/>
                    </w:rPr>
                  </w:pPr>
                  <w:r>
                    <w:rPr>
                      <w:rFonts w:hint="eastAsia" w:ascii="Times New Roman" w:hAnsi="Times New Roman" w:eastAsia="宋体" w:cs="Times New Roman"/>
                      <w:b w:val="0"/>
                      <w:bCs/>
                      <w:color w:val="auto"/>
                      <w:kern w:val="0"/>
                      <w:sz w:val="21"/>
                      <w:szCs w:val="21"/>
                      <w:lang w:val="en-US" w:eastAsia="zh-CN" w:bidi="ar-SA"/>
                    </w:rPr>
                    <w:t>26944.3</w:t>
                  </w:r>
                </w:p>
              </w:tc>
              <w:tc>
                <w:tcPr>
                  <w:tcW w:w="782"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lang w:val="en-US" w:eastAsia="zh-CN" w:bidi="ar-SA"/>
                    </w:rPr>
                  </w:pPr>
                  <w:r>
                    <w:rPr>
                      <w:rFonts w:hint="eastAsia" w:ascii="Times New Roman" w:hAnsi="Times New Roman" w:eastAsia="宋体" w:cs="Times New Roman"/>
                      <w:b w:val="0"/>
                      <w:bCs/>
                      <w:color w:val="auto"/>
                      <w:kern w:val="0"/>
                      <w:sz w:val="21"/>
                      <w:szCs w:val="21"/>
                      <w:lang w:val="en-US" w:eastAsia="zh-CN" w:bidi="ar-SA"/>
                    </w:rPr>
                    <w:t>6.2</w:t>
                  </w:r>
                </w:p>
              </w:tc>
              <w:tc>
                <w:tcPr>
                  <w:tcW w:w="907"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lang w:val="en-US" w:eastAsia="zh-CN" w:bidi="ar-SA"/>
                    </w:rPr>
                  </w:pPr>
                  <w:r>
                    <w:rPr>
                      <w:rFonts w:hint="eastAsia" w:ascii="Times New Roman" w:hAnsi="Times New Roman" w:eastAsia="宋体" w:cs="Times New Roman"/>
                      <w:b w:val="0"/>
                      <w:bCs/>
                      <w:color w:val="auto"/>
                      <w:kern w:val="0"/>
                      <w:sz w:val="21"/>
                      <w:szCs w:val="21"/>
                      <w:lang w:val="en-US" w:eastAsia="zh-CN" w:bidi="ar-SA"/>
                    </w:rPr>
                    <w:t>66.425</w:t>
                  </w:r>
                </w:p>
              </w:tc>
              <w:tc>
                <w:tcPr>
                  <w:tcW w:w="987"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lang w:val="en-US" w:eastAsia="zh-CN" w:bidi="ar-SA"/>
                    </w:rPr>
                  </w:pPr>
                  <w:r>
                    <w:rPr>
                      <w:rFonts w:hint="eastAsia" w:ascii="Times New Roman" w:hAnsi="Times New Roman" w:eastAsia="宋体" w:cs="Times New Roman"/>
                      <w:b w:val="0"/>
                      <w:bCs/>
                      <w:color w:val="auto"/>
                      <w:kern w:val="0"/>
                      <w:sz w:val="21"/>
                      <w:szCs w:val="21"/>
                      <w:lang w:val="en-US" w:eastAsia="zh-CN" w:bidi="ar-SA"/>
                    </w:rPr>
                    <w:t>24176.23</w:t>
                  </w:r>
                </w:p>
              </w:tc>
              <w:tc>
                <w:tcPr>
                  <w:tcW w:w="1168" w:type="pct"/>
                  <w:noWrap w:val="0"/>
                  <w:vAlign w:val="center"/>
                </w:tcPr>
                <w:p>
                  <w:pPr>
                    <w:pStyle w:val="32"/>
                    <w:spacing w:line="240" w:lineRule="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w:t>
                  </w:r>
                </w:p>
              </w:tc>
            </w:tr>
          </w:tbl>
          <w:p>
            <w:pPr>
              <w:pStyle w:val="4"/>
              <w:tabs>
                <w:tab w:val="left" w:pos="0"/>
              </w:tabs>
              <w:spacing w:before="48" w:after="48"/>
              <w:rPr>
                <w:color w:val="auto"/>
              </w:rPr>
            </w:pPr>
            <w:r>
              <w:rPr>
                <w:rFonts w:hint="eastAsia"/>
                <w:color w:val="auto"/>
                <w:lang w:val="en-US" w:eastAsia="zh-CN"/>
              </w:rPr>
              <w:t>2.4.3</w:t>
            </w:r>
            <w:r>
              <w:rPr>
                <w:color w:val="auto"/>
              </w:rPr>
              <w:t>水平衡</w:t>
            </w:r>
          </w:p>
          <w:p>
            <w:pPr>
              <w:pStyle w:val="55"/>
              <w:ind w:firstLine="480"/>
              <w:rPr>
                <w:rFonts w:hint="default" w:cs="Times New Roman"/>
                <w:color w:val="auto"/>
              </w:rPr>
            </w:pPr>
            <w:r>
              <w:rPr>
                <w:rFonts w:hint="default" w:cs="Times New Roman"/>
                <w:color w:val="auto"/>
              </w:rPr>
              <w:t>本项目水平衡详见表2.</w:t>
            </w:r>
            <w:r>
              <w:rPr>
                <w:rFonts w:hint="eastAsia" w:cs="Times New Roman"/>
                <w:color w:val="auto"/>
                <w:lang w:val="en-US" w:eastAsia="zh-CN"/>
              </w:rPr>
              <w:t>3</w:t>
            </w:r>
            <w:r>
              <w:rPr>
                <w:rFonts w:hint="default" w:cs="Times New Roman"/>
                <w:color w:val="auto"/>
              </w:rPr>
              <w:t>-2，项目水平衡图详见图2.</w:t>
            </w:r>
            <w:r>
              <w:rPr>
                <w:rFonts w:hint="eastAsia" w:cs="Times New Roman"/>
                <w:color w:val="auto"/>
                <w:lang w:val="en-US" w:eastAsia="zh-CN"/>
              </w:rPr>
              <w:t>3</w:t>
            </w:r>
            <w:r>
              <w:rPr>
                <w:rFonts w:hint="default" w:cs="Times New Roman"/>
                <w:color w:val="auto"/>
              </w:rPr>
              <w:t>-1。</w:t>
            </w:r>
          </w:p>
          <w:p>
            <w:pPr>
              <w:pStyle w:val="10"/>
              <w:ind w:left="0" w:leftChars="0" w:firstLine="0" w:firstLineChars="0"/>
              <w:rPr>
                <w:color w:val="auto"/>
              </w:rPr>
            </w:pPr>
            <w:r>
              <w:rPr>
                <w:color w:val="auto"/>
              </w:rPr>
              <w:drawing>
                <wp:inline distT="0" distB="0" distL="114300" distR="114300">
                  <wp:extent cx="4773930" cy="3420745"/>
                  <wp:effectExtent l="0" t="0" r="11430" b="8255"/>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12"/>
                          <a:stretch>
                            <a:fillRect/>
                          </a:stretch>
                        </pic:blipFill>
                        <pic:spPr>
                          <a:xfrm>
                            <a:off x="0" y="0"/>
                            <a:ext cx="4773930" cy="3420745"/>
                          </a:xfrm>
                          <a:prstGeom prst="rect">
                            <a:avLst/>
                          </a:prstGeom>
                          <a:noFill/>
                          <a:ln>
                            <a:noFill/>
                          </a:ln>
                        </pic:spPr>
                      </pic:pic>
                    </a:graphicData>
                  </a:graphic>
                </wp:inline>
              </w:drawing>
            </w:r>
          </w:p>
          <w:p>
            <w:pPr>
              <w:bidi w:val="0"/>
              <w:jc w:val="center"/>
              <w:rPr>
                <w:rFonts w:hint="default"/>
                <w:b/>
                <w:bCs/>
                <w:color w:val="auto"/>
                <w:lang w:val="en-US" w:eastAsia="zh-CN"/>
              </w:rPr>
            </w:pPr>
            <w:r>
              <w:rPr>
                <w:rFonts w:hint="eastAsia"/>
                <w:b/>
                <w:bCs/>
                <w:color w:val="auto"/>
                <w:lang w:val="en-US" w:eastAsia="zh-CN"/>
              </w:rPr>
              <w:t>图2.3-1 项目水平衡图（t/a）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noWrap w:val="0"/>
            <w:vAlign w:val="center"/>
          </w:tcPr>
          <w:p>
            <w:pPr>
              <w:pStyle w:val="24"/>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工艺流程和产排污环节</w:t>
            </w:r>
          </w:p>
        </w:tc>
        <w:tc>
          <w:tcPr>
            <w:tcW w:w="4541" w:type="pct"/>
            <w:noWrap w:val="0"/>
            <w:vAlign w:val="top"/>
          </w:tcPr>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rPr>
            </w:pPr>
            <w:bookmarkStart w:id="22" w:name="_Toc12565"/>
            <w:bookmarkStart w:id="23" w:name="_Toc12667"/>
            <w:r>
              <w:rPr>
                <w:rFonts w:hint="default" w:ascii="Times New Roman" w:hAnsi="Times New Roman" w:eastAsia="宋体" w:cs="Times New Roman"/>
                <w:b/>
                <w:bCs/>
                <w:color w:val="auto"/>
                <w:sz w:val="24"/>
                <w:szCs w:val="24"/>
              </w:rPr>
              <w:t>2.</w:t>
            </w:r>
            <w:r>
              <w:rPr>
                <w:rFonts w:hint="eastAsia" w:cs="Times New Roman"/>
                <w:b/>
                <w:bCs/>
                <w:color w:val="auto"/>
                <w:sz w:val="24"/>
                <w:szCs w:val="24"/>
                <w:lang w:val="en-US" w:eastAsia="zh-CN"/>
              </w:rPr>
              <w:t>5</w:t>
            </w:r>
            <w:r>
              <w:rPr>
                <w:rFonts w:hint="default" w:ascii="Times New Roman" w:hAnsi="Times New Roman" w:eastAsia="宋体" w:cs="Times New Roman"/>
                <w:b/>
                <w:bCs/>
                <w:color w:val="auto"/>
                <w:sz w:val="24"/>
                <w:szCs w:val="24"/>
              </w:rPr>
              <w:t>生产工艺流程及产污环节</w:t>
            </w:r>
            <w:bookmarkEnd w:id="22"/>
            <w:bookmarkEnd w:id="23"/>
          </w:p>
          <w:p>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工艺流程</w:t>
            </w:r>
          </w:p>
          <w:p>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eastAsia="zh-CN"/>
              </w:rPr>
              <w:t>工艺流程详见下图</w:t>
            </w: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-1。</w:t>
            </w:r>
          </w:p>
          <w:p>
            <w:pPr>
              <w:pStyle w:val="10"/>
              <w:ind w:left="0" w:leftChars="0" w:firstLine="0" w:firstLineChars="0"/>
              <w:jc w:val="center"/>
              <w:rPr>
                <w:rFonts w:hint="default"/>
                <w:color w:val="auto"/>
                <w:lang w:eastAsia="zh-CN"/>
              </w:rPr>
            </w:pPr>
            <w:r>
              <w:rPr>
                <w:rFonts w:ascii="Times New Roman"/>
                <w:color w:val="auto"/>
                <w:spacing w:val="-2"/>
              </w:rPr>
              <w:drawing>
                <wp:inline distT="0" distB="0" distL="114300" distR="114300">
                  <wp:extent cx="4798695" cy="2655570"/>
                  <wp:effectExtent l="0" t="0" r="0" b="0"/>
                  <wp:docPr id="1" name="图片 1"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1"/>
                          <pic:cNvPicPr>
                            <a:picLocks noChangeAspect="1"/>
                          </pic:cNvPicPr>
                        </pic:nvPicPr>
                        <pic:blipFill>
                          <a:blip r:embed="rId13"/>
                          <a:srcRect r="1755"/>
                          <a:stretch>
                            <a:fillRect/>
                          </a:stretch>
                        </pic:blipFill>
                        <pic:spPr>
                          <a:xfrm>
                            <a:off x="0" y="0"/>
                            <a:ext cx="4798695" cy="2655570"/>
                          </a:xfrm>
                          <a:prstGeom prst="rect">
                            <a:avLst/>
                          </a:prstGeom>
                          <a:noFill/>
                          <a:ln>
                            <a:noFill/>
                          </a:ln>
                        </pic:spPr>
                      </pic:pic>
                    </a:graphicData>
                  </a:graphic>
                </wp:inline>
              </w:drawing>
            </w:r>
          </w:p>
          <w:p>
            <w:pPr>
              <w:bidi w:val="0"/>
              <w:jc w:val="center"/>
              <w:rPr>
                <w:rFonts w:hint="default"/>
                <w:b/>
                <w:bCs/>
                <w:color w:val="auto"/>
              </w:rPr>
            </w:pPr>
            <w:r>
              <w:rPr>
                <w:rFonts w:hint="default"/>
                <w:b/>
                <w:bCs/>
                <w:color w:val="auto"/>
              </w:rPr>
              <w:t>图</w:t>
            </w:r>
            <w:r>
              <w:rPr>
                <w:rFonts w:hint="eastAsia"/>
                <w:b/>
                <w:bCs/>
                <w:color w:val="auto"/>
                <w:lang w:val="en-US" w:eastAsia="zh-CN"/>
              </w:rPr>
              <w:t>2.5-1</w:t>
            </w:r>
            <w:r>
              <w:rPr>
                <w:rFonts w:hint="default"/>
                <w:b/>
                <w:bCs/>
                <w:color w:val="auto"/>
              </w:rPr>
              <w:t xml:space="preserve"> </w:t>
            </w:r>
            <w:r>
              <w:rPr>
                <w:rFonts w:hint="eastAsia"/>
                <w:b/>
                <w:bCs/>
                <w:color w:val="auto"/>
                <w:lang w:eastAsia="zh-CN"/>
              </w:rPr>
              <w:t>项目</w:t>
            </w:r>
            <w:r>
              <w:rPr>
                <w:rFonts w:hint="default"/>
                <w:b/>
                <w:bCs/>
                <w:color w:val="auto"/>
              </w:rPr>
              <w:t>生产工艺及产污环节流程图</w:t>
            </w:r>
          </w:p>
          <w:p>
            <w:pPr>
              <w:keepNext w:val="0"/>
              <w:keepLines w:val="0"/>
              <w:pageBreakBefore w:val="0"/>
              <w:widowControl w:val="0"/>
              <w:numPr>
                <w:ilvl w:val="0"/>
                <w:numId w:val="4"/>
              </w:numPr>
              <w:kinsoku/>
              <w:wordWrap/>
              <w:overflowPunct/>
              <w:topLinePunct w:val="0"/>
              <w:autoSpaceDE/>
              <w:autoSpaceDN/>
              <w:bidi w:val="0"/>
              <w:adjustRightInd/>
              <w:snapToGrid/>
              <w:ind w:firstLine="480" w:firstLineChars="200"/>
              <w:textAlignment w:val="auto"/>
              <w:rPr>
                <w:rFonts w:hint="eastAsia"/>
                <w:color w:val="auto"/>
                <w:lang w:val="en-US" w:eastAsia="zh-CN"/>
              </w:rPr>
            </w:pPr>
            <w:r>
              <w:rPr>
                <w:rFonts w:hint="default"/>
                <w:color w:val="auto"/>
                <w:lang w:val="en-US" w:eastAsia="zh-CN"/>
              </w:rPr>
              <w:t>工艺</w:t>
            </w:r>
            <w:r>
              <w:rPr>
                <w:rFonts w:hint="eastAsia"/>
                <w:color w:val="auto"/>
                <w:lang w:val="en-US" w:eastAsia="zh-CN"/>
              </w:rPr>
              <w:t>介绍</w:t>
            </w:r>
          </w:p>
          <w:p>
            <w:pPr>
              <w:widowControl/>
              <w:ind w:firstLine="480"/>
              <w:jc w:val="left"/>
              <w:rPr>
                <w:color w:val="auto"/>
              </w:rPr>
            </w:pPr>
            <w:r>
              <w:rPr>
                <w:color w:val="auto"/>
                <w:kern w:val="0"/>
                <w:lang w:bidi="ar"/>
              </w:rPr>
              <w:t xml:space="preserve">建设项目为医院建设项目，其就诊流程主要包括挂号、就诊、化验、检查、手术、 住院、划价、缴费、取药等。 </w:t>
            </w:r>
          </w:p>
          <w:p>
            <w:pPr>
              <w:widowControl/>
              <w:ind w:firstLine="480"/>
              <w:jc w:val="left"/>
              <w:rPr>
                <w:rFonts w:hint="default" w:ascii="Times New Roman" w:hAnsi="Times New Roman" w:eastAsia="宋体" w:cs="Times New Roman"/>
                <w:color w:val="auto"/>
                <w:sz w:val="24"/>
                <w:szCs w:val="24"/>
                <w:highlight w:val="none"/>
              </w:rPr>
            </w:pPr>
            <w:r>
              <w:rPr>
                <w:color w:val="auto"/>
                <w:kern w:val="0"/>
                <w:lang w:bidi="ar"/>
              </w:rPr>
              <w:t>在医院就诊过程中会产生污水处理站恶臭气体、医疗废液、噪声、医疗废物、生活垃圾和辐射等污染。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8" w:type="pct"/>
            <w:noWrap w:val="0"/>
            <w:vAlign w:val="center"/>
          </w:tcPr>
          <w:p>
            <w:pPr>
              <w:pStyle w:val="24"/>
              <w:adjustRightInd w:val="0"/>
              <w:snapToGrid w:val="0"/>
              <w:spacing w:before="0" w:beforeAutospacing="0" w:after="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bCs/>
                <w:color w:val="auto"/>
                <w:kern w:val="2"/>
                <w:sz w:val="21"/>
                <w:szCs w:val="21"/>
              </w:rPr>
              <w:t>与项目有关的原有环境污染问题</w:t>
            </w:r>
          </w:p>
        </w:tc>
        <w:tc>
          <w:tcPr>
            <w:tcW w:w="4541" w:type="pct"/>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无</w:t>
            </w:r>
          </w:p>
        </w:tc>
      </w:tr>
    </w:tbl>
    <w:p>
      <w:pPr>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jc w:val="center"/>
        <w:rPr>
          <w:color w:val="auto"/>
        </w:rPr>
      </w:pPr>
      <w:bookmarkStart w:id="24" w:name="_Toc11202"/>
      <w:bookmarkStart w:id="25" w:name="_Toc12901"/>
      <w:bookmarkStart w:id="26" w:name="_Toc21255"/>
      <w:r>
        <w:rPr>
          <w:color w:val="auto"/>
        </w:rPr>
        <w:t>三、区域环境质量现状、环境保护目标及评价标准</w:t>
      </w:r>
      <w:bookmarkEnd w:id="24"/>
      <w:bookmarkEnd w:id="25"/>
      <w:bookmarkEnd w:id="26"/>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78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57" w:type="dxa"/>
            <w:noWrap w:val="0"/>
            <w:vAlign w:val="center"/>
          </w:tcPr>
          <w:p>
            <w:pPr>
              <w:adjustRightInd w:val="0"/>
              <w:snapToGrid w:val="0"/>
              <w:jc w:val="center"/>
              <w:rPr>
                <w:rFonts w:ascii="Times New Roman" w:hAnsi="Times New Roman" w:cs="Times New Roman"/>
                <w:color w:val="auto"/>
                <w:kern w:val="0"/>
                <w:sz w:val="24"/>
                <w:szCs w:val="24"/>
                <w:highlight w:val="none"/>
              </w:rPr>
            </w:pPr>
            <w:r>
              <w:rPr>
                <w:rFonts w:ascii="Times New Roman" w:hAnsi="Times New Roman" w:cs="Times New Roman"/>
                <w:color w:val="auto"/>
                <w:kern w:val="0"/>
                <w:sz w:val="24"/>
                <w:szCs w:val="24"/>
                <w:highlight w:val="none"/>
              </w:rPr>
              <w:t>区域</w:t>
            </w:r>
          </w:p>
          <w:p>
            <w:pPr>
              <w:adjustRightInd w:val="0"/>
              <w:snapToGrid w:val="0"/>
              <w:jc w:val="center"/>
              <w:rPr>
                <w:rFonts w:ascii="Times New Roman" w:hAnsi="Times New Roman" w:cs="Times New Roman"/>
                <w:color w:val="auto"/>
                <w:kern w:val="0"/>
                <w:sz w:val="24"/>
                <w:szCs w:val="24"/>
                <w:highlight w:val="none"/>
              </w:rPr>
            </w:pPr>
            <w:r>
              <w:rPr>
                <w:rFonts w:ascii="Times New Roman" w:hAnsi="Times New Roman" w:cs="Times New Roman"/>
                <w:color w:val="auto"/>
                <w:kern w:val="0"/>
                <w:sz w:val="24"/>
                <w:szCs w:val="24"/>
                <w:highlight w:val="none"/>
              </w:rPr>
              <w:t>环境</w:t>
            </w:r>
          </w:p>
          <w:p>
            <w:pPr>
              <w:adjustRightInd w:val="0"/>
              <w:snapToGrid w:val="0"/>
              <w:jc w:val="center"/>
              <w:rPr>
                <w:rFonts w:ascii="Times New Roman" w:hAnsi="Times New Roman" w:cs="Times New Roman"/>
                <w:color w:val="auto"/>
                <w:kern w:val="0"/>
                <w:sz w:val="24"/>
                <w:szCs w:val="24"/>
                <w:highlight w:val="none"/>
              </w:rPr>
            </w:pPr>
            <w:r>
              <w:rPr>
                <w:rFonts w:ascii="Times New Roman" w:hAnsi="Times New Roman" w:cs="Times New Roman"/>
                <w:color w:val="auto"/>
                <w:kern w:val="0"/>
                <w:sz w:val="24"/>
                <w:szCs w:val="24"/>
                <w:highlight w:val="none"/>
              </w:rPr>
              <w:t>质量</w:t>
            </w:r>
          </w:p>
          <w:p>
            <w:pPr>
              <w:adjustRightInd w:val="0"/>
              <w:snapToGrid w:val="0"/>
              <w:jc w:val="center"/>
              <w:rPr>
                <w:rFonts w:ascii="Times New Roman" w:hAnsi="Times New Roman" w:cs="Times New Roman"/>
                <w:color w:val="auto"/>
                <w:kern w:val="0"/>
                <w:szCs w:val="21"/>
                <w:highlight w:val="none"/>
              </w:rPr>
            </w:pPr>
            <w:r>
              <w:rPr>
                <w:rFonts w:ascii="Times New Roman" w:hAnsi="Times New Roman" w:cs="Times New Roman"/>
                <w:color w:val="auto"/>
                <w:kern w:val="0"/>
                <w:sz w:val="24"/>
                <w:szCs w:val="24"/>
                <w:highlight w:val="none"/>
              </w:rPr>
              <w:t>现状</w:t>
            </w:r>
          </w:p>
        </w:tc>
        <w:tc>
          <w:tcPr>
            <w:tcW w:w="7765" w:type="dxa"/>
            <w:noWrap w:val="0"/>
            <w:vAlign w:val="center"/>
          </w:tcPr>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lang w:val="en-US" w:eastAsia="zh-CN"/>
              </w:rPr>
            </w:pPr>
            <w:bookmarkStart w:id="27" w:name="_Toc24818"/>
            <w:bookmarkStart w:id="28" w:name="_Toc11132"/>
            <w:r>
              <w:rPr>
                <w:rFonts w:hint="eastAsia" w:ascii="Times New Roman" w:hAnsi="Times New Roman" w:eastAsia="宋体" w:cs="Times New Roman"/>
                <w:b/>
                <w:bCs/>
                <w:color w:val="auto"/>
                <w:sz w:val="28"/>
                <w:szCs w:val="28"/>
                <w:lang w:val="en-US" w:eastAsia="zh-CN"/>
              </w:rPr>
              <w:t>3.1</w:t>
            </w:r>
            <w:r>
              <w:rPr>
                <w:rFonts w:hint="default" w:ascii="Times New Roman" w:hAnsi="Times New Roman" w:eastAsia="宋体" w:cs="Times New Roman"/>
                <w:b/>
                <w:bCs/>
                <w:color w:val="auto"/>
                <w:sz w:val="28"/>
                <w:szCs w:val="28"/>
                <w:lang w:val="en-US" w:eastAsia="zh-CN"/>
              </w:rPr>
              <w:t>水环境质量现状</w:t>
            </w:r>
            <w:bookmarkEnd w:id="27"/>
            <w:bookmarkEnd w:id="28"/>
          </w:p>
          <w:p>
            <w:pPr>
              <w:pStyle w:val="4"/>
              <w:bidi w:val="0"/>
              <w:rPr>
                <w:color w:val="auto"/>
              </w:rPr>
            </w:pPr>
            <w:r>
              <w:rPr>
                <w:rFonts w:hint="eastAsia"/>
                <w:color w:val="auto"/>
                <w:lang w:val="en-US" w:eastAsia="zh-CN"/>
              </w:rPr>
              <w:t>3.1.1</w:t>
            </w:r>
            <w:r>
              <w:rPr>
                <w:color w:val="auto"/>
              </w:rPr>
              <w:t>区域水环境调查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ascii="Times New Roman" w:hAnsi="Times New Roman" w:cs="Times New Roman"/>
                <w:color w:val="auto"/>
              </w:rPr>
              <w:t>项目外排废水接入</w:t>
            </w:r>
            <w:r>
              <w:rPr>
                <w:rFonts w:hint="eastAsia" w:cs="Times New Roman"/>
                <w:color w:val="auto"/>
                <w:lang w:eastAsia="zh-CN"/>
              </w:rPr>
              <w:t>福清市融元污水处理厂</w:t>
            </w:r>
            <w:r>
              <w:rPr>
                <w:rFonts w:hint="default" w:ascii="Times New Roman" w:hAnsi="Times New Roman" w:cs="Times New Roman"/>
                <w:color w:val="auto"/>
              </w:rPr>
              <w:t>处理，</w:t>
            </w:r>
            <w:r>
              <w:rPr>
                <w:rFonts w:hint="eastAsia" w:cs="Times New Roman"/>
                <w:color w:val="auto"/>
                <w:lang w:eastAsia="zh-CN"/>
              </w:rPr>
              <w:t>福清市融元污水处理厂</w:t>
            </w:r>
            <w:r>
              <w:rPr>
                <w:rFonts w:hint="default" w:ascii="Times New Roman" w:hAnsi="Times New Roman" w:cs="Times New Roman"/>
                <w:color w:val="auto"/>
              </w:rPr>
              <w:t>尾水排入龙江。根据福州市人民政府榕政综[2019]316号批准《福州市水功能区划》，项目纳污水域所处龙江“南门桥水闸-龙江入海口”断面，该断面功能排序为景观、工业用水，水质保护目标为V类，水质均执行《地表水环境质量标准》(GB3838-2002)中V类标准，水质执行《地表水环境质量标准</w:t>
            </w:r>
            <w:r>
              <w:rPr>
                <w:rFonts w:hint="default"/>
                <w:color w:val="auto"/>
              </w:rPr>
              <w:t>》(GB3838-2002)中Ⅴ类水质标准</w:t>
            </w:r>
            <w:r>
              <w:rPr>
                <w:rFonts w:hint="eastAsia"/>
                <w:color w:val="auto"/>
                <w:lang w:eastAsia="zh-CN"/>
              </w:rPr>
              <w:t>，</w:t>
            </w:r>
            <w:r>
              <w:rPr>
                <w:rFonts w:hint="eastAsia"/>
                <w:color w:val="auto"/>
                <w:lang w:val="en-US" w:eastAsia="zh-CN"/>
              </w:rPr>
              <w:t>见表3.1-1</w:t>
            </w:r>
            <w:r>
              <w:rPr>
                <w:rFonts w:hint="default"/>
                <w:color w:val="auto"/>
              </w:rPr>
              <w:t>。</w:t>
            </w:r>
          </w:p>
          <w:p>
            <w:pPr>
              <w:bidi w:val="0"/>
              <w:jc w:val="center"/>
              <w:rPr>
                <w:rFonts w:hint="default"/>
                <w:b/>
                <w:bCs/>
                <w:color w:val="auto"/>
              </w:rPr>
            </w:pPr>
            <w:r>
              <w:rPr>
                <w:rFonts w:hint="default"/>
                <w:b/>
                <w:bCs/>
                <w:color w:val="auto"/>
              </w:rPr>
              <w:t>表</w:t>
            </w:r>
            <w:r>
              <w:rPr>
                <w:rFonts w:hint="eastAsia"/>
                <w:b/>
                <w:bCs/>
                <w:color w:val="auto"/>
                <w:lang w:val="en-US" w:eastAsia="zh-CN"/>
              </w:rPr>
              <w:t>3.1-1</w:t>
            </w:r>
            <w:r>
              <w:rPr>
                <w:rFonts w:hint="default"/>
                <w:b/>
                <w:bCs/>
                <w:color w:val="auto"/>
              </w:rPr>
              <w:t xml:space="preserve"> 地表水环境质量标准一览表   单位：mg/L(pH除外)</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2537"/>
              <w:gridCol w:w="1269"/>
              <w:gridCol w:w="1270"/>
              <w:gridCol w:w="1270"/>
              <w:gridCol w:w="127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项目</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Ⅱ类</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Ⅲ类</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Ⅳ类</w:t>
                  </w:r>
                </w:p>
              </w:tc>
              <w:tc>
                <w:tcPr>
                  <w:tcW w:w="835" w:type="pct"/>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Ⅴ类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jc w:val="center"/>
                    <w:rPr>
                      <w:snapToGrid w:val="0"/>
                      <w:color w:val="auto"/>
                      <w:kern w:val="18"/>
                      <w:szCs w:val="21"/>
                      <w:highlight w:val="none"/>
                    </w:rPr>
                  </w:pPr>
                  <w:r>
                    <w:rPr>
                      <w:snapToGrid w:val="0"/>
                      <w:color w:val="auto"/>
                      <w:kern w:val="18"/>
                      <w:szCs w:val="21"/>
                      <w:highlight w:val="none"/>
                    </w:rPr>
                    <w:t>pH(无量纲)</w:t>
                  </w:r>
                </w:p>
              </w:tc>
              <w:tc>
                <w:tcPr>
                  <w:tcW w:w="3334" w:type="pct"/>
                  <w:gridSpan w:val="4"/>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6～9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溶解氧(DO)</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6</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5</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3</w:t>
                  </w:r>
                </w:p>
              </w:tc>
              <w:tc>
                <w:tcPr>
                  <w:tcW w:w="835" w:type="pct"/>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高锰酸盐指数</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4</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6</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10</w:t>
                  </w:r>
                </w:p>
              </w:tc>
              <w:tc>
                <w:tcPr>
                  <w:tcW w:w="835" w:type="pct"/>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五日生化需氧量(BOD</w:t>
                  </w:r>
                  <w:r>
                    <w:rPr>
                      <w:snapToGrid w:val="0"/>
                      <w:color w:val="auto"/>
                      <w:kern w:val="18"/>
                      <w:szCs w:val="21"/>
                      <w:highlight w:val="none"/>
                      <w:vertAlign w:val="subscript"/>
                    </w:rPr>
                    <w:t>5</w:t>
                  </w:r>
                  <w:r>
                    <w:rPr>
                      <w:snapToGrid w:val="0"/>
                      <w:color w:val="auto"/>
                      <w:kern w:val="18"/>
                      <w:szCs w:val="21"/>
                      <w:highlight w:val="none"/>
                    </w:rPr>
                    <w:t>)</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3</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4</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6</w:t>
                  </w:r>
                </w:p>
              </w:tc>
              <w:tc>
                <w:tcPr>
                  <w:tcW w:w="835" w:type="pct"/>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化学需氧量(COD)</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15</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20</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30</w:t>
                  </w:r>
                </w:p>
              </w:tc>
              <w:tc>
                <w:tcPr>
                  <w:tcW w:w="835" w:type="pct"/>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氨氮(NH</w:t>
                  </w:r>
                  <w:r>
                    <w:rPr>
                      <w:snapToGrid w:val="0"/>
                      <w:color w:val="auto"/>
                      <w:kern w:val="18"/>
                      <w:szCs w:val="21"/>
                      <w:highlight w:val="none"/>
                      <w:vertAlign w:val="subscript"/>
                    </w:rPr>
                    <w:t>3</w:t>
                  </w:r>
                  <w:r>
                    <w:rPr>
                      <w:snapToGrid w:val="0"/>
                      <w:color w:val="auto"/>
                      <w:kern w:val="18"/>
                      <w:szCs w:val="21"/>
                      <w:highlight w:val="none"/>
                    </w:rPr>
                    <w:t xml:space="preserve">-N) </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0.5</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1.0</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1.5</w:t>
                  </w:r>
                </w:p>
              </w:tc>
              <w:tc>
                <w:tcPr>
                  <w:tcW w:w="835" w:type="pct"/>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总磷(TP)</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0.1</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0.2</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0.3</w:t>
                  </w:r>
                </w:p>
              </w:tc>
              <w:tc>
                <w:tcPr>
                  <w:tcW w:w="835" w:type="pct"/>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0.4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1665"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石油类</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0.05</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0.05</w:t>
                  </w:r>
                </w:p>
              </w:tc>
              <w:tc>
                <w:tcPr>
                  <w:tcW w:w="833" w:type="pct"/>
                  <w:shd w:val="clear" w:color="auto" w:fill="auto"/>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0.5</w:t>
                  </w:r>
                </w:p>
              </w:tc>
              <w:tc>
                <w:tcPr>
                  <w:tcW w:w="835" w:type="pct"/>
                  <w:shd w:val="clear" w:color="auto" w:fill="BEBEBE"/>
                  <w:noWrap w:val="0"/>
                  <w:vAlign w:val="center"/>
                </w:tcPr>
                <w:p>
                  <w:pPr>
                    <w:pStyle w:val="47"/>
                    <w:spacing w:line="340" w:lineRule="exact"/>
                    <w:rPr>
                      <w:snapToGrid w:val="0"/>
                      <w:color w:val="auto"/>
                      <w:kern w:val="18"/>
                      <w:szCs w:val="21"/>
                      <w:highlight w:val="none"/>
                    </w:rPr>
                  </w:pPr>
                  <w:r>
                    <w:rPr>
                      <w:snapToGrid w:val="0"/>
                      <w:color w:val="auto"/>
                      <w:kern w:val="18"/>
                      <w:szCs w:val="21"/>
                      <w:highlight w:val="none"/>
                    </w:rPr>
                    <w:t>1.0</w:t>
                  </w:r>
                </w:p>
              </w:tc>
            </w:tr>
          </w:tbl>
          <w:p>
            <w:pPr>
              <w:pStyle w:val="4"/>
              <w:bidi w:val="0"/>
              <w:rPr>
                <w:rFonts w:hint="eastAsia"/>
                <w:color w:val="auto"/>
                <w:lang w:val="en-US" w:eastAsia="zh-CN"/>
              </w:rPr>
            </w:pPr>
            <w:r>
              <w:rPr>
                <w:rFonts w:hint="eastAsia"/>
                <w:color w:val="auto"/>
                <w:lang w:val="en-US" w:eastAsia="zh-CN"/>
              </w:rPr>
              <w:t>3.1.2地表水环境质量现状</w:t>
            </w:r>
          </w:p>
          <w:p>
            <w:pPr>
              <w:pStyle w:val="48"/>
              <w:ind w:firstLine="48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地表水水质现状调查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eastAsia"/>
                <w:color w:val="auto"/>
                <w:lang w:val="en-US" w:eastAsia="zh-CN"/>
              </w:rPr>
              <w:t>为了解评价范围内地表水环境质量现状，</w:t>
            </w:r>
            <w:r>
              <w:rPr>
                <w:color w:val="auto"/>
              </w:rPr>
              <w:t>评价引用福建省地表水水质状况公告</w:t>
            </w:r>
            <w:r>
              <w:rPr>
                <w:rFonts w:hint="eastAsia"/>
                <w:color w:val="auto"/>
              </w:rPr>
              <w:t>，2023年1―12月，全省主要流域总体水质为优，国控断面Ⅰ～Ⅲ类水质比例99.0％,Ⅰ～Ⅱ类水质比例68.6％；国控及省控断面Ⅰ～Ⅲ类水质比例99.5％，其中Ⅰ～Ⅱ类水质比例65.3％，各类水质比例如下：Ⅰ类占1.9%，Ⅱ类占63.5%，Ⅲ类占34.1%，Ⅳ类占0.5%，无Ⅴ类和劣Ⅴ类水。2023年1-12月，全省主要流域总体水质从相对较好开始排名，具体为：闽江、交溪、霍童溪、萩芦溪、汀江（韩江）、九龙江、晋江、木兰溪、敖江、东西溪、诏安东溪、龙江、漳江、鹿溪。由此可知龙江水质可达到《地表水环境质量标准》(GB3838-2002)Ⅴ类水标准，详见图3-1。</w:t>
            </w:r>
          </w:p>
          <w:p>
            <w:pPr>
              <w:pStyle w:val="52"/>
              <w:ind w:left="0" w:leftChars="0" w:firstLine="0" w:firstLineChars="0"/>
              <w:rPr>
                <w:color w:val="auto"/>
              </w:rPr>
            </w:pPr>
            <w:r>
              <w:rPr>
                <w:color w:val="auto"/>
              </w:rPr>
              <w:drawing>
                <wp:inline distT="0" distB="0" distL="114300" distR="114300">
                  <wp:extent cx="4772660" cy="2926715"/>
                  <wp:effectExtent l="0" t="0" r="8890" b="6985"/>
                  <wp:docPr id="4" name="图片 4" descr="171255872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712558725607"/>
                          <pic:cNvPicPr>
                            <a:picLocks noChangeAspect="1"/>
                          </pic:cNvPicPr>
                        </pic:nvPicPr>
                        <pic:blipFill>
                          <a:blip r:embed="rId14"/>
                          <a:stretch>
                            <a:fillRect/>
                          </a:stretch>
                        </pic:blipFill>
                        <pic:spPr>
                          <a:xfrm>
                            <a:off x="0" y="0"/>
                            <a:ext cx="4772660" cy="2926715"/>
                          </a:xfrm>
                          <a:prstGeom prst="rect">
                            <a:avLst/>
                          </a:prstGeom>
                          <a:noFill/>
                          <a:ln>
                            <a:noFill/>
                          </a:ln>
                        </pic:spPr>
                      </pic:pic>
                    </a:graphicData>
                  </a:graphic>
                </wp:inline>
              </w:drawing>
            </w:r>
            <w:r>
              <w:rPr>
                <w:color w:val="auto"/>
              </w:rPr>
              <w:drawing>
                <wp:inline distT="0" distB="0" distL="114300" distR="114300">
                  <wp:extent cx="4823460" cy="1736725"/>
                  <wp:effectExtent l="0" t="0" r="15240" b="15875"/>
                  <wp:docPr id="7" name="图片 5" descr="171255876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1712558767272"/>
                          <pic:cNvPicPr>
                            <a:picLocks noChangeAspect="1"/>
                          </pic:cNvPicPr>
                        </pic:nvPicPr>
                        <pic:blipFill>
                          <a:blip r:embed="rId15"/>
                          <a:stretch>
                            <a:fillRect/>
                          </a:stretch>
                        </pic:blipFill>
                        <pic:spPr>
                          <a:xfrm>
                            <a:off x="0" y="0"/>
                            <a:ext cx="4823460" cy="1736725"/>
                          </a:xfrm>
                          <a:prstGeom prst="rect">
                            <a:avLst/>
                          </a:prstGeom>
                          <a:noFill/>
                          <a:ln>
                            <a:noFill/>
                          </a:ln>
                        </pic:spPr>
                      </pic:pic>
                    </a:graphicData>
                  </a:graphic>
                </wp:inline>
              </w:drawing>
            </w:r>
          </w:p>
          <w:p>
            <w:pPr>
              <w:keepNext w:val="0"/>
              <w:keepLines w:val="0"/>
              <w:widowControl/>
              <w:suppressLineNumbers w:val="0"/>
              <w:jc w:val="center"/>
              <w:rPr>
                <w:rFonts w:hint="default"/>
                <w:color w:val="auto"/>
                <w:lang w:val="en-US" w:eastAsia="zh-CN"/>
              </w:rPr>
            </w:pPr>
            <w:r>
              <w:rPr>
                <w:rFonts w:hint="eastAsia" w:ascii="宋体" w:hAnsi="宋体" w:eastAsia="宋体" w:cs="宋体"/>
                <w:b/>
                <w:bCs/>
                <w:color w:val="auto"/>
                <w:kern w:val="0"/>
                <w:sz w:val="24"/>
                <w:szCs w:val="24"/>
                <w:lang w:val="en-US" w:eastAsia="zh-CN" w:bidi="ar"/>
              </w:rPr>
              <w:t xml:space="preserve">图 </w:t>
            </w:r>
            <w:r>
              <w:rPr>
                <w:rFonts w:hint="default" w:ascii="Times New Roman" w:hAnsi="Times New Roman" w:eastAsia="宋体" w:cs="Times New Roman"/>
                <w:b/>
                <w:bCs/>
                <w:color w:val="auto"/>
                <w:kern w:val="0"/>
                <w:sz w:val="24"/>
                <w:szCs w:val="24"/>
                <w:lang w:val="en-US" w:eastAsia="zh-CN" w:bidi="ar"/>
              </w:rPr>
              <w:t>3.</w:t>
            </w:r>
            <w:r>
              <w:rPr>
                <w:rFonts w:hint="eastAsia" w:ascii="Times New Roman" w:hAnsi="Times New Roman" w:eastAsia="宋体" w:cs="Times New Roman"/>
                <w:b/>
                <w:bCs/>
                <w:color w:val="auto"/>
                <w:kern w:val="0"/>
                <w:sz w:val="24"/>
                <w:szCs w:val="24"/>
                <w:lang w:val="en-US" w:eastAsia="zh-CN" w:bidi="ar"/>
              </w:rPr>
              <w:t>1</w:t>
            </w:r>
            <w:r>
              <w:rPr>
                <w:rFonts w:hint="default" w:ascii="Times New Roman" w:hAnsi="Times New Roman" w:eastAsia="宋体" w:cs="Times New Roman"/>
                <w:b/>
                <w:bCs/>
                <w:color w:val="auto"/>
                <w:kern w:val="0"/>
                <w:sz w:val="24"/>
                <w:szCs w:val="24"/>
                <w:lang w:val="en-US" w:eastAsia="zh-CN" w:bidi="ar"/>
              </w:rPr>
              <w:t xml:space="preserve">-1 </w:t>
            </w:r>
            <w:r>
              <w:rPr>
                <w:rFonts w:hint="eastAsia" w:ascii="宋体" w:hAnsi="宋体" w:eastAsia="宋体" w:cs="宋体"/>
                <w:b/>
                <w:bCs/>
                <w:color w:val="auto"/>
                <w:kern w:val="0"/>
                <w:sz w:val="24"/>
                <w:szCs w:val="24"/>
                <w:lang w:val="en-US" w:eastAsia="zh-CN" w:bidi="ar"/>
              </w:rPr>
              <w:t>福建省生态环境厅水环境质量监测数据截图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w:t>
            </w:r>
            <w:r>
              <w:rPr>
                <w:rFonts w:hint="eastAsia"/>
                <w:color w:val="auto"/>
                <w:lang w:val="en-US" w:eastAsia="zh-CN"/>
              </w:rPr>
              <w:t>2</w:t>
            </w:r>
            <w:r>
              <w:rPr>
                <w:rFonts w:hint="default"/>
                <w:color w:val="auto"/>
              </w:rPr>
              <w:t>）引用资料的有效性分析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根据《建设项目环境影响报告表编制技术指南（污染影响类）（试行）》（环办环评〔2020〕33号）的要求：“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本次评价选取福建省生态环境厅网站发布水环境状况信息，符合《建设项目环境影响报告表编制技术指南（污染影响类）（试行）》（环办环评〔2020〕33号）的要求。</w:t>
            </w:r>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z w:val="28"/>
                <w:szCs w:val="28"/>
                <w:lang w:val="en-US" w:eastAsia="zh-CN"/>
              </w:rPr>
            </w:pPr>
            <w:bookmarkStart w:id="29" w:name="_Toc23142"/>
            <w:bookmarkStart w:id="30" w:name="_Toc20192"/>
            <w:r>
              <w:rPr>
                <w:rFonts w:hint="eastAsia" w:ascii="Times New Roman" w:hAnsi="Times New Roman" w:eastAsia="宋体" w:cs="Times New Roman"/>
                <w:b/>
                <w:bCs/>
                <w:color w:val="auto"/>
                <w:sz w:val="28"/>
                <w:szCs w:val="28"/>
                <w:lang w:val="en-US" w:eastAsia="zh-CN"/>
              </w:rPr>
              <w:t>3.2大气环境质量现状</w:t>
            </w:r>
            <w:bookmarkEnd w:id="29"/>
            <w:bookmarkEnd w:id="30"/>
          </w:p>
          <w:p>
            <w:pPr>
              <w:pStyle w:val="4"/>
              <w:bidi w:val="0"/>
              <w:rPr>
                <w:color w:val="auto"/>
              </w:rPr>
            </w:pPr>
            <w:r>
              <w:rPr>
                <w:rFonts w:hint="eastAsia"/>
                <w:color w:val="auto"/>
                <w:lang w:val="en-US" w:eastAsia="zh-CN"/>
              </w:rPr>
              <w:t>3.2.1</w:t>
            </w:r>
            <w:r>
              <w:rPr>
                <w:color w:val="auto"/>
              </w:rPr>
              <w:t>区域环境质量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eastAsia"/>
                <w:color w:val="auto"/>
                <w:lang w:val="en-US" w:eastAsia="zh-CN"/>
              </w:rPr>
              <w:t>项目所在地区域环境空气功能类别属二类区，执行《环境空气质量标准》（</w:t>
            </w:r>
            <w:r>
              <w:rPr>
                <w:rFonts w:hint="default"/>
                <w:color w:val="auto"/>
                <w:lang w:val="en-US" w:eastAsia="zh-CN"/>
              </w:rPr>
              <w:t>GB3095-2012</w:t>
            </w:r>
            <w:r>
              <w:rPr>
                <w:rFonts w:hint="eastAsia"/>
                <w:color w:val="auto"/>
                <w:lang w:val="en-US" w:eastAsia="zh-CN"/>
              </w:rPr>
              <w:t>）中的二级标准，具体执行标准见表</w:t>
            </w:r>
            <w:r>
              <w:rPr>
                <w:rFonts w:hint="eastAsia"/>
                <w:color w:val="auto"/>
              </w:rPr>
              <w:t>详见表3.</w:t>
            </w:r>
            <w:r>
              <w:rPr>
                <w:rFonts w:hint="eastAsia"/>
                <w:color w:val="auto"/>
                <w:lang w:val="en-US" w:eastAsia="zh-CN"/>
              </w:rPr>
              <w:t>2</w:t>
            </w:r>
            <w:r>
              <w:rPr>
                <w:rFonts w:hint="eastAsia"/>
                <w:color w:val="auto"/>
              </w:rPr>
              <w:t>-1</w:t>
            </w:r>
          </w:p>
          <w:p>
            <w:pPr>
              <w:bidi w:val="0"/>
              <w:jc w:val="center"/>
              <w:rPr>
                <w:b/>
                <w:bCs/>
                <w:color w:val="auto"/>
              </w:rPr>
            </w:pPr>
            <w:r>
              <w:rPr>
                <w:b/>
                <w:bCs/>
                <w:color w:val="auto"/>
              </w:rPr>
              <w:t>表3.</w:t>
            </w:r>
            <w:r>
              <w:rPr>
                <w:rFonts w:hint="eastAsia"/>
                <w:b/>
                <w:bCs/>
                <w:color w:val="auto"/>
                <w:lang w:val="en-US" w:eastAsia="zh-CN"/>
              </w:rPr>
              <w:t>2</w:t>
            </w:r>
            <w:r>
              <w:rPr>
                <w:b/>
                <w:bCs/>
                <w:color w:val="auto"/>
              </w:rPr>
              <w:t>-</w:t>
            </w:r>
            <w:r>
              <w:rPr>
                <w:rFonts w:hint="eastAsia"/>
                <w:b/>
                <w:bCs/>
                <w:color w:val="auto"/>
              </w:rPr>
              <w:t xml:space="preserve">1 </w:t>
            </w:r>
            <w:r>
              <w:rPr>
                <w:b/>
                <w:bCs/>
                <w:color w:val="auto"/>
              </w:rPr>
              <w:t>本项目所在区域环境空气质量标准一览表</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397"/>
              <w:gridCol w:w="1856"/>
              <w:gridCol w:w="1438"/>
              <w:gridCol w:w="293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cantSplit/>
                <w:trHeight w:val="397" w:hRule="atLeast"/>
                <w:jc w:val="center"/>
              </w:trPr>
              <w:tc>
                <w:tcPr>
                  <w:tcW w:w="1461" w:type="dxa"/>
                  <w:noWrap w:val="0"/>
                  <w:vAlign w:val="center"/>
                </w:tcPr>
                <w:p>
                  <w:pPr>
                    <w:adjustRightInd w:val="0"/>
                    <w:snapToGrid w:val="0"/>
                    <w:spacing w:line="240" w:lineRule="auto"/>
                    <w:jc w:val="center"/>
                    <w:rPr>
                      <w:b w:val="0"/>
                      <w:bCs/>
                      <w:color w:val="auto"/>
                      <w:sz w:val="21"/>
                      <w:szCs w:val="21"/>
                    </w:rPr>
                  </w:pPr>
                  <w:r>
                    <w:rPr>
                      <w:b w:val="0"/>
                      <w:bCs/>
                      <w:color w:val="auto"/>
                      <w:sz w:val="21"/>
                      <w:szCs w:val="21"/>
                    </w:rPr>
                    <w:t>污染物名称</w:t>
                  </w:r>
                </w:p>
              </w:tc>
              <w:tc>
                <w:tcPr>
                  <w:tcW w:w="1985" w:type="dxa"/>
                  <w:noWrap w:val="0"/>
                  <w:vAlign w:val="center"/>
                </w:tcPr>
                <w:p>
                  <w:pPr>
                    <w:adjustRightInd w:val="0"/>
                    <w:snapToGrid w:val="0"/>
                    <w:spacing w:line="240" w:lineRule="auto"/>
                    <w:jc w:val="center"/>
                    <w:rPr>
                      <w:b w:val="0"/>
                      <w:bCs/>
                      <w:color w:val="auto"/>
                      <w:sz w:val="21"/>
                      <w:szCs w:val="21"/>
                    </w:rPr>
                  </w:pPr>
                  <w:r>
                    <w:rPr>
                      <w:b w:val="0"/>
                      <w:bCs/>
                      <w:color w:val="auto"/>
                      <w:sz w:val="21"/>
                      <w:szCs w:val="21"/>
                    </w:rPr>
                    <w:t>取值时间</w:t>
                  </w:r>
                </w:p>
              </w:tc>
              <w:tc>
                <w:tcPr>
                  <w:tcW w:w="1474" w:type="dxa"/>
                  <w:noWrap w:val="0"/>
                  <w:vAlign w:val="center"/>
                </w:tcPr>
                <w:p>
                  <w:pPr>
                    <w:adjustRightInd w:val="0"/>
                    <w:snapToGrid w:val="0"/>
                    <w:spacing w:line="240" w:lineRule="auto"/>
                    <w:jc w:val="center"/>
                    <w:rPr>
                      <w:b w:val="0"/>
                      <w:bCs/>
                      <w:color w:val="auto"/>
                      <w:sz w:val="21"/>
                      <w:szCs w:val="21"/>
                    </w:rPr>
                  </w:pPr>
                  <w:r>
                    <w:rPr>
                      <w:b w:val="0"/>
                      <w:bCs/>
                      <w:color w:val="auto"/>
                      <w:sz w:val="21"/>
                      <w:szCs w:val="21"/>
                    </w:rPr>
                    <w:t>浓度限值</w:t>
                  </w:r>
                </w:p>
              </w:tc>
              <w:tc>
                <w:tcPr>
                  <w:tcW w:w="3054" w:type="dxa"/>
                  <w:noWrap w:val="0"/>
                  <w:vAlign w:val="center"/>
                </w:tcPr>
                <w:p>
                  <w:pPr>
                    <w:adjustRightInd w:val="0"/>
                    <w:snapToGrid w:val="0"/>
                    <w:spacing w:line="240" w:lineRule="auto"/>
                    <w:jc w:val="center"/>
                    <w:rPr>
                      <w:b w:val="0"/>
                      <w:bCs/>
                      <w:color w:val="auto"/>
                      <w:sz w:val="21"/>
                      <w:szCs w:val="21"/>
                    </w:rPr>
                  </w:pPr>
                  <w:r>
                    <w:rPr>
                      <w:b w:val="0"/>
                      <w:bCs/>
                      <w:color w:val="auto"/>
                      <w:sz w:val="21"/>
                      <w:szCs w:val="21"/>
                    </w:rPr>
                    <w:t>标准来源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restart"/>
                  <w:noWrap w:val="0"/>
                  <w:vAlign w:val="center"/>
                </w:tcPr>
                <w:p>
                  <w:pPr>
                    <w:adjustRightInd w:val="0"/>
                    <w:snapToGrid w:val="0"/>
                    <w:spacing w:line="240" w:lineRule="auto"/>
                    <w:jc w:val="center"/>
                    <w:rPr>
                      <w:color w:val="auto"/>
                      <w:sz w:val="21"/>
                      <w:szCs w:val="21"/>
                    </w:rPr>
                  </w:pPr>
                  <w:r>
                    <w:rPr>
                      <w:color w:val="auto"/>
                      <w:sz w:val="21"/>
                      <w:szCs w:val="21"/>
                    </w:rPr>
                    <w:t>PM</w:t>
                  </w:r>
                  <w:r>
                    <w:rPr>
                      <w:color w:val="auto"/>
                      <w:sz w:val="21"/>
                      <w:szCs w:val="21"/>
                      <w:vertAlign w:val="subscript"/>
                    </w:rPr>
                    <w:t>10</w:t>
                  </w: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年平均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70μg/m</w:t>
                  </w:r>
                  <w:r>
                    <w:rPr>
                      <w:color w:val="auto"/>
                      <w:sz w:val="21"/>
                      <w:szCs w:val="21"/>
                      <w:vertAlign w:val="superscript"/>
                    </w:rPr>
                    <w:t>3</w:t>
                  </w:r>
                </w:p>
              </w:tc>
              <w:tc>
                <w:tcPr>
                  <w:tcW w:w="3054" w:type="dxa"/>
                  <w:vMerge w:val="restart"/>
                  <w:noWrap w:val="0"/>
                  <w:vAlign w:val="center"/>
                </w:tcPr>
                <w:p>
                  <w:pPr>
                    <w:adjustRightInd w:val="0"/>
                    <w:snapToGrid w:val="0"/>
                    <w:spacing w:line="240" w:lineRule="auto"/>
                    <w:jc w:val="center"/>
                    <w:rPr>
                      <w:color w:val="auto"/>
                      <w:sz w:val="21"/>
                      <w:szCs w:val="21"/>
                    </w:rPr>
                  </w:pPr>
                  <w:r>
                    <w:rPr>
                      <w:color w:val="auto"/>
                      <w:sz w:val="21"/>
                      <w:szCs w:val="21"/>
                    </w:rPr>
                    <w:t>《环境空气质量标准》(GB3095-2012)及其修改单</w:t>
                  </w:r>
                  <w:r>
                    <w:rPr>
                      <w:rFonts w:hint="eastAsia"/>
                      <w:color w:val="auto"/>
                      <w:sz w:val="21"/>
                      <w:szCs w:val="21"/>
                    </w:rPr>
                    <w:t>二级标准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continue"/>
                  <w:noWrap w:val="0"/>
                  <w:vAlign w:val="center"/>
                </w:tcPr>
                <w:p>
                  <w:pPr>
                    <w:widowControl/>
                    <w:spacing w:line="240" w:lineRule="auto"/>
                    <w:jc w:val="center"/>
                    <w:rPr>
                      <w:color w:val="auto"/>
                      <w:sz w:val="21"/>
                      <w:szCs w:val="21"/>
                    </w:rPr>
                  </w:pP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24小时平均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150μg/m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restart"/>
                  <w:noWrap w:val="0"/>
                  <w:vAlign w:val="center"/>
                </w:tcPr>
                <w:p>
                  <w:pPr>
                    <w:adjustRightInd w:val="0"/>
                    <w:snapToGrid w:val="0"/>
                    <w:spacing w:line="240" w:lineRule="auto"/>
                    <w:jc w:val="center"/>
                    <w:rPr>
                      <w:color w:val="auto"/>
                      <w:sz w:val="21"/>
                      <w:szCs w:val="21"/>
                    </w:rPr>
                  </w:pPr>
                  <w:r>
                    <w:rPr>
                      <w:color w:val="auto"/>
                      <w:sz w:val="21"/>
                      <w:szCs w:val="21"/>
                    </w:rPr>
                    <w:t>PM</w:t>
                  </w:r>
                  <w:r>
                    <w:rPr>
                      <w:color w:val="auto"/>
                      <w:sz w:val="21"/>
                      <w:szCs w:val="21"/>
                      <w:vertAlign w:val="subscript"/>
                    </w:rPr>
                    <w:t>2.5</w:t>
                  </w: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年平均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35μg/m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cantSplit/>
                <w:trHeight w:val="397" w:hRule="atLeast"/>
                <w:jc w:val="center"/>
              </w:trPr>
              <w:tc>
                <w:tcPr>
                  <w:tcW w:w="1461" w:type="dxa"/>
                  <w:vMerge w:val="continue"/>
                  <w:noWrap w:val="0"/>
                  <w:vAlign w:val="center"/>
                </w:tcPr>
                <w:p>
                  <w:pPr>
                    <w:widowControl/>
                    <w:spacing w:line="240" w:lineRule="auto"/>
                    <w:jc w:val="center"/>
                    <w:rPr>
                      <w:color w:val="auto"/>
                      <w:sz w:val="21"/>
                      <w:szCs w:val="21"/>
                    </w:rPr>
                  </w:pP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24小时平均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75μg/m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cantSplit/>
                <w:trHeight w:val="397" w:hRule="atLeast"/>
                <w:jc w:val="center"/>
              </w:trPr>
              <w:tc>
                <w:tcPr>
                  <w:tcW w:w="1461" w:type="dxa"/>
                  <w:vMerge w:val="restart"/>
                  <w:noWrap w:val="0"/>
                  <w:vAlign w:val="center"/>
                </w:tcPr>
                <w:p>
                  <w:pPr>
                    <w:adjustRightInd w:val="0"/>
                    <w:snapToGrid w:val="0"/>
                    <w:spacing w:line="240" w:lineRule="auto"/>
                    <w:jc w:val="center"/>
                    <w:rPr>
                      <w:color w:val="auto"/>
                      <w:sz w:val="21"/>
                      <w:szCs w:val="21"/>
                    </w:rPr>
                  </w:pPr>
                  <w:r>
                    <w:rPr>
                      <w:color w:val="auto"/>
                      <w:sz w:val="21"/>
                      <w:szCs w:val="21"/>
                    </w:rPr>
                    <w:t>SO</w:t>
                  </w:r>
                  <w:r>
                    <w:rPr>
                      <w:color w:val="auto"/>
                      <w:sz w:val="21"/>
                      <w:szCs w:val="21"/>
                      <w:vertAlign w:val="subscript"/>
                    </w:rPr>
                    <w:t>2</w:t>
                  </w: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年平均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60μg/m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continue"/>
                  <w:noWrap w:val="0"/>
                  <w:vAlign w:val="center"/>
                </w:tcPr>
                <w:p>
                  <w:pPr>
                    <w:widowControl/>
                    <w:spacing w:line="240" w:lineRule="auto"/>
                    <w:jc w:val="center"/>
                    <w:rPr>
                      <w:color w:val="auto"/>
                      <w:sz w:val="21"/>
                      <w:szCs w:val="21"/>
                    </w:rPr>
                  </w:pP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24小时平均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150μg/m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continue"/>
                  <w:noWrap w:val="0"/>
                  <w:vAlign w:val="center"/>
                </w:tcPr>
                <w:p>
                  <w:pPr>
                    <w:widowControl/>
                    <w:spacing w:line="240" w:lineRule="auto"/>
                    <w:jc w:val="center"/>
                    <w:rPr>
                      <w:color w:val="auto"/>
                      <w:sz w:val="21"/>
                      <w:szCs w:val="21"/>
                    </w:rPr>
                  </w:pP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1小时平均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500μg/m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restart"/>
                  <w:noWrap w:val="0"/>
                  <w:vAlign w:val="center"/>
                </w:tcPr>
                <w:p>
                  <w:pPr>
                    <w:adjustRightInd w:val="0"/>
                    <w:snapToGrid w:val="0"/>
                    <w:spacing w:line="240" w:lineRule="auto"/>
                    <w:jc w:val="center"/>
                    <w:rPr>
                      <w:color w:val="auto"/>
                      <w:sz w:val="21"/>
                      <w:szCs w:val="21"/>
                    </w:rPr>
                  </w:pPr>
                  <w:r>
                    <w:rPr>
                      <w:color w:val="auto"/>
                      <w:sz w:val="21"/>
                      <w:szCs w:val="21"/>
                    </w:rPr>
                    <w:t>NO</w:t>
                  </w:r>
                  <w:r>
                    <w:rPr>
                      <w:color w:val="auto"/>
                      <w:sz w:val="21"/>
                      <w:szCs w:val="21"/>
                      <w:vertAlign w:val="subscript"/>
                    </w:rPr>
                    <w:t>2</w:t>
                  </w: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年平均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40μg/m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cantSplit/>
                <w:trHeight w:val="397" w:hRule="atLeast"/>
                <w:jc w:val="center"/>
              </w:trPr>
              <w:tc>
                <w:tcPr>
                  <w:tcW w:w="1461" w:type="dxa"/>
                  <w:vMerge w:val="continue"/>
                  <w:noWrap w:val="0"/>
                  <w:vAlign w:val="center"/>
                </w:tcPr>
                <w:p>
                  <w:pPr>
                    <w:widowControl/>
                    <w:spacing w:line="240" w:lineRule="auto"/>
                    <w:jc w:val="center"/>
                    <w:rPr>
                      <w:color w:val="auto"/>
                      <w:sz w:val="21"/>
                      <w:szCs w:val="21"/>
                    </w:rPr>
                  </w:pP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24小时平均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80μg/m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cantSplit/>
                <w:trHeight w:val="397" w:hRule="atLeast"/>
                <w:jc w:val="center"/>
              </w:trPr>
              <w:tc>
                <w:tcPr>
                  <w:tcW w:w="1461" w:type="dxa"/>
                  <w:vMerge w:val="continue"/>
                  <w:noWrap w:val="0"/>
                  <w:vAlign w:val="center"/>
                </w:tcPr>
                <w:p>
                  <w:pPr>
                    <w:widowControl/>
                    <w:spacing w:line="240" w:lineRule="auto"/>
                    <w:jc w:val="center"/>
                    <w:rPr>
                      <w:color w:val="auto"/>
                      <w:sz w:val="21"/>
                      <w:szCs w:val="21"/>
                    </w:rPr>
                  </w:pPr>
                </w:p>
              </w:tc>
              <w:tc>
                <w:tcPr>
                  <w:tcW w:w="1985" w:type="dxa"/>
                  <w:noWrap w:val="0"/>
                  <w:vAlign w:val="center"/>
                </w:tcPr>
                <w:p>
                  <w:pPr>
                    <w:adjustRightInd w:val="0"/>
                    <w:snapToGrid w:val="0"/>
                    <w:spacing w:line="240" w:lineRule="auto"/>
                    <w:jc w:val="center"/>
                    <w:rPr>
                      <w:color w:val="auto"/>
                      <w:sz w:val="21"/>
                      <w:szCs w:val="21"/>
                    </w:rPr>
                  </w:pPr>
                  <w:r>
                    <w:rPr>
                      <w:color w:val="auto"/>
                      <w:sz w:val="21"/>
                      <w:szCs w:val="21"/>
                    </w:rPr>
                    <w:t>1小时平均</w:t>
                  </w:r>
                </w:p>
              </w:tc>
              <w:tc>
                <w:tcPr>
                  <w:tcW w:w="1474" w:type="dxa"/>
                  <w:noWrap w:val="0"/>
                  <w:vAlign w:val="center"/>
                </w:tcPr>
                <w:p>
                  <w:pPr>
                    <w:adjustRightInd w:val="0"/>
                    <w:snapToGrid w:val="0"/>
                    <w:spacing w:line="240" w:lineRule="auto"/>
                    <w:jc w:val="center"/>
                    <w:rPr>
                      <w:color w:val="auto"/>
                      <w:sz w:val="21"/>
                      <w:szCs w:val="21"/>
                    </w:rPr>
                  </w:pPr>
                  <w:r>
                    <w:rPr>
                      <w:color w:val="auto"/>
                      <w:sz w:val="21"/>
                      <w:szCs w:val="21"/>
                    </w:rPr>
                    <w:t>200μg/m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restart"/>
                  <w:noWrap w:val="0"/>
                  <w:vAlign w:val="center"/>
                </w:tcPr>
                <w:p>
                  <w:pPr>
                    <w:spacing w:line="240" w:lineRule="auto"/>
                    <w:jc w:val="center"/>
                    <w:textAlignment w:val="center"/>
                    <w:rPr>
                      <w:color w:val="auto"/>
                      <w:sz w:val="21"/>
                      <w:szCs w:val="21"/>
                    </w:rPr>
                  </w:pPr>
                  <w:r>
                    <w:rPr>
                      <w:color w:val="auto"/>
                      <w:sz w:val="21"/>
                      <w:szCs w:val="21"/>
                    </w:rPr>
                    <w:t>CO</w:t>
                  </w:r>
                </w:p>
              </w:tc>
              <w:tc>
                <w:tcPr>
                  <w:tcW w:w="1985" w:type="dxa"/>
                  <w:noWrap w:val="0"/>
                  <w:vAlign w:val="center"/>
                </w:tcPr>
                <w:p>
                  <w:pPr>
                    <w:spacing w:line="240" w:lineRule="auto"/>
                    <w:jc w:val="center"/>
                    <w:textAlignment w:val="center"/>
                    <w:rPr>
                      <w:color w:val="auto"/>
                      <w:sz w:val="21"/>
                      <w:szCs w:val="21"/>
                    </w:rPr>
                  </w:pPr>
                  <w:r>
                    <w:rPr>
                      <w:color w:val="auto"/>
                      <w:sz w:val="21"/>
                      <w:szCs w:val="21"/>
                    </w:rPr>
                    <w:t>24小时平均</w:t>
                  </w:r>
                </w:p>
              </w:tc>
              <w:tc>
                <w:tcPr>
                  <w:tcW w:w="1474" w:type="dxa"/>
                  <w:noWrap w:val="0"/>
                  <w:vAlign w:val="center"/>
                </w:tcPr>
                <w:p>
                  <w:pPr>
                    <w:spacing w:line="240" w:lineRule="auto"/>
                    <w:jc w:val="center"/>
                    <w:textAlignment w:val="center"/>
                    <w:rPr>
                      <w:color w:val="auto"/>
                      <w:sz w:val="21"/>
                      <w:szCs w:val="21"/>
                    </w:rPr>
                  </w:pPr>
                  <w:r>
                    <w:rPr>
                      <w:color w:val="auto"/>
                      <w:sz w:val="21"/>
                      <w:szCs w:val="21"/>
                    </w:rPr>
                    <w:t>4mg/m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continue"/>
                  <w:noWrap w:val="0"/>
                  <w:vAlign w:val="center"/>
                </w:tcPr>
                <w:p>
                  <w:pPr>
                    <w:widowControl/>
                    <w:spacing w:line="240" w:lineRule="auto"/>
                    <w:jc w:val="center"/>
                    <w:rPr>
                      <w:color w:val="auto"/>
                      <w:sz w:val="21"/>
                      <w:szCs w:val="21"/>
                    </w:rPr>
                  </w:pPr>
                </w:p>
              </w:tc>
              <w:tc>
                <w:tcPr>
                  <w:tcW w:w="1985" w:type="dxa"/>
                  <w:noWrap w:val="0"/>
                  <w:vAlign w:val="center"/>
                </w:tcPr>
                <w:p>
                  <w:pPr>
                    <w:spacing w:line="240" w:lineRule="auto"/>
                    <w:jc w:val="center"/>
                    <w:textAlignment w:val="center"/>
                    <w:rPr>
                      <w:color w:val="auto"/>
                      <w:sz w:val="21"/>
                      <w:szCs w:val="21"/>
                    </w:rPr>
                  </w:pPr>
                  <w:r>
                    <w:rPr>
                      <w:color w:val="auto"/>
                      <w:sz w:val="21"/>
                      <w:szCs w:val="21"/>
                    </w:rPr>
                    <w:t>1小时平均</w:t>
                  </w:r>
                </w:p>
              </w:tc>
              <w:tc>
                <w:tcPr>
                  <w:tcW w:w="1474" w:type="dxa"/>
                  <w:noWrap w:val="0"/>
                  <w:vAlign w:val="center"/>
                </w:tcPr>
                <w:p>
                  <w:pPr>
                    <w:spacing w:line="240" w:lineRule="auto"/>
                    <w:jc w:val="center"/>
                    <w:textAlignment w:val="center"/>
                    <w:rPr>
                      <w:color w:val="auto"/>
                      <w:sz w:val="21"/>
                      <w:szCs w:val="21"/>
                    </w:rPr>
                  </w:pPr>
                  <w:r>
                    <w:rPr>
                      <w:color w:val="auto"/>
                      <w:sz w:val="21"/>
                      <w:szCs w:val="21"/>
                    </w:rPr>
                    <w:t>10mg/m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461" w:type="dxa"/>
                  <w:vMerge w:val="restart"/>
                  <w:noWrap w:val="0"/>
                  <w:vAlign w:val="center"/>
                </w:tcPr>
                <w:p>
                  <w:pPr>
                    <w:spacing w:line="240" w:lineRule="auto"/>
                    <w:jc w:val="center"/>
                    <w:textAlignment w:val="center"/>
                    <w:rPr>
                      <w:color w:val="auto"/>
                      <w:sz w:val="21"/>
                      <w:szCs w:val="21"/>
                    </w:rPr>
                  </w:pPr>
                  <w:r>
                    <w:rPr>
                      <w:color w:val="auto"/>
                      <w:sz w:val="21"/>
                      <w:szCs w:val="21"/>
                    </w:rPr>
                    <w:t>O</w:t>
                  </w:r>
                  <w:r>
                    <w:rPr>
                      <w:color w:val="auto"/>
                      <w:sz w:val="21"/>
                      <w:szCs w:val="21"/>
                      <w:vertAlign w:val="subscript"/>
                    </w:rPr>
                    <w:t>3</w:t>
                  </w:r>
                </w:p>
              </w:tc>
              <w:tc>
                <w:tcPr>
                  <w:tcW w:w="1985" w:type="dxa"/>
                  <w:noWrap w:val="0"/>
                  <w:vAlign w:val="center"/>
                </w:tcPr>
                <w:p>
                  <w:pPr>
                    <w:spacing w:line="240" w:lineRule="auto"/>
                    <w:jc w:val="center"/>
                    <w:textAlignment w:val="center"/>
                    <w:rPr>
                      <w:color w:val="auto"/>
                      <w:sz w:val="21"/>
                      <w:szCs w:val="21"/>
                    </w:rPr>
                  </w:pPr>
                  <w:r>
                    <w:rPr>
                      <w:color w:val="auto"/>
                      <w:sz w:val="21"/>
                      <w:szCs w:val="21"/>
                    </w:rPr>
                    <w:t>日最大8小时平均</w:t>
                  </w:r>
                </w:p>
              </w:tc>
              <w:tc>
                <w:tcPr>
                  <w:tcW w:w="1474" w:type="dxa"/>
                  <w:noWrap w:val="0"/>
                  <w:vAlign w:val="center"/>
                </w:tcPr>
                <w:p>
                  <w:pPr>
                    <w:spacing w:line="240" w:lineRule="auto"/>
                    <w:jc w:val="center"/>
                    <w:textAlignment w:val="center"/>
                    <w:rPr>
                      <w:color w:val="auto"/>
                      <w:sz w:val="21"/>
                      <w:szCs w:val="21"/>
                    </w:rPr>
                  </w:pPr>
                  <w:r>
                    <w:rPr>
                      <w:color w:val="auto"/>
                      <w:sz w:val="21"/>
                      <w:szCs w:val="21"/>
                    </w:rPr>
                    <w:t>160μg/m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cantSplit/>
                <w:trHeight w:val="397" w:hRule="atLeast"/>
                <w:jc w:val="center"/>
              </w:trPr>
              <w:tc>
                <w:tcPr>
                  <w:tcW w:w="1461" w:type="dxa"/>
                  <w:vMerge w:val="continue"/>
                  <w:noWrap w:val="0"/>
                  <w:vAlign w:val="center"/>
                </w:tcPr>
                <w:p>
                  <w:pPr>
                    <w:widowControl/>
                    <w:spacing w:line="240" w:lineRule="auto"/>
                    <w:jc w:val="center"/>
                    <w:rPr>
                      <w:color w:val="auto"/>
                      <w:sz w:val="21"/>
                      <w:szCs w:val="21"/>
                    </w:rPr>
                  </w:pPr>
                </w:p>
              </w:tc>
              <w:tc>
                <w:tcPr>
                  <w:tcW w:w="1985" w:type="dxa"/>
                  <w:noWrap w:val="0"/>
                  <w:vAlign w:val="center"/>
                </w:tcPr>
                <w:p>
                  <w:pPr>
                    <w:spacing w:line="240" w:lineRule="auto"/>
                    <w:jc w:val="center"/>
                    <w:textAlignment w:val="center"/>
                    <w:rPr>
                      <w:color w:val="auto"/>
                      <w:sz w:val="21"/>
                      <w:szCs w:val="21"/>
                    </w:rPr>
                  </w:pPr>
                  <w:r>
                    <w:rPr>
                      <w:color w:val="auto"/>
                      <w:sz w:val="21"/>
                      <w:szCs w:val="21"/>
                    </w:rPr>
                    <w:t>1小时平均</w:t>
                  </w:r>
                </w:p>
              </w:tc>
              <w:tc>
                <w:tcPr>
                  <w:tcW w:w="1474" w:type="dxa"/>
                  <w:noWrap w:val="0"/>
                  <w:vAlign w:val="center"/>
                </w:tcPr>
                <w:p>
                  <w:pPr>
                    <w:spacing w:line="240" w:lineRule="auto"/>
                    <w:jc w:val="center"/>
                    <w:textAlignment w:val="center"/>
                    <w:rPr>
                      <w:color w:val="auto"/>
                      <w:sz w:val="21"/>
                      <w:szCs w:val="21"/>
                    </w:rPr>
                  </w:pPr>
                  <w:r>
                    <w:rPr>
                      <w:color w:val="auto"/>
                      <w:sz w:val="21"/>
                      <w:szCs w:val="21"/>
                    </w:rPr>
                    <w:t>200μg/m</w:t>
                  </w:r>
                  <w:r>
                    <w:rPr>
                      <w:color w:val="auto"/>
                      <w:sz w:val="21"/>
                      <w:szCs w:val="21"/>
                      <w:vertAlign w:val="superscript"/>
                    </w:rPr>
                    <w:t>3</w:t>
                  </w:r>
                </w:p>
              </w:tc>
              <w:tc>
                <w:tcPr>
                  <w:tcW w:w="3054" w:type="dxa"/>
                  <w:vMerge w:val="continue"/>
                  <w:noWrap w:val="0"/>
                  <w:vAlign w:val="center"/>
                </w:tcPr>
                <w:p>
                  <w:pPr>
                    <w:widowControl/>
                    <w:spacing w:line="240" w:lineRule="auto"/>
                    <w:jc w:val="center"/>
                    <w:rPr>
                      <w:color w:val="auto"/>
                      <w:sz w:val="21"/>
                      <w:szCs w:val="21"/>
                    </w:rPr>
                  </w:pPr>
                </w:p>
              </w:tc>
            </w:tr>
          </w:tbl>
          <w:p>
            <w:pPr>
              <w:pStyle w:val="4"/>
              <w:bidi w:val="0"/>
              <w:rPr>
                <w:color w:val="auto"/>
              </w:rPr>
            </w:pPr>
            <w:r>
              <w:rPr>
                <w:rFonts w:hint="eastAsia"/>
                <w:color w:val="auto"/>
                <w:lang w:val="en-US" w:eastAsia="zh-CN"/>
              </w:rPr>
              <w:t>3.2.2大气</w:t>
            </w:r>
            <w:r>
              <w:rPr>
                <w:color w:val="auto"/>
              </w:rPr>
              <w:t>环境质量</w:t>
            </w:r>
            <w:r>
              <w:rPr>
                <w:rFonts w:hint="eastAsia"/>
                <w:color w:val="auto"/>
                <w:lang w:val="en-US" w:eastAsia="zh-CN"/>
              </w:rPr>
              <w:t>现状</w:t>
            </w:r>
          </w:p>
          <w:p>
            <w:pPr>
              <w:spacing w:line="360" w:lineRule="auto"/>
              <w:ind w:firstLine="480" w:firstLineChars="200"/>
              <w:rPr>
                <w:rFonts w:hint="eastAsia" w:cs="宋体"/>
                <w:color w:val="auto"/>
                <w:sz w:val="24"/>
              </w:rPr>
            </w:pPr>
            <w:r>
              <w:rPr>
                <w:rFonts w:hint="eastAsia" w:cs="宋体"/>
                <w:color w:val="auto"/>
                <w:sz w:val="24"/>
              </w:rPr>
              <w:t>（1）项目所在区域环境质量现状</w:t>
            </w:r>
          </w:p>
          <w:p>
            <w:pPr>
              <w:spacing w:line="360" w:lineRule="auto"/>
              <w:ind w:firstLine="480" w:firstLineChars="200"/>
              <w:rPr>
                <w:rFonts w:hint="eastAsia" w:cs="宋体"/>
                <w:color w:val="auto"/>
                <w:sz w:val="24"/>
              </w:rPr>
            </w:pPr>
            <w:r>
              <w:rPr>
                <w:rFonts w:hint="eastAsia" w:cs="宋体"/>
                <w:color w:val="auto"/>
                <w:sz w:val="24"/>
              </w:rPr>
              <w:t>①常规污染物因子</w:t>
            </w:r>
          </w:p>
          <w:p>
            <w:pPr>
              <w:spacing w:line="360" w:lineRule="auto"/>
              <w:ind w:firstLine="480" w:firstLineChars="200"/>
              <w:jc w:val="left"/>
              <w:rPr>
                <w:rFonts w:cs="宋体"/>
                <w:color w:val="auto"/>
                <w:sz w:val="24"/>
              </w:rPr>
            </w:pPr>
            <w:r>
              <w:rPr>
                <w:rFonts w:cs="宋体"/>
                <w:color w:val="auto"/>
                <w:sz w:val="24"/>
              </w:rPr>
              <w:t>本次评价收集福清市人民政府发布的202</w:t>
            </w:r>
            <w:r>
              <w:rPr>
                <w:rFonts w:hint="eastAsia" w:cs="宋体"/>
                <w:color w:val="auto"/>
                <w:sz w:val="24"/>
              </w:rPr>
              <w:t>3</w:t>
            </w:r>
            <w:r>
              <w:rPr>
                <w:rFonts w:cs="宋体"/>
                <w:color w:val="auto"/>
                <w:sz w:val="24"/>
              </w:rPr>
              <w:t>年1月至202</w:t>
            </w:r>
            <w:r>
              <w:rPr>
                <w:rFonts w:hint="eastAsia" w:cs="宋体"/>
                <w:color w:val="auto"/>
                <w:sz w:val="24"/>
              </w:rPr>
              <w:t>3</w:t>
            </w:r>
            <w:r>
              <w:rPr>
                <w:rFonts w:cs="宋体"/>
                <w:color w:val="auto"/>
                <w:sz w:val="24"/>
              </w:rPr>
              <w:t>年</w:t>
            </w:r>
            <w:r>
              <w:rPr>
                <w:rFonts w:hint="eastAsia" w:cs="宋体"/>
                <w:color w:val="auto"/>
                <w:sz w:val="24"/>
              </w:rPr>
              <w:t>12</w:t>
            </w:r>
            <w:r>
              <w:rPr>
                <w:rFonts w:cs="宋体"/>
                <w:color w:val="auto"/>
                <w:sz w:val="24"/>
              </w:rPr>
              <w:t>月空气质量月报数据</w:t>
            </w:r>
            <w:r>
              <w:rPr>
                <w:rFonts w:hint="eastAsia" w:cs="宋体"/>
                <w:color w:val="auto"/>
                <w:sz w:val="24"/>
              </w:rPr>
              <w:t>（http://www.fuqing.gov.cn/xjwz/zwgk/ztzl/sdgjz/dhwrfzgjz/hjzl/）</w:t>
            </w:r>
            <w:r>
              <w:rPr>
                <w:rFonts w:cs="宋体"/>
                <w:color w:val="auto"/>
                <w:sz w:val="24"/>
              </w:rPr>
              <w:t>，从数据上看福清市区202</w:t>
            </w:r>
            <w:r>
              <w:rPr>
                <w:rFonts w:hint="eastAsia" w:cs="宋体"/>
                <w:color w:val="auto"/>
                <w:sz w:val="24"/>
              </w:rPr>
              <w:t>3</w:t>
            </w:r>
            <w:r>
              <w:rPr>
                <w:rFonts w:cs="宋体"/>
                <w:color w:val="auto"/>
                <w:sz w:val="24"/>
              </w:rPr>
              <w:t>年空气环境中SO</w:t>
            </w:r>
            <w:r>
              <w:rPr>
                <w:rFonts w:cs="宋体"/>
                <w:color w:val="auto"/>
                <w:sz w:val="24"/>
                <w:vertAlign w:val="subscript"/>
              </w:rPr>
              <w:t>2</w:t>
            </w:r>
            <w:r>
              <w:rPr>
                <w:rFonts w:cs="宋体"/>
                <w:color w:val="auto"/>
                <w:sz w:val="24"/>
              </w:rPr>
              <w:t>、NO</w:t>
            </w:r>
            <w:r>
              <w:rPr>
                <w:rFonts w:cs="宋体"/>
                <w:color w:val="auto"/>
                <w:sz w:val="24"/>
                <w:vertAlign w:val="subscript"/>
              </w:rPr>
              <w:t>2</w:t>
            </w:r>
            <w:r>
              <w:rPr>
                <w:rFonts w:cs="宋体"/>
                <w:color w:val="auto"/>
                <w:sz w:val="24"/>
              </w:rPr>
              <w:t>、PM</w:t>
            </w:r>
            <w:r>
              <w:rPr>
                <w:rFonts w:cs="宋体"/>
                <w:color w:val="auto"/>
                <w:sz w:val="24"/>
                <w:vertAlign w:val="subscript"/>
              </w:rPr>
              <w:t>10</w:t>
            </w:r>
            <w:r>
              <w:rPr>
                <w:rFonts w:cs="宋体"/>
                <w:color w:val="auto"/>
                <w:sz w:val="24"/>
              </w:rPr>
              <w:t>和PM</w:t>
            </w:r>
            <w:r>
              <w:rPr>
                <w:rFonts w:cs="宋体"/>
                <w:color w:val="auto"/>
                <w:sz w:val="24"/>
                <w:vertAlign w:val="subscript"/>
              </w:rPr>
              <w:t>2.5</w:t>
            </w:r>
            <w:r>
              <w:rPr>
                <w:rFonts w:cs="宋体"/>
                <w:color w:val="auto"/>
                <w:sz w:val="24"/>
              </w:rPr>
              <w:t>均未超过国家二级标准，CO日均值第95百分位数和O</w:t>
            </w:r>
            <w:r>
              <w:rPr>
                <w:rFonts w:cs="宋体"/>
                <w:color w:val="auto"/>
                <w:sz w:val="24"/>
                <w:vertAlign w:val="subscript"/>
              </w:rPr>
              <w:t>3</w:t>
            </w:r>
            <w:r>
              <w:rPr>
                <w:rFonts w:cs="宋体"/>
                <w:color w:val="auto"/>
                <w:sz w:val="24"/>
              </w:rPr>
              <w:t>日最大8h值第90百分位数未超过国家二级标准，福清市属于达标区。因此，项目所在区域为大气达标。</w:t>
            </w:r>
          </w:p>
          <w:p>
            <w:pPr>
              <w:bidi w:val="0"/>
              <w:jc w:val="center"/>
              <w:rPr>
                <w:b/>
                <w:bCs/>
                <w:color w:val="auto"/>
              </w:rPr>
            </w:pPr>
            <w:r>
              <w:rPr>
                <w:rFonts w:hint="eastAsia"/>
                <w:b/>
                <w:bCs/>
                <w:color w:val="auto"/>
              </w:rPr>
              <w:t>表3</w:t>
            </w:r>
            <w:r>
              <w:rPr>
                <w:rFonts w:hint="eastAsia"/>
                <w:b/>
                <w:bCs/>
                <w:color w:val="auto"/>
                <w:lang w:val="en-US" w:eastAsia="zh-CN"/>
              </w:rPr>
              <w:t>.2</w:t>
            </w:r>
            <w:r>
              <w:rPr>
                <w:rFonts w:hint="eastAsia"/>
                <w:b/>
                <w:bCs/>
                <w:color w:val="auto"/>
              </w:rPr>
              <w:t>-</w:t>
            </w:r>
            <w:r>
              <w:rPr>
                <w:rFonts w:hint="eastAsia"/>
                <w:b/>
                <w:bCs/>
                <w:color w:val="auto"/>
                <w:lang w:val="en-US" w:eastAsia="zh-CN"/>
              </w:rPr>
              <w:t>2</w:t>
            </w:r>
            <w:r>
              <w:rPr>
                <w:rFonts w:hint="eastAsia"/>
                <w:b/>
                <w:bCs/>
                <w:color w:val="auto"/>
              </w:rPr>
              <w:t>福清市2023年1月-2023年12月空气质量月报数据</w:t>
            </w:r>
          </w:p>
          <w:tbl>
            <w:tblPr>
              <w:tblStyle w:val="26"/>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5"/>
              <w:gridCol w:w="964"/>
              <w:gridCol w:w="1052"/>
              <w:gridCol w:w="1053"/>
              <w:gridCol w:w="1053"/>
              <w:gridCol w:w="892"/>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top w:val="single" w:color="auto" w:sz="12" w:space="0"/>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时间</w:t>
                  </w:r>
                </w:p>
              </w:tc>
              <w:tc>
                <w:tcPr>
                  <w:tcW w:w="972" w:type="dxa"/>
                  <w:tcBorders>
                    <w:top w:val="single" w:color="auto" w:sz="12" w:space="0"/>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SO</w:t>
                  </w:r>
                  <w:r>
                    <w:rPr>
                      <w:rFonts w:hint="eastAsia" w:ascii="Times New Roman" w:hAnsi="Times New Roman" w:eastAsia="宋体" w:cs="Times New Roman"/>
                      <w:color w:val="auto"/>
                      <w:sz w:val="21"/>
                      <w:szCs w:val="21"/>
                      <w:vertAlign w:val="subscript"/>
                    </w:rPr>
                    <w:t>2</w:t>
                  </w:r>
                </w:p>
              </w:tc>
              <w:tc>
                <w:tcPr>
                  <w:tcW w:w="1063" w:type="dxa"/>
                  <w:tcBorders>
                    <w:top w:val="single" w:color="auto" w:sz="12" w:space="0"/>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NOx</w:t>
                  </w:r>
                </w:p>
              </w:tc>
              <w:tc>
                <w:tcPr>
                  <w:tcW w:w="1064" w:type="dxa"/>
                  <w:tcBorders>
                    <w:top w:val="single" w:color="auto" w:sz="12" w:space="0"/>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PM</w:t>
                  </w:r>
                  <w:r>
                    <w:rPr>
                      <w:rFonts w:hint="eastAsia" w:ascii="Times New Roman" w:hAnsi="Times New Roman" w:eastAsia="宋体" w:cs="Times New Roman"/>
                      <w:color w:val="auto"/>
                      <w:sz w:val="21"/>
                      <w:szCs w:val="21"/>
                      <w:vertAlign w:val="subscript"/>
                    </w:rPr>
                    <w:t>10</w:t>
                  </w:r>
                </w:p>
              </w:tc>
              <w:tc>
                <w:tcPr>
                  <w:tcW w:w="1064" w:type="dxa"/>
                  <w:tcBorders>
                    <w:top w:val="single" w:color="auto" w:sz="12" w:space="0"/>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PM</w:t>
                  </w:r>
                  <w:r>
                    <w:rPr>
                      <w:rFonts w:hint="eastAsia" w:ascii="Times New Roman" w:hAnsi="Times New Roman" w:eastAsia="宋体" w:cs="Times New Roman"/>
                      <w:color w:val="auto"/>
                      <w:sz w:val="21"/>
                      <w:szCs w:val="21"/>
                      <w:vertAlign w:val="subscript"/>
                    </w:rPr>
                    <w:t>2.5</w:t>
                  </w:r>
                </w:p>
              </w:tc>
              <w:tc>
                <w:tcPr>
                  <w:tcW w:w="901" w:type="dxa"/>
                  <w:tcBorders>
                    <w:top w:val="single" w:color="auto" w:sz="12" w:space="0"/>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CO</w:t>
                  </w:r>
                </w:p>
              </w:tc>
              <w:tc>
                <w:tcPr>
                  <w:tcW w:w="1072" w:type="dxa"/>
                  <w:tcBorders>
                    <w:top w:val="single" w:color="auto" w:sz="12" w:space="0"/>
                    <w:righ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O</w:t>
                  </w:r>
                  <w:r>
                    <w:rPr>
                      <w:rFonts w:hint="eastAsia" w:ascii="Times New Roman" w:hAnsi="Times New Roman" w:eastAsia="宋体" w:cs="Times New Roman"/>
                      <w:color w:val="auto"/>
                      <w:sz w:val="21"/>
                      <w:szCs w:val="21"/>
                      <w:vertAlign w:val="sub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2023年1月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0.003</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0.016</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0.032</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0.017</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0.6</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2023年2月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0.005</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0.033</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0.018</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0.80</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2023年3月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0.005</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0.024</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0.042</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0.020</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0.8</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2023年4月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0.003</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0.019</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0.047</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0.020</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0.9</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2023年5月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0.002</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0.013</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0.037</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0.017</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0.9</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2023年6月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0.002</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0.011</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0.026</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0.012</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0.6</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2023年7月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0.002</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0.008</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0.027</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0.010</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0.6</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2023年8月</w:t>
                  </w:r>
                </w:p>
              </w:tc>
              <w:tc>
                <w:tcPr>
                  <w:tcW w:w="972"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0.002</w:t>
                  </w:r>
                </w:p>
              </w:tc>
              <w:tc>
                <w:tcPr>
                  <w:tcW w:w="1063"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0.011</w:t>
                  </w:r>
                </w:p>
              </w:tc>
              <w:tc>
                <w:tcPr>
                  <w:tcW w:w="1064"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0.027</w:t>
                  </w:r>
                </w:p>
              </w:tc>
              <w:tc>
                <w:tcPr>
                  <w:tcW w:w="1064"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0.012</w:t>
                  </w:r>
                </w:p>
              </w:tc>
              <w:tc>
                <w:tcPr>
                  <w:tcW w:w="901"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0.6</w:t>
                  </w:r>
                </w:p>
              </w:tc>
              <w:tc>
                <w:tcPr>
                  <w:tcW w:w="1072" w:type="dxa"/>
                  <w:tcBorders>
                    <w:righ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2023年9月</w:t>
                  </w:r>
                </w:p>
              </w:tc>
              <w:tc>
                <w:tcPr>
                  <w:tcW w:w="972"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0.002</w:t>
                  </w:r>
                </w:p>
              </w:tc>
              <w:tc>
                <w:tcPr>
                  <w:tcW w:w="1063"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0.004</w:t>
                  </w:r>
                </w:p>
              </w:tc>
              <w:tc>
                <w:tcPr>
                  <w:tcW w:w="1064"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0.022</w:t>
                  </w:r>
                </w:p>
              </w:tc>
              <w:tc>
                <w:tcPr>
                  <w:tcW w:w="1064"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0.011</w:t>
                  </w:r>
                </w:p>
              </w:tc>
              <w:tc>
                <w:tcPr>
                  <w:tcW w:w="901"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0.6</w:t>
                  </w:r>
                </w:p>
              </w:tc>
              <w:tc>
                <w:tcPr>
                  <w:tcW w:w="1072" w:type="dxa"/>
                  <w:tcBorders>
                    <w:righ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both"/>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2023年10月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0.002</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0.008</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0.028</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0.014</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0.6</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2023年11月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0.002</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0.009</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0.030</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0.015</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0.6</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2023年12月</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0.003</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0.019</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0.030</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0.018</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0.9</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国家二级标准</w:t>
                  </w:r>
                </w:p>
              </w:tc>
              <w:tc>
                <w:tcPr>
                  <w:tcW w:w="972"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0.06</w:t>
                  </w:r>
                </w:p>
              </w:tc>
              <w:tc>
                <w:tcPr>
                  <w:tcW w:w="1063"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0.04</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0.07</w:t>
                  </w:r>
                </w:p>
              </w:tc>
              <w:tc>
                <w:tcPr>
                  <w:tcW w:w="1064"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0.035</w:t>
                  </w:r>
                </w:p>
              </w:tc>
              <w:tc>
                <w:tcPr>
                  <w:tcW w:w="901" w:type="dxa"/>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4</w:t>
                  </w:r>
                </w:p>
              </w:tc>
              <w:tc>
                <w:tcPr>
                  <w:tcW w:w="1072" w:type="dxa"/>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达标情况</w:t>
                  </w:r>
                </w:p>
              </w:tc>
              <w:tc>
                <w:tcPr>
                  <w:tcW w:w="6136" w:type="dxa"/>
                  <w:gridSpan w:val="6"/>
                  <w:tcBorders>
                    <w:right w:val="nil"/>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dxa"/>
                  <w:tcBorders>
                    <w:left w:val="nil"/>
                    <w:bottom w:val="single" w:color="auto" w:sz="12" w:space="0"/>
                  </w:tcBorders>
                  <w:noWrap w:val="0"/>
                  <w:vAlign w:val="center"/>
                </w:tcPr>
                <w:p>
                  <w:pPr>
                    <w:adjustRightInd w:val="0"/>
                    <w:snapToGrid w:val="0"/>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备注</w:t>
                  </w:r>
                </w:p>
              </w:tc>
              <w:tc>
                <w:tcPr>
                  <w:tcW w:w="6136" w:type="dxa"/>
                  <w:gridSpan w:val="6"/>
                  <w:tcBorders>
                    <w:bottom w:val="single" w:color="auto" w:sz="12" w:space="0"/>
                    <w:right w:val="nil"/>
                  </w:tcBorders>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CO为日均值第95百分位数，O</w:t>
                  </w:r>
                  <w:r>
                    <w:rPr>
                      <w:rFonts w:hint="eastAsia" w:ascii="Times New Roman" w:hAnsi="Times New Roman" w:eastAsia="宋体" w:cs="Times New Roman"/>
                      <w:color w:val="auto"/>
                      <w:sz w:val="21"/>
                      <w:szCs w:val="21"/>
                      <w:vertAlign w:val="subscript"/>
                    </w:rPr>
                    <w:t>3</w:t>
                  </w:r>
                  <w:r>
                    <w:rPr>
                      <w:rFonts w:hint="eastAsia" w:ascii="Times New Roman" w:hAnsi="Times New Roman" w:eastAsia="宋体" w:cs="Times New Roman"/>
                      <w:color w:val="auto"/>
                      <w:sz w:val="21"/>
                      <w:szCs w:val="21"/>
                    </w:rPr>
                    <w:t>为日最大8小时值第90百分位数</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引用资料的可行性分析</w:t>
            </w:r>
            <w:r>
              <w:rPr>
                <w:rFonts w:hint="eastAsia"/>
                <w:color w:val="auto"/>
                <w:lang w:eastAsia="zh-CN"/>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rPr>
            </w:pPr>
            <w:r>
              <w:rPr>
                <w:color w:val="auto"/>
              </w:rPr>
              <w:t>根据《建设项目环境影响报告表编制技术指南（污染影响类）（试行）》（环办环评〔2020〕33号）的要求：“大气环境区域环境质量现状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监测数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rPr>
            </w:pPr>
            <w:r>
              <w:rPr>
                <w:color w:val="auto"/>
              </w:rPr>
              <w:t>本评价常规污染物选取</w:t>
            </w:r>
            <w:r>
              <w:rPr>
                <w:rFonts w:hint="eastAsia"/>
                <w:color w:val="auto"/>
                <w:lang w:val="en-US" w:eastAsia="zh-CN"/>
              </w:rPr>
              <w:t>福州福清市</w:t>
            </w:r>
            <w:r>
              <w:rPr>
                <w:color w:val="auto"/>
              </w:rPr>
              <w:t>发布的环境空气质量现状信息。引用数据有效可行。</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lang w:val="en-US" w:eastAsia="zh-CN"/>
              </w:rPr>
            </w:pPr>
            <w:r>
              <w:rPr>
                <w:rFonts w:hint="eastAsia" w:ascii="Times New Roman" w:hAnsi="Times New Roman" w:eastAsia="宋体" w:cs="Times New Roman"/>
                <w:color w:val="auto"/>
                <w:kern w:val="0"/>
                <w:lang w:val="en-US" w:eastAsia="zh-CN"/>
              </w:rPr>
              <w:t>（3）特征污染物</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本项目排放的废气特征污染因子为氨、硫化氢、臭气浓度。根据《关于印发 〈建设项目环境影响报告表〉内容、格式及编制技术指南的通知和常见问题解答》(环办环评[2020]33号)的有关条款：“7、污染影响类技术指南中提到“排放国家、地方环境空气质量标准中有标准限值要求的特征污染物”，其中国家质量标准是否包含《环境影响评价技术导则 大气环境》（HJ2.2-2018）附录D等技术导则和参考资料？ 回复：技术指南中提到“排放国家、地方环境空气质量标准中有标准限值要求的特征污染物”，其中环境空气质量标准指《环境空气质量标准》（GB3095）和地方的环境空气质量标准，不包括《环境影响评价技术导则 大气环境》（HJ2.2-2018）附录D、《工业企业设计卫生标准》（TJ36-97）、《前苏联居住区标准》（CH245-71）、《环境影响评价技术导则 制药建设项目》（HJ611-2011）、《大气污染物综合排放标准详解》等导则或参考资料。排放的特征污染物需要在国家、地方环境空气质量标准中有限值要求才涉及现状监测，且优先引用现有监测数据。”《环境空气质量标准》（GB3095）中无氨、硫化氢、臭气浓度的质量标准，因此本评价主要着重对氨、硫化氢、臭气浓度的排放标准进行控制，不进行现状质量调查。</w:t>
            </w:r>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z w:val="28"/>
                <w:szCs w:val="28"/>
                <w:lang w:val="en-US" w:eastAsia="zh-CN"/>
              </w:rPr>
            </w:pPr>
            <w:bookmarkStart w:id="31" w:name="_Toc9525"/>
            <w:bookmarkStart w:id="32" w:name="_Toc22792"/>
            <w:r>
              <w:rPr>
                <w:rFonts w:hint="eastAsia" w:ascii="Times New Roman" w:hAnsi="Times New Roman" w:eastAsia="宋体" w:cs="Times New Roman"/>
                <w:b/>
                <w:bCs/>
                <w:color w:val="auto"/>
                <w:sz w:val="28"/>
                <w:szCs w:val="28"/>
                <w:lang w:val="en-US" w:eastAsia="zh-CN"/>
              </w:rPr>
              <w:t>3.3声环境</w:t>
            </w:r>
            <w:bookmarkEnd w:id="31"/>
            <w:bookmarkEnd w:id="32"/>
          </w:p>
          <w:p>
            <w:pPr>
              <w:pStyle w:val="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3.3.1声环境功能区</w:t>
            </w:r>
          </w:p>
          <w:p>
            <w:pPr>
              <w:widowControl/>
              <w:spacing w:line="360" w:lineRule="auto"/>
              <w:ind w:firstLine="480" w:firstLineChars="200"/>
              <w:jc w:val="left"/>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本项目位于</w:t>
            </w:r>
            <w:r>
              <w:rPr>
                <w:rFonts w:hint="default" w:ascii="Times New Roman" w:hAnsi="Times New Roman" w:eastAsia="宋体" w:cs="Times New Roman"/>
                <w:color w:val="auto"/>
                <w:lang w:val="en-US" w:eastAsia="zh-CN"/>
              </w:rPr>
              <w:t>福建省福州市福清市龙江街道龙江路667号</w:t>
            </w:r>
            <w:r>
              <w:rPr>
                <w:rFonts w:hint="eastAsia" w:ascii="Times New Roman" w:hAnsi="Times New Roman" w:eastAsia="宋体" w:cs="Times New Roman"/>
                <w:color w:val="auto"/>
                <w:lang w:val="en-US" w:eastAsia="zh-CN"/>
              </w:rPr>
              <w:t>，根据《福州福清市声环境功能区划》（</w:t>
            </w:r>
            <w:r>
              <w:rPr>
                <w:rFonts w:hint="default" w:ascii="Times New Roman" w:hAnsi="Times New Roman" w:eastAsia="宋体" w:cs="Times New Roman"/>
                <w:color w:val="auto"/>
                <w:lang w:val="en-US" w:eastAsia="zh-CN"/>
              </w:rPr>
              <w:t>2022</w:t>
            </w:r>
            <w:r>
              <w:rPr>
                <w:rFonts w:hint="eastAsia" w:ascii="Times New Roman" w:hAnsi="Times New Roman" w:eastAsia="宋体" w:cs="Times New Roman"/>
                <w:color w:val="auto"/>
                <w:lang w:val="en-US" w:eastAsia="zh-CN"/>
              </w:rPr>
              <w:t>年），项目所在区域属于</w:t>
            </w:r>
            <w:r>
              <w:rPr>
                <w:rFonts w:hint="default" w:ascii="Times New Roman" w:hAnsi="Times New Roman" w:eastAsia="宋体" w:cs="Times New Roman"/>
                <w:color w:val="auto"/>
                <w:lang w:val="en-US" w:eastAsia="zh-CN"/>
              </w:rPr>
              <w:t>2</w:t>
            </w:r>
            <w:r>
              <w:rPr>
                <w:rFonts w:hint="eastAsia" w:ascii="Times New Roman" w:hAnsi="Times New Roman" w:eastAsia="宋体" w:cs="Times New Roman"/>
                <w:color w:val="auto"/>
                <w:lang w:val="en-US" w:eastAsia="zh-CN"/>
              </w:rPr>
              <w:t>类声功能区，执行《声环境质量标准》（</w:t>
            </w:r>
            <w:r>
              <w:rPr>
                <w:rFonts w:hint="default" w:ascii="Times New Roman" w:hAnsi="Times New Roman" w:eastAsia="宋体" w:cs="Times New Roman"/>
                <w:color w:val="auto"/>
                <w:lang w:val="en-US" w:eastAsia="zh-CN"/>
              </w:rPr>
              <w:t>GB3096-2008</w:t>
            </w:r>
            <w:r>
              <w:rPr>
                <w:rFonts w:hint="eastAsia" w:ascii="Times New Roman" w:hAnsi="Times New Roman" w:eastAsia="宋体" w:cs="Times New Roman"/>
                <w:color w:val="auto"/>
                <w:lang w:val="en-US" w:eastAsia="zh-CN"/>
              </w:rPr>
              <w:t>）中的</w:t>
            </w:r>
            <w:r>
              <w:rPr>
                <w:rFonts w:hint="default" w:ascii="Times New Roman" w:hAnsi="Times New Roman" w:eastAsia="宋体" w:cs="Times New Roman"/>
                <w:color w:val="auto"/>
                <w:lang w:val="en-US" w:eastAsia="zh-CN"/>
              </w:rPr>
              <w:t>2</w:t>
            </w:r>
            <w:r>
              <w:rPr>
                <w:rFonts w:hint="eastAsia" w:ascii="Times New Roman" w:hAnsi="Times New Roman" w:eastAsia="宋体" w:cs="Times New Roman"/>
                <w:color w:val="auto"/>
                <w:lang w:val="en-US" w:eastAsia="zh-CN"/>
              </w:rPr>
              <w:t>类标准，执行详见表3.3-1。</w:t>
            </w:r>
          </w:p>
          <w:p>
            <w:pPr>
              <w:ind w:firstLine="482"/>
              <w:jc w:val="center"/>
              <w:rPr>
                <w:rFonts w:hint="eastAsia"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表3.3-1  声环境质量标准   单位：dB(A)</w:t>
            </w:r>
          </w:p>
          <w:tbl>
            <w:tblPr>
              <w:tblStyle w:val="26"/>
              <w:tblW w:w="4998" w:type="pct"/>
              <w:jc w:val="center"/>
              <w:tblBorders>
                <w:top w:val="single" w:color="000000" w:sz="18" w:space="0"/>
                <w:left w:val="none" w:color="auto" w:sz="0" w:space="0"/>
                <w:bottom w:val="single" w:color="000000" w:sz="18"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2475"/>
              <w:gridCol w:w="2572"/>
              <w:gridCol w:w="2572"/>
            </w:tblGrid>
            <w:tr>
              <w:tblPrEx>
                <w:tblBorders>
                  <w:top w:val="single" w:color="000000" w:sz="18" w:space="0"/>
                  <w:left w:val="none" w:color="auto" w:sz="0" w:space="0"/>
                  <w:bottom w:val="single" w:color="000000" w:sz="1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624" w:type="pct"/>
                  <w:tcBorders>
                    <w:top w:val="single" w:color="000000" w:sz="12" w:space="0"/>
                  </w:tcBorders>
                  <w:noWrap w:val="0"/>
                  <w:vAlign w:val="center"/>
                </w:tcPr>
                <w:p>
                  <w:pPr>
                    <w:pStyle w:val="54"/>
                    <w:widowControl w:val="0"/>
                    <w:spacing w:before="24" w:beforeLines="10" w:after="24" w:afterLines="10" w:line="240" w:lineRule="auto"/>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声环境功能区类别</w:t>
                  </w:r>
                </w:p>
              </w:tc>
              <w:tc>
                <w:tcPr>
                  <w:tcW w:w="1687" w:type="pct"/>
                  <w:tcBorders>
                    <w:top w:val="single" w:color="000000" w:sz="12" w:space="0"/>
                  </w:tcBorders>
                  <w:noWrap w:val="0"/>
                  <w:vAlign w:val="center"/>
                </w:tcPr>
                <w:p>
                  <w:pPr>
                    <w:pStyle w:val="54"/>
                    <w:widowControl w:val="0"/>
                    <w:spacing w:before="24" w:beforeLines="10" w:after="24" w:afterLines="10" w:line="240" w:lineRule="auto"/>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昼间</w:t>
                  </w:r>
                </w:p>
              </w:tc>
              <w:tc>
                <w:tcPr>
                  <w:tcW w:w="1687" w:type="pct"/>
                  <w:tcBorders>
                    <w:top w:val="single" w:color="000000" w:sz="12" w:space="0"/>
                  </w:tcBorders>
                  <w:noWrap w:val="0"/>
                  <w:vAlign w:val="center"/>
                </w:tcPr>
                <w:p>
                  <w:pPr>
                    <w:pStyle w:val="54"/>
                    <w:widowControl w:val="0"/>
                    <w:spacing w:before="24" w:beforeLines="10" w:after="24" w:afterLines="10" w:line="240" w:lineRule="auto"/>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夜间</w:t>
                  </w:r>
                </w:p>
              </w:tc>
            </w:tr>
            <w:tr>
              <w:tblPrEx>
                <w:tblBorders>
                  <w:top w:val="single" w:color="000000" w:sz="18" w:space="0"/>
                  <w:left w:val="none" w:color="auto" w:sz="0" w:space="0"/>
                  <w:bottom w:val="single" w:color="000000" w:sz="1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624" w:type="pct"/>
                  <w:tcBorders>
                    <w:bottom w:val="single" w:color="000000" w:sz="12" w:space="0"/>
                  </w:tcBorders>
                  <w:noWrap w:val="0"/>
                  <w:vAlign w:val="center"/>
                </w:tcPr>
                <w:p>
                  <w:pPr>
                    <w:pStyle w:val="54"/>
                    <w:widowControl w:val="0"/>
                    <w:spacing w:before="24" w:beforeLines="10" w:after="24" w:afterLines="10" w:line="240" w:lineRule="auto"/>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2</w:t>
                  </w:r>
                  <w:r>
                    <w:rPr>
                      <w:rFonts w:ascii="Times New Roman" w:hAnsi="Times New Roman" w:eastAsia="宋体" w:cs="Times New Roman"/>
                      <w:b w:val="0"/>
                      <w:bCs w:val="0"/>
                      <w:color w:val="auto"/>
                      <w:sz w:val="21"/>
                      <w:szCs w:val="21"/>
                    </w:rPr>
                    <w:t>类</w:t>
                  </w:r>
                </w:p>
              </w:tc>
              <w:tc>
                <w:tcPr>
                  <w:tcW w:w="1687" w:type="pct"/>
                  <w:tcBorders>
                    <w:bottom w:val="single" w:color="000000" w:sz="12" w:space="0"/>
                  </w:tcBorders>
                  <w:noWrap w:val="0"/>
                  <w:vAlign w:val="center"/>
                </w:tcPr>
                <w:p>
                  <w:pPr>
                    <w:pStyle w:val="54"/>
                    <w:widowControl w:val="0"/>
                    <w:spacing w:before="24" w:beforeLines="10" w:after="24" w:afterLines="10" w:line="240" w:lineRule="auto"/>
                    <w:jc w:val="center"/>
                    <w:rPr>
                      <w:rFonts w:hint="eastAsia" w:ascii="Times New Roman" w:hAnsi="Times New Roman" w:eastAsia="宋体" w:cs="Times New Roman"/>
                      <w:b w:val="0"/>
                      <w:bCs w:val="0"/>
                      <w:color w:val="auto"/>
                      <w:sz w:val="21"/>
                      <w:szCs w:val="21"/>
                      <w:lang w:eastAsia="zh-CN"/>
                    </w:rPr>
                  </w:pPr>
                  <w:r>
                    <w:rPr>
                      <w:rFonts w:ascii="Times New Roman" w:hAnsi="Times New Roman" w:eastAsia="宋体" w:cs="Times New Roman"/>
                      <w:b w:val="0"/>
                      <w:bCs w:val="0"/>
                      <w:color w:val="auto"/>
                      <w:sz w:val="21"/>
                      <w:szCs w:val="21"/>
                    </w:rPr>
                    <w:t>6</w:t>
                  </w:r>
                  <w:r>
                    <w:rPr>
                      <w:rFonts w:hint="eastAsia" w:ascii="Times New Roman" w:hAnsi="Times New Roman" w:eastAsia="宋体" w:cs="Times New Roman"/>
                      <w:b w:val="0"/>
                      <w:bCs w:val="0"/>
                      <w:color w:val="auto"/>
                      <w:sz w:val="21"/>
                      <w:szCs w:val="21"/>
                      <w:lang w:val="en-US" w:eastAsia="zh-CN"/>
                    </w:rPr>
                    <w:t>0</w:t>
                  </w:r>
                </w:p>
              </w:tc>
              <w:tc>
                <w:tcPr>
                  <w:tcW w:w="1687" w:type="pct"/>
                  <w:tcBorders>
                    <w:bottom w:val="single" w:color="000000" w:sz="12" w:space="0"/>
                  </w:tcBorders>
                  <w:noWrap w:val="0"/>
                  <w:vAlign w:val="center"/>
                </w:tcPr>
                <w:p>
                  <w:pPr>
                    <w:pStyle w:val="54"/>
                    <w:widowControl w:val="0"/>
                    <w:spacing w:before="24" w:beforeLines="10" w:after="24" w:afterLines="10" w:line="240" w:lineRule="auto"/>
                    <w:jc w:val="center"/>
                    <w:rPr>
                      <w:rFonts w:hint="eastAsia" w:ascii="Times New Roman" w:hAnsi="Times New Roman" w:eastAsia="宋体" w:cs="Times New Roman"/>
                      <w:b w:val="0"/>
                      <w:bCs w:val="0"/>
                      <w:color w:val="auto"/>
                      <w:sz w:val="21"/>
                      <w:szCs w:val="21"/>
                      <w:lang w:eastAsia="zh-CN"/>
                    </w:rPr>
                  </w:pPr>
                  <w:r>
                    <w:rPr>
                      <w:rFonts w:ascii="Times New Roman" w:hAnsi="Times New Roman" w:eastAsia="宋体" w:cs="Times New Roman"/>
                      <w:b w:val="0"/>
                      <w:bCs w:val="0"/>
                      <w:color w:val="auto"/>
                      <w:sz w:val="21"/>
                      <w:szCs w:val="21"/>
                    </w:rPr>
                    <w:t>5</w:t>
                  </w:r>
                  <w:r>
                    <w:rPr>
                      <w:rFonts w:hint="eastAsia" w:ascii="Times New Roman" w:hAnsi="Times New Roman" w:eastAsia="宋体" w:cs="Times New Roman"/>
                      <w:b w:val="0"/>
                      <w:bCs w:val="0"/>
                      <w:color w:val="auto"/>
                      <w:sz w:val="21"/>
                      <w:szCs w:val="21"/>
                      <w:lang w:val="en-US" w:eastAsia="zh-CN"/>
                    </w:rPr>
                    <w:t>0</w:t>
                  </w:r>
                </w:p>
              </w:tc>
            </w:tr>
          </w:tbl>
          <w:p>
            <w:pPr>
              <w:pStyle w:val="4"/>
              <w:bidi w:val="0"/>
              <w:rPr>
                <w:rFonts w:hint="default"/>
                <w:color w:val="auto"/>
              </w:rPr>
            </w:pPr>
            <w:r>
              <w:rPr>
                <w:rFonts w:hint="eastAsia"/>
                <w:color w:val="auto"/>
                <w:lang w:val="en-US" w:eastAsia="zh-CN"/>
              </w:rPr>
              <w:t>3.3.2声环境质量现状</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lang w:val="zh-CN" w:eastAsia="zh-CN"/>
              </w:rPr>
              <w:t>根据《建设项目环境影响报告表编制技术指南</w:t>
            </w:r>
            <w:r>
              <w:rPr>
                <w:rFonts w:hint="eastAsia"/>
                <w:color w:val="auto"/>
                <w:lang w:val="en-US" w:eastAsia="zh-CN"/>
              </w:rPr>
              <w:t>(</w:t>
            </w:r>
            <w:r>
              <w:rPr>
                <w:rFonts w:hint="default"/>
                <w:color w:val="auto"/>
                <w:lang w:val="zh-CN" w:eastAsia="zh-CN"/>
              </w:rPr>
              <w:t>污染影响类</w:t>
            </w:r>
            <w:r>
              <w:rPr>
                <w:rFonts w:hint="eastAsia"/>
                <w:color w:val="auto"/>
                <w:lang w:val="en-US" w:eastAsia="zh-CN"/>
              </w:rPr>
              <w:t>)(</w:t>
            </w:r>
            <w:r>
              <w:rPr>
                <w:rFonts w:hint="default"/>
                <w:color w:val="auto"/>
                <w:lang w:val="zh-CN" w:eastAsia="zh-CN"/>
              </w:rPr>
              <w:t>试行</w:t>
            </w:r>
            <w:r>
              <w:rPr>
                <w:rFonts w:hint="eastAsia"/>
                <w:color w:val="auto"/>
                <w:lang w:val="en-US" w:eastAsia="zh-CN"/>
              </w:rPr>
              <w:t>)</w:t>
            </w:r>
            <w:r>
              <w:rPr>
                <w:rFonts w:hint="default"/>
                <w:color w:val="auto"/>
                <w:lang w:val="zh-CN" w:eastAsia="zh-CN"/>
              </w:rPr>
              <w:t>》</w:t>
            </w:r>
            <w:r>
              <w:rPr>
                <w:rFonts w:hint="eastAsia"/>
                <w:color w:val="auto"/>
                <w:lang w:val="en-US" w:eastAsia="zh-CN"/>
              </w:rPr>
              <w:t>(</w:t>
            </w:r>
            <w:r>
              <w:rPr>
                <w:rFonts w:hint="default"/>
                <w:color w:val="auto"/>
                <w:lang w:val="zh-CN" w:eastAsia="zh-CN"/>
              </w:rPr>
              <w:t>环办环评〔2020〕33号</w:t>
            </w:r>
            <w:r>
              <w:rPr>
                <w:rFonts w:hint="eastAsia"/>
                <w:color w:val="auto"/>
                <w:lang w:val="en-US" w:eastAsia="zh-CN"/>
              </w:rPr>
              <w:t>)</w:t>
            </w:r>
            <w:r>
              <w:rPr>
                <w:rFonts w:hint="default"/>
                <w:color w:val="auto"/>
                <w:lang w:val="zh-CN" w:eastAsia="zh-CN"/>
              </w:rPr>
              <w:t>的要求</w:t>
            </w:r>
            <w:r>
              <w:rPr>
                <w:rFonts w:hint="eastAsia"/>
                <w:color w:val="auto"/>
                <w:lang w:val="zh-CN" w:eastAsia="zh-CN"/>
              </w:rPr>
              <w:t>：厂界外周边50米范围内存在声环境保护目标的建设项目，应监测保护目标声环境质量现状并评价达标情况。</w:t>
            </w:r>
            <w:r>
              <w:rPr>
                <w:rFonts w:hint="eastAsia"/>
                <w:color w:val="auto"/>
                <w:lang w:val="en-US" w:eastAsia="zh-CN"/>
              </w:rPr>
              <w:t>根据环境影响评价网(</w:t>
            </w:r>
            <w:r>
              <w:rPr>
                <w:rFonts w:hint="default"/>
                <w:color w:val="auto"/>
                <w:lang w:val="zh-CN" w:eastAsia="zh-CN"/>
              </w:rPr>
              <w:t>生态环境部环境工程评估中心</w:t>
            </w:r>
            <w:r>
              <w:rPr>
                <w:rFonts w:hint="eastAsia"/>
                <w:color w:val="auto"/>
                <w:lang w:val="en-US" w:eastAsia="zh-CN"/>
              </w:rPr>
              <w:t>)关于</w:t>
            </w:r>
            <w:r>
              <w:rPr>
                <w:rFonts w:hint="eastAsia"/>
                <w:color w:val="auto"/>
                <w:lang w:val="zh-CN" w:eastAsia="zh-CN"/>
              </w:rPr>
              <w:t>《建设项目环境影响报告表》内容、格式及编制技术指南常见问题解答，厂界外周边</w:t>
            </w:r>
            <w:r>
              <w:rPr>
                <w:rFonts w:hint="eastAsia"/>
                <w:color w:val="auto"/>
                <w:lang w:val="en-US" w:eastAsia="zh-CN"/>
              </w:rPr>
              <w:t>50</w:t>
            </w:r>
            <w:r>
              <w:rPr>
                <w:rFonts w:hint="eastAsia"/>
                <w:color w:val="auto"/>
                <w:lang w:val="zh-CN" w:eastAsia="zh-CN"/>
              </w:rPr>
              <w:t>米范围内存在声环境保护目标的建设项目，应监测声环境质量现状，监测点位为声环境保护目标处。厂界外周边</w:t>
            </w:r>
            <w:r>
              <w:rPr>
                <w:rFonts w:hint="eastAsia"/>
                <w:color w:val="auto"/>
                <w:lang w:val="en-US" w:eastAsia="zh-CN"/>
              </w:rPr>
              <w:t>50</w:t>
            </w:r>
            <w:r>
              <w:rPr>
                <w:rFonts w:hint="eastAsia"/>
                <w:color w:val="auto"/>
                <w:lang w:val="zh-CN" w:eastAsia="zh-CN"/>
              </w:rPr>
              <w:t>米范围内无声环境保护目标的建设项目，不再要求提供声环境质量现状监测数据。</w:t>
            </w:r>
            <w:r>
              <w:rPr>
                <w:rFonts w:hint="eastAsia"/>
                <w:color w:val="auto"/>
                <w:lang w:val="en-US" w:eastAsia="zh-CN"/>
              </w:rPr>
              <w:t>根据现场调查，项目厂界外50m范围内无声环境保护目标，因此，本评价不进行</w:t>
            </w:r>
            <w:r>
              <w:rPr>
                <w:rFonts w:hint="eastAsia"/>
                <w:color w:val="auto"/>
                <w:lang w:val="zh-CN" w:eastAsia="zh-CN"/>
              </w:rPr>
              <w:t>声环境质量现状监测。</w:t>
            </w:r>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z w:val="28"/>
                <w:szCs w:val="28"/>
                <w:lang w:val="en-US" w:eastAsia="zh-CN"/>
              </w:rPr>
            </w:pPr>
            <w:bookmarkStart w:id="33" w:name="_Toc19528"/>
            <w:r>
              <w:rPr>
                <w:rFonts w:hint="eastAsia" w:ascii="Times New Roman" w:hAnsi="Times New Roman" w:eastAsia="宋体" w:cs="Times New Roman"/>
                <w:b/>
                <w:bCs/>
                <w:color w:val="auto"/>
                <w:sz w:val="28"/>
                <w:szCs w:val="28"/>
                <w:lang w:val="en-US" w:eastAsia="zh-CN"/>
              </w:rPr>
              <w:t>3.4地下水、土壤环境质量现状</w:t>
            </w:r>
            <w:bookmarkEnd w:id="33"/>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rPr>
            </w:pPr>
            <w:r>
              <w:rPr>
                <w:color w:val="auto"/>
              </w:rPr>
              <w:t>根据《建设项目环境影响报告表编制技术指南（污染影响类）（试行）》（环办环评〔2020〕33号）规定，“原则上不开展环境质量现状调查。建设项目存在土壤、地下水环境污染途径的，应结合污染源、保护目标分布情况开展现状调查以留作背景值。”</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eastAsia="宋体"/>
                <w:color w:val="auto"/>
                <w:lang w:val="en-US" w:eastAsia="zh-CN"/>
              </w:rPr>
            </w:pPr>
            <w:r>
              <w:rPr>
                <w:rFonts w:hint="default"/>
                <w:color w:val="auto"/>
              </w:rPr>
              <w:t>根据现场勘查，周边地下水、土壤环境相对不敏感。项目为医疗卫生行业，新建的污水处理设施、危废暂存间将均采取相应的防渗漏措施，项目对地下水、土壤环境影响很小，基本不存在土壤、地下水环境污染途径，因此，本评价不对项目地下水、土壤环境质量进行补充监测</w:t>
            </w:r>
            <w:r>
              <w:rPr>
                <w:rFonts w:hint="eastAsia"/>
                <w:color w:val="auto"/>
                <w:lang w:eastAsia="zh-CN"/>
              </w:rPr>
              <w:t>。</w:t>
            </w:r>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z w:val="28"/>
                <w:szCs w:val="28"/>
                <w:lang w:val="en-US" w:eastAsia="zh-CN"/>
              </w:rPr>
            </w:pPr>
            <w:bookmarkStart w:id="34" w:name="_Toc31118"/>
            <w:r>
              <w:rPr>
                <w:rFonts w:hint="eastAsia" w:ascii="Times New Roman" w:hAnsi="Times New Roman" w:eastAsia="宋体" w:cs="Times New Roman"/>
                <w:b/>
                <w:bCs/>
                <w:color w:val="auto"/>
                <w:sz w:val="28"/>
                <w:szCs w:val="28"/>
                <w:lang w:val="en-US" w:eastAsia="zh-CN"/>
              </w:rPr>
              <w:t>3.5生态环境质量现状</w:t>
            </w:r>
            <w:bookmarkEnd w:id="34"/>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ascii="Times New Roman" w:hAnsi="Times New Roman" w:cs="Times New Roman"/>
                <w:color w:val="auto"/>
                <w:kern w:val="0"/>
                <w:szCs w:val="21"/>
                <w:highlight w:val="none"/>
              </w:rPr>
            </w:pPr>
            <w:r>
              <w:rPr>
                <w:rFonts w:hint="eastAsia"/>
                <w:color w:val="auto"/>
                <w:lang w:val="en-US" w:eastAsia="zh-CN"/>
              </w:rPr>
              <w:t>本项目位于</w:t>
            </w:r>
            <w:r>
              <w:rPr>
                <w:rFonts w:hint="default"/>
                <w:color w:val="auto"/>
                <w:lang w:val="en-US" w:eastAsia="zh-CN"/>
              </w:rPr>
              <w:t>福建省福州市福清市龙江街道龙江路667号</w:t>
            </w:r>
            <w:r>
              <w:rPr>
                <w:rFonts w:hint="eastAsia"/>
                <w:color w:val="auto"/>
                <w:lang w:val="en-US" w:eastAsia="zh-CN"/>
              </w:rPr>
              <w:t>。根据调查，项目场区周边生态现状主要为绿化植被。项目评价区域主要植被为草坪、绿化树等景观树种，主要动物为常见的鸟类和昆虫类等，评价区域内无珍稀濒危物种、自然保护区、风景名胜区等生态敏感目标，调查区域也未发现国家重点保护的野生动植物等，因此，本环评不对生态环境现状进行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57" w:type="dxa"/>
            <w:noWrap w:val="0"/>
            <w:vAlign w:val="center"/>
          </w:tcPr>
          <w:p>
            <w:pPr>
              <w:pStyle w:val="49"/>
              <w:rPr>
                <w:color w:val="auto"/>
              </w:rPr>
            </w:pPr>
            <w:r>
              <w:rPr>
                <w:rFonts w:hint="eastAsia"/>
                <w:color w:val="auto"/>
              </w:rPr>
              <w:t>环境</w:t>
            </w:r>
          </w:p>
          <w:p>
            <w:pPr>
              <w:pStyle w:val="49"/>
              <w:rPr>
                <w:color w:val="auto"/>
              </w:rPr>
            </w:pPr>
            <w:r>
              <w:rPr>
                <w:rFonts w:hint="eastAsia"/>
                <w:color w:val="auto"/>
              </w:rPr>
              <w:t>保护</w:t>
            </w:r>
          </w:p>
          <w:p>
            <w:pPr>
              <w:pStyle w:val="49"/>
              <w:ind w:firstLine="0" w:firstLineChars="0"/>
              <w:rPr>
                <w:rFonts w:ascii="Times New Roman" w:hAnsi="Times New Roman" w:cs="Times New Roman"/>
                <w:color w:val="auto"/>
                <w:kern w:val="0"/>
                <w:sz w:val="24"/>
                <w:szCs w:val="24"/>
                <w:highlight w:val="none"/>
              </w:rPr>
            </w:pPr>
            <w:r>
              <w:rPr>
                <w:rFonts w:hint="eastAsia"/>
                <w:color w:val="auto"/>
              </w:rPr>
              <w:t>目标</w:t>
            </w:r>
          </w:p>
        </w:tc>
        <w:tc>
          <w:tcPr>
            <w:tcW w:w="7765" w:type="dxa"/>
            <w:noWrap w:val="0"/>
            <w:vAlign w:val="center"/>
          </w:tcPr>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z w:val="28"/>
                <w:szCs w:val="28"/>
                <w:lang w:val="en-US" w:eastAsia="zh-CN"/>
              </w:rPr>
            </w:pPr>
            <w:bookmarkStart w:id="35" w:name="_Toc26670"/>
            <w:r>
              <w:rPr>
                <w:rFonts w:hint="eastAsia" w:ascii="Times New Roman" w:hAnsi="Times New Roman" w:eastAsia="宋体" w:cs="Times New Roman"/>
                <w:b/>
                <w:bCs/>
                <w:color w:val="auto"/>
                <w:sz w:val="28"/>
                <w:szCs w:val="28"/>
                <w:lang w:val="en-US" w:eastAsia="zh-CN"/>
              </w:rPr>
              <w:t>3.6环境保护目标</w:t>
            </w:r>
            <w:bookmarkEnd w:id="35"/>
          </w:p>
          <w:p>
            <w:pPr>
              <w:ind w:firstLine="480"/>
              <w:rPr>
                <w:color w:val="auto"/>
              </w:rPr>
            </w:pPr>
            <w:r>
              <w:rPr>
                <w:rFonts w:hint="eastAsia"/>
                <w:color w:val="auto"/>
              </w:rPr>
              <w:t>根据现场踏勘，本项目</w:t>
            </w:r>
            <w:r>
              <w:rPr>
                <w:color w:val="auto"/>
              </w:rPr>
              <w:t>的</w:t>
            </w:r>
            <w:r>
              <w:rPr>
                <w:rFonts w:hint="eastAsia"/>
                <w:color w:val="auto"/>
              </w:rPr>
              <w:t>周边</w:t>
            </w:r>
            <w:r>
              <w:rPr>
                <w:color w:val="auto"/>
              </w:rPr>
              <w:t>环境</w:t>
            </w:r>
            <w:r>
              <w:rPr>
                <w:rFonts w:hint="eastAsia"/>
                <w:color w:val="auto"/>
              </w:rPr>
              <w:t>保护</w:t>
            </w:r>
            <w:r>
              <w:rPr>
                <w:color w:val="auto"/>
              </w:rPr>
              <w:t>目标详见表</w:t>
            </w:r>
            <w:r>
              <w:rPr>
                <w:rFonts w:hint="eastAsia"/>
                <w:color w:val="auto"/>
              </w:rPr>
              <w:t>3.</w:t>
            </w:r>
            <w:r>
              <w:rPr>
                <w:rFonts w:hint="eastAsia"/>
                <w:color w:val="auto"/>
                <w:lang w:val="en-US" w:eastAsia="zh-CN"/>
              </w:rPr>
              <w:t>6</w:t>
            </w:r>
            <w:r>
              <w:rPr>
                <w:rFonts w:hint="eastAsia"/>
                <w:color w:val="auto"/>
              </w:rPr>
              <w:t>-1。项目周边环境保护目标分布图见附图</w:t>
            </w:r>
            <w:r>
              <w:rPr>
                <w:rFonts w:hint="eastAsia"/>
                <w:color w:val="auto"/>
                <w:lang w:val="en-US" w:eastAsia="zh-CN"/>
              </w:rPr>
              <w:t>4</w:t>
            </w:r>
            <w:r>
              <w:rPr>
                <w:rFonts w:hint="eastAsia"/>
                <w:color w:val="auto"/>
              </w:rPr>
              <w:t>。</w:t>
            </w:r>
          </w:p>
          <w:p>
            <w:pPr>
              <w:pStyle w:val="31"/>
              <w:rPr>
                <w:color w:val="auto"/>
              </w:rPr>
            </w:pPr>
            <w:r>
              <w:rPr>
                <w:color w:val="auto"/>
              </w:rPr>
              <w:t>表3</w:t>
            </w:r>
            <w:r>
              <w:rPr>
                <w:rFonts w:hint="eastAsia"/>
                <w:color w:val="auto"/>
              </w:rPr>
              <w:t>.</w:t>
            </w:r>
            <w:r>
              <w:rPr>
                <w:rFonts w:hint="eastAsia"/>
                <w:color w:val="auto"/>
                <w:lang w:val="en-US" w:eastAsia="zh-CN"/>
              </w:rPr>
              <w:t>6</w:t>
            </w:r>
            <w:r>
              <w:rPr>
                <w:color w:val="auto"/>
              </w:rPr>
              <w:t>-1</w:t>
            </w:r>
            <w:r>
              <w:rPr>
                <w:rFonts w:hint="eastAsia"/>
                <w:color w:val="auto"/>
              </w:rPr>
              <w:t xml:space="preserve">  </w:t>
            </w:r>
            <w:r>
              <w:rPr>
                <w:color w:val="auto"/>
              </w:rPr>
              <w:t>项目</w:t>
            </w:r>
            <w:r>
              <w:rPr>
                <w:rFonts w:hint="eastAsia"/>
                <w:color w:val="auto"/>
              </w:rPr>
              <w:t>周边</w:t>
            </w:r>
            <w:r>
              <w:rPr>
                <w:color w:val="auto"/>
              </w:rPr>
              <w:t>环境</w:t>
            </w:r>
            <w:r>
              <w:rPr>
                <w:rFonts w:hint="eastAsia"/>
                <w:color w:val="auto"/>
              </w:rPr>
              <w:t>保护</w:t>
            </w:r>
            <w:r>
              <w:rPr>
                <w:color w:val="auto"/>
              </w:rPr>
              <w:t>目标</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0"/>
              <w:gridCol w:w="1222"/>
              <w:gridCol w:w="806"/>
              <w:gridCol w:w="1665"/>
              <w:gridCol w:w="1141"/>
              <w:gridCol w:w="17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环境要素</w:t>
                  </w:r>
                </w:p>
              </w:tc>
              <w:tc>
                <w:tcPr>
                  <w:tcW w:w="1222"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环境保护目标</w:t>
                  </w:r>
                </w:p>
              </w:tc>
              <w:tc>
                <w:tcPr>
                  <w:tcW w:w="806"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方位</w:t>
                  </w:r>
                </w:p>
              </w:tc>
              <w:tc>
                <w:tcPr>
                  <w:tcW w:w="1665"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与厂界距离（m）</w:t>
                  </w:r>
                </w:p>
              </w:tc>
              <w:tc>
                <w:tcPr>
                  <w:tcW w:w="1141"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rPr>
                    <w:t>特性</w:t>
                  </w:r>
                </w:p>
              </w:tc>
              <w:tc>
                <w:tcPr>
                  <w:tcW w:w="1768"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控制要求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vMerge w:val="restar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大气环境</w:t>
                  </w:r>
                </w:p>
              </w:tc>
              <w:tc>
                <w:tcPr>
                  <w:tcW w:w="1222"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安民</w:t>
                  </w:r>
                  <w:r>
                    <w:rPr>
                      <w:rFonts w:hint="default" w:ascii="Times New Roman" w:hAnsi="Times New Roman" w:cs="Times New Roman"/>
                      <w:b w:val="0"/>
                      <w:bCs w:val="0"/>
                      <w:color w:val="auto"/>
                      <w:sz w:val="21"/>
                      <w:szCs w:val="21"/>
                    </w:rPr>
                    <w:t>村</w:t>
                  </w:r>
                </w:p>
              </w:tc>
              <w:tc>
                <w:tcPr>
                  <w:tcW w:w="806" w:type="dxa"/>
                  <w:noWrap w:val="0"/>
                  <w:vAlign w:val="center"/>
                </w:tcPr>
                <w:p>
                  <w:pPr>
                    <w:pStyle w:val="32"/>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北</w:t>
                  </w:r>
                </w:p>
              </w:tc>
              <w:tc>
                <w:tcPr>
                  <w:tcW w:w="1665" w:type="dxa"/>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165</w:t>
                  </w:r>
                </w:p>
              </w:tc>
              <w:tc>
                <w:tcPr>
                  <w:tcW w:w="1141"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rPr>
                    <w:t>行政村</w:t>
                  </w:r>
                </w:p>
              </w:tc>
              <w:tc>
                <w:tcPr>
                  <w:tcW w:w="1768" w:type="dxa"/>
                  <w:vMerge w:val="restar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GB3095-2012及其修改单 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vMerge w:val="continue"/>
                  <w:noWrap w:val="0"/>
                  <w:vAlign w:val="center"/>
                </w:tcPr>
                <w:p>
                  <w:pPr>
                    <w:pStyle w:val="32"/>
                    <w:rPr>
                      <w:rFonts w:hint="default" w:ascii="Times New Roman" w:hAnsi="Times New Roman" w:cs="Times New Roman"/>
                      <w:b w:val="0"/>
                      <w:bCs w:val="0"/>
                      <w:color w:val="auto"/>
                      <w:sz w:val="21"/>
                      <w:szCs w:val="21"/>
                    </w:rPr>
                  </w:pPr>
                </w:p>
              </w:tc>
              <w:tc>
                <w:tcPr>
                  <w:tcW w:w="1222" w:type="dxa"/>
                  <w:noWrap w:val="0"/>
                  <w:vAlign w:val="center"/>
                </w:tcPr>
                <w:p>
                  <w:pPr>
                    <w:pStyle w:val="32"/>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北京师范大学附属学校</w:t>
                  </w:r>
                </w:p>
              </w:tc>
              <w:tc>
                <w:tcPr>
                  <w:tcW w:w="806" w:type="dxa"/>
                  <w:noWrap w:val="0"/>
                  <w:vAlign w:val="center"/>
                </w:tcPr>
                <w:p>
                  <w:pPr>
                    <w:pStyle w:val="32"/>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西</w:t>
                  </w:r>
                </w:p>
              </w:tc>
              <w:tc>
                <w:tcPr>
                  <w:tcW w:w="1665" w:type="dxa"/>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835</w:t>
                  </w:r>
                </w:p>
              </w:tc>
              <w:tc>
                <w:tcPr>
                  <w:tcW w:w="1141"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学校</w:t>
                  </w:r>
                </w:p>
              </w:tc>
              <w:tc>
                <w:tcPr>
                  <w:tcW w:w="1768" w:type="dxa"/>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vMerge w:val="continue"/>
                  <w:noWrap w:val="0"/>
                  <w:vAlign w:val="center"/>
                </w:tcPr>
                <w:p>
                  <w:pPr>
                    <w:pStyle w:val="32"/>
                    <w:rPr>
                      <w:rFonts w:hint="default" w:ascii="Times New Roman" w:hAnsi="Times New Roman" w:cs="Times New Roman"/>
                      <w:b w:val="0"/>
                      <w:bCs w:val="0"/>
                      <w:color w:val="auto"/>
                      <w:sz w:val="21"/>
                      <w:szCs w:val="21"/>
                    </w:rPr>
                  </w:pPr>
                </w:p>
              </w:tc>
              <w:tc>
                <w:tcPr>
                  <w:tcW w:w="1222"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龙江松安小学</w:t>
                  </w:r>
                </w:p>
              </w:tc>
              <w:tc>
                <w:tcPr>
                  <w:tcW w:w="806"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西北</w:t>
                  </w:r>
                </w:p>
              </w:tc>
              <w:tc>
                <w:tcPr>
                  <w:tcW w:w="1665"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610</w:t>
                  </w:r>
                </w:p>
              </w:tc>
              <w:tc>
                <w:tcPr>
                  <w:tcW w:w="1141"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学校</w:t>
                  </w:r>
                </w:p>
              </w:tc>
              <w:tc>
                <w:tcPr>
                  <w:tcW w:w="1768" w:type="dxa"/>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vMerge w:val="continue"/>
                  <w:noWrap w:val="0"/>
                  <w:vAlign w:val="center"/>
                </w:tcPr>
                <w:p>
                  <w:pPr>
                    <w:pStyle w:val="32"/>
                    <w:rPr>
                      <w:rFonts w:hint="default" w:ascii="Times New Roman" w:hAnsi="Times New Roman" w:cs="Times New Roman"/>
                      <w:b w:val="0"/>
                      <w:bCs w:val="0"/>
                      <w:color w:val="auto"/>
                      <w:sz w:val="21"/>
                      <w:szCs w:val="21"/>
                    </w:rPr>
                  </w:pPr>
                </w:p>
              </w:tc>
              <w:tc>
                <w:tcPr>
                  <w:tcW w:w="1222" w:type="dxa"/>
                  <w:noWrap w:val="0"/>
                  <w:vAlign w:val="center"/>
                </w:tcPr>
                <w:p>
                  <w:pPr>
                    <w:pStyle w:val="32"/>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松峰村</w:t>
                  </w:r>
                </w:p>
              </w:tc>
              <w:tc>
                <w:tcPr>
                  <w:tcW w:w="806" w:type="dxa"/>
                  <w:noWrap w:val="0"/>
                  <w:vAlign w:val="center"/>
                </w:tcPr>
                <w:p>
                  <w:pPr>
                    <w:pStyle w:val="32"/>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西北</w:t>
                  </w:r>
                </w:p>
              </w:tc>
              <w:tc>
                <w:tcPr>
                  <w:tcW w:w="1665"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928</w:t>
                  </w:r>
                </w:p>
              </w:tc>
              <w:tc>
                <w:tcPr>
                  <w:tcW w:w="1141" w:type="dxa"/>
                  <w:noWrap w:val="0"/>
                  <w:vAlign w:val="center"/>
                </w:tcPr>
                <w:p>
                  <w:pPr>
                    <w:pStyle w:val="32"/>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rPr>
                    <w:t>行政村</w:t>
                  </w:r>
                </w:p>
              </w:tc>
              <w:tc>
                <w:tcPr>
                  <w:tcW w:w="1768" w:type="dxa"/>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20" w:type="dxa"/>
                  <w:vMerge w:val="continue"/>
                  <w:noWrap w:val="0"/>
                  <w:vAlign w:val="center"/>
                </w:tcPr>
                <w:p>
                  <w:pPr>
                    <w:pStyle w:val="32"/>
                    <w:rPr>
                      <w:rFonts w:hint="default" w:ascii="Times New Roman" w:hAnsi="Times New Roman" w:cs="Times New Roman"/>
                      <w:b w:val="0"/>
                      <w:bCs w:val="0"/>
                      <w:color w:val="auto"/>
                      <w:sz w:val="21"/>
                      <w:szCs w:val="21"/>
                    </w:rPr>
                  </w:pPr>
                </w:p>
              </w:tc>
              <w:tc>
                <w:tcPr>
                  <w:tcW w:w="1222"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李厝村</w:t>
                  </w:r>
                </w:p>
              </w:tc>
              <w:tc>
                <w:tcPr>
                  <w:tcW w:w="806"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东北</w:t>
                  </w:r>
                </w:p>
              </w:tc>
              <w:tc>
                <w:tcPr>
                  <w:tcW w:w="1665"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990</w:t>
                  </w:r>
                </w:p>
              </w:tc>
              <w:tc>
                <w:tcPr>
                  <w:tcW w:w="1141"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rPr>
                    <w:t>行政村</w:t>
                  </w:r>
                </w:p>
              </w:tc>
              <w:tc>
                <w:tcPr>
                  <w:tcW w:w="1768" w:type="dxa"/>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vMerge w:val="continue"/>
                  <w:noWrap w:val="0"/>
                  <w:vAlign w:val="center"/>
                </w:tcPr>
                <w:p>
                  <w:pPr>
                    <w:pStyle w:val="32"/>
                    <w:rPr>
                      <w:rFonts w:hint="default" w:ascii="Times New Roman" w:hAnsi="Times New Roman" w:cs="Times New Roman"/>
                      <w:b w:val="0"/>
                      <w:bCs w:val="0"/>
                      <w:color w:val="auto"/>
                      <w:sz w:val="21"/>
                      <w:szCs w:val="21"/>
                    </w:rPr>
                  </w:pPr>
                </w:p>
              </w:tc>
              <w:tc>
                <w:tcPr>
                  <w:tcW w:w="1222"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桂巷</w:t>
                  </w:r>
                </w:p>
              </w:tc>
              <w:tc>
                <w:tcPr>
                  <w:tcW w:w="806"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东南</w:t>
                  </w:r>
                </w:p>
              </w:tc>
              <w:tc>
                <w:tcPr>
                  <w:tcW w:w="1665"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995</w:t>
                  </w:r>
                </w:p>
              </w:tc>
              <w:tc>
                <w:tcPr>
                  <w:tcW w:w="1141"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eastAsia="zh-CN"/>
                    </w:rPr>
                    <w:t>自然村</w:t>
                  </w:r>
                </w:p>
              </w:tc>
              <w:tc>
                <w:tcPr>
                  <w:tcW w:w="1768" w:type="dxa"/>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vMerge w:val="continue"/>
                  <w:noWrap w:val="0"/>
                  <w:vAlign w:val="center"/>
                </w:tcPr>
                <w:p>
                  <w:pPr>
                    <w:pStyle w:val="32"/>
                    <w:rPr>
                      <w:rFonts w:hint="default" w:ascii="Times New Roman" w:hAnsi="Times New Roman" w:cs="Times New Roman"/>
                      <w:b w:val="0"/>
                      <w:bCs w:val="0"/>
                      <w:color w:val="auto"/>
                      <w:sz w:val="21"/>
                      <w:szCs w:val="21"/>
                    </w:rPr>
                  </w:pPr>
                </w:p>
              </w:tc>
              <w:tc>
                <w:tcPr>
                  <w:tcW w:w="1222"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东南村</w:t>
                  </w:r>
                </w:p>
              </w:tc>
              <w:tc>
                <w:tcPr>
                  <w:tcW w:w="806"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西南</w:t>
                  </w:r>
                </w:p>
              </w:tc>
              <w:tc>
                <w:tcPr>
                  <w:tcW w:w="1665"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1020</w:t>
                  </w:r>
                </w:p>
              </w:tc>
              <w:tc>
                <w:tcPr>
                  <w:tcW w:w="1141"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rPr>
                    <w:t>行政村</w:t>
                  </w:r>
                </w:p>
              </w:tc>
              <w:tc>
                <w:tcPr>
                  <w:tcW w:w="1768" w:type="dxa"/>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vMerge w:val="continue"/>
                  <w:noWrap w:val="0"/>
                  <w:vAlign w:val="center"/>
                </w:tcPr>
                <w:p>
                  <w:pPr>
                    <w:pStyle w:val="32"/>
                    <w:rPr>
                      <w:rFonts w:hint="default" w:ascii="Times New Roman" w:hAnsi="Times New Roman" w:cs="Times New Roman"/>
                      <w:b w:val="0"/>
                      <w:bCs w:val="0"/>
                      <w:color w:val="auto"/>
                      <w:sz w:val="21"/>
                      <w:szCs w:val="21"/>
                    </w:rPr>
                  </w:pPr>
                </w:p>
              </w:tc>
              <w:tc>
                <w:tcPr>
                  <w:tcW w:w="1222"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塘东</w:t>
                  </w:r>
                </w:p>
              </w:tc>
              <w:tc>
                <w:tcPr>
                  <w:tcW w:w="806" w:type="dxa"/>
                  <w:noWrap w:val="0"/>
                  <w:vAlign w:val="center"/>
                </w:tcPr>
                <w:p>
                  <w:pPr>
                    <w:pStyle w:val="32"/>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西南</w:t>
                  </w:r>
                </w:p>
              </w:tc>
              <w:tc>
                <w:tcPr>
                  <w:tcW w:w="1665" w:type="dxa"/>
                  <w:noWrap w:val="0"/>
                  <w:vAlign w:val="center"/>
                </w:tcPr>
                <w:p>
                  <w:pPr>
                    <w:pStyle w:val="32"/>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865</w:t>
                  </w:r>
                </w:p>
              </w:tc>
              <w:tc>
                <w:tcPr>
                  <w:tcW w:w="1141" w:type="dxa"/>
                  <w:noWrap w:val="0"/>
                  <w:vAlign w:val="center"/>
                </w:tcPr>
                <w:p>
                  <w:pPr>
                    <w:pStyle w:val="32"/>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szCs w:val="21"/>
                      <w:lang w:eastAsia="zh-CN"/>
                    </w:rPr>
                    <w:t>自然村</w:t>
                  </w:r>
                </w:p>
              </w:tc>
              <w:tc>
                <w:tcPr>
                  <w:tcW w:w="1768" w:type="dxa"/>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地下水环境</w:t>
                  </w:r>
                </w:p>
              </w:tc>
              <w:tc>
                <w:tcPr>
                  <w:tcW w:w="4834" w:type="dxa"/>
                  <w:gridSpan w:val="4"/>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厂界外500m范围内无地下水环境保护目标</w:t>
                  </w:r>
                </w:p>
              </w:tc>
              <w:tc>
                <w:tcPr>
                  <w:tcW w:w="1768"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生态环境</w:t>
                  </w:r>
                </w:p>
              </w:tc>
              <w:tc>
                <w:tcPr>
                  <w:tcW w:w="4834" w:type="dxa"/>
                  <w:gridSpan w:val="4"/>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本项目用地范围内无生态环境保护目标</w:t>
                  </w:r>
                </w:p>
              </w:tc>
              <w:tc>
                <w:tcPr>
                  <w:tcW w:w="1768" w:type="dxa"/>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w:t>
                  </w:r>
                </w:p>
              </w:tc>
            </w:tr>
          </w:tbl>
          <w:p>
            <w:pPr>
              <w:ind w:firstLine="0" w:firstLineChars="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57" w:type="dxa"/>
            <w:noWrap w:val="0"/>
            <w:vAlign w:val="center"/>
          </w:tcPr>
          <w:p>
            <w:pPr>
              <w:pStyle w:val="49"/>
              <w:rPr>
                <w:color w:val="auto"/>
              </w:rPr>
            </w:pPr>
            <w:r>
              <w:rPr>
                <w:rFonts w:hint="eastAsia"/>
                <w:color w:val="auto"/>
              </w:rPr>
              <w:t>污染</w:t>
            </w:r>
          </w:p>
          <w:p>
            <w:pPr>
              <w:pStyle w:val="49"/>
              <w:rPr>
                <w:color w:val="auto"/>
              </w:rPr>
            </w:pPr>
            <w:r>
              <w:rPr>
                <w:rFonts w:hint="eastAsia"/>
                <w:color w:val="auto"/>
              </w:rPr>
              <w:t>物排</w:t>
            </w:r>
          </w:p>
          <w:p>
            <w:pPr>
              <w:pStyle w:val="49"/>
              <w:rPr>
                <w:color w:val="auto"/>
              </w:rPr>
            </w:pPr>
            <w:r>
              <w:rPr>
                <w:rFonts w:hint="eastAsia"/>
                <w:color w:val="auto"/>
              </w:rPr>
              <w:t>放控</w:t>
            </w:r>
          </w:p>
          <w:p>
            <w:pPr>
              <w:pStyle w:val="49"/>
              <w:rPr>
                <w:color w:val="auto"/>
              </w:rPr>
            </w:pPr>
            <w:r>
              <w:rPr>
                <w:rFonts w:hint="eastAsia"/>
                <w:color w:val="auto"/>
              </w:rPr>
              <w:t>制标</w:t>
            </w:r>
          </w:p>
          <w:p>
            <w:pPr>
              <w:pStyle w:val="49"/>
              <w:ind w:firstLine="0" w:firstLineChars="0"/>
              <w:rPr>
                <w:rFonts w:hint="eastAsia"/>
                <w:color w:val="auto"/>
              </w:rPr>
            </w:pPr>
            <w:r>
              <w:rPr>
                <w:rFonts w:hint="eastAsia"/>
                <w:color w:val="auto"/>
              </w:rPr>
              <w:t>准</w:t>
            </w:r>
          </w:p>
        </w:tc>
        <w:tc>
          <w:tcPr>
            <w:tcW w:w="7765" w:type="dxa"/>
            <w:noWrap w:val="0"/>
            <w:vAlign w:val="center"/>
          </w:tcPr>
          <w:p>
            <w:pPr>
              <w:pStyle w:val="3"/>
              <w:numPr>
                <w:ilvl w:val="1"/>
                <w:numId w:val="0"/>
              </w:numPr>
              <w:bidi w:val="0"/>
              <w:ind w:leftChars="0"/>
              <w:rPr>
                <w:color w:val="auto"/>
              </w:rPr>
            </w:pPr>
            <w:bookmarkStart w:id="36" w:name="_Toc24355"/>
            <w:r>
              <w:rPr>
                <w:rFonts w:hint="eastAsia"/>
                <w:color w:val="auto"/>
              </w:rPr>
              <w:t>3.</w:t>
            </w:r>
            <w:r>
              <w:rPr>
                <w:rFonts w:hint="eastAsia"/>
                <w:color w:val="auto"/>
                <w:lang w:val="en-US" w:eastAsia="zh-CN"/>
              </w:rPr>
              <w:t>7</w:t>
            </w:r>
            <w:r>
              <w:rPr>
                <w:color w:val="auto"/>
              </w:rPr>
              <w:t>污染物排放标准</w:t>
            </w:r>
            <w:bookmarkEnd w:id="36"/>
          </w:p>
          <w:p>
            <w:pPr>
              <w:pStyle w:val="4"/>
              <w:bidi w:val="0"/>
              <w:rPr>
                <w:color w:val="auto"/>
              </w:rPr>
            </w:pPr>
            <w:r>
              <w:rPr>
                <w:rFonts w:hint="eastAsia"/>
                <w:color w:val="auto"/>
              </w:rPr>
              <w:t>3.</w:t>
            </w:r>
            <w:r>
              <w:rPr>
                <w:rFonts w:hint="eastAsia"/>
                <w:color w:val="auto"/>
                <w:lang w:val="en-US" w:eastAsia="zh-CN"/>
              </w:rPr>
              <w:t>7</w:t>
            </w:r>
            <w:r>
              <w:rPr>
                <w:color w:val="auto"/>
              </w:rPr>
              <w:t>.</w:t>
            </w:r>
            <w:r>
              <w:rPr>
                <w:rFonts w:hint="eastAsia"/>
                <w:color w:val="auto"/>
              </w:rPr>
              <w:t>1</w:t>
            </w:r>
            <w:r>
              <w:rPr>
                <w:rFonts w:hint="eastAsia"/>
                <w:color w:val="auto"/>
                <w:lang w:eastAsia="zh-CN"/>
              </w:rPr>
              <w:t>水</w:t>
            </w:r>
            <w:r>
              <w:rPr>
                <w:color w:val="auto"/>
              </w:rPr>
              <w:t>污染物排放标准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本项目共设</w:t>
            </w:r>
            <w:r>
              <w:rPr>
                <w:rFonts w:hint="eastAsia"/>
                <w:color w:val="auto"/>
                <w:lang w:val="en-US" w:eastAsia="zh-CN"/>
              </w:rPr>
              <w:t>一</w:t>
            </w:r>
            <w:r>
              <w:rPr>
                <w:rFonts w:hint="default"/>
                <w:color w:val="auto"/>
              </w:rPr>
              <w:t>个排放口。</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废水经厂区建设污水管网，汇合进入</w:t>
            </w:r>
            <w:r>
              <w:rPr>
                <w:rFonts w:hint="eastAsia"/>
                <w:color w:val="auto"/>
                <w:lang w:val="en-US" w:eastAsia="zh-CN"/>
              </w:rPr>
              <w:t>化粪池+</w:t>
            </w:r>
            <w:r>
              <w:rPr>
                <w:rFonts w:hint="default"/>
                <w:color w:val="auto"/>
              </w:rPr>
              <w:t>自建污水站（调节池+</w:t>
            </w:r>
            <w:r>
              <w:rPr>
                <w:rFonts w:hint="eastAsia"/>
                <w:color w:val="auto"/>
                <w:lang w:eastAsia="zh-CN"/>
              </w:rPr>
              <w:t>生化池</w:t>
            </w:r>
            <w:r>
              <w:rPr>
                <w:rFonts w:hint="default"/>
                <w:color w:val="auto"/>
              </w:rPr>
              <w:t>+沉淀</w:t>
            </w:r>
            <w:r>
              <w:rPr>
                <w:rFonts w:hint="eastAsia"/>
                <w:color w:val="auto"/>
                <w:lang w:eastAsia="zh-CN"/>
              </w:rPr>
              <w:t>池</w:t>
            </w:r>
            <w:r>
              <w:rPr>
                <w:rFonts w:hint="default"/>
                <w:color w:val="auto"/>
              </w:rPr>
              <w:t>+消毒</w:t>
            </w:r>
            <w:r>
              <w:rPr>
                <w:rFonts w:hint="eastAsia"/>
                <w:color w:val="auto"/>
                <w:lang w:eastAsia="zh-CN"/>
              </w:rPr>
              <w:t>池</w:t>
            </w:r>
            <w:r>
              <w:rPr>
                <w:rFonts w:hint="default"/>
                <w:color w:val="auto"/>
              </w:rPr>
              <w:t>）处理后由项目</w:t>
            </w:r>
            <w:r>
              <w:rPr>
                <w:rFonts w:hint="eastAsia"/>
                <w:color w:val="auto"/>
                <w:lang w:val="en-US" w:eastAsia="zh-CN"/>
              </w:rPr>
              <w:t>北</w:t>
            </w:r>
            <w:r>
              <w:rPr>
                <w:rFonts w:hint="default"/>
                <w:color w:val="auto"/>
              </w:rPr>
              <w:t>侧DW001接入市政污水管网进入</w:t>
            </w:r>
            <w:r>
              <w:rPr>
                <w:rFonts w:hint="eastAsia"/>
                <w:color w:val="auto"/>
                <w:lang w:eastAsia="zh-CN"/>
              </w:rPr>
              <w:t>福清市融元污水处理厂</w:t>
            </w:r>
            <w:r>
              <w:rPr>
                <w:rFonts w:hint="default"/>
                <w:color w:val="auto"/>
              </w:rPr>
              <w:t>。自建污水站处理后达到《医疗机构水污染物排放标准》（GB18466-2005）表2中的“预处理标准”后纳入市政污水管网，经</w:t>
            </w:r>
            <w:r>
              <w:rPr>
                <w:rFonts w:hint="eastAsia"/>
                <w:color w:val="auto"/>
                <w:lang w:eastAsia="zh-CN"/>
              </w:rPr>
              <w:t>福清市融元污水处理厂</w:t>
            </w:r>
            <w:r>
              <w:rPr>
                <w:rFonts w:hint="default"/>
                <w:color w:val="auto"/>
              </w:rPr>
              <w:t>处理达到《城镇污水处理厂污染物排放标准》（GB18918-2002）一级A标准后达标排放进入水体。</w:t>
            </w:r>
          </w:p>
          <w:p>
            <w:pPr>
              <w:bidi w:val="0"/>
              <w:jc w:val="center"/>
              <w:rPr>
                <w:rFonts w:hint="default"/>
                <w:b/>
                <w:bCs/>
                <w:color w:val="auto"/>
                <w:lang w:val="en-US" w:eastAsia="zh-CN"/>
              </w:rPr>
            </w:pPr>
            <w:r>
              <w:rPr>
                <w:rFonts w:hint="eastAsia"/>
                <w:b/>
                <w:bCs/>
                <w:color w:val="auto"/>
                <w:lang w:val="en-US" w:eastAsia="zh-CN"/>
              </w:rPr>
              <w:t>表3.7-1</w:t>
            </w:r>
            <w:r>
              <w:rPr>
                <w:rFonts w:hint="default"/>
                <w:b/>
                <w:bCs/>
                <w:color w:val="auto"/>
                <w:lang w:val="en-US" w:eastAsia="zh-CN"/>
              </w:rPr>
              <w:t>《医疗机构水污染物排放标准》（日均值）</w:t>
            </w:r>
          </w:p>
          <w:tbl>
            <w:tblPr>
              <w:tblStyle w:val="26"/>
              <w:tblW w:w="76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932"/>
              <w:gridCol w:w="1171"/>
              <w:gridCol w:w="1513"/>
              <w:gridCol w:w="22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pct"/>
                  <w:gridSpan w:val="2"/>
                  <w:tcBorders>
                    <w:top w:val="single" w:color="000000" w:sz="12"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p>
              </w:tc>
              <w:tc>
                <w:tcPr>
                  <w:tcW w:w="768" w:type="pct"/>
                  <w:tcBorders>
                    <w:top w:val="single" w:color="000000" w:sz="12"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992" w:type="pct"/>
                  <w:tcBorders>
                    <w:top w:val="single" w:color="000000" w:sz="12"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标准限值</w:t>
                  </w:r>
                </w:p>
              </w:tc>
              <w:tc>
                <w:tcPr>
                  <w:tcW w:w="1494" w:type="pct"/>
                  <w:tcBorders>
                    <w:top w:val="single" w:color="000000" w:sz="12"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粪大肠菌群数</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MPN/L</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5000</w:t>
                  </w:r>
                </w:p>
              </w:tc>
              <w:tc>
                <w:tcPr>
                  <w:tcW w:w="1494" w:type="pct"/>
                  <w:vMerge w:val="restart"/>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《医疗机构水污染物排放标准》（GB18466-2005）表 2 预处理标准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肠道致病菌</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不得检出</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肠道病毒</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eastAsia="zh-CN"/>
                    </w:rPr>
                    <w:t>不得检出</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Merge w:val="restart"/>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p>
              </w:tc>
              <w:tc>
                <w:tcPr>
                  <w:tcW w:w="1267"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77" w:type="pct"/>
                  <w:vMerge w:val="continue"/>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c>
                <w:tcPr>
                  <w:tcW w:w="1267"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最高允许排放负荷</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g/床位</w:t>
                  </w:r>
                  <w:r>
                    <w:rPr>
                      <w:rFonts w:hint="default" w:ascii="Times New Roman" w:hAnsi="Times New Roman" w:eastAsia="宋体" w:cs="Times New Roman"/>
                      <w:color w:val="auto"/>
                      <w:sz w:val="21"/>
                      <w:szCs w:val="21"/>
                    </w:rPr>
                    <w:sym w:font="Wingdings 2" w:char="F097"/>
                  </w:r>
                  <w:r>
                    <w:rPr>
                      <w:rFonts w:hint="default" w:ascii="Times New Roman" w:hAnsi="Times New Roman" w:eastAsia="宋体" w:cs="Times New Roman"/>
                      <w:color w:val="auto"/>
                      <w:sz w:val="21"/>
                      <w:szCs w:val="21"/>
                    </w:rPr>
                    <w:t>d</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77" w:type="pct"/>
                  <w:vMerge w:val="restart"/>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1267"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77" w:type="pct"/>
                  <w:vMerge w:val="continue"/>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c>
                <w:tcPr>
                  <w:tcW w:w="1267"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最高允许排放负荷</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g/床位</w:t>
                  </w:r>
                  <w:r>
                    <w:rPr>
                      <w:rFonts w:hint="default" w:ascii="Times New Roman" w:hAnsi="Times New Roman" w:eastAsia="宋体" w:cs="Times New Roman"/>
                      <w:color w:val="auto"/>
                      <w:sz w:val="21"/>
                      <w:szCs w:val="21"/>
                    </w:rPr>
                    <w:sym w:font="Wingdings 2" w:char="F097"/>
                  </w:r>
                  <w:r>
                    <w:rPr>
                      <w:rFonts w:hint="default" w:ascii="Times New Roman" w:hAnsi="Times New Roman" w:eastAsia="宋体" w:cs="Times New Roman"/>
                      <w:color w:val="auto"/>
                      <w:sz w:val="21"/>
                      <w:szCs w:val="21"/>
                    </w:rPr>
                    <w:t>d</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Merge w:val="restart"/>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w:t>
                  </w:r>
                </w:p>
              </w:tc>
              <w:tc>
                <w:tcPr>
                  <w:tcW w:w="1267"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77" w:type="pct"/>
                  <w:vMerge w:val="continue"/>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c>
                <w:tcPr>
                  <w:tcW w:w="1267"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最高允许排放负荷</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g/床位</w:t>
                  </w:r>
                  <w:r>
                    <w:rPr>
                      <w:rFonts w:hint="default" w:ascii="Times New Roman" w:hAnsi="Times New Roman" w:eastAsia="宋体" w:cs="Times New Roman"/>
                      <w:color w:val="auto"/>
                      <w:sz w:val="21"/>
                      <w:szCs w:val="21"/>
                    </w:rPr>
                    <w:sym w:font="Wingdings 2" w:char="F097"/>
                  </w:r>
                  <w:r>
                    <w:rPr>
                      <w:rFonts w:hint="default" w:ascii="Times New Roman" w:hAnsi="Times New Roman" w:eastAsia="宋体" w:cs="Times New Roman"/>
                      <w:color w:val="auto"/>
                      <w:sz w:val="21"/>
                      <w:szCs w:val="21"/>
                    </w:rPr>
                    <w:t>d</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无量纲</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动植物油</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色度</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稀释倍数</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阴离子表面活性剂</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挥发酚</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pct"/>
                  <w:gridSpan w:val="2"/>
                  <w:tcBorders>
                    <w:top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总余氯</w:t>
                  </w:r>
                </w:p>
              </w:tc>
              <w:tc>
                <w:tcPr>
                  <w:tcW w:w="768"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992" w:type="pct"/>
                  <w:tcBorders>
                    <w:top w:val="single" w:color="000000" w:sz="4" w:space="0"/>
                    <w:left w:val="single" w:color="000000" w:sz="4" w:space="0"/>
                    <w:bottom w:val="single" w:color="000000" w:sz="4"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消毒接触池接触时间≥1h，接触池出口余氯2-8mg/L</w:t>
                  </w:r>
                </w:p>
              </w:tc>
              <w:tc>
                <w:tcPr>
                  <w:tcW w:w="1494" w:type="pct"/>
                  <w:vMerge w:val="continue"/>
                  <w:tcBorders>
                    <w:top w:val="single" w:color="000000" w:sz="4" w:space="0"/>
                    <w:left w:val="single" w:color="000000" w:sz="4" w:space="0"/>
                    <w:bottom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pct"/>
                  <w:gridSpan w:val="2"/>
                  <w:tcBorders>
                    <w:top w:val="single" w:color="000000" w:sz="4" w:space="0"/>
                    <w:bottom w:val="single" w:color="000000" w:sz="12"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768" w:type="pct"/>
                  <w:tcBorders>
                    <w:top w:val="single" w:color="000000" w:sz="4" w:space="0"/>
                    <w:left w:val="single" w:color="000000" w:sz="4" w:space="0"/>
                    <w:bottom w:val="single" w:color="000000" w:sz="12"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992" w:type="pct"/>
                  <w:tcBorders>
                    <w:top w:val="single" w:color="000000" w:sz="4" w:space="0"/>
                    <w:left w:val="single" w:color="000000" w:sz="4" w:space="0"/>
                    <w:bottom w:val="single" w:color="000000" w:sz="12" w:space="0"/>
                    <w:right w:val="single" w:color="000000" w:sz="4"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w:t>
                  </w:r>
                </w:p>
              </w:tc>
              <w:tc>
                <w:tcPr>
                  <w:tcW w:w="1494" w:type="pct"/>
                  <w:tcBorders>
                    <w:top w:val="single" w:color="000000" w:sz="4" w:space="0"/>
                    <w:left w:val="single" w:color="000000" w:sz="4" w:space="0"/>
                    <w:bottom w:val="single" w:color="000000" w:sz="12" w:space="0"/>
                  </w:tcBorders>
                  <w:noWrap w:val="0"/>
                  <w:vAlign w:val="center"/>
                </w:tcPr>
                <w:p>
                  <w:pPr>
                    <w:widowControl/>
                    <w:autoSpaceDE w:val="0"/>
                    <w:autoSpaceDN w:val="0"/>
                    <w:adjustRightInd w:val="0"/>
                    <w:snapToGrid w:val="0"/>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《污水排入城镇下水道水质标准》（GB/T31962-2015）表 1 的 B 等级标准</w:t>
                  </w:r>
                </w:p>
              </w:tc>
            </w:tr>
          </w:tbl>
          <w:p>
            <w:pPr>
              <w:bidi w:val="0"/>
              <w:jc w:val="center"/>
              <w:rPr>
                <w:rFonts w:hint="eastAsia"/>
                <w:b/>
                <w:bCs/>
                <w:color w:val="auto"/>
                <w:lang w:val="en-US" w:eastAsia="zh-CN"/>
              </w:rPr>
            </w:pPr>
          </w:p>
          <w:p>
            <w:pPr>
              <w:bidi w:val="0"/>
              <w:jc w:val="center"/>
              <w:rPr>
                <w:rFonts w:hint="default"/>
                <w:b/>
                <w:bCs/>
                <w:color w:val="auto"/>
                <w:lang w:val="en-US" w:eastAsia="zh-CN"/>
              </w:rPr>
            </w:pPr>
            <w:r>
              <w:rPr>
                <w:rFonts w:hint="eastAsia"/>
                <w:b/>
                <w:bCs/>
                <w:color w:val="auto"/>
                <w:lang w:val="en-US" w:eastAsia="zh-CN"/>
              </w:rPr>
              <w:t xml:space="preserve">表3.7-2 </w:t>
            </w:r>
            <w:r>
              <w:rPr>
                <w:rFonts w:hint="default"/>
                <w:b/>
                <w:bCs/>
                <w:color w:val="auto"/>
                <w:lang w:val="en-US" w:eastAsia="zh-CN"/>
              </w:rPr>
              <w:t>《城镇污水处理厂污染物排放标准》（GB18918-2002）</w:t>
            </w:r>
          </w:p>
          <w:tbl>
            <w:tblPr>
              <w:tblStyle w:val="26"/>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47"/>
              <w:gridCol w:w="2684"/>
              <w:gridCol w:w="1143"/>
              <w:gridCol w:w="304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49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序号</w:t>
                  </w:r>
                </w:p>
              </w:tc>
              <w:tc>
                <w:tcPr>
                  <w:tcW w:w="1761"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污染物</w:t>
                  </w:r>
                </w:p>
              </w:tc>
              <w:tc>
                <w:tcPr>
                  <w:tcW w:w="75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标准值</w:t>
                  </w:r>
                </w:p>
              </w:tc>
              <w:tc>
                <w:tcPr>
                  <w:tcW w:w="1997"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标准来源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1</w:t>
                  </w:r>
                </w:p>
              </w:tc>
              <w:tc>
                <w:tcPr>
                  <w:tcW w:w="1761"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COD（mg/L）≤</w:t>
                  </w:r>
                </w:p>
              </w:tc>
              <w:tc>
                <w:tcPr>
                  <w:tcW w:w="75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50</w:t>
                  </w:r>
                </w:p>
              </w:tc>
              <w:tc>
                <w:tcPr>
                  <w:tcW w:w="1997" w:type="pct"/>
                  <w:vMerge w:val="restar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《城镇污水处理厂污染物排放标准》（GB18918-2002）一级A标准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2</w:t>
                  </w:r>
                </w:p>
              </w:tc>
              <w:tc>
                <w:tcPr>
                  <w:tcW w:w="1761"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悬浮物（mg/L）≤</w:t>
                  </w:r>
                </w:p>
              </w:tc>
              <w:tc>
                <w:tcPr>
                  <w:tcW w:w="75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10</w:t>
                  </w:r>
                </w:p>
              </w:tc>
              <w:tc>
                <w:tcPr>
                  <w:tcW w:w="1997" w:type="pct"/>
                  <w:vMerge w:val="continue"/>
                  <w:noWrap w:val="0"/>
                  <w:vAlign w:val="center"/>
                </w:tcPr>
                <w:p>
                  <w:pPr>
                    <w:tabs>
                      <w:tab w:val="center" w:pos="4134"/>
                      <w:tab w:val="left" w:pos="5475"/>
                    </w:tabs>
                    <w:adjustRightInd w:val="0"/>
                    <w:spacing w:line="300" w:lineRule="atLeast"/>
                    <w:jc w:val="center"/>
                    <w:rPr>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3</w:t>
                  </w:r>
                </w:p>
              </w:tc>
              <w:tc>
                <w:tcPr>
                  <w:tcW w:w="1761"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生化需氧量（mg/L）≤</w:t>
                  </w:r>
                </w:p>
              </w:tc>
              <w:tc>
                <w:tcPr>
                  <w:tcW w:w="75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10</w:t>
                  </w:r>
                </w:p>
              </w:tc>
              <w:tc>
                <w:tcPr>
                  <w:tcW w:w="1997" w:type="pct"/>
                  <w:vMerge w:val="continue"/>
                  <w:noWrap w:val="0"/>
                  <w:vAlign w:val="center"/>
                </w:tcPr>
                <w:p>
                  <w:pPr>
                    <w:tabs>
                      <w:tab w:val="center" w:pos="4134"/>
                      <w:tab w:val="left" w:pos="5475"/>
                    </w:tabs>
                    <w:adjustRightInd w:val="0"/>
                    <w:spacing w:line="300" w:lineRule="atLeast"/>
                    <w:jc w:val="center"/>
                    <w:rPr>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4</w:t>
                  </w:r>
                </w:p>
              </w:tc>
              <w:tc>
                <w:tcPr>
                  <w:tcW w:w="1761"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动植物油（mg/L）≤</w:t>
                  </w:r>
                </w:p>
              </w:tc>
              <w:tc>
                <w:tcPr>
                  <w:tcW w:w="75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1</w:t>
                  </w:r>
                </w:p>
              </w:tc>
              <w:tc>
                <w:tcPr>
                  <w:tcW w:w="1997" w:type="pct"/>
                  <w:vMerge w:val="continue"/>
                  <w:noWrap w:val="0"/>
                  <w:vAlign w:val="center"/>
                </w:tcPr>
                <w:p>
                  <w:pPr>
                    <w:tabs>
                      <w:tab w:val="center" w:pos="4134"/>
                      <w:tab w:val="left" w:pos="5475"/>
                    </w:tabs>
                    <w:adjustRightInd w:val="0"/>
                    <w:spacing w:line="300" w:lineRule="atLeast"/>
                    <w:jc w:val="center"/>
                    <w:rPr>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5</w:t>
                  </w:r>
                </w:p>
              </w:tc>
              <w:tc>
                <w:tcPr>
                  <w:tcW w:w="1761"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氨氮（以N计）</w:t>
                  </w:r>
                  <w:r>
                    <w:rPr>
                      <w:b w:val="0"/>
                      <w:bCs w:val="0"/>
                      <w:color w:val="auto"/>
                      <w:sz w:val="21"/>
                      <w:szCs w:val="21"/>
                      <w:vertAlign w:val="superscript"/>
                    </w:rPr>
                    <w:t>②</w:t>
                  </w:r>
                  <w:r>
                    <w:rPr>
                      <w:b w:val="0"/>
                      <w:bCs w:val="0"/>
                      <w:color w:val="auto"/>
                      <w:sz w:val="21"/>
                      <w:szCs w:val="21"/>
                    </w:rPr>
                    <w:t>（mg/L）≤</w:t>
                  </w:r>
                </w:p>
              </w:tc>
              <w:tc>
                <w:tcPr>
                  <w:tcW w:w="750" w:type="pct"/>
                  <w:noWrap w:val="0"/>
                  <w:vAlign w:val="center"/>
                </w:tcPr>
                <w:p>
                  <w:pPr>
                    <w:tabs>
                      <w:tab w:val="center" w:pos="4134"/>
                      <w:tab w:val="left" w:pos="5475"/>
                    </w:tabs>
                    <w:adjustRightInd w:val="0"/>
                    <w:spacing w:line="300" w:lineRule="atLeast"/>
                    <w:jc w:val="center"/>
                    <w:rPr>
                      <w:b w:val="0"/>
                      <w:bCs w:val="0"/>
                      <w:color w:val="auto"/>
                      <w:sz w:val="21"/>
                      <w:szCs w:val="21"/>
                    </w:rPr>
                  </w:pPr>
                  <w:r>
                    <w:rPr>
                      <w:b w:val="0"/>
                      <w:bCs w:val="0"/>
                      <w:color w:val="auto"/>
                      <w:sz w:val="21"/>
                      <w:szCs w:val="21"/>
                    </w:rPr>
                    <w:t>5（8）</w:t>
                  </w:r>
                </w:p>
              </w:tc>
              <w:tc>
                <w:tcPr>
                  <w:tcW w:w="1997" w:type="pct"/>
                  <w:vMerge w:val="continue"/>
                  <w:noWrap w:val="0"/>
                  <w:vAlign w:val="center"/>
                </w:tcPr>
                <w:p>
                  <w:pPr>
                    <w:tabs>
                      <w:tab w:val="center" w:pos="4134"/>
                      <w:tab w:val="left" w:pos="5475"/>
                    </w:tabs>
                    <w:adjustRightInd w:val="0"/>
                    <w:spacing w:line="300" w:lineRule="atLeast"/>
                    <w:jc w:val="center"/>
                    <w:rPr>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4"/>
                  <w:noWrap w:val="0"/>
                  <w:vAlign w:val="center"/>
                </w:tcPr>
                <w:p>
                  <w:pPr>
                    <w:tabs>
                      <w:tab w:val="center" w:pos="4134"/>
                      <w:tab w:val="left" w:pos="5475"/>
                    </w:tabs>
                    <w:adjustRightInd w:val="0"/>
                    <w:spacing w:line="300" w:lineRule="atLeast"/>
                    <w:jc w:val="center"/>
                    <w:rPr>
                      <w:b w:val="0"/>
                      <w:bCs w:val="0"/>
                      <w:color w:val="auto"/>
                      <w:sz w:val="21"/>
                      <w:szCs w:val="22"/>
                    </w:rPr>
                  </w:pPr>
                  <w:r>
                    <w:rPr>
                      <w:b w:val="0"/>
                      <w:bCs w:val="0"/>
                      <w:color w:val="auto"/>
                      <w:sz w:val="21"/>
                      <w:szCs w:val="21"/>
                    </w:rPr>
                    <w:t>②括号外数值为水温&gt;12℃时的控制指标，括号内数值为水</w:t>
                  </w:r>
                  <w:r>
                    <w:rPr>
                      <w:b w:val="0"/>
                      <w:bCs w:val="0"/>
                      <w:color w:val="auto"/>
                      <w:sz w:val="21"/>
                      <w:szCs w:val="22"/>
                    </w:rPr>
                    <w:t>温</w:t>
                  </w:r>
                  <w:r>
                    <w:rPr>
                      <w:rFonts w:eastAsia="Times New Roman"/>
                      <w:b w:val="0"/>
                      <w:bCs w:val="0"/>
                      <w:color w:val="auto"/>
                      <w:sz w:val="21"/>
                      <w:szCs w:val="22"/>
                    </w:rPr>
                    <w:t>≤12</w:t>
                  </w:r>
                  <w:r>
                    <w:rPr>
                      <w:b w:val="0"/>
                      <w:bCs w:val="0"/>
                      <w:color w:val="auto"/>
                      <w:sz w:val="21"/>
                      <w:szCs w:val="22"/>
                    </w:rPr>
                    <w:t>℃时的控制指标</w:t>
                  </w:r>
                </w:p>
              </w:tc>
            </w:tr>
          </w:tbl>
          <w:p>
            <w:pPr>
              <w:pStyle w:val="4"/>
              <w:bidi w:val="0"/>
              <w:rPr>
                <w:color w:val="auto"/>
              </w:rPr>
            </w:pPr>
            <w:r>
              <w:rPr>
                <w:rFonts w:hint="eastAsia"/>
                <w:color w:val="auto"/>
              </w:rPr>
              <w:t>3.</w:t>
            </w:r>
            <w:r>
              <w:rPr>
                <w:rFonts w:hint="eastAsia"/>
                <w:color w:val="auto"/>
                <w:lang w:val="en-US" w:eastAsia="zh-CN"/>
              </w:rPr>
              <w:t>7</w:t>
            </w:r>
            <w:r>
              <w:rPr>
                <w:color w:val="auto"/>
              </w:rPr>
              <w:t>.</w:t>
            </w:r>
            <w:r>
              <w:rPr>
                <w:rFonts w:hint="eastAsia"/>
                <w:color w:val="auto"/>
                <w:lang w:val="en-US" w:eastAsia="zh-CN"/>
              </w:rPr>
              <w:t>2</w:t>
            </w:r>
            <w:r>
              <w:rPr>
                <w:rFonts w:hint="eastAsia"/>
                <w:color w:val="auto"/>
                <w:lang w:eastAsia="zh-CN"/>
              </w:rPr>
              <w:t>大气</w:t>
            </w:r>
            <w:r>
              <w:rPr>
                <w:color w:val="auto"/>
              </w:rPr>
              <w:t>污染物排放标准</w:t>
            </w:r>
          </w:p>
          <w:p>
            <w:pPr>
              <w:ind w:firstLine="480"/>
              <w:rPr>
                <w:color w:val="auto"/>
              </w:rPr>
            </w:pPr>
            <w:r>
              <w:rPr>
                <w:color w:val="auto"/>
              </w:rPr>
              <w:t>项目运营期备用柴油发电机废气执行《大气污染物综合排放标准》（GB16297-1996）表2 中二级排放标准限值，具体标准限值见表</w:t>
            </w:r>
            <w:r>
              <w:rPr>
                <w:rFonts w:hint="eastAsia"/>
                <w:color w:val="auto"/>
                <w:lang w:eastAsia="zh-CN"/>
              </w:rPr>
              <w:t>3.7-3</w:t>
            </w:r>
            <w:r>
              <w:rPr>
                <w:color w:val="auto"/>
              </w:rPr>
              <w:t>；运营期污水处理站无组织排放恶臭气体执行《医疗机构水污染物排放标准》（GB18466-2005）中关于废气排放要求的规定，详见表</w:t>
            </w:r>
            <w:r>
              <w:rPr>
                <w:rFonts w:hint="eastAsia"/>
                <w:color w:val="auto"/>
                <w:lang w:eastAsia="zh-CN"/>
              </w:rPr>
              <w:t>3.7-4</w:t>
            </w:r>
            <w:r>
              <w:rPr>
                <w:color w:val="auto"/>
              </w:rPr>
              <w:t>，有组织排放的恶臭气体参照《恶臭污染物排放标准》（GB14554-93）表2标准要求执行，详见表</w:t>
            </w:r>
            <w:r>
              <w:rPr>
                <w:rFonts w:hint="eastAsia"/>
                <w:color w:val="auto"/>
                <w:lang w:eastAsia="zh-CN"/>
              </w:rPr>
              <w:t>3.7-5</w:t>
            </w:r>
            <w:r>
              <w:rPr>
                <w:color w:val="auto"/>
              </w:rPr>
              <w:t>；项目实验室废气VOCs参照执行《工业企业挥发性有机物排放控制标准》（DB12524-2020）表2标准，见表</w:t>
            </w:r>
            <w:r>
              <w:rPr>
                <w:rFonts w:hint="eastAsia"/>
                <w:color w:val="auto"/>
                <w:lang w:val="en-US" w:eastAsia="zh-CN"/>
              </w:rPr>
              <w:t>3.7-6。</w:t>
            </w:r>
            <w:r>
              <w:rPr>
                <w:color w:val="auto"/>
              </w:rPr>
              <w:t>项目食堂设有</w:t>
            </w:r>
            <w:r>
              <w:rPr>
                <w:rFonts w:hint="eastAsia"/>
                <w:color w:val="auto"/>
                <w:lang w:val="en-US" w:eastAsia="zh-CN"/>
              </w:rPr>
              <w:t>4</w:t>
            </w:r>
            <w:r>
              <w:rPr>
                <w:color w:val="auto"/>
              </w:rPr>
              <w:t>个基准灶头，油烟排放参考执行《饮食业油烟排放标准（试行）》（GB18483-2001）中型标准，标准限值见表</w:t>
            </w:r>
            <w:r>
              <w:rPr>
                <w:rFonts w:hint="eastAsia"/>
                <w:color w:val="auto"/>
                <w:lang w:eastAsia="zh-CN"/>
              </w:rPr>
              <w:t>3.7-</w:t>
            </w:r>
            <w:r>
              <w:rPr>
                <w:rFonts w:hint="eastAsia"/>
                <w:color w:val="auto"/>
                <w:lang w:val="en-US" w:eastAsia="zh-CN"/>
              </w:rPr>
              <w:t>7</w:t>
            </w:r>
            <w:r>
              <w:rPr>
                <w:color w:val="auto"/>
              </w:rPr>
              <w:t>。</w:t>
            </w:r>
          </w:p>
          <w:p>
            <w:pPr>
              <w:widowControl/>
              <w:ind w:firstLine="0" w:firstLineChars="0"/>
              <w:jc w:val="center"/>
              <w:rPr>
                <w:b/>
                <w:bCs/>
                <w:color w:val="auto"/>
                <w:sz w:val="32"/>
                <w:szCs w:val="40"/>
              </w:rPr>
            </w:pPr>
            <w:r>
              <w:rPr>
                <w:b/>
                <w:bCs/>
                <w:color w:val="auto"/>
              </w:rPr>
              <w:t>表</w:t>
            </w:r>
            <w:r>
              <w:rPr>
                <w:rFonts w:hint="eastAsia"/>
                <w:b/>
                <w:bCs/>
                <w:color w:val="auto"/>
                <w:lang w:eastAsia="zh-CN"/>
              </w:rPr>
              <w:t>3.7-3</w:t>
            </w:r>
            <w:r>
              <w:rPr>
                <w:b/>
                <w:bCs/>
                <w:color w:val="auto"/>
              </w:rPr>
              <w:t xml:space="preserve"> 《大气污染物综合排放标准》（GB16297-1996）表2</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89"/>
              <w:gridCol w:w="1453"/>
              <w:gridCol w:w="1453"/>
              <w:gridCol w:w="1121"/>
              <w:gridCol w:w="1054"/>
              <w:gridCol w:w="14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trPr>
              <w:tc>
                <w:tcPr>
                  <w:tcW w:w="714" w:type="pct"/>
                  <w:vMerge w:val="restart"/>
                  <w:noWrap w:val="0"/>
                  <w:vAlign w:val="center"/>
                </w:tcPr>
                <w:p>
                  <w:pPr>
                    <w:spacing w:line="240" w:lineRule="auto"/>
                    <w:ind w:firstLine="0" w:firstLineChars="0"/>
                    <w:jc w:val="center"/>
                    <w:rPr>
                      <w:b w:val="0"/>
                      <w:bCs w:val="0"/>
                      <w:color w:val="auto"/>
                      <w:sz w:val="21"/>
                    </w:rPr>
                  </w:pPr>
                  <w:r>
                    <w:rPr>
                      <w:b w:val="0"/>
                      <w:bCs w:val="0"/>
                      <w:color w:val="auto"/>
                      <w:sz w:val="21"/>
                    </w:rPr>
                    <w:t>污染物</w:t>
                  </w:r>
                </w:p>
              </w:tc>
              <w:tc>
                <w:tcPr>
                  <w:tcW w:w="953" w:type="pct"/>
                  <w:vMerge w:val="restart"/>
                  <w:noWrap w:val="0"/>
                  <w:vAlign w:val="center"/>
                </w:tcPr>
                <w:p>
                  <w:pPr>
                    <w:spacing w:line="240" w:lineRule="auto"/>
                    <w:ind w:firstLine="0" w:firstLineChars="0"/>
                    <w:jc w:val="center"/>
                    <w:rPr>
                      <w:b w:val="0"/>
                      <w:bCs w:val="0"/>
                      <w:color w:val="auto"/>
                      <w:sz w:val="21"/>
                    </w:rPr>
                  </w:pPr>
                  <w:r>
                    <w:rPr>
                      <w:b w:val="0"/>
                      <w:bCs w:val="0"/>
                      <w:color w:val="auto"/>
                      <w:sz w:val="21"/>
                    </w:rPr>
                    <w:t>最高允许排放浓度（mg/m</w:t>
                  </w:r>
                  <w:r>
                    <w:rPr>
                      <w:b w:val="0"/>
                      <w:bCs w:val="0"/>
                      <w:color w:val="auto"/>
                      <w:sz w:val="21"/>
                      <w:vertAlign w:val="superscript"/>
                    </w:rPr>
                    <w:t>3</w:t>
                  </w:r>
                  <w:r>
                    <w:rPr>
                      <w:b w:val="0"/>
                      <w:bCs w:val="0"/>
                      <w:color w:val="auto"/>
                      <w:sz w:val="21"/>
                    </w:rPr>
                    <w:t>）</w:t>
                  </w:r>
                </w:p>
              </w:tc>
              <w:tc>
                <w:tcPr>
                  <w:tcW w:w="1688" w:type="pct"/>
                  <w:gridSpan w:val="2"/>
                  <w:noWrap w:val="0"/>
                  <w:vAlign w:val="center"/>
                </w:tcPr>
                <w:p>
                  <w:pPr>
                    <w:spacing w:line="240" w:lineRule="auto"/>
                    <w:ind w:firstLine="0" w:firstLineChars="0"/>
                    <w:jc w:val="center"/>
                    <w:rPr>
                      <w:b w:val="0"/>
                      <w:bCs w:val="0"/>
                      <w:color w:val="auto"/>
                      <w:sz w:val="21"/>
                    </w:rPr>
                  </w:pPr>
                  <w:r>
                    <w:rPr>
                      <w:b w:val="0"/>
                      <w:bCs w:val="0"/>
                      <w:color w:val="auto"/>
                      <w:sz w:val="21"/>
                    </w:rPr>
                    <w:t>最高允许排放速率（kg/h）</w:t>
                  </w:r>
                </w:p>
              </w:tc>
              <w:tc>
                <w:tcPr>
                  <w:tcW w:w="1643" w:type="pct"/>
                  <w:gridSpan w:val="2"/>
                  <w:noWrap w:val="0"/>
                  <w:vAlign w:val="center"/>
                </w:tcPr>
                <w:p>
                  <w:pPr>
                    <w:spacing w:line="240" w:lineRule="auto"/>
                    <w:ind w:firstLine="0" w:firstLineChars="0"/>
                    <w:jc w:val="center"/>
                    <w:rPr>
                      <w:b w:val="0"/>
                      <w:bCs w:val="0"/>
                      <w:color w:val="auto"/>
                      <w:sz w:val="21"/>
                    </w:rPr>
                  </w:pPr>
                  <w:r>
                    <w:rPr>
                      <w:b w:val="0"/>
                      <w:bCs w:val="0"/>
                      <w:color w:val="auto"/>
                      <w:sz w:val="21"/>
                    </w:rPr>
                    <w:t>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trPr>
              <w:tc>
                <w:tcPr>
                  <w:tcW w:w="714" w:type="pct"/>
                  <w:vMerge w:val="continue"/>
                  <w:noWrap w:val="0"/>
                  <w:vAlign w:val="center"/>
                </w:tcPr>
                <w:p>
                  <w:pPr>
                    <w:spacing w:line="240" w:lineRule="auto"/>
                    <w:ind w:firstLine="0" w:firstLineChars="0"/>
                    <w:jc w:val="center"/>
                    <w:rPr>
                      <w:b w:val="0"/>
                      <w:bCs w:val="0"/>
                      <w:color w:val="auto"/>
                      <w:sz w:val="21"/>
                    </w:rPr>
                  </w:pPr>
                </w:p>
              </w:tc>
              <w:tc>
                <w:tcPr>
                  <w:tcW w:w="953" w:type="pct"/>
                  <w:vMerge w:val="continue"/>
                  <w:noWrap w:val="0"/>
                  <w:vAlign w:val="center"/>
                </w:tcPr>
                <w:p>
                  <w:pPr>
                    <w:spacing w:line="240" w:lineRule="auto"/>
                    <w:ind w:firstLine="0" w:firstLineChars="0"/>
                    <w:jc w:val="center"/>
                    <w:rPr>
                      <w:b w:val="0"/>
                      <w:bCs w:val="0"/>
                      <w:color w:val="auto"/>
                      <w:sz w:val="21"/>
                    </w:rPr>
                  </w:pPr>
                </w:p>
              </w:tc>
              <w:tc>
                <w:tcPr>
                  <w:tcW w:w="953" w:type="pct"/>
                  <w:noWrap w:val="0"/>
                  <w:vAlign w:val="center"/>
                </w:tcPr>
                <w:p>
                  <w:pPr>
                    <w:spacing w:line="240" w:lineRule="auto"/>
                    <w:ind w:firstLine="0" w:firstLineChars="0"/>
                    <w:jc w:val="center"/>
                    <w:rPr>
                      <w:b w:val="0"/>
                      <w:bCs w:val="0"/>
                      <w:color w:val="auto"/>
                      <w:sz w:val="21"/>
                    </w:rPr>
                  </w:pPr>
                  <w:r>
                    <w:rPr>
                      <w:b w:val="0"/>
                      <w:bCs w:val="0"/>
                      <w:color w:val="auto"/>
                      <w:sz w:val="21"/>
                    </w:rPr>
                    <w:t>排气筒高度（m）</w:t>
                  </w:r>
                </w:p>
              </w:tc>
              <w:tc>
                <w:tcPr>
                  <w:tcW w:w="735" w:type="pct"/>
                  <w:noWrap w:val="0"/>
                  <w:vAlign w:val="center"/>
                </w:tcPr>
                <w:p>
                  <w:pPr>
                    <w:spacing w:line="240" w:lineRule="auto"/>
                    <w:ind w:firstLine="0" w:firstLineChars="0"/>
                    <w:jc w:val="center"/>
                    <w:rPr>
                      <w:b w:val="0"/>
                      <w:bCs w:val="0"/>
                      <w:color w:val="auto"/>
                      <w:sz w:val="21"/>
                    </w:rPr>
                  </w:pPr>
                  <w:r>
                    <w:rPr>
                      <w:b w:val="0"/>
                      <w:bCs w:val="0"/>
                      <w:color w:val="auto"/>
                      <w:sz w:val="21"/>
                    </w:rPr>
                    <w:t>二级</w:t>
                  </w:r>
                </w:p>
              </w:tc>
              <w:tc>
                <w:tcPr>
                  <w:tcW w:w="691" w:type="pct"/>
                  <w:noWrap w:val="0"/>
                  <w:vAlign w:val="center"/>
                </w:tcPr>
                <w:p>
                  <w:pPr>
                    <w:spacing w:line="240" w:lineRule="auto"/>
                    <w:ind w:firstLine="0" w:firstLineChars="0"/>
                    <w:jc w:val="center"/>
                    <w:rPr>
                      <w:b w:val="0"/>
                      <w:bCs w:val="0"/>
                      <w:color w:val="auto"/>
                      <w:sz w:val="21"/>
                    </w:rPr>
                  </w:pPr>
                  <w:r>
                    <w:rPr>
                      <w:b w:val="0"/>
                      <w:bCs w:val="0"/>
                      <w:color w:val="auto"/>
                      <w:sz w:val="21"/>
                    </w:rPr>
                    <w:t>监控点</w:t>
                  </w:r>
                </w:p>
              </w:tc>
              <w:tc>
                <w:tcPr>
                  <w:tcW w:w="952" w:type="pct"/>
                  <w:noWrap w:val="0"/>
                  <w:vAlign w:val="center"/>
                </w:tcPr>
                <w:p>
                  <w:pPr>
                    <w:spacing w:line="240" w:lineRule="auto"/>
                    <w:ind w:firstLine="0" w:firstLineChars="0"/>
                    <w:jc w:val="center"/>
                    <w:rPr>
                      <w:b w:val="0"/>
                      <w:bCs w:val="0"/>
                      <w:color w:val="auto"/>
                      <w:sz w:val="21"/>
                    </w:rPr>
                  </w:pPr>
                  <w:r>
                    <w:rPr>
                      <w:b w:val="0"/>
                      <w:bCs w:val="0"/>
                      <w:color w:val="auto"/>
                      <w:sz w:val="21"/>
                    </w:rPr>
                    <w:t>浓度（mg/m</w:t>
                  </w:r>
                  <w:r>
                    <w:rPr>
                      <w:b w:val="0"/>
                      <w:bCs w:val="0"/>
                      <w:color w:val="auto"/>
                      <w:sz w:val="21"/>
                      <w:vertAlign w:val="superscript"/>
                    </w:rPr>
                    <w:t>3</w:t>
                  </w:r>
                  <w:r>
                    <w:rPr>
                      <w:b w:val="0"/>
                      <w:bCs w:val="0"/>
                      <w:color w:val="auto"/>
                      <w:sz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trPr>
              <w:tc>
                <w:tcPr>
                  <w:tcW w:w="714" w:type="pct"/>
                  <w:noWrap w:val="0"/>
                  <w:vAlign w:val="center"/>
                </w:tcPr>
                <w:p>
                  <w:pPr>
                    <w:spacing w:line="240" w:lineRule="auto"/>
                    <w:ind w:firstLine="0" w:firstLineChars="0"/>
                    <w:jc w:val="center"/>
                    <w:rPr>
                      <w:b w:val="0"/>
                      <w:bCs w:val="0"/>
                      <w:color w:val="auto"/>
                      <w:sz w:val="21"/>
                    </w:rPr>
                  </w:pPr>
                  <w:r>
                    <w:rPr>
                      <w:b w:val="0"/>
                      <w:bCs w:val="0"/>
                      <w:color w:val="auto"/>
                      <w:sz w:val="21"/>
                    </w:rPr>
                    <w:t>SO</w:t>
                  </w:r>
                  <w:r>
                    <w:rPr>
                      <w:b w:val="0"/>
                      <w:bCs w:val="0"/>
                      <w:color w:val="auto"/>
                      <w:sz w:val="21"/>
                      <w:vertAlign w:val="subscript"/>
                    </w:rPr>
                    <w:t>2</w:t>
                  </w:r>
                </w:p>
              </w:tc>
              <w:tc>
                <w:tcPr>
                  <w:tcW w:w="953" w:type="pct"/>
                  <w:noWrap w:val="0"/>
                  <w:vAlign w:val="center"/>
                </w:tcPr>
                <w:p>
                  <w:pPr>
                    <w:spacing w:line="240" w:lineRule="auto"/>
                    <w:ind w:firstLine="0" w:firstLineChars="0"/>
                    <w:jc w:val="center"/>
                    <w:rPr>
                      <w:b w:val="0"/>
                      <w:bCs w:val="0"/>
                      <w:color w:val="auto"/>
                      <w:sz w:val="21"/>
                    </w:rPr>
                  </w:pPr>
                  <w:r>
                    <w:rPr>
                      <w:b w:val="0"/>
                      <w:bCs w:val="0"/>
                      <w:color w:val="auto"/>
                      <w:sz w:val="21"/>
                    </w:rPr>
                    <w:t>550</w:t>
                  </w:r>
                </w:p>
              </w:tc>
              <w:tc>
                <w:tcPr>
                  <w:tcW w:w="953" w:type="pct"/>
                  <w:noWrap w:val="0"/>
                  <w:vAlign w:val="center"/>
                </w:tcPr>
                <w:p>
                  <w:pPr>
                    <w:spacing w:line="240" w:lineRule="auto"/>
                    <w:ind w:firstLine="0" w:firstLineChars="0"/>
                    <w:jc w:val="center"/>
                    <w:rPr>
                      <w:b w:val="0"/>
                      <w:bCs w:val="0"/>
                      <w:color w:val="auto"/>
                      <w:sz w:val="21"/>
                    </w:rPr>
                  </w:pPr>
                  <w:r>
                    <w:rPr>
                      <w:b w:val="0"/>
                      <w:bCs w:val="0"/>
                      <w:color w:val="auto"/>
                      <w:sz w:val="21"/>
                    </w:rPr>
                    <w:t>15</w:t>
                  </w:r>
                </w:p>
              </w:tc>
              <w:tc>
                <w:tcPr>
                  <w:tcW w:w="735" w:type="pct"/>
                  <w:noWrap w:val="0"/>
                  <w:vAlign w:val="center"/>
                </w:tcPr>
                <w:p>
                  <w:pPr>
                    <w:spacing w:line="240" w:lineRule="auto"/>
                    <w:ind w:firstLine="0" w:firstLineChars="0"/>
                    <w:jc w:val="center"/>
                    <w:rPr>
                      <w:b w:val="0"/>
                      <w:bCs w:val="0"/>
                      <w:color w:val="auto"/>
                      <w:sz w:val="21"/>
                    </w:rPr>
                  </w:pPr>
                  <w:r>
                    <w:rPr>
                      <w:b w:val="0"/>
                      <w:bCs w:val="0"/>
                      <w:color w:val="auto"/>
                      <w:sz w:val="21"/>
                    </w:rPr>
                    <w:t>2.6</w:t>
                  </w:r>
                </w:p>
              </w:tc>
              <w:tc>
                <w:tcPr>
                  <w:tcW w:w="691" w:type="pct"/>
                  <w:vMerge w:val="restart"/>
                  <w:noWrap w:val="0"/>
                  <w:vAlign w:val="center"/>
                </w:tcPr>
                <w:p>
                  <w:pPr>
                    <w:spacing w:line="240" w:lineRule="auto"/>
                    <w:ind w:firstLine="0" w:firstLineChars="0"/>
                    <w:jc w:val="center"/>
                    <w:rPr>
                      <w:b w:val="0"/>
                      <w:bCs w:val="0"/>
                      <w:color w:val="auto"/>
                      <w:sz w:val="21"/>
                    </w:rPr>
                  </w:pPr>
                  <w:r>
                    <w:rPr>
                      <w:b w:val="0"/>
                      <w:bCs w:val="0"/>
                      <w:color w:val="auto"/>
                      <w:sz w:val="21"/>
                    </w:rPr>
                    <w:t>周界外浓度最高点</w:t>
                  </w:r>
                </w:p>
              </w:tc>
              <w:tc>
                <w:tcPr>
                  <w:tcW w:w="952" w:type="pct"/>
                  <w:noWrap w:val="0"/>
                  <w:vAlign w:val="center"/>
                </w:tcPr>
                <w:p>
                  <w:pPr>
                    <w:spacing w:line="240" w:lineRule="auto"/>
                    <w:ind w:firstLine="0" w:firstLineChars="0"/>
                    <w:jc w:val="center"/>
                    <w:rPr>
                      <w:b w:val="0"/>
                      <w:bCs w:val="0"/>
                      <w:color w:val="auto"/>
                      <w:sz w:val="21"/>
                    </w:rPr>
                  </w:pPr>
                  <w:r>
                    <w:rPr>
                      <w:b w:val="0"/>
                      <w:bCs w:val="0"/>
                      <w:color w:val="auto"/>
                      <w:sz w:val="21"/>
                    </w:rPr>
                    <w:t>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trPr>
              <w:tc>
                <w:tcPr>
                  <w:tcW w:w="714" w:type="pct"/>
                  <w:noWrap w:val="0"/>
                  <w:vAlign w:val="center"/>
                </w:tcPr>
                <w:p>
                  <w:pPr>
                    <w:spacing w:line="240" w:lineRule="auto"/>
                    <w:ind w:firstLine="0" w:firstLineChars="0"/>
                    <w:jc w:val="center"/>
                    <w:rPr>
                      <w:b w:val="0"/>
                      <w:bCs w:val="0"/>
                      <w:color w:val="auto"/>
                      <w:sz w:val="21"/>
                    </w:rPr>
                  </w:pPr>
                  <w:r>
                    <w:rPr>
                      <w:b w:val="0"/>
                      <w:bCs w:val="0"/>
                      <w:color w:val="auto"/>
                      <w:sz w:val="21"/>
                    </w:rPr>
                    <w:t>NO</w:t>
                  </w:r>
                  <w:r>
                    <w:rPr>
                      <w:b w:val="0"/>
                      <w:bCs w:val="0"/>
                      <w:color w:val="auto"/>
                      <w:sz w:val="21"/>
                      <w:vertAlign w:val="subscript"/>
                    </w:rPr>
                    <w:t>X</w:t>
                  </w:r>
                </w:p>
              </w:tc>
              <w:tc>
                <w:tcPr>
                  <w:tcW w:w="953" w:type="pct"/>
                  <w:noWrap w:val="0"/>
                  <w:vAlign w:val="center"/>
                </w:tcPr>
                <w:p>
                  <w:pPr>
                    <w:spacing w:line="240" w:lineRule="auto"/>
                    <w:ind w:firstLine="0" w:firstLineChars="0"/>
                    <w:jc w:val="center"/>
                    <w:rPr>
                      <w:b w:val="0"/>
                      <w:bCs w:val="0"/>
                      <w:color w:val="auto"/>
                      <w:sz w:val="21"/>
                    </w:rPr>
                  </w:pPr>
                  <w:r>
                    <w:rPr>
                      <w:b w:val="0"/>
                      <w:bCs w:val="0"/>
                      <w:color w:val="auto"/>
                      <w:sz w:val="21"/>
                    </w:rPr>
                    <w:t>240</w:t>
                  </w:r>
                </w:p>
              </w:tc>
              <w:tc>
                <w:tcPr>
                  <w:tcW w:w="953" w:type="pct"/>
                  <w:noWrap w:val="0"/>
                  <w:vAlign w:val="center"/>
                </w:tcPr>
                <w:p>
                  <w:pPr>
                    <w:spacing w:line="240" w:lineRule="auto"/>
                    <w:ind w:firstLine="0" w:firstLineChars="0"/>
                    <w:jc w:val="center"/>
                    <w:rPr>
                      <w:b w:val="0"/>
                      <w:bCs w:val="0"/>
                      <w:color w:val="auto"/>
                      <w:sz w:val="21"/>
                    </w:rPr>
                  </w:pPr>
                  <w:r>
                    <w:rPr>
                      <w:b w:val="0"/>
                      <w:bCs w:val="0"/>
                      <w:color w:val="auto"/>
                      <w:sz w:val="21"/>
                    </w:rPr>
                    <w:t>15</w:t>
                  </w:r>
                </w:p>
              </w:tc>
              <w:tc>
                <w:tcPr>
                  <w:tcW w:w="735" w:type="pct"/>
                  <w:noWrap w:val="0"/>
                  <w:vAlign w:val="center"/>
                </w:tcPr>
                <w:p>
                  <w:pPr>
                    <w:spacing w:line="240" w:lineRule="auto"/>
                    <w:ind w:firstLine="0" w:firstLineChars="0"/>
                    <w:jc w:val="center"/>
                    <w:rPr>
                      <w:b w:val="0"/>
                      <w:bCs w:val="0"/>
                      <w:color w:val="auto"/>
                      <w:sz w:val="21"/>
                    </w:rPr>
                  </w:pPr>
                  <w:r>
                    <w:rPr>
                      <w:b w:val="0"/>
                      <w:bCs w:val="0"/>
                      <w:color w:val="auto"/>
                      <w:sz w:val="21"/>
                    </w:rPr>
                    <w:t>0.77</w:t>
                  </w:r>
                </w:p>
              </w:tc>
              <w:tc>
                <w:tcPr>
                  <w:tcW w:w="691" w:type="pct"/>
                  <w:vMerge w:val="continue"/>
                  <w:noWrap w:val="0"/>
                  <w:vAlign w:val="center"/>
                </w:tcPr>
                <w:p>
                  <w:pPr>
                    <w:spacing w:line="240" w:lineRule="auto"/>
                    <w:ind w:firstLine="0" w:firstLineChars="0"/>
                    <w:jc w:val="center"/>
                    <w:rPr>
                      <w:b w:val="0"/>
                      <w:bCs w:val="0"/>
                      <w:color w:val="auto"/>
                      <w:sz w:val="21"/>
                    </w:rPr>
                  </w:pPr>
                </w:p>
              </w:tc>
              <w:tc>
                <w:tcPr>
                  <w:tcW w:w="952" w:type="pct"/>
                  <w:noWrap w:val="0"/>
                  <w:vAlign w:val="center"/>
                </w:tcPr>
                <w:p>
                  <w:pPr>
                    <w:spacing w:line="240" w:lineRule="auto"/>
                    <w:ind w:firstLine="0" w:firstLineChars="0"/>
                    <w:jc w:val="center"/>
                    <w:rPr>
                      <w:b w:val="0"/>
                      <w:bCs w:val="0"/>
                      <w:color w:val="auto"/>
                      <w:sz w:val="21"/>
                    </w:rPr>
                  </w:pPr>
                  <w:r>
                    <w:rPr>
                      <w:b w:val="0"/>
                      <w:bCs w:val="0"/>
                      <w:color w:val="auto"/>
                      <w:sz w:val="21"/>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trPr>
              <w:tc>
                <w:tcPr>
                  <w:tcW w:w="714" w:type="pct"/>
                  <w:noWrap w:val="0"/>
                  <w:vAlign w:val="center"/>
                </w:tcPr>
                <w:p>
                  <w:pPr>
                    <w:spacing w:line="240" w:lineRule="auto"/>
                    <w:ind w:firstLine="0" w:firstLineChars="0"/>
                    <w:jc w:val="center"/>
                    <w:rPr>
                      <w:b w:val="0"/>
                      <w:bCs w:val="0"/>
                      <w:color w:val="auto"/>
                      <w:sz w:val="21"/>
                    </w:rPr>
                  </w:pPr>
                  <w:r>
                    <w:rPr>
                      <w:b w:val="0"/>
                      <w:bCs w:val="0"/>
                      <w:color w:val="auto"/>
                      <w:sz w:val="21"/>
                    </w:rPr>
                    <w:t>颗粒物</w:t>
                  </w:r>
                </w:p>
              </w:tc>
              <w:tc>
                <w:tcPr>
                  <w:tcW w:w="953" w:type="pct"/>
                  <w:noWrap w:val="0"/>
                  <w:vAlign w:val="center"/>
                </w:tcPr>
                <w:p>
                  <w:pPr>
                    <w:spacing w:line="240" w:lineRule="auto"/>
                    <w:ind w:firstLine="0" w:firstLineChars="0"/>
                    <w:jc w:val="center"/>
                    <w:rPr>
                      <w:b w:val="0"/>
                      <w:bCs w:val="0"/>
                      <w:color w:val="auto"/>
                      <w:sz w:val="21"/>
                    </w:rPr>
                  </w:pPr>
                  <w:r>
                    <w:rPr>
                      <w:b w:val="0"/>
                      <w:bCs w:val="0"/>
                      <w:color w:val="auto"/>
                      <w:sz w:val="21"/>
                    </w:rPr>
                    <w:t>120</w:t>
                  </w:r>
                </w:p>
              </w:tc>
              <w:tc>
                <w:tcPr>
                  <w:tcW w:w="953" w:type="pct"/>
                  <w:noWrap w:val="0"/>
                  <w:vAlign w:val="center"/>
                </w:tcPr>
                <w:p>
                  <w:pPr>
                    <w:spacing w:line="240" w:lineRule="auto"/>
                    <w:ind w:firstLine="0" w:firstLineChars="0"/>
                    <w:jc w:val="center"/>
                    <w:rPr>
                      <w:b w:val="0"/>
                      <w:bCs w:val="0"/>
                      <w:color w:val="auto"/>
                      <w:sz w:val="21"/>
                    </w:rPr>
                  </w:pPr>
                  <w:r>
                    <w:rPr>
                      <w:b w:val="0"/>
                      <w:bCs w:val="0"/>
                      <w:color w:val="auto"/>
                      <w:sz w:val="21"/>
                    </w:rPr>
                    <w:t>15</w:t>
                  </w:r>
                </w:p>
              </w:tc>
              <w:tc>
                <w:tcPr>
                  <w:tcW w:w="735" w:type="pct"/>
                  <w:noWrap w:val="0"/>
                  <w:vAlign w:val="center"/>
                </w:tcPr>
                <w:p>
                  <w:pPr>
                    <w:spacing w:line="240" w:lineRule="auto"/>
                    <w:ind w:firstLine="0" w:firstLineChars="0"/>
                    <w:jc w:val="center"/>
                    <w:rPr>
                      <w:b w:val="0"/>
                      <w:bCs w:val="0"/>
                      <w:color w:val="auto"/>
                      <w:sz w:val="21"/>
                    </w:rPr>
                  </w:pPr>
                  <w:r>
                    <w:rPr>
                      <w:b w:val="0"/>
                      <w:bCs w:val="0"/>
                      <w:color w:val="auto"/>
                      <w:sz w:val="21"/>
                    </w:rPr>
                    <w:t>3.5</w:t>
                  </w:r>
                </w:p>
              </w:tc>
              <w:tc>
                <w:tcPr>
                  <w:tcW w:w="691" w:type="pct"/>
                  <w:vMerge w:val="continue"/>
                  <w:noWrap w:val="0"/>
                  <w:vAlign w:val="center"/>
                </w:tcPr>
                <w:p>
                  <w:pPr>
                    <w:spacing w:line="240" w:lineRule="auto"/>
                    <w:ind w:firstLine="0" w:firstLineChars="0"/>
                    <w:jc w:val="center"/>
                    <w:rPr>
                      <w:b w:val="0"/>
                      <w:bCs w:val="0"/>
                      <w:color w:val="auto"/>
                      <w:sz w:val="21"/>
                    </w:rPr>
                  </w:pPr>
                </w:p>
              </w:tc>
              <w:tc>
                <w:tcPr>
                  <w:tcW w:w="952" w:type="pct"/>
                  <w:noWrap w:val="0"/>
                  <w:vAlign w:val="center"/>
                </w:tcPr>
                <w:p>
                  <w:pPr>
                    <w:spacing w:line="240" w:lineRule="auto"/>
                    <w:ind w:firstLine="0" w:firstLineChars="0"/>
                    <w:jc w:val="center"/>
                    <w:rPr>
                      <w:b w:val="0"/>
                      <w:bCs w:val="0"/>
                      <w:color w:val="auto"/>
                      <w:sz w:val="21"/>
                    </w:rPr>
                  </w:pPr>
                  <w:r>
                    <w:rPr>
                      <w:b w:val="0"/>
                      <w:bCs w:val="0"/>
                      <w:color w:val="auto"/>
                      <w:sz w:val="21"/>
                    </w:rPr>
                    <w:t>1.0</w:t>
                  </w:r>
                </w:p>
              </w:tc>
            </w:tr>
          </w:tbl>
          <w:p>
            <w:pPr>
              <w:widowControl/>
              <w:ind w:firstLine="0" w:firstLineChars="0"/>
              <w:jc w:val="center"/>
              <w:rPr>
                <w:b/>
                <w:bCs/>
                <w:color w:val="auto"/>
              </w:rPr>
            </w:pPr>
            <w:r>
              <w:rPr>
                <w:b/>
                <w:bCs/>
                <w:color w:val="auto"/>
              </w:rPr>
              <w:t>表</w:t>
            </w:r>
            <w:r>
              <w:rPr>
                <w:rFonts w:hint="eastAsia"/>
                <w:b/>
                <w:bCs/>
                <w:color w:val="auto"/>
                <w:lang w:eastAsia="zh-CN"/>
              </w:rPr>
              <w:t>3.7-4</w:t>
            </w:r>
            <w:r>
              <w:rPr>
                <w:b/>
                <w:bCs/>
                <w:color w:val="auto"/>
              </w:rPr>
              <w:t xml:space="preserve"> 污水处理站周边大气污染物最高允许浓度</w:t>
            </w:r>
          </w:p>
          <w:p>
            <w:pPr>
              <w:widowControl/>
              <w:ind w:firstLine="0" w:firstLineChars="0"/>
              <w:jc w:val="center"/>
              <w:rPr>
                <w:b/>
                <w:bCs/>
                <w:color w:val="auto"/>
              </w:rPr>
            </w:pPr>
            <w:r>
              <w:rPr>
                <w:b/>
                <w:bCs/>
                <w:color w:val="auto"/>
              </w:rPr>
              <w:t>（《医疗机构水污染物排放标准》）</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8"/>
              <w:gridCol w:w="2896"/>
              <w:gridCol w:w="1812"/>
              <w:gridCol w:w="18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694"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序号</w:t>
                  </w:r>
                </w:p>
              </w:tc>
              <w:tc>
                <w:tcPr>
                  <w:tcW w:w="1900"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控制项目</w:t>
                  </w:r>
                </w:p>
              </w:tc>
              <w:tc>
                <w:tcPr>
                  <w:tcW w:w="1189"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单位</w:t>
                  </w:r>
                </w:p>
              </w:tc>
              <w:tc>
                <w:tcPr>
                  <w:tcW w:w="1216"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4"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1</w:t>
                  </w:r>
                </w:p>
              </w:tc>
              <w:tc>
                <w:tcPr>
                  <w:tcW w:w="1900"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氨</w:t>
                  </w:r>
                </w:p>
              </w:tc>
              <w:tc>
                <w:tcPr>
                  <w:tcW w:w="1189"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mg/m</w:t>
                  </w:r>
                  <w:r>
                    <w:rPr>
                      <w:b w:val="0"/>
                      <w:bCs w:val="0"/>
                      <w:color w:val="auto"/>
                      <w:sz w:val="21"/>
                      <w:szCs w:val="21"/>
                      <w:vertAlign w:val="superscript"/>
                    </w:rPr>
                    <w:t>3</w:t>
                  </w:r>
                </w:p>
              </w:tc>
              <w:tc>
                <w:tcPr>
                  <w:tcW w:w="1216"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694"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2</w:t>
                  </w:r>
                </w:p>
              </w:tc>
              <w:tc>
                <w:tcPr>
                  <w:tcW w:w="1900"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硫化氢</w:t>
                  </w:r>
                </w:p>
              </w:tc>
              <w:tc>
                <w:tcPr>
                  <w:tcW w:w="1189"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mg/ m</w:t>
                  </w:r>
                  <w:r>
                    <w:rPr>
                      <w:b w:val="0"/>
                      <w:bCs w:val="0"/>
                      <w:color w:val="auto"/>
                      <w:sz w:val="21"/>
                      <w:szCs w:val="21"/>
                      <w:vertAlign w:val="superscript"/>
                    </w:rPr>
                    <w:t>3</w:t>
                  </w:r>
                </w:p>
              </w:tc>
              <w:tc>
                <w:tcPr>
                  <w:tcW w:w="1216"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4"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3</w:t>
                  </w:r>
                </w:p>
              </w:tc>
              <w:tc>
                <w:tcPr>
                  <w:tcW w:w="1900"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臭气浓度</w:t>
                  </w:r>
                </w:p>
              </w:tc>
              <w:tc>
                <w:tcPr>
                  <w:tcW w:w="1189"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无量纲</w:t>
                  </w:r>
                </w:p>
              </w:tc>
              <w:tc>
                <w:tcPr>
                  <w:tcW w:w="1216"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694"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4</w:t>
                  </w:r>
                </w:p>
              </w:tc>
              <w:tc>
                <w:tcPr>
                  <w:tcW w:w="1900"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氯气</w:t>
                  </w:r>
                </w:p>
              </w:tc>
              <w:tc>
                <w:tcPr>
                  <w:tcW w:w="1189"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mg/ m</w:t>
                  </w:r>
                  <w:r>
                    <w:rPr>
                      <w:b w:val="0"/>
                      <w:bCs w:val="0"/>
                      <w:color w:val="auto"/>
                      <w:sz w:val="21"/>
                      <w:szCs w:val="21"/>
                      <w:vertAlign w:val="superscript"/>
                    </w:rPr>
                    <w:t>3</w:t>
                  </w:r>
                </w:p>
              </w:tc>
              <w:tc>
                <w:tcPr>
                  <w:tcW w:w="1216"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4"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5</w:t>
                  </w:r>
                </w:p>
              </w:tc>
              <w:tc>
                <w:tcPr>
                  <w:tcW w:w="1900"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甲烷（处理站内最高体积百分数）</w:t>
                  </w:r>
                </w:p>
              </w:tc>
              <w:tc>
                <w:tcPr>
                  <w:tcW w:w="1189"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w:t>
                  </w:r>
                </w:p>
              </w:tc>
              <w:tc>
                <w:tcPr>
                  <w:tcW w:w="1216" w:type="pct"/>
                  <w:noWrap w:val="0"/>
                  <w:vAlign w:val="center"/>
                </w:tcPr>
                <w:p>
                  <w:pPr>
                    <w:spacing w:line="240" w:lineRule="auto"/>
                    <w:ind w:firstLine="0" w:firstLineChars="0"/>
                    <w:jc w:val="center"/>
                    <w:rPr>
                      <w:b w:val="0"/>
                      <w:bCs w:val="0"/>
                      <w:color w:val="auto"/>
                      <w:sz w:val="21"/>
                      <w:szCs w:val="21"/>
                    </w:rPr>
                  </w:pPr>
                  <w:r>
                    <w:rPr>
                      <w:b w:val="0"/>
                      <w:bCs w:val="0"/>
                      <w:color w:val="auto"/>
                      <w:sz w:val="21"/>
                      <w:szCs w:val="21"/>
                    </w:rPr>
                    <w:t>1</w:t>
                  </w:r>
                </w:p>
              </w:tc>
            </w:tr>
          </w:tbl>
          <w:p>
            <w:pPr>
              <w:widowControl/>
              <w:ind w:firstLine="0" w:firstLineChars="0"/>
              <w:jc w:val="center"/>
              <w:rPr>
                <w:b/>
                <w:bCs/>
                <w:color w:val="auto"/>
              </w:rPr>
            </w:pPr>
            <w:r>
              <w:rPr>
                <w:b/>
                <w:bCs/>
                <w:color w:val="auto"/>
              </w:rPr>
              <w:t>表</w:t>
            </w:r>
            <w:r>
              <w:rPr>
                <w:rFonts w:hint="eastAsia"/>
                <w:b/>
                <w:bCs/>
                <w:color w:val="auto"/>
                <w:lang w:eastAsia="zh-CN"/>
              </w:rPr>
              <w:t>3.7-5</w:t>
            </w:r>
            <w:r>
              <w:rPr>
                <w:b/>
                <w:bCs/>
                <w:color w:val="auto"/>
              </w:rPr>
              <w:t xml:space="preserve"> 污水处理站有组织排放恶臭污染物排放限值</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1"/>
              <w:gridCol w:w="1159"/>
              <w:gridCol w:w="1295"/>
              <w:gridCol w:w="1359"/>
              <w:gridCol w:w="1462"/>
              <w:gridCol w:w="13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7" w:type="pct"/>
                  <w:vMerge w:val="restart"/>
                  <w:noWrap w:val="0"/>
                  <w:vAlign w:val="center"/>
                </w:tcPr>
                <w:p>
                  <w:pPr>
                    <w:pStyle w:val="17"/>
                    <w:rPr>
                      <w:b w:val="0"/>
                      <w:bCs w:val="0"/>
                      <w:color w:val="auto"/>
                    </w:rPr>
                  </w:pPr>
                  <w:r>
                    <w:rPr>
                      <w:b w:val="0"/>
                      <w:bCs w:val="0"/>
                      <w:color w:val="auto"/>
                    </w:rPr>
                    <w:t>污染源</w:t>
                  </w:r>
                </w:p>
              </w:tc>
              <w:tc>
                <w:tcPr>
                  <w:tcW w:w="761" w:type="pct"/>
                  <w:vMerge w:val="restart"/>
                  <w:noWrap w:val="0"/>
                  <w:vAlign w:val="center"/>
                </w:tcPr>
                <w:p>
                  <w:pPr>
                    <w:pStyle w:val="17"/>
                    <w:rPr>
                      <w:b w:val="0"/>
                      <w:bCs w:val="0"/>
                      <w:color w:val="auto"/>
                    </w:rPr>
                  </w:pPr>
                  <w:r>
                    <w:rPr>
                      <w:b w:val="0"/>
                      <w:bCs w:val="0"/>
                      <w:color w:val="auto"/>
                    </w:rPr>
                    <w:t>污染物</w:t>
                  </w:r>
                </w:p>
              </w:tc>
              <w:tc>
                <w:tcPr>
                  <w:tcW w:w="850" w:type="pct"/>
                  <w:vMerge w:val="restart"/>
                  <w:noWrap w:val="0"/>
                  <w:vAlign w:val="center"/>
                </w:tcPr>
                <w:p>
                  <w:pPr>
                    <w:pStyle w:val="17"/>
                    <w:rPr>
                      <w:b w:val="0"/>
                      <w:bCs w:val="0"/>
                      <w:color w:val="auto"/>
                    </w:rPr>
                  </w:pPr>
                  <w:r>
                    <w:rPr>
                      <w:b w:val="0"/>
                      <w:bCs w:val="0"/>
                      <w:color w:val="auto"/>
                    </w:rPr>
                    <w:t>最高允许排放浓度mg/m</w:t>
                  </w:r>
                  <w:r>
                    <w:rPr>
                      <w:b w:val="0"/>
                      <w:bCs w:val="0"/>
                      <w:color w:val="auto"/>
                      <w:vertAlign w:val="superscript"/>
                    </w:rPr>
                    <w:t>3</w:t>
                  </w:r>
                </w:p>
              </w:tc>
              <w:tc>
                <w:tcPr>
                  <w:tcW w:w="1852" w:type="pct"/>
                  <w:gridSpan w:val="2"/>
                  <w:noWrap w:val="0"/>
                  <w:vAlign w:val="center"/>
                </w:tcPr>
                <w:p>
                  <w:pPr>
                    <w:pStyle w:val="17"/>
                    <w:rPr>
                      <w:b w:val="0"/>
                      <w:bCs w:val="0"/>
                      <w:color w:val="auto"/>
                    </w:rPr>
                  </w:pPr>
                  <w:r>
                    <w:rPr>
                      <w:b w:val="0"/>
                      <w:bCs w:val="0"/>
                      <w:color w:val="auto"/>
                    </w:rPr>
                    <w:t>最高允许排放速率</w:t>
                  </w:r>
                </w:p>
              </w:tc>
              <w:tc>
                <w:tcPr>
                  <w:tcW w:w="859" w:type="pct"/>
                  <w:vMerge w:val="restart"/>
                  <w:noWrap w:val="0"/>
                  <w:vAlign w:val="center"/>
                </w:tcPr>
                <w:p>
                  <w:pPr>
                    <w:pStyle w:val="17"/>
                    <w:rPr>
                      <w:b w:val="0"/>
                      <w:bCs w:val="0"/>
                      <w:color w:val="auto"/>
                    </w:rPr>
                  </w:pPr>
                  <w:r>
                    <w:rPr>
                      <w:b w:val="0"/>
                      <w:bCs w:val="0"/>
                      <w:color w:val="auto"/>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7" w:type="pct"/>
                  <w:vMerge w:val="continue"/>
                  <w:noWrap w:val="0"/>
                  <w:vAlign w:val="center"/>
                </w:tcPr>
                <w:p>
                  <w:pPr>
                    <w:pStyle w:val="17"/>
                    <w:rPr>
                      <w:b w:val="0"/>
                      <w:bCs w:val="0"/>
                      <w:color w:val="auto"/>
                    </w:rPr>
                  </w:pPr>
                </w:p>
              </w:tc>
              <w:tc>
                <w:tcPr>
                  <w:tcW w:w="761" w:type="pct"/>
                  <w:vMerge w:val="continue"/>
                  <w:noWrap w:val="0"/>
                  <w:vAlign w:val="center"/>
                </w:tcPr>
                <w:p>
                  <w:pPr>
                    <w:pStyle w:val="17"/>
                    <w:rPr>
                      <w:b w:val="0"/>
                      <w:bCs w:val="0"/>
                      <w:color w:val="auto"/>
                    </w:rPr>
                  </w:pPr>
                </w:p>
              </w:tc>
              <w:tc>
                <w:tcPr>
                  <w:tcW w:w="850" w:type="pct"/>
                  <w:vMerge w:val="continue"/>
                  <w:noWrap w:val="0"/>
                  <w:vAlign w:val="center"/>
                </w:tcPr>
                <w:p>
                  <w:pPr>
                    <w:pStyle w:val="17"/>
                    <w:rPr>
                      <w:b w:val="0"/>
                      <w:bCs w:val="0"/>
                      <w:color w:val="auto"/>
                    </w:rPr>
                  </w:pPr>
                </w:p>
              </w:tc>
              <w:tc>
                <w:tcPr>
                  <w:tcW w:w="892" w:type="pct"/>
                  <w:noWrap w:val="0"/>
                  <w:vAlign w:val="center"/>
                </w:tcPr>
                <w:p>
                  <w:pPr>
                    <w:pStyle w:val="17"/>
                    <w:rPr>
                      <w:b w:val="0"/>
                      <w:bCs w:val="0"/>
                      <w:color w:val="auto"/>
                    </w:rPr>
                  </w:pPr>
                  <w:r>
                    <w:rPr>
                      <w:b w:val="0"/>
                      <w:bCs w:val="0"/>
                      <w:color w:val="auto"/>
                    </w:rPr>
                    <w:t>排气筒高度</w:t>
                  </w:r>
                </w:p>
              </w:tc>
              <w:tc>
                <w:tcPr>
                  <w:tcW w:w="960" w:type="pct"/>
                  <w:noWrap w:val="0"/>
                  <w:vAlign w:val="center"/>
                </w:tcPr>
                <w:p>
                  <w:pPr>
                    <w:pStyle w:val="17"/>
                    <w:rPr>
                      <w:b w:val="0"/>
                      <w:bCs w:val="0"/>
                      <w:color w:val="auto"/>
                    </w:rPr>
                  </w:pPr>
                  <w:r>
                    <w:rPr>
                      <w:b w:val="0"/>
                      <w:bCs w:val="0"/>
                      <w:color w:val="auto"/>
                    </w:rPr>
                    <w:t>排放量(kg/h)</w:t>
                  </w:r>
                </w:p>
              </w:tc>
              <w:tc>
                <w:tcPr>
                  <w:tcW w:w="859" w:type="pct"/>
                  <w:vMerge w:val="continue"/>
                  <w:noWrap w:val="0"/>
                  <w:vAlign w:val="center"/>
                </w:tcPr>
                <w:p>
                  <w:pPr>
                    <w:pStyle w:val="17"/>
                    <w:rPr>
                      <w:b w:val="0"/>
                      <w:bCs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7" w:type="pct"/>
                  <w:vMerge w:val="restart"/>
                  <w:noWrap w:val="0"/>
                  <w:vAlign w:val="center"/>
                </w:tcPr>
                <w:p>
                  <w:pPr>
                    <w:pStyle w:val="17"/>
                    <w:rPr>
                      <w:b w:val="0"/>
                      <w:bCs w:val="0"/>
                      <w:color w:val="auto"/>
                    </w:rPr>
                  </w:pPr>
                  <w:r>
                    <w:rPr>
                      <w:b w:val="0"/>
                      <w:bCs w:val="0"/>
                      <w:color w:val="auto"/>
                    </w:rPr>
                    <w:t>污水处理站</w:t>
                  </w:r>
                </w:p>
              </w:tc>
              <w:tc>
                <w:tcPr>
                  <w:tcW w:w="761" w:type="pct"/>
                  <w:noWrap w:val="0"/>
                  <w:vAlign w:val="center"/>
                </w:tcPr>
                <w:p>
                  <w:pPr>
                    <w:pStyle w:val="17"/>
                    <w:rPr>
                      <w:b w:val="0"/>
                      <w:bCs w:val="0"/>
                      <w:color w:val="auto"/>
                    </w:rPr>
                  </w:pPr>
                  <w:r>
                    <w:rPr>
                      <w:b w:val="0"/>
                      <w:bCs w:val="0"/>
                      <w:color w:val="auto"/>
                    </w:rPr>
                    <w:t>臭气浓度</w:t>
                  </w:r>
                </w:p>
              </w:tc>
              <w:tc>
                <w:tcPr>
                  <w:tcW w:w="850" w:type="pct"/>
                  <w:noWrap w:val="0"/>
                  <w:vAlign w:val="center"/>
                </w:tcPr>
                <w:p>
                  <w:pPr>
                    <w:pStyle w:val="17"/>
                    <w:rPr>
                      <w:b w:val="0"/>
                      <w:bCs w:val="0"/>
                      <w:color w:val="auto"/>
                    </w:rPr>
                  </w:pPr>
                  <w:r>
                    <w:rPr>
                      <w:b w:val="0"/>
                      <w:bCs w:val="0"/>
                      <w:color w:val="auto"/>
                    </w:rPr>
                    <w:t>/</w:t>
                  </w:r>
                </w:p>
              </w:tc>
              <w:tc>
                <w:tcPr>
                  <w:tcW w:w="892" w:type="pct"/>
                  <w:noWrap w:val="0"/>
                  <w:vAlign w:val="center"/>
                </w:tcPr>
                <w:p>
                  <w:pPr>
                    <w:pStyle w:val="17"/>
                    <w:rPr>
                      <w:b w:val="0"/>
                      <w:bCs w:val="0"/>
                      <w:color w:val="auto"/>
                    </w:rPr>
                  </w:pPr>
                  <w:r>
                    <w:rPr>
                      <w:b w:val="0"/>
                      <w:bCs w:val="0"/>
                      <w:color w:val="auto"/>
                    </w:rPr>
                    <w:t>15</w:t>
                  </w:r>
                </w:p>
              </w:tc>
              <w:tc>
                <w:tcPr>
                  <w:tcW w:w="960" w:type="pct"/>
                  <w:noWrap w:val="0"/>
                  <w:vAlign w:val="center"/>
                </w:tcPr>
                <w:p>
                  <w:pPr>
                    <w:pStyle w:val="17"/>
                    <w:rPr>
                      <w:b w:val="0"/>
                      <w:bCs w:val="0"/>
                      <w:color w:val="auto"/>
                    </w:rPr>
                  </w:pPr>
                  <w:r>
                    <w:rPr>
                      <w:b w:val="0"/>
                      <w:bCs w:val="0"/>
                      <w:color w:val="auto"/>
                    </w:rPr>
                    <w:t>2000（无量纲）</w:t>
                  </w:r>
                </w:p>
              </w:tc>
              <w:tc>
                <w:tcPr>
                  <w:tcW w:w="859" w:type="pct"/>
                  <w:vMerge w:val="restart"/>
                  <w:noWrap w:val="0"/>
                  <w:vAlign w:val="center"/>
                </w:tcPr>
                <w:p>
                  <w:pPr>
                    <w:pStyle w:val="17"/>
                    <w:rPr>
                      <w:b w:val="0"/>
                      <w:bCs w:val="0"/>
                      <w:color w:val="auto"/>
                    </w:rPr>
                  </w:pPr>
                  <w:r>
                    <w:rPr>
                      <w:b w:val="0"/>
                      <w:bCs w:val="0"/>
                      <w:color w:val="auto"/>
                    </w:rPr>
                    <w:t>GB14554-93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7" w:type="pct"/>
                  <w:vMerge w:val="continue"/>
                  <w:noWrap w:val="0"/>
                  <w:vAlign w:val="center"/>
                </w:tcPr>
                <w:p>
                  <w:pPr>
                    <w:pStyle w:val="17"/>
                    <w:rPr>
                      <w:b w:val="0"/>
                      <w:bCs w:val="0"/>
                      <w:color w:val="auto"/>
                    </w:rPr>
                  </w:pPr>
                </w:p>
              </w:tc>
              <w:tc>
                <w:tcPr>
                  <w:tcW w:w="761" w:type="pct"/>
                  <w:noWrap w:val="0"/>
                  <w:vAlign w:val="center"/>
                </w:tcPr>
                <w:p>
                  <w:pPr>
                    <w:pStyle w:val="17"/>
                    <w:rPr>
                      <w:b w:val="0"/>
                      <w:bCs w:val="0"/>
                      <w:color w:val="auto"/>
                    </w:rPr>
                  </w:pPr>
                  <w:r>
                    <w:rPr>
                      <w:b w:val="0"/>
                      <w:bCs w:val="0"/>
                      <w:color w:val="auto"/>
                    </w:rPr>
                    <w:t>NH</w:t>
                  </w:r>
                  <w:r>
                    <w:rPr>
                      <w:b w:val="0"/>
                      <w:bCs w:val="0"/>
                      <w:color w:val="auto"/>
                      <w:vertAlign w:val="subscript"/>
                    </w:rPr>
                    <w:t>3</w:t>
                  </w:r>
                </w:p>
              </w:tc>
              <w:tc>
                <w:tcPr>
                  <w:tcW w:w="850" w:type="pct"/>
                  <w:noWrap w:val="0"/>
                  <w:vAlign w:val="center"/>
                </w:tcPr>
                <w:p>
                  <w:pPr>
                    <w:pStyle w:val="17"/>
                    <w:rPr>
                      <w:b w:val="0"/>
                      <w:bCs w:val="0"/>
                      <w:color w:val="auto"/>
                    </w:rPr>
                  </w:pPr>
                  <w:r>
                    <w:rPr>
                      <w:b w:val="0"/>
                      <w:bCs w:val="0"/>
                      <w:color w:val="auto"/>
                    </w:rPr>
                    <w:t>/</w:t>
                  </w:r>
                </w:p>
              </w:tc>
              <w:tc>
                <w:tcPr>
                  <w:tcW w:w="892" w:type="pct"/>
                  <w:noWrap w:val="0"/>
                  <w:vAlign w:val="center"/>
                </w:tcPr>
                <w:p>
                  <w:pPr>
                    <w:pStyle w:val="17"/>
                    <w:rPr>
                      <w:b w:val="0"/>
                      <w:bCs w:val="0"/>
                      <w:color w:val="auto"/>
                    </w:rPr>
                  </w:pPr>
                  <w:r>
                    <w:rPr>
                      <w:b w:val="0"/>
                      <w:bCs w:val="0"/>
                      <w:color w:val="auto"/>
                    </w:rPr>
                    <w:t>15</w:t>
                  </w:r>
                </w:p>
              </w:tc>
              <w:tc>
                <w:tcPr>
                  <w:tcW w:w="960" w:type="pct"/>
                  <w:noWrap w:val="0"/>
                  <w:vAlign w:val="center"/>
                </w:tcPr>
                <w:p>
                  <w:pPr>
                    <w:pStyle w:val="17"/>
                    <w:rPr>
                      <w:b w:val="0"/>
                      <w:bCs w:val="0"/>
                      <w:color w:val="auto"/>
                    </w:rPr>
                  </w:pPr>
                  <w:r>
                    <w:rPr>
                      <w:b w:val="0"/>
                      <w:bCs w:val="0"/>
                      <w:color w:val="auto"/>
                    </w:rPr>
                    <w:t>4.9</w:t>
                  </w:r>
                </w:p>
              </w:tc>
              <w:tc>
                <w:tcPr>
                  <w:tcW w:w="859" w:type="pct"/>
                  <w:vMerge w:val="continue"/>
                  <w:noWrap w:val="0"/>
                  <w:vAlign w:val="center"/>
                </w:tcPr>
                <w:p>
                  <w:pPr>
                    <w:pStyle w:val="17"/>
                    <w:rPr>
                      <w:b w:val="0"/>
                      <w:bCs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7" w:type="pct"/>
                  <w:vMerge w:val="continue"/>
                  <w:noWrap w:val="0"/>
                  <w:vAlign w:val="center"/>
                </w:tcPr>
                <w:p>
                  <w:pPr>
                    <w:pStyle w:val="17"/>
                    <w:rPr>
                      <w:b w:val="0"/>
                      <w:bCs w:val="0"/>
                      <w:color w:val="auto"/>
                    </w:rPr>
                  </w:pPr>
                </w:p>
              </w:tc>
              <w:tc>
                <w:tcPr>
                  <w:tcW w:w="761" w:type="pct"/>
                  <w:noWrap w:val="0"/>
                  <w:vAlign w:val="center"/>
                </w:tcPr>
                <w:p>
                  <w:pPr>
                    <w:pStyle w:val="17"/>
                    <w:rPr>
                      <w:b w:val="0"/>
                      <w:bCs w:val="0"/>
                      <w:color w:val="auto"/>
                    </w:rPr>
                  </w:pPr>
                  <w:r>
                    <w:rPr>
                      <w:b w:val="0"/>
                      <w:bCs w:val="0"/>
                      <w:color w:val="auto"/>
                    </w:rPr>
                    <w:t>H</w:t>
                  </w:r>
                  <w:r>
                    <w:rPr>
                      <w:b w:val="0"/>
                      <w:bCs w:val="0"/>
                      <w:color w:val="auto"/>
                      <w:vertAlign w:val="subscript"/>
                    </w:rPr>
                    <w:t>2</w:t>
                  </w:r>
                  <w:r>
                    <w:rPr>
                      <w:b w:val="0"/>
                      <w:bCs w:val="0"/>
                      <w:color w:val="auto"/>
                    </w:rPr>
                    <w:t>S</w:t>
                  </w:r>
                </w:p>
              </w:tc>
              <w:tc>
                <w:tcPr>
                  <w:tcW w:w="850" w:type="pct"/>
                  <w:noWrap w:val="0"/>
                  <w:vAlign w:val="center"/>
                </w:tcPr>
                <w:p>
                  <w:pPr>
                    <w:pStyle w:val="17"/>
                    <w:rPr>
                      <w:b w:val="0"/>
                      <w:bCs w:val="0"/>
                      <w:color w:val="auto"/>
                    </w:rPr>
                  </w:pPr>
                  <w:r>
                    <w:rPr>
                      <w:b w:val="0"/>
                      <w:bCs w:val="0"/>
                      <w:color w:val="auto"/>
                    </w:rPr>
                    <w:t>/</w:t>
                  </w:r>
                </w:p>
              </w:tc>
              <w:tc>
                <w:tcPr>
                  <w:tcW w:w="892" w:type="pct"/>
                  <w:noWrap w:val="0"/>
                  <w:vAlign w:val="center"/>
                </w:tcPr>
                <w:p>
                  <w:pPr>
                    <w:pStyle w:val="17"/>
                    <w:rPr>
                      <w:b w:val="0"/>
                      <w:bCs w:val="0"/>
                      <w:color w:val="auto"/>
                    </w:rPr>
                  </w:pPr>
                  <w:r>
                    <w:rPr>
                      <w:b w:val="0"/>
                      <w:bCs w:val="0"/>
                      <w:color w:val="auto"/>
                    </w:rPr>
                    <w:t>15</w:t>
                  </w:r>
                </w:p>
              </w:tc>
              <w:tc>
                <w:tcPr>
                  <w:tcW w:w="960" w:type="pct"/>
                  <w:noWrap w:val="0"/>
                  <w:vAlign w:val="center"/>
                </w:tcPr>
                <w:p>
                  <w:pPr>
                    <w:pStyle w:val="17"/>
                    <w:rPr>
                      <w:b w:val="0"/>
                      <w:bCs w:val="0"/>
                      <w:color w:val="auto"/>
                    </w:rPr>
                  </w:pPr>
                  <w:r>
                    <w:rPr>
                      <w:b w:val="0"/>
                      <w:bCs w:val="0"/>
                      <w:color w:val="auto"/>
                    </w:rPr>
                    <w:t>0.33</w:t>
                  </w:r>
                </w:p>
              </w:tc>
              <w:tc>
                <w:tcPr>
                  <w:tcW w:w="859" w:type="pct"/>
                  <w:vMerge w:val="continue"/>
                  <w:noWrap w:val="0"/>
                  <w:vAlign w:val="center"/>
                </w:tcPr>
                <w:p>
                  <w:pPr>
                    <w:pStyle w:val="17"/>
                    <w:rPr>
                      <w:b w:val="0"/>
                      <w:bCs w:val="0"/>
                      <w:color w:val="auto"/>
                    </w:rPr>
                  </w:pPr>
                </w:p>
              </w:tc>
            </w:tr>
          </w:tbl>
          <w:p>
            <w:pPr>
              <w:widowControl/>
              <w:ind w:firstLine="0" w:firstLineChars="0"/>
              <w:jc w:val="center"/>
              <w:rPr>
                <w:rFonts w:ascii="宋体" w:hAnsi="宋体" w:eastAsia="宋体" w:cs="宋体"/>
                <w:b/>
                <w:bCs/>
                <w:color w:val="auto"/>
                <w:sz w:val="24"/>
                <w:szCs w:val="24"/>
              </w:rPr>
            </w:pPr>
            <w:r>
              <w:rPr>
                <w:rFonts w:hint="eastAsia"/>
                <w:b/>
                <w:bCs/>
                <w:color w:val="auto"/>
                <w:lang w:val="en-US" w:eastAsia="zh-CN"/>
              </w:rPr>
              <w:t xml:space="preserve">表3.7-6 </w:t>
            </w:r>
            <w:r>
              <w:rPr>
                <w:rFonts w:ascii="宋体" w:hAnsi="宋体" w:eastAsia="宋体" w:cs="宋体"/>
                <w:b/>
                <w:bCs/>
                <w:color w:val="auto"/>
                <w:sz w:val="24"/>
                <w:szCs w:val="24"/>
              </w:rPr>
              <w:t>实验室废气排放标准</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498"/>
              <w:gridCol w:w="1192"/>
              <w:gridCol w:w="1190"/>
              <w:gridCol w:w="2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87" w:type="pct"/>
                  <w:vMerge w:val="restart"/>
                  <w:tcBorders>
                    <w:top w:val="single" w:color="auto" w:sz="12" w:space="0"/>
                  </w:tcBorders>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污染物</w:t>
                  </w:r>
                </w:p>
              </w:tc>
              <w:tc>
                <w:tcPr>
                  <w:tcW w:w="985" w:type="pct"/>
                  <w:vMerge w:val="restart"/>
                  <w:tcBorders>
                    <w:top w:val="single" w:color="auto" w:sz="12" w:space="0"/>
                  </w:tcBorders>
                  <w:vAlign w:val="center"/>
                </w:tcPr>
                <w:p>
                  <w:pPr>
                    <w:bidi w:val="0"/>
                    <w:spacing w:line="240" w:lineRule="auto"/>
                    <w:jc w:val="center"/>
                    <w:rPr>
                      <w:rFonts w:hint="eastAsia"/>
                      <w:color w:val="auto"/>
                      <w:sz w:val="21"/>
                      <w:szCs w:val="21"/>
                      <w:lang w:val="en-US" w:eastAsia="zh-CN"/>
                    </w:rPr>
                  </w:pPr>
                  <w:r>
                    <w:rPr>
                      <w:rFonts w:hint="eastAsia"/>
                      <w:color w:val="auto"/>
                      <w:sz w:val="21"/>
                      <w:szCs w:val="21"/>
                      <w:lang w:val="en-US" w:eastAsia="zh-CN"/>
                    </w:rPr>
                    <w:t>最高允许排放浓度（mg/m</w:t>
                  </w:r>
                  <w:r>
                    <w:rPr>
                      <w:rFonts w:hint="eastAsia"/>
                      <w:color w:val="auto"/>
                      <w:sz w:val="21"/>
                      <w:szCs w:val="21"/>
                      <w:vertAlign w:val="superscript"/>
                      <w:lang w:val="en-US" w:eastAsia="zh-CN"/>
                    </w:rPr>
                    <w:t>3</w:t>
                  </w:r>
                  <w:r>
                    <w:rPr>
                      <w:rFonts w:hint="eastAsia"/>
                      <w:color w:val="auto"/>
                      <w:sz w:val="21"/>
                      <w:szCs w:val="21"/>
                      <w:lang w:val="en-US" w:eastAsia="zh-CN"/>
                    </w:rPr>
                    <w:t>）</w:t>
                  </w:r>
                </w:p>
              </w:tc>
              <w:tc>
                <w:tcPr>
                  <w:tcW w:w="1565" w:type="pct"/>
                  <w:gridSpan w:val="2"/>
                  <w:tcBorders>
                    <w:top w:val="single" w:color="auto" w:sz="12" w:space="0"/>
                  </w:tcBorders>
                  <w:vAlign w:val="center"/>
                </w:tcPr>
                <w:p>
                  <w:pPr>
                    <w:bidi w:val="0"/>
                    <w:spacing w:line="240" w:lineRule="auto"/>
                    <w:jc w:val="center"/>
                    <w:rPr>
                      <w:color w:val="auto"/>
                      <w:sz w:val="21"/>
                      <w:szCs w:val="21"/>
                    </w:rPr>
                  </w:pPr>
                  <w:r>
                    <w:rPr>
                      <w:rFonts w:hint="eastAsia"/>
                      <w:color w:val="auto"/>
                      <w:sz w:val="21"/>
                      <w:szCs w:val="21"/>
                      <w:lang w:val="en-US" w:eastAsia="zh-CN"/>
                    </w:rPr>
                    <w:t>最高允许排放速率</w:t>
                  </w:r>
                </w:p>
              </w:tc>
              <w:tc>
                <w:tcPr>
                  <w:tcW w:w="1962" w:type="pct"/>
                  <w:vMerge w:val="restart"/>
                  <w:tcBorders>
                    <w:top w:val="single" w:color="auto" w:sz="12" w:space="0"/>
                    <w:right w:val="nil"/>
                  </w:tcBorders>
                  <w:vAlign w:val="center"/>
                </w:tcPr>
                <w:p>
                  <w:pPr>
                    <w:bidi w:val="0"/>
                    <w:jc w:val="center"/>
                    <w:rPr>
                      <w:rFonts w:hint="default"/>
                      <w:color w:val="auto"/>
                      <w:sz w:val="21"/>
                      <w:szCs w:val="21"/>
                      <w:lang w:val="en-US" w:eastAsia="zh-CN"/>
                    </w:rPr>
                  </w:pPr>
                  <w:r>
                    <w:rPr>
                      <w:rFonts w:hint="eastAsia"/>
                      <w:color w:val="auto"/>
                      <w:sz w:val="21"/>
                      <w:szCs w:val="21"/>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87" w:type="pct"/>
                  <w:vMerge w:val="continue"/>
                  <w:tcBorders>
                    <w:left w:val="nil"/>
                  </w:tcBorders>
                  <w:vAlign w:val="center"/>
                </w:tcPr>
                <w:p>
                  <w:pPr>
                    <w:bidi w:val="0"/>
                    <w:spacing w:line="240" w:lineRule="auto"/>
                    <w:jc w:val="center"/>
                    <w:rPr>
                      <w:color w:val="auto"/>
                      <w:sz w:val="21"/>
                      <w:szCs w:val="21"/>
                    </w:rPr>
                  </w:pPr>
                </w:p>
              </w:tc>
              <w:tc>
                <w:tcPr>
                  <w:tcW w:w="985" w:type="pct"/>
                  <w:vMerge w:val="continue"/>
                  <w:vAlign w:val="center"/>
                </w:tcPr>
                <w:p>
                  <w:pPr>
                    <w:bidi w:val="0"/>
                    <w:spacing w:line="240" w:lineRule="auto"/>
                    <w:jc w:val="center"/>
                    <w:rPr>
                      <w:color w:val="auto"/>
                      <w:sz w:val="21"/>
                      <w:szCs w:val="21"/>
                    </w:rPr>
                  </w:pPr>
                </w:p>
              </w:tc>
              <w:tc>
                <w:tcPr>
                  <w:tcW w:w="783" w:type="pc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排气筒高度（m）</w:t>
                  </w:r>
                </w:p>
              </w:tc>
              <w:tc>
                <w:tcPr>
                  <w:tcW w:w="781" w:type="pct"/>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标准限值（kg/h）</w:t>
                  </w:r>
                </w:p>
              </w:tc>
              <w:tc>
                <w:tcPr>
                  <w:tcW w:w="1962" w:type="pct"/>
                  <w:vMerge w:val="continue"/>
                  <w:tcBorders>
                    <w:right w:val="nil"/>
                  </w:tcBorders>
                  <w:vAlign w:val="center"/>
                </w:tcPr>
                <w:p>
                  <w:pPr>
                    <w:bidi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87" w:type="pct"/>
                  <w:tcBorders>
                    <w:left w:val="nil"/>
                    <w:bottom w:val="single" w:color="auto" w:sz="12" w:space="0"/>
                  </w:tcBorders>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VOCs</w:t>
                  </w:r>
                </w:p>
              </w:tc>
              <w:tc>
                <w:tcPr>
                  <w:tcW w:w="985" w:type="pct"/>
                  <w:tcBorders>
                    <w:bottom w:val="single" w:color="auto" w:sz="12" w:space="0"/>
                  </w:tcBorders>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60</w:t>
                  </w:r>
                </w:p>
              </w:tc>
              <w:tc>
                <w:tcPr>
                  <w:tcW w:w="783" w:type="pct"/>
                  <w:tcBorders>
                    <w:bottom w:val="single" w:color="auto" w:sz="12" w:space="0"/>
                  </w:tcBorders>
                  <w:vAlign w:val="center"/>
                </w:tcPr>
                <w:p>
                  <w:pPr>
                    <w:bidi w:val="0"/>
                    <w:spacing w:line="240" w:lineRule="auto"/>
                    <w:jc w:val="center"/>
                    <w:rPr>
                      <w:color w:val="auto"/>
                      <w:sz w:val="21"/>
                      <w:szCs w:val="21"/>
                    </w:rPr>
                  </w:pPr>
                  <w:r>
                    <w:rPr>
                      <w:rFonts w:hint="eastAsia"/>
                      <w:color w:val="auto"/>
                      <w:sz w:val="21"/>
                      <w:szCs w:val="21"/>
                      <w:lang w:val="en-US" w:eastAsia="zh-CN"/>
                    </w:rPr>
                    <w:t>20</w:t>
                  </w:r>
                </w:p>
              </w:tc>
              <w:tc>
                <w:tcPr>
                  <w:tcW w:w="781" w:type="pct"/>
                  <w:tcBorders>
                    <w:bottom w:val="single" w:color="auto" w:sz="12" w:space="0"/>
                  </w:tcBorders>
                  <w:vAlign w:val="center"/>
                </w:tcPr>
                <w:p>
                  <w:pPr>
                    <w:bidi w:val="0"/>
                    <w:spacing w:line="240" w:lineRule="auto"/>
                    <w:jc w:val="center"/>
                    <w:rPr>
                      <w:rFonts w:hint="default"/>
                      <w:color w:val="auto"/>
                      <w:sz w:val="21"/>
                      <w:szCs w:val="21"/>
                      <w:lang w:val="en-US" w:eastAsia="zh-CN"/>
                    </w:rPr>
                  </w:pPr>
                  <w:r>
                    <w:rPr>
                      <w:rFonts w:hint="eastAsia"/>
                      <w:color w:val="auto"/>
                      <w:sz w:val="21"/>
                      <w:szCs w:val="21"/>
                      <w:lang w:val="en-US" w:eastAsia="zh-CN"/>
                    </w:rPr>
                    <w:t>4.1</w:t>
                  </w:r>
                </w:p>
              </w:tc>
              <w:tc>
                <w:tcPr>
                  <w:tcW w:w="1962" w:type="pct"/>
                  <w:tcBorders>
                    <w:bottom w:val="single" w:color="auto" w:sz="12" w:space="0"/>
                    <w:right w:val="nil"/>
                  </w:tcBorders>
                  <w:vAlign w:val="center"/>
                </w:tcPr>
                <w:p>
                  <w:pPr>
                    <w:bidi w:val="0"/>
                    <w:spacing w:line="240" w:lineRule="auto"/>
                    <w:jc w:val="center"/>
                    <w:rPr>
                      <w:rFonts w:hint="eastAsia"/>
                      <w:color w:val="auto"/>
                      <w:sz w:val="21"/>
                      <w:szCs w:val="21"/>
                      <w:lang w:eastAsia="zh-CN"/>
                    </w:rPr>
                  </w:pPr>
                  <w:r>
                    <w:rPr>
                      <w:color w:val="auto"/>
                      <w:sz w:val="21"/>
                      <w:szCs w:val="21"/>
                    </w:rPr>
                    <w:t>《工业企业挥发性有机物排放控制标准》（DB12524-2014）表2中标准</w:t>
                  </w:r>
                </w:p>
              </w:tc>
            </w:tr>
          </w:tbl>
          <w:p>
            <w:pPr>
              <w:widowControl/>
              <w:ind w:firstLine="0" w:firstLineChars="0"/>
              <w:jc w:val="center"/>
              <w:rPr>
                <w:b/>
                <w:bCs/>
                <w:color w:val="auto"/>
                <w:sz w:val="21"/>
                <w:szCs w:val="21"/>
              </w:rPr>
            </w:pPr>
            <w:r>
              <w:rPr>
                <w:b/>
                <w:bCs/>
                <w:color w:val="auto"/>
              </w:rPr>
              <w:t>表</w:t>
            </w:r>
            <w:r>
              <w:rPr>
                <w:rFonts w:hint="eastAsia"/>
                <w:b/>
                <w:bCs/>
                <w:color w:val="auto"/>
                <w:lang w:eastAsia="zh-CN"/>
              </w:rPr>
              <w:t>3.7-</w:t>
            </w:r>
            <w:r>
              <w:rPr>
                <w:rFonts w:hint="eastAsia"/>
                <w:b/>
                <w:bCs/>
                <w:color w:val="auto"/>
                <w:lang w:val="en-US" w:eastAsia="zh-CN"/>
              </w:rPr>
              <w:t>7</w:t>
            </w:r>
            <w:r>
              <w:rPr>
                <w:b/>
                <w:bCs/>
                <w:color w:val="auto"/>
              </w:rPr>
              <w:t xml:space="preserve"> 饮食业单位的油烟最高允许排放浓度和油烟净化设施最低去除效率</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1462"/>
              <w:gridCol w:w="1483"/>
              <w:gridCol w:w="14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099" w:type="pct"/>
                  <w:shd w:val="clear" w:color="auto" w:fill="auto"/>
                  <w:noWrap w:val="0"/>
                  <w:vAlign w:val="center"/>
                </w:tcPr>
                <w:p>
                  <w:pPr>
                    <w:spacing w:line="240" w:lineRule="auto"/>
                    <w:ind w:firstLine="0" w:firstLineChars="0"/>
                    <w:jc w:val="center"/>
                    <w:rPr>
                      <w:color w:val="auto"/>
                      <w:sz w:val="21"/>
                    </w:rPr>
                  </w:pPr>
                  <w:r>
                    <w:rPr>
                      <w:color w:val="auto"/>
                      <w:sz w:val="21"/>
                    </w:rPr>
                    <w:t>规模</w:t>
                  </w:r>
                </w:p>
              </w:tc>
              <w:tc>
                <w:tcPr>
                  <w:tcW w:w="959" w:type="pct"/>
                  <w:shd w:val="clear" w:color="auto" w:fill="auto"/>
                  <w:noWrap w:val="0"/>
                  <w:vAlign w:val="center"/>
                </w:tcPr>
                <w:p>
                  <w:pPr>
                    <w:spacing w:line="240" w:lineRule="auto"/>
                    <w:ind w:firstLine="0" w:firstLineChars="0"/>
                    <w:jc w:val="center"/>
                    <w:rPr>
                      <w:color w:val="auto"/>
                      <w:sz w:val="21"/>
                    </w:rPr>
                  </w:pPr>
                  <w:r>
                    <w:rPr>
                      <w:color w:val="auto"/>
                      <w:sz w:val="21"/>
                    </w:rPr>
                    <w:t>小型</w:t>
                  </w:r>
                </w:p>
              </w:tc>
              <w:tc>
                <w:tcPr>
                  <w:tcW w:w="973" w:type="pct"/>
                  <w:shd w:val="clear" w:color="auto" w:fill="D7D7D7"/>
                  <w:noWrap w:val="0"/>
                  <w:vAlign w:val="center"/>
                </w:tcPr>
                <w:p>
                  <w:pPr>
                    <w:spacing w:line="240" w:lineRule="auto"/>
                    <w:ind w:firstLine="0" w:firstLineChars="0"/>
                    <w:jc w:val="center"/>
                    <w:rPr>
                      <w:color w:val="auto"/>
                      <w:sz w:val="21"/>
                    </w:rPr>
                  </w:pPr>
                  <w:r>
                    <w:rPr>
                      <w:color w:val="auto"/>
                      <w:sz w:val="21"/>
                    </w:rPr>
                    <w:t>中型</w:t>
                  </w:r>
                </w:p>
              </w:tc>
              <w:tc>
                <w:tcPr>
                  <w:tcW w:w="967" w:type="pct"/>
                  <w:noWrap w:val="0"/>
                  <w:vAlign w:val="center"/>
                </w:tcPr>
                <w:p>
                  <w:pPr>
                    <w:spacing w:line="240" w:lineRule="auto"/>
                    <w:ind w:firstLine="0" w:firstLineChars="0"/>
                    <w:jc w:val="center"/>
                    <w:rPr>
                      <w:color w:val="auto"/>
                      <w:sz w:val="21"/>
                    </w:rPr>
                  </w:pPr>
                  <w:r>
                    <w:rPr>
                      <w:color w:val="auto"/>
                      <w:sz w:val="21"/>
                    </w:rPr>
                    <w:t>大型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099" w:type="pct"/>
                  <w:shd w:val="clear" w:color="auto" w:fill="auto"/>
                  <w:noWrap w:val="0"/>
                  <w:vAlign w:val="center"/>
                </w:tcPr>
                <w:p>
                  <w:pPr>
                    <w:spacing w:line="240" w:lineRule="auto"/>
                    <w:ind w:firstLine="0" w:firstLineChars="0"/>
                    <w:jc w:val="center"/>
                    <w:rPr>
                      <w:color w:val="auto"/>
                      <w:sz w:val="21"/>
                    </w:rPr>
                  </w:pPr>
                  <w:r>
                    <w:rPr>
                      <w:color w:val="auto"/>
                      <w:sz w:val="21"/>
                    </w:rPr>
                    <w:t>基准灶头数</w:t>
                  </w:r>
                </w:p>
              </w:tc>
              <w:tc>
                <w:tcPr>
                  <w:tcW w:w="959" w:type="pct"/>
                  <w:shd w:val="clear" w:color="auto" w:fill="auto"/>
                  <w:noWrap w:val="0"/>
                  <w:vAlign w:val="center"/>
                </w:tcPr>
                <w:p>
                  <w:pPr>
                    <w:spacing w:line="240" w:lineRule="auto"/>
                    <w:ind w:firstLine="0" w:firstLineChars="0"/>
                    <w:jc w:val="center"/>
                    <w:rPr>
                      <w:color w:val="auto"/>
                      <w:sz w:val="21"/>
                    </w:rPr>
                  </w:pPr>
                  <w:r>
                    <w:rPr>
                      <w:color w:val="auto"/>
                      <w:sz w:val="21"/>
                    </w:rPr>
                    <w:t>≥1，＜3</w:t>
                  </w:r>
                </w:p>
              </w:tc>
              <w:tc>
                <w:tcPr>
                  <w:tcW w:w="973" w:type="pct"/>
                  <w:shd w:val="clear" w:color="auto" w:fill="D7D7D7"/>
                  <w:noWrap w:val="0"/>
                  <w:vAlign w:val="center"/>
                </w:tcPr>
                <w:p>
                  <w:pPr>
                    <w:spacing w:line="240" w:lineRule="auto"/>
                    <w:ind w:firstLine="0" w:firstLineChars="0"/>
                    <w:jc w:val="center"/>
                    <w:rPr>
                      <w:color w:val="auto"/>
                      <w:sz w:val="21"/>
                    </w:rPr>
                  </w:pPr>
                  <w:r>
                    <w:rPr>
                      <w:color w:val="auto"/>
                      <w:sz w:val="21"/>
                    </w:rPr>
                    <w:t>≥3，＜6</w:t>
                  </w:r>
                </w:p>
              </w:tc>
              <w:tc>
                <w:tcPr>
                  <w:tcW w:w="967" w:type="pct"/>
                  <w:noWrap w:val="0"/>
                  <w:vAlign w:val="center"/>
                </w:tcPr>
                <w:p>
                  <w:pPr>
                    <w:spacing w:line="240" w:lineRule="auto"/>
                    <w:ind w:firstLine="0" w:firstLineChars="0"/>
                    <w:jc w:val="center"/>
                    <w:rPr>
                      <w:color w:val="auto"/>
                      <w:sz w:val="21"/>
                    </w:rPr>
                  </w:pPr>
                  <w:r>
                    <w:rPr>
                      <w:color w:val="auto"/>
                      <w:sz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099" w:type="pct"/>
                  <w:shd w:val="clear" w:color="auto" w:fill="auto"/>
                  <w:noWrap w:val="0"/>
                  <w:vAlign w:val="center"/>
                </w:tcPr>
                <w:p>
                  <w:pPr>
                    <w:spacing w:line="240" w:lineRule="auto"/>
                    <w:ind w:firstLine="0" w:firstLineChars="0"/>
                    <w:jc w:val="center"/>
                    <w:rPr>
                      <w:color w:val="auto"/>
                      <w:sz w:val="21"/>
                    </w:rPr>
                  </w:pPr>
                  <w:r>
                    <w:rPr>
                      <w:color w:val="auto"/>
                      <w:sz w:val="21"/>
                    </w:rPr>
                    <w:t>最高允许排放浓度（mg/m</w:t>
                  </w:r>
                  <w:r>
                    <w:rPr>
                      <w:color w:val="auto"/>
                      <w:sz w:val="21"/>
                      <w:vertAlign w:val="superscript"/>
                    </w:rPr>
                    <w:t>3</w:t>
                  </w:r>
                  <w:r>
                    <w:rPr>
                      <w:color w:val="auto"/>
                      <w:sz w:val="21"/>
                    </w:rPr>
                    <w:t>）</w:t>
                  </w:r>
                </w:p>
              </w:tc>
              <w:tc>
                <w:tcPr>
                  <w:tcW w:w="2900" w:type="pct"/>
                  <w:gridSpan w:val="3"/>
                  <w:shd w:val="clear" w:color="auto" w:fill="D7D7D7"/>
                  <w:noWrap w:val="0"/>
                  <w:vAlign w:val="center"/>
                </w:tcPr>
                <w:p>
                  <w:pPr>
                    <w:spacing w:line="240" w:lineRule="auto"/>
                    <w:ind w:firstLine="0" w:firstLineChars="0"/>
                    <w:jc w:val="center"/>
                    <w:rPr>
                      <w:color w:val="auto"/>
                      <w:sz w:val="21"/>
                    </w:rPr>
                  </w:pPr>
                  <w:r>
                    <w:rPr>
                      <w:color w:val="auto"/>
                      <w:sz w:val="21"/>
                    </w:rPr>
                    <w:t> 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099" w:type="pct"/>
                  <w:shd w:val="clear" w:color="auto" w:fill="auto"/>
                  <w:noWrap w:val="0"/>
                  <w:vAlign w:val="center"/>
                </w:tcPr>
                <w:p>
                  <w:pPr>
                    <w:spacing w:line="240" w:lineRule="auto"/>
                    <w:ind w:firstLine="0" w:firstLineChars="0"/>
                    <w:jc w:val="center"/>
                    <w:rPr>
                      <w:color w:val="auto"/>
                      <w:sz w:val="21"/>
                    </w:rPr>
                  </w:pPr>
                  <w:r>
                    <w:rPr>
                      <w:color w:val="auto"/>
                      <w:sz w:val="21"/>
                    </w:rPr>
                    <w:t>净化设施最低去除效率（%）</w:t>
                  </w:r>
                </w:p>
              </w:tc>
              <w:tc>
                <w:tcPr>
                  <w:tcW w:w="959" w:type="pct"/>
                  <w:shd w:val="clear" w:color="auto" w:fill="auto"/>
                  <w:noWrap w:val="0"/>
                  <w:vAlign w:val="center"/>
                </w:tcPr>
                <w:p>
                  <w:pPr>
                    <w:spacing w:line="240" w:lineRule="auto"/>
                    <w:ind w:firstLine="0" w:firstLineChars="0"/>
                    <w:jc w:val="center"/>
                    <w:rPr>
                      <w:color w:val="auto"/>
                      <w:sz w:val="21"/>
                    </w:rPr>
                  </w:pPr>
                  <w:r>
                    <w:rPr>
                      <w:color w:val="auto"/>
                      <w:sz w:val="21"/>
                    </w:rPr>
                    <w:t>60</w:t>
                  </w:r>
                </w:p>
              </w:tc>
              <w:tc>
                <w:tcPr>
                  <w:tcW w:w="973" w:type="pct"/>
                  <w:shd w:val="clear" w:color="auto" w:fill="D7D7D7"/>
                  <w:noWrap w:val="0"/>
                  <w:vAlign w:val="center"/>
                </w:tcPr>
                <w:p>
                  <w:pPr>
                    <w:spacing w:line="240" w:lineRule="auto"/>
                    <w:ind w:firstLine="0" w:firstLineChars="0"/>
                    <w:jc w:val="center"/>
                    <w:rPr>
                      <w:color w:val="auto"/>
                      <w:sz w:val="21"/>
                    </w:rPr>
                  </w:pPr>
                  <w:r>
                    <w:rPr>
                      <w:color w:val="auto"/>
                      <w:sz w:val="21"/>
                    </w:rPr>
                    <w:t>75</w:t>
                  </w:r>
                </w:p>
              </w:tc>
              <w:tc>
                <w:tcPr>
                  <w:tcW w:w="967" w:type="pct"/>
                  <w:noWrap w:val="0"/>
                  <w:vAlign w:val="center"/>
                </w:tcPr>
                <w:p>
                  <w:pPr>
                    <w:spacing w:line="240" w:lineRule="auto"/>
                    <w:ind w:firstLine="0" w:firstLineChars="0"/>
                    <w:jc w:val="center"/>
                    <w:rPr>
                      <w:color w:val="auto"/>
                      <w:sz w:val="21"/>
                    </w:rPr>
                  </w:pPr>
                  <w:r>
                    <w:rPr>
                      <w:color w:val="auto"/>
                      <w:sz w:val="21"/>
                    </w:rPr>
                    <w:t>85</w:t>
                  </w:r>
                </w:p>
              </w:tc>
            </w:tr>
          </w:tbl>
          <w:p>
            <w:pPr>
              <w:bidi w:val="0"/>
              <w:rPr>
                <w:b/>
                <w:bCs/>
                <w:color w:val="auto"/>
              </w:rPr>
            </w:pPr>
            <w:r>
              <w:rPr>
                <w:rFonts w:hint="eastAsia"/>
                <w:b/>
                <w:bCs/>
                <w:color w:val="auto"/>
              </w:rPr>
              <w:t>3.</w:t>
            </w:r>
            <w:r>
              <w:rPr>
                <w:rFonts w:hint="eastAsia"/>
                <w:b/>
                <w:bCs/>
                <w:color w:val="auto"/>
                <w:lang w:val="en-US" w:eastAsia="zh-CN"/>
              </w:rPr>
              <w:t>7</w:t>
            </w:r>
            <w:r>
              <w:rPr>
                <w:b/>
                <w:bCs/>
                <w:color w:val="auto"/>
              </w:rPr>
              <w:t>.3厂界噪声排放标准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营运期：</w:t>
            </w:r>
            <w:r>
              <w:rPr>
                <w:color w:val="auto"/>
              </w:rPr>
              <w:t>项目</w:t>
            </w:r>
            <w:r>
              <w:rPr>
                <w:rFonts w:hint="eastAsia"/>
                <w:color w:val="auto"/>
                <w:lang w:val="en-US" w:eastAsia="zh-CN"/>
              </w:rPr>
              <w:t>北</w:t>
            </w:r>
            <w:r>
              <w:rPr>
                <w:color w:val="auto"/>
              </w:rPr>
              <w:t>侧为</w:t>
            </w:r>
            <w:r>
              <w:rPr>
                <w:rFonts w:hint="eastAsia"/>
                <w:color w:val="auto"/>
                <w:lang w:val="en-US" w:eastAsia="zh-CN"/>
              </w:rPr>
              <w:t>龙江路。</w:t>
            </w:r>
            <w:r>
              <w:rPr>
                <w:color w:val="auto"/>
              </w:rPr>
              <w:t>对照</w:t>
            </w:r>
            <w:r>
              <w:rPr>
                <w:rFonts w:hint="eastAsia"/>
                <w:color w:val="auto"/>
              </w:rPr>
              <w:t>福州</w:t>
            </w:r>
            <w:r>
              <w:rPr>
                <w:rFonts w:hint="eastAsia"/>
                <w:color w:val="auto"/>
                <w:lang w:eastAsia="zh-CN"/>
              </w:rPr>
              <w:t>福清市</w:t>
            </w:r>
            <w:r>
              <w:rPr>
                <w:rFonts w:hint="eastAsia"/>
                <w:color w:val="auto"/>
              </w:rPr>
              <w:t>声环境功能区划</w:t>
            </w:r>
            <w:r>
              <w:rPr>
                <w:color w:val="auto"/>
              </w:rPr>
              <w:t>，</w:t>
            </w:r>
            <w:r>
              <w:rPr>
                <w:rFonts w:hint="eastAsia"/>
                <w:color w:val="auto"/>
                <w:lang w:val="en-US" w:eastAsia="zh-CN"/>
              </w:rPr>
              <w:t>项目东，南两</w:t>
            </w:r>
            <w:r>
              <w:rPr>
                <w:rFonts w:hint="eastAsia"/>
                <w:color w:val="auto"/>
              </w:rPr>
              <w:t>侧</w:t>
            </w:r>
            <w:r>
              <w:rPr>
                <w:color w:val="auto"/>
              </w:rPr>
              <w:t>厂界执行《工业企业厂界环境噪声排放标准》（GBl2348-2008）2类标准</w:t>
            </w:r>
            <w:r>
              <w:rPr>
                <w:rFonts w:hint="eastAsia"/>
                <w:color w:val="auto"/>
                <w:lang w:eastAsia="zh-CN"/>
              </w:rPr>
              <w:t>；</w:t>
            </w:r>
            <w:r>
              <w:rPr>
                <w:rFonts w:hint="eastAsia"/>
                <w:color w:val="auto"/>
                <w:lang w:val="en-US" w:eastAsia="zh-CN"/>
              </w:rPr>
              <w:t>西</w:t>
            </w:r>
            <w:r>
              <w:rPr>
                <w:rFonts w:hint="eastAsia"/>
                <w:color w:val="auto"/>
                <w:lang w:eastAsia="zh-CN"/>
              </w:rPr>
              <w:t>、</w:t>
            </w:r>
            <w:r>
              <w:rPr>
                <w:rFonts w:hint="eastAsia"/>
                <w:color w:val="auto"/>
                <w:lang w:val="en-US" w:eastAsia="zh-CN"/>
              </w:rPr>
              <w:t>北</w:t>
            </w:r>
            <w:r>
              <w:rPr>
                <w:rFonts w:hint="eastAsia"/>
                <w:color w:val="auto"/>
              </w:rPr>
              <w:t>侧厂界执行《工业企业厂界环境噪声排放标准》（GB12348-2008）的4a类标准</w:t>
            </w:r>
            <w:r>
              <w:rPr>
                <w:color w:val="auto"/>
              </w:rPr>
              <w:t>。</w:t>
            </w:r>
            <w:r>
              <w:rPr>
                <w:rFonts w:hint="default"/>
                <w:color w:val="auto"/>
              </w:rPr>
              <w:t>详见表</w:t>
            </w:r>
            <w:r>
              <w:rPr>
                <w:rFonts w:hint="eastAsia"/>
                <w:color w:val="auto"/>
                <w:lang w:val="en-US" w:eastAsia="zh-CN"/>
              </w:rPr>
              <w:t>3.7-8</w:t>
            </w:r>
            <w:r>
              <w:rPr>
                <w:rFonts w:hint="default"/>
                <w:color w:val="auto"/>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color w:val="auto"/>
              </w:rPr>
              <w:t>考虑到院区内设备运行及建筑外噪声对院区内不同功能区影响，院区内敏感区噪声排放标准应执行</w:t>
            </w:r>
            <w:r>
              <w:rPr>
                <w:rFonts w:hint="default"/>
                <w:color w:val="auto"/>
              </w:rPr>
              <w:t>《建筑环境通用规范》</w:t>
            </w:r>
            <w:r>
              <w:rPr>
                <w:color w:val="auto"/>
              </w:rPr>
              <w:t>（</w:t>
            </w:r>
            <w:r>
              <w:rPr>
                <w:rFonts w:hint="default"/>
                <w:color w:val="auto"/>
              </w:rPr>
              <w:t>GB-55016-2021）</w:t>
            </w:r>
            <w:r>
              <w:rPr>
                <w:color w:val="auto"/>
              </w:rPr>
              <w:t>中规定噪声限值，详见表3.</w:t>
            </w:r>
            <w:r>
              <w:rPr>
                <w:rFonts w:hint="eastAsia"/>
                <w:color w:val="auto"/>
                <w:lang w:val="en-US" w:eastAsia="zh-CN"/>
              </w:rPr>
              <w:t>7-9</w:t>
            </w:r>
            <w:r>
              <w:rPr>
                <w:color w:val="auto"/>
              </w:rPr>
              <w:t>。</w:t>
            </w:r>
          </w:p>
          <w:p>
            <w:pPr>
              <w:bidi w:val="0"/>
              <w:jc w:val="center"/>
              <w:rPr>
                <w:rFonts w:hint="default"/>
                <w:b/>
                <w:bCs/>
                <w:color w:val="auto"/>
              </w:rPr>
            </w:pPr>
          </w:p>
          <w:p>
            <w:pPr>
              <w:bidi w:val="0"/>
              <w:jc w:val="center"/>
              <w:rPr>
                <w:rFonts w:hint="default"/>
                <w:b/>
                <w:bCs/>
                <w:color w:val="auto"/>
              </w:rPr>
            </w:pPr>
          </w:p>
          <w:p>
            <w:pPr>
              <w:bidi w:val="0"/>
              <w:jc w:val="center"/>
              <w:rPr>
                <w:b/>
                <w:bCs/>
                <w:color w:val="auto"/>
              </w:rPr>
            </w:pPr>
            <w:r>
              <w:rPr>
                <w:rFonts w:hint="default"/>
                <w:b/>
                <w:bCs/>
                <w:color w:val="auto"/>
              </w:rPr>
              <w:t>表</w:t>
            </w:r>
            <w:r>
              <w:rPr>
                <w:rFonts w:hint="eastAsia"/>
                <w:b/>
                <w:bCs/>
                <w:color w:val="auto"/>
                <w:lang w:val="en-US" w:eastAsia="zh-CN"/>
              </w:rPr>
              <w:t xml:space="preserve">3.7-8 </w:t>
            </w:r>
            <w:r>
              <w:rPr>
                <w:b/>
                <w:bCs/>
                <w:color w:val="auto"/>
              </w:rPr>
              <w:t>工业企业厂界环境噪声排放标准单位：dB（A）</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2862"/>
              <w:gridCol w:w="38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4"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类别</w:t>
                  </w:r>
                </w:p>
              </w:tc>
              <w:tc>
                <w:tcPr>
                  <w:tcW w:w="2983"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昼间</w:t>
                  </w:r>
                </w:p>
              </w:tc>
              <w:tc>
                <w:tcPr>
                  <w:tcW w:w="3970"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4"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2类</w:t>
                  </w:r>
                </w:p>
              </w:tc>
              <w:tc>
                <w:tcPr>
                  <w:tcW w:w="2983"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60</w:t>
                  </w:r>
                </w:p>
              </w:tc>
              <w:tc>
                <w:tcPr>
                  <w:tcW w:w="3970"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4"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4a类</w:t>
                  </w:r>
                </w:p>
              </w:tc>
              <w:tc>
                <w:tcPr>
                  <w:tcW w:w="2983"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70</w:t>
                  </w:r>
                </w:p>
              </w:tc>
              <w:tc>
                <w:tcPr>
                  <w:tcW w:w="3970"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55</w:t>
                  </w:r>
                </w:p>
              </w:tc>
            </w:tr>
          </w:tbl>
          <w:p>
            <w:pPr>
              <w:pStyle w:val="56"/>
              <w:numPr>
                <w:ilvl w:val="4"/>
                <w:numId w:val="0"/>
              </w:numPr>
              <w:tabs>
                <w:tab w:val="left" w:pos="420"/>
              </w:tabs>
              <w:ind w:left="1200" w:leftChars="0"/>
              <w:jc w:val="both"/>
              <w:rPr>
                <w:color w:val="auto"/>
              </w:rPr>
            </w:pPr>
            <w:r>
              <w:rPr>
                <w:rFonts w:hint="eastAsia"/>
                <w:color w:val="auto"/>
                <w:lang w:eastAsia="zh-CN"/>
              </w:rPr>
              <w:t>表</w:t>
            </w:r>
            <w:r>
              <w:rPr>
                <w:rFonts w:hint="eastAsia"/>
                <w:color w:val="auto"/>
                <w:lang w:val="en-US" w:eastAsia="zh-CN"/>
              </w:rPr>
              <w:t xml:space="preserve">3.7-9 </w:t>
            </w:r>
            <w:r>
              <w:rPr>
                <w:rFonts w:hint="eastAsia"/>
                <w:color w:val="auto"/>
              </w:rPr>
              <w:t>《建筑环境通用规范》（GB-55016-2021）</w:t>
            </w:r>
          </w:p>
          <w:tbl>
            <w:tblPr>
              <w:tblStyle w:val="26"/>
              <w:tblpPr w:leftFromText="180" w:rightFromText="180" w:vertAnchor="text" w:tblpXSpec="center" w:tblpY="1"/>
              <w:tblOverlap w:val="never"/>
              <w:tblW w:w="5000"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472"/>
              <w:gridCol w:w="1832"/>
              <w:gridCol w:w="1646"/>
              <w:gridCol w:w="1672"/>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vMerge w:val="restart"/>
                  <w:tcBorders>
                    <w:bottom w:val="nil"/>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房间的使用功能</w:t>
                  </w:r>
                </w:p>
              </w:tc>
              <w:tc>
                <w:tcPr>
                  <w:tcW w:w="3711" w:type="dxa"/>
                  <w:gridSpan w:val="2"/>
                  <w:tcBorders>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噪声限值（等效声级LAeg,T,dB)</w:t>
                  </w:r>
                </w:p>
              </w:tc>
              <w:tc>
                <w:tcPr>
                  <w:tcW w:w="1810" w:type="dxa"/>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66" w:type="dxa"/>
                  <w:vMerge w:val="continue"/>
                  <w:tcBorders>
                    <w:top w:val="nil"/>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c>
                <w:tcPr>
                  <w:tcW w:w="1949" w:type="dxa"/>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昼间</w:t>
                  </w:r>
                </w:p>
              </w:tc>
              <w:tc>
                <w:tcPr>
                  <w:tcW w:w="1762" w:type="dxa"/>
                  <w:tcBorders>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夜间</w:t>
                  </w:r>
                </w:p>
              </w:tc>
              <w:tc>
                <w:tcPr>
                  <w:tcW w:w="1810" w:type="dxa"/>
                  <w:vMerge w:val="restart"/>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建筑物外部噪声源传播至主要功能房间室内的噪声限值</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睡眠</w:t>
                  </w:r>
                </w:p>
              </w:tc>
              <w:tc>
                <w:tcPr>
                  <w:tcW w:w="1949" w:type="dxa"/>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40</w:t>
                  </w:r>
                </w:p>
              </w:tc>
              <w:tc>
                <w:tcPr>
                  <w:tcW w:w="1762" w:type="dxa"/>
                  <w:tcBorders>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30</w:t>
                  </w:r>
                </w:p>
              </w:tc>
              <w:tc>
                <w:tcPr>
                  <w:tcW w:w="1810" w:type="dxa"/>
                  <w:vMerge w:val="continue"/>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日常生活</w:t>
                  </w:r>
                </w:p>
              </w:tc>
              <w:tc>
                <w:tcPr>
                  <w:tcW w:w="3711" w:type="dxa"/>
                  <w:gridSpan w:val="2"/>
                  <w:tcBorders>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40</w:t>
                  </w:r>
                </w:p>
              </w:tc>
              <w:tc>
                <w:tcPr>
                  <w:tcW w:w="1810" w:type="dxa"/>
                  <w:vMerge w:val="continue"/>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阅读、自学、思考</w:t>
                  </w:r>
                </w:p>
              </w:tc>
              <w:tc>
                <w:tcPr>
                  <w:tcW w:w="3711" w:type="dxa"/>
                  <w:gridSpan w:val="2"/>
                  <w:tcBorders>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35</w:t>
                  </w:r>
                </w:p>
              </w:tc>
              <w:tc>
                <w:tcPr>
                  <w:tcW w:w="1810" w:type="dxa"/>
                  <w:vMerge w:val="continue"/>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tcBorders>
                    <w:bottom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教学、医疗、办公、会议</w:t>
                  </w:r>
                </w:p>
              </w:tc>
              <w:tc>
                <w:tcPr>
                  <w:tcW w:w="3711" w:type="dxa"/>
                  <w:gridSpan w:val="2"/>
                  <w:tcBorders>
                    <w:bottom w:val="single" w:color="auto" w:sz="4" w:space="0"/>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40</w:t>
                  </w:r>
                </w:p>
              </w:tc>
              <w:tc>
                <w:tcPr>
                  <w:tcW w:w="1810" w:type="dxa"/>
                  <w:vMerge w:val="continue"/>
                  <w:tcBorders>
                    <w:left w:val="single" w:color="auto" w:sz="4" w:space="0"/>
                    <w:bottom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tcBorders>
                    <w:top w:val="single" w:color="auto" w:sz="4" w:space="0"/>
                    <w:bottom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睡眠</w:t>
                  </w:r>
                </w:p>
              </w:tc>
              <w:tc>
                <w:tcPr>
                  <w:tcW w:w="3711" w:type="dxa"/>
                  <w:gridSpan w:val="2"/>
                  <w:tcBorders>
                    <w:top w:val="single" w:color="auto" w:sz="4" w:space="0"/>
                    <w:bottom w:val="single" w:color="auto" w:sz="4" w:space="0"/>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33</w:t>
                  </w:r>
                </w:p>
              </w:tc>
              <w:tc>
                <w:tcPr>
                  <w:tcW w:w="1810" w:type="dxa"/>
                  <w:vMerge w:val="restart"/>
                  <w:tcBorders>
                    <w:top w:val="single" w:color="auto" w:sz="4" w:space="0"/>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建筑物内部建筑设备传播至主要功能房间室内的噪声限值</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tcBorders>
                    <w:top w:val="single" w:color="auto" w:sz="4" w:space="0"/>
                    <w:bottom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日常生活</w:t>
                  </w:r>
                </w:p>
              </w:tc>
              <w:tc>
                <w:tcPr>
                  <w:tcW w:w="3711" w:type="dxa"/>
                  <w:gridSpan w:val="2"/>
                  <w:tcBorders>
                    <w:top w:val="single" w:color="auto" w:sz="4" w:space="0"/>
                    <w:bottom w:val="single" w:color="auto" w:sz="4" w:space="0"/>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40</w:t>
                  </w:r>
                </w:p>
              </w:tc>
              <w:tc>
                <w:tcPr>
                  <w:tcW w:w="1810" w:type="dxa"/>
                  <w:vMerge w:val="continue"/>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tcBorders>
                    <w:top w:val="single" w:color="auto" w:sz="4" w:space="0"/>
                    <w:bottom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阅读、自学、思考</w:t>
                  </w:r>
                </w:p>
              </w:tc>
              <w:tc>
                <w:tcPr>
                  <w:tcW w:w="3711" w:type="dxa"/>
                  <w:gridSpan w:val="2"/>
                  <w:tcBorders>
                    <w:top w:val="single" w:color="auto" w:sz="4" w:space="0"/>
                    <w:bottom w:val="single" w:color="auto" w:sz="4" w:space="0"/>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40</w:t>
                  </w:r>
                </w:p>
              </w:tc>
              <w:tc>
                <w:tcPr>
                  <w:tcW w:w="1810" w:type="dxa"/>
                  <w:vMerge w:val="continue"/>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tcBorders>
                    <w:top w:val="single" w:color="auto" w:sz="4" w:space="0"/>
                    <w:bottom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教学、医疗、办公、会议</w:t>
                  </w:r>
                </w:p>
              </w:tc>
              <w:tc>
                <w:tcPr>
                  <w:tcW w:w="3711" w:type="dxa"/>
                  <w:gridSpan w:val="2"/>
                  <w:tcBorders>
                    <w:top w:val="single" w:color="auto" w:sz="4" w:space="0"/>
                    <w:bottom w:val="single" w:color="auto" w:sz="4" w:space="0"/>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45</w:t>
                  </w:r>
                </w:p>
              </w:tc>
              <w:tc>
                <w:tcPr>
                  <w:tcW w:w="1810" w:type="dxa"/>
                  <w:vMerge w:val="continue"/>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2666" w:type="dxa"/>
                  <w:tcBorders>
                    <w:top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人员密集的公共空间</w:t>
                  </w:r>
                </w:p>
              </w:tc>
              <w:tc>
                <w:tcPr>
                  <w:tcW w:w="3711" w:type="dxa"/>
                  <w:gridSpan w:val="2"/>
                  <w:tcBorders>
                    <w:top w:val="single" w:color="auto" w:sz="4" w:space="0"/>
                    <w:righ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55</w:t>
                  </w:r>
                </w:p>
              </w:tc>
              <w:tc>
                <w:tcPr>
                  <w:tcW w:w="1810" w:type="dxa"/>
                  <w:vMerge w:val="continue"/>
                  <w:tcBorders>
                    <w:left w:val="single" w:color="auto" w:sz="4" w:space="0"/>
                  </w:tcBorders>
                  <w:noWrap w:val="0"/>
                  <w:vAlign w:val="center"/>
                </w:tcPr>
                <w:p>
                  <w:pPr>
                    <w:pStyle w:val="32"/>
                    <w:spacing w:line="240" w:lineRule="auto"/>
                    <w:jc w:val="center"/>
                    <w:rPr>
                      <w:rFonts w:hint="default" w:ascii="Times New Roman" w:hAnsi="Times New Roman" w:cs="Times New Roman"/>
                      <w:b w:val="0"/>
                      <w:bCs/>
                      <w:color w:val="auto"/>
                      <w:sz w:val="21"/>
                      <w:szCs w:val="21"/>
                    </w:rPr>
                  </w:pPr>
                </w:p>
              </w:tc>
            </w:tr>
          </w:tbl>
          <w:p>
            <w:pPr>
              <w:bidi w:val="0"/>
              <w:rPr>
                <w:b/>
                <w:bCs/>
                <w:color w:val="auto"/>
              </w:rPr>
            </w:pPr>
            <w:r>
              <w:rPr>
                <w:rFonts w:hint="eastAsia"/>
                <w:b/>
                <w:bCs/>
                <w:color w:val="auto"/>
              </w:rPr>
              <w:t>3.</w:t>
            </w:r>
            <w:r>
              <w:rPr>
                <w:rFonts w:hint="eastAsia"/>
                <w:b/>
                <w:bCs/>
                <w:color w:val="auto"/>
                <w:lang w:val="en-US" w:eastAsia="zh-CN"/>
              </w:rPr>
              <w:t>7</w:t>
            </w:r>
            <w:r>
              <w:rPr>
                <w:rFonts w:hint="eastAsia"/>
                <w:b/>
                <w:bCs/>
                <w:color w:val="auto"/>
              </w:rPr>
              <w:t>.4</w:t>
            </w:r>
            <w:r>
              <w:rPr>
                <w:b/>
                <w:bCs/>
                <w:color w:val="auto"/>
              </w:rPr>
              <w:t>固废排放标准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固体废物分类及危险废物辨识分别执行《国家危险废物名录》（2021）、《危险废物鉴别标准》（GB5085.1～6-2007）、《危险废物鉴别标准通则》（GB5085.7-2019）的有关规定；危险废物的暂存执行《危险废物贮存污染控制标准》（GB18597-2023）；一般固体废物执行《一般工业固体废物贮存和填埋污染控制标准》（GB18599-2020）的有关规定。</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自建污水站污泥按《医疗机构水污染物排放标准》（GB18466-2005）中表4医疗机构污泥控制标准执行。</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rPr>
            </w:pPr>
            <w:r>
              <w:rPr>
                <w:rFonts w:hint="default"/>
                <w:color w:val="auto"/>
              </w:rPr>
              <w:t>医疗废物的管理与处置执行《医疗废物管理条例》（2011年1月8日修订）。医疗废物的暂存设施应符合《医疗废物集中处置技术规范（试行）》（环发〔2003〕206号）、《危险废物贮存污染控制标准》（GB18597-2023）、生态环境部【2013】36号公告及医疗废物管理的相关要求。同时，其转运处理也应符合</w:t>
            </w:r>
            <w:r>
              <w:rPr>
                <w:rFonts w:hint="eastAsia"/>
                <w:color w:val="auto"/>
                <w:lang w:eastAsia="zh-CN"/>
              </w:rPr>
              <w:t>《危险废物转移管理办法》（2021年）</w:t>
            </w:r>
            <w:r>
              <w:rPr>
                <w:rFonts w:hint="default"/>
                <w:color w:val="auto"/>
              </w:rPr>
              <w:t>相关规定。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57" w:type="dxa"/>
            <w:noWrap w:val="0"/>
            <w:vAlign w:val="center"/>
          </w:tcPr>
          <w:p>
            <w:pPr>
              <w:pStyle w:val="49"/>
              <w:rPr>
                <w:color w:val="auto"/>
              </w:rPr>
            </w:pPr>
            <w:r>
              <w:rPr>
                <w:rFonts w:hint="eastAsia"/>
                <w:color w:val="auto"/>
              </w:rPr>
              <w:t>总量</w:t>
            </w:r>
          </w:p>
          <w:p>
            <w:pPr>
              <w:pStyle w:val="49"/>
              <w:rPr>
                <w:color w:val="auto"/>
              </w:rPr>
            </w:pPr>
            <w:r>
              <w:rPr>
                <w:rFonts w:hint="eastAsia"/>
                <w:color w:val="auto"/>
              </w:rPr>
              <w:t>控制</w:t>
            </w:r>
          </w:p>
          <w:p>
            <w:pPr>
              <w:pStyle w:val="49"/>
              <w:ind w:firstLine="0" w:firstLineChars="0"/>
              <w:rPr>
                <w:rFonts w:hint="eastAsia"/>
                <w:color w:val="auto"/>
              </w:rPr>
            </w:pPr>
            <w:r>
              <w:rPr>
                <w:rFonts w:hint="eastAsia"/>
                <w:color w:val="auto"/>
              </w:rPr>
              <w:t>指标</w:t>
            </w:r>
          </w:p>
        </w:tc>
        <w:tc>
          <w:tcPr>
            <w:tcW w:w="7765" w:type="dxa"/>
            <w:noWrap w:val="0"/>
            <w:vAlign w:val="center"/>
          </w:tcPr>
          <w:p>
            <w:pPr>
              <w:bidi w:val="0"/>
              <w:rPr>
                <w:b/>
                <w:bCs/>
                <w:color w:val="auto"/>
              </w:rPr>
            </w:pPr>
            <w:r>
              <w:rPr>
                <w:rFonts w:hint="eastAsia"/>
                <w:b/>
                <w:bCs/>
                <w:color w:val="auto"/>
                <w:lang w:val="en-US" w:eastAsia="zh-CN"/>
              </w:rPr>
              <w:t>3.8</w:t>
            </w:r>
            <w:r>
              <w:rPr>
                <w:rFonts w:hint="eastAsia"/>
                <w:b/>
                <w:bCs/>
                <w:color w:val="auto"/>
              </w:rPr>
              <w:t>总量控制指标</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rPr>
            </w:pPr>
            <w:r>
              <w:rPr>
                <w:rFonts w:hint="default"/>
                <w:color w:val="auto"/>
              </w:rPr>
              <w:t>根据《福建省人民政府关于推进排污权有偿使用和交易工作的意见》（闽政[2016]54号）和《福州市建设项目主要污染物排放总量指标管理实施细则（修订）》（榕环保综[2017]90号），将排污权有偿使用和交易的实施对象扩大为全省范围内的工业排污单位、工业集中区集中供热和废气、废水集中治理的污染物为国家对我省实施总量控制的主要污染物，本项目属于医疗服务型项目，非工业项目，不属于工业排污单位，不属于应实施排污权有偿使用和交易的单位，不纳入总量指标管理，故无需申请废水和废气的总量。</w:t>
            </w:r>
          </w:p>
        </w:tc>
      </w:tr>
    </w:tbl>
    <w:p>
      <w:pPr>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jc w:val="center"/>
        <w:rPr>
          <w:color w:val="auto"/>
        </w:rPr>
      </w:pPr>
      <w:bookmarkStart w:id="37" w:name="_Toc6012"/>
      <w:bookmarkStart w:id="38" w:name="_Toc32568"/>
      <w:bookmarkStart w:id="39" w:name="_Toc6156"/>
      <w:r>
        <w:rPr>
          <w:rFonts w:hint="eastAsia"/>
          <w:color w:val="auto"/>
          <w:lang w:eastAsia="zh-CN"/>
        </w:rPr>
        <w:t>四、</w:t>
      </w:r>
      <w:r>
        <w:rPr>
          <w:color w:val="auto"/>
        </w:rPr>
        <w:t>主要环境影响和保护措施</w:t>
      </w:r>
      <w:bookmarkEnd w:id="37"/>
      <w:bookmarkEnd w:id="38"/>
      <w:bookmarkEnd w:id="39"/>
    </w:p>
    <w:tbl>
      <w:tblPr>
        <w:tblStyle w:val="26"/>
        <w:tblW w:w="84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1"/>
        <w:gridCol w:w="76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noWrap w:val="0"/>
            <w:tcMar>
              <w:left w:w="28" w:type="dxa"/>
              <w:right w:w="28" w:type="dxa"/>
            </w:tcMar>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期环</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境保</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护措</w:t>
            </w:r>
          </w:p>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施</w:t>
            </w:r>
          </w:p>
        </w:tc>
        <w:tc>
          <w:tcPr>
            <w:tcW w:w="7641" w:type="dxa"/>
            <w:noWrap w:val="0"/>
            <w:vAlign w:val="center"/>
          </w:tcPr>
          <w:p>
            <w:pPr>
              <w:bidi w:val="0"/>
              <w:rPr>
                <w:rFonts w:hint="eastAsia"/>
                <w:b/>
                <w:bCs/>
                <w:color w:val="auto"/>
                <w:sz w:val="28"/>
                <w:szCs w:val="28"/>
                <w:lang w:val="en-US" w:eastAsia="zh-CN"/>
              </w:rPr>
            </w:pPr>
            <w:r>
              <w:rPr>
                <w:rFonts w:hint="eastAsia"/>
                <w:b/>
                <w:bCs/>
                <w:color w:val="auto"/>
                <w:sz w:val="28"/>
                <w:szCs w:val="28"/>
                <w:lang w:val="en-US" w:eastAsia="zh-CN"/>
              </w:rPr>
              <w:t>4.1施工期环境影响分析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根据项目特点，本项目施工期产生的主要废气污染物是扬尘以及少量的机械废气、油漆废气，其中以施工扬尘对空气环境质量影响最大。</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1、扬尘</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项目施工期间，其扬尘主要来自住院楼及其附属工程修建工程。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根据中国环境科学研究院的研究，建筑扬尘经验产生因子为 0.292kg/m</w:t>
            </w:r>
            <w:r>
              <w:rPr>
                <w:rFonts w:hint="default"/>
                <w:color w:val="auto"/>
                <w:vertAlign w:val="superscript"/>
                <w:lang w:val="en-US" w:eastAsia="zh-CN"/>
              </w:rPr>
              <w:t>2</w:t>
            </w:r>
            <w:r>
              <w:rPr>
                <w:rFonts w:hint="default"/>
                <w:color w:val="auto"/>
                <w:lang w:val="en-US" w:eastAsia="zh-CN"/>
              </w:rPr>
              <w:t>，本项目总建筑面积约为15007m</w:t>
            </w:r>
            <w:r>
              <w:rPr>
                <w:rFonts w:hint="default"/>
                <w:color w:val="auto"/>
                <w:vertAlign w:val="superscript"/>
                <w:lang w:val="en-US" w:eastAsia="zh-CN"/>
              </w:rPr>
              <w:t>2</w:t>
            </w:r>
            <w:r>
              <w:rPr>
                <w:rFonts w:hint="default"/>
                <w:color w:val="auto"/>
                <w:lang w:val="en-US" w:eastAsia="zh-CN"/>
              </w:rPr>
              <w:t>，据此可估算出本项目施工期建筑扬尘排放量约为</w:t>
            </w:r>
            <w:r>
              <w:rPr>
                <w:rFonts w:hint="eastAsia"/>
                <w:color w:val="auto"/>
                <w:lang w:val="en-US" w:eastAsia="zh-CN"/>
              </w:rPr>
              <w:t>4</w:t>
            </w:r>
            <w:r>
              <w:rPr>
                <w:rFonts w:hint="default"/>
                <w:color w:val="auto"/>
                <w:lang w:val="en-US" w:eastAsia="zh-CN"/>
              </w:rPr>
              <w:t>.</w:t>
            </w:r>
            <w:r>
              <w:rPr>
                <w:rFonts w:hint="eastAsia"/>
                <w:color w:val="auto"/>
                <w:lang w:val="en-US" w:eastAsia="zh-CN"/>
              </w:rPr>
              <w:t>38</w:t>
            </w:r>
            <w:r>
              <w:rPr>
                <w:rFonts w:hint="default"/>
                <w:color w:val="auto"/>
                <w:lang w:val="en-US" w:eastAsia="zh-CN"/>
              </w:rPr>
              <w:t xml:space="preserve">t；根据类比分析，扬尘浓度一般约为 </w:t>
            </w:r>
            <w:r>
              <w:rPr>
                <w:rFonts w:hint="eastAsia"/>
                <w:color w:val="auto"/>
                <w:lang w:val="en-US" w:eastAsia="zh-CN"/>
              </w:rPr>
              <w:t>5.8</w:t>
            </w:r>
            <w:r>
              <w:rPr>
                <w:rFonts w:hint="default"/>
                <w:color w:val="auto"/>
                <w:lang w:val="en-US" w:eastAsia="zh-CN"/>
              </w:rPr>
              <w:t>mg/m</w:t>
            </w:r>
            <w:r>
              <w:rPr>
                <w:rFonts w:hint="default"/>
                <w:color w:val="auto"/>
                <w:vertAlign w:val="superscript"/>
                <w:lang w:val="en-US" w:eastAsia="zh-CN"/>
              </w:rPr>
              <w:t>3</w:t>
            </w:r>
            <w:r>
              <w:rPr>
                <w:rFonts w:hint="default"/>
                <w:color w:val="auto"/>
                <w:lang w:val="en-US" w:eastAsia="zh-CN"/>
              </w:rPr>
              <w:t>，属于低矮排放源，影响范围小，时间较短，随着施工结束后消失。</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为减少扬尘的产生量及其浓度，在施工过程中，施工单位应采取以下措施：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①施工现场架设 2.5~3m 高墙，封闭施工现场，采用密目安全网，以减少结构和装修过程中的粉尘飞扬现象，降低粉尘向大气中的排放；脚手架在拆除前，先将脚手板上的垃圾清理干净，清理时应避免扬尘；</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②文明施工，定期对地面洒水，湿法作业，尽量减少渣土运输时洒落在地面上，并对洒落在路面的渣土及时清除，清理阶段做到先洒水后清扫；</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③在施工场地对施工车辆实施限速行驶，同时施工现场主要运输道路尽量采用硬化路面并进行洒水抑尘；在施工场地出口放置防尘垫，对运输车辆现场设置洗车场，用水清洗车体和轮胎；自卸车、垃圾运输车等运输车辆不允许超载，选择对周围环境影响较小的运输路线；</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④施工过程中，楼上施工产生的建筑渣土，不得在楼上向楼下倾倒，必须运送地面；</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⑤禁止在风天进行渣土堆放作业，建材堆放地点相对集中，临时废弃土石堆场及时清运，并对堆场必须以毡布覆盖，不得有裸土，并且裸露地面进行硬化和绿化,减少建材的露天堆放时间；开挖出的土石方应加强围栏，表面用毡布覆盖，并及时将回填开挖土石方。</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⑥此外，为进一步减轻扬尘污染，评价要求施工单位应落实施工现场管理“六必须”、“六不准”规定：</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a.必须湿法作业，必须打围作业，必须硬化道路，必须设置冲洗设施、设备，必须配齐保洁人员，必须定时清扫施现场。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b.不准车辆带泥出门，不准运渣车辆超载，不准高空抛撒建渣，不准现场搅拌混凝土，不准场地积水，不准现场焚烧废弃物。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环评要求施工单位在日常施工过程中严格采取上述施工扬尘污染防治措施，确实有效降低施工工地扬尘产生量及其浓度，实现达标排放。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2、施工机械废气</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施工期间，使用机动车运送原材料、设备和建筑机械设备的运转，均会排放一定量的 CO、NOx 以及未完全燃烧的 HC 等，其特点是排放量小，且属间断性无组织排放，由于其这一特点，加之施工场地扩散条件良好，因此对其不加处理也可达到相应的排放标准。在施工期内应多加注意施工设备的维护，使其能够正常的运行，提高设备原料的利用率。</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3、油漆废气</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油漆废气主要来自房屋装修阶段，该废气的排放属无组织排放，其主要污染因子为二甲苯和甲苯，此外还有极少量的汽油、丁醇和丙醇等。本项目装修阶段的油漆废气排放周期短，且作业点分散，因此，本次评价只对该类废气作定性的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根据调查，每150m</w:t>
            </w:r>
            <w:r>
              <w:rPr>
                <w:rFonts w:hint="default"/>
                <w:color w:val="auto"/>
                <w:vertAlign w:val="superscript"/>
                <w:lang w:val="en-US" w:eastAsia="zh-CN"/>
              </w:rPr>
              <w:t>2</w:t>
            </w:r>
            <w:r>
              <w:rPr>
                <w:rFonts w:hint="default"/>
                <w:color w:val="auto"/>
                <w:lang w:val="en-US" w:eastAsia="zh-CN"/>
              </w:rPr>
              <w:t>的房屋装修需耗15个组分的涂料(包括地板漆、墙面漆、家具漆和内墙涂料等)，每组份涂料约为10kg，即约150kg。油漆在上漆后的挥发量约为涂料量的55%，即82.5kg，含甲苯和二甲苯约 20%。</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由于油漆废气的排放时间和部位不能十分明确，时间跨度很长，按该项目规模通常可达2-4年。因此，在装修油漆期间，应加强室内的通风换气，油漆结束完成以后，也应每天进行通风换气。由于装修时采用的复合板和油漆中含有的甲醛、甲苯、二甲苯等影响环境质量的有毒有害物质挥发时间长，所以在正常运行时也要注意室内空气的流畅。在进行以上防治措施后，再加上项目所在场地扩散条件较好，因此本项目装</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修施工产生的油漆废气可达标排放。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二、废水污染物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施工期的废水来源为两部分：一是工程建筑施工产生的生产废水；二是施工人员产生的生活污水。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1、建筑废水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经类比分析可知施工过程中的生产废水主要来源于机械的冲刷、楼地及墙面的冲洗、构件与建筑材料的保潮、墙体的浸润、材料的洗刷以及桩基础施工中排出的泥浆等。生产废水中的主要污染物为 pH、SS、COD、石油类。污水中COD浓度值最高约600m/L、BOD5400mg/L、 SS1000mg/L。对施工废水经沉淀后上清液回用，不得外排。</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1）砂石料冲洗废水。其悬浮物含量大，需建沉降池，悬浮物进行沉淀后排放。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部分废水澄清后可用于建筑工地洒水防尘。人工运输水泥砂浆时，应避免泄漏，泄漏水泥砂浆应及时清理。运浆容器和搅拌用具尽量集中放置，及时清洗冲洗水引入沉降池。</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2）混凝土养护废水。混凝土养护可以直接用薄膜或塑料溶液喷刷在混凝土表面，待溶液挥发后，与混凝土表面结合成一层塑料薄膜，使混凝土与空气隔离封闭混凝土中水分不再蒸发外逸，水泥依靠混凝土中水分完成水化作用。其多余废水经沉淀处理后，上清液可回用。</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3）机械和车辆冲洗废水。主要为含油废水，应尽量要求施工机械和车辆到附近专门清洗点或修理点进行清洗和修理，小部分在项目区内进行清洗和修理的施工机械、车辆所产生的含油废水或废弃物，不得随意弃置和倾流，可用容器收集，回收利用，以防止油污染。机械保养冲洗水、含油污水不得随意排放，要建排水沟和小型隔油池，经相应隔油处理后进入沉淀池，上清液回用。</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综上所述，在采取上述处理措施后，项目产生的施工废水不外排。</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（2）工地生活污水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lang w:val="en-US" w:eastAsia="zh-CN"/>
              </w:rPr>
            </w:pPr>
            <w:r>
              <w:rPr>
                <w:rFonts w:hint="default"/>
                <w:color w:val="auto"/>
                <w:lang w:val="en-US" w:eastAsia="zh-CN"/>
              </w:rPr>
              <w:t>施工期间不设施工营地，施工人员将产生少量生活污水，本项目废水经预处</w:t>
            </w:r>
            <w:r>
              <w:rPr>
                <w:rFonts w:hint="eastAsia"/>
                <w:color w:val="auto"/>
                <w:lang w:val="en-US" w:eastAsia="zh-CN"/>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eastAsia"/>
                <w:color w:val="auto"/>
                <w:lang w:val="en-US" w:eastAsia="zh-CN"/>
              </w:rPr>
              <w:t>处</w:t>
            </w:r>
            <w:r>
              <w:rPr>
                <w:rFonts w:hint="default"/>
                <w:color w:val="auto"/>
                <w:lang w:val="en-US" w:eastAsia="zh-CN"/>
              </w:rPr>
              <w:t>理后排入市政污水管网，按施工人员50人、污水产生量50L/天·人计，排放系数以0.8计，则排放量为2.0m</w:t>
            </w:r>
            <w:r>
              <w:rPr>
                <w:rFonts w:hint="default"/>
                <w:color w:val="auto"/>
                <w:vertAlign w:val="superscript"/>
                <w:lang w:val="en-US" w:eastAsia="zh-CN"/>
              </w:rPr>
              <w:t>3</w:t>
            </w:r>
            <w:r>
              <w:rPr>
                <w:rFonts w:hint="default"/>
                <w:color w:val="auto"/>
                <w:lang w:val="en-US" w:eastAsia="zh-CN"/>
              </w:rPr>
              <w:t>/d。施工期生活污水经预处理后排入市政污水管网。</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三、施工期噪声</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施工期主要分为机械噪声、施工作业噪声和施工车辆噪声。本项目机械噪声主要由施工机械所造成，如挖土机、打桩机等多位点声源；施工作业噪声主要是一些零星敲打声、装卸车辆的撞击声等；施工车辆噪声属于交通噪声。在上述施工噪声中，对环境影响最大的是施工机械噪声。</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评价要求施工方应采取以下的治理措施，制定合理的施工方案，确保场界噪声达标排放：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①施工时采用降噪作业方式：施工机械选型时尽量选用可替代的低噪声的设备，对动力机械设备进行定期的维修、养护，避免设备因松动部件的振动或消声器的损坏而增加其工作时的声压级；设备用完后或不用时应立即关闭。</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②对各施工环节中噪声较为突出且又难以对声源进行降噪可能的设备装置，应采取临时围障措施，围障最好敷以吸声材料，以此达到降噪效果。</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③合理设计施工总平面图。结合项目外环境关系分析可知，为了尽可能的减轻项目施工对外环境产生的噪声污染，项目施工过程中应尽可能将木工房、钢筋加工间等产生高噪声的作业点置于整个项目场地的中部偏北，有效利用噪声距离衰减作用，减轻施工噪声对外环境敏感点的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④合理安排施工时间，在夜间（22:00~6:00）禁止使用高噪声设备，如推土机、挖掘机、打夯机、发电机、电锯等。对于确需夜间施工的施工活动，施工单位必须事前报经主管政府部门批准，同时执行建筑施工噪声申报登记制度,在工程开工15日前填写《建筑施工场地噪声管理审批表》，向当地环境保护主管部门申报。</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并于施工前两天公告附近群众。</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lang w:val="en-US" w:eastAsia="zh-CN"/>
              </w:rPr>
            </w:pPr>
            <w:r>
              <w:rPr>
                <w:rFonts w:hint="default"/>
                <w:color w:val="auto"/>
                <w:lang w:val="en-US" w:eastAsia="zh-CN"/>
              </w:rPr>
              <w:t>施工期间的场界噪声必须满足《建筑施工场界环境 噪声排放标准》(GB12523-2011)标准的要求，实现达标排放。</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四、固体废物</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施工固体废物主要包括开挖土方、建筑垃圾、装修垃圾和施工人员生活垃圾。</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1、开挖土石方</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建设项目在</w:t>
            </w:r>
            <w:r>
              <w:rPr>
                <w:rFonts w:hint="eastAsia"/>
                <w:color w:val="auto"/>
                <w:lang w:val="en-US" w:eastAsia="zh-CN"/>
              </w:rPr>
              <w:t>修建过程需要</w:t>
            </w:r>
            <w:r>
              <w:rPr>
                <w:rFonts w:hint="default"/>
                <w:color w:val="auto"/>
                <w:lang w:val="en-US" w:eastAsia="zh-CN"/>
              </w:rPr>
              <w:t>进行开挖。弃方</w:t>
            </w:r>
            <w:r>
              <w:rPr>
                <w:rFonts w:hint="eastAsia"/>
                <w:color w:val="auto"/>
                <w:lang w:val="en-US" w:eastAsia="zh-CN"/>
              </w:rPr>
              <w:t>量小。</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评价要求：</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①剩余土方应加强管理，运至指定渣场妥善处置。</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②临时土石堆场应以毡布覆盖，裸露地面进行硬化和绿化，对废弃土石应及时清运。</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③加强渣土车辆管理。</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2、建筑垃圾</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项目施工过程中产生的建筑垃圾和装修垃圾(如水泥带、铁质弃料、木材弃料等)按总建筑面积</w:t>
            </w:r>
            <w:r>
              <w:rPr>
                <w:rFonts w:hint="eastAsia"/>
                <w:color w:val="auto"/>
                <w:lang w:val="en-US" w:eastAsia="zh-CN"/>
              </w:rPr>
              <w:t>15007</w:t>
            </w:r>
            <w:r>
              <w:rPr>
                <w:rFonts w:hint="default"/>
                <w:color w:val="auto"/>
                <w:lang w:val="en-US" w:eastAsia="zh-CN"/>
              </w:rPr>
              <w:t>m</w:t>
            </w:r>
            <w:r>
              <w:rPr>
                <w:rFonts w:hint="default"/>
                <w:color w:val="auto"/>
                <w:vertAlign w:val="superscript"/>
                <w:lang w:val="en-US" w:eastAsia="zh-CN"/>
              </w:rPr>
              <w:t>2</w:t>
            </w:r>
            <w:r>
              <w:rPr>
                <w:rFonts w:hint="default"/>
                <w:color w:val="auto"/>
                <w:lang w:val="en-US" w:eastAsia="zh-CN"/>
              </w:rPr>
              <w:t>、每2.0t/100m</w:t>
            </w:r>
            <w:r>
              <w:rPr>
                <w:rFonts w:hint="default"/>
                <w:color w:val="auto"/>
                <w:vertAlign w:val="superscript"/>
                <w:lang w:val="en-US" w:eastAsia="zh-CN"/>
              </w:rPr>
              <w:t>2</w:t>
            </w:r>
            <w:r>
              <w:rPr>
                <w:rFonts w:hint="default"/>
                <w:color w:val="auto"/>
                <w:lang w:val="en-US" w:eastAsia="zh-CN"/>
              </w:rPr>
              <w:t>计，则产生的建渣量共约</w:t>
            </w:r>
            <w:r>
              <w:rPr>
                <w:rFonts w:hint="eastAsia"/>
                <w:color w:val="auto"/>
                <w:lang w:val="en-US" w:eastAsia="zh-CN"/>
              </w:rPr>
              <w:t>300</w:t>
            </w:r>
            <w:r>
              <w:rPr>
                <w:rFonts w:hint="default"/>
                <w:color w:val="auto"/>
                <w:lang w:val="en-US" w:eastAsia="zh-CN"/>
              </w:rPr>
              <w:t>t。在施工现场应设置建筑废弃物临时堆场(树立标示牌)并进行防雨、防泄漏处理。</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施工生产的废料首先应考虑废料的回收利用，对钢筋、钢板、木材等下脚料可分类回收，交废物收购站处理；对不能回收的建筑垃圾应集中堆放，定时清运到指定垃圾场，以免影响环境质量。为确保废弃物处置措施落实，建设单位或施工总承包单位在与建筑垃圾清运公司签订清运合同时，应要求承包公司提供废弃物去向的证明材料，严禁随意倾倒、填埋，造成二次污染。装修垃圾：一般有废砖头、砂、水泥及木屑等，会产生扬尘，因此不能随意倾倒，而应用编织袋包装后运出屋外，放在指定地点，由环卫部门统一清运处理。</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为尽量减轻建筑垃圾外运过程中产生的环境影响，评价要求：</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a.运输时段应选在夜间进行，白天不得清运；</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b.各类运输车辆应根据其实际负载情况清运渣土，不得超载；</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c.运输车辆出场前一律清洗轮胎，用毡布覆盖并封闭，避免在运输过程中的抛洒情况。</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3、工人生活垃圾</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lang w:val="en-US" w:eastAsia="zh-CN"/>
              </w:rPr>
              <w:t>项目施工期间，施工人员按 50人计，产生的生活垃圾按0.5kg/(人·d)计，则在施工期生活垃圾产生量为 25kg/d。施工人员产生的生活垃圾经集中收集后由环卫部门统一运送到垃圾处理场集中处理，不会对当地环境产生影响。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left w:val="single" w:color="auto" w:sz="4" w:space="0"/>
              <w:bottom w:val="single" w:color="auto" w:sz="4" w:space="0"/>
              <w:right w:val="single" w:color="auto" w:sz="4" w:space="0"/>
            </w:tcBorders>
            <w:noWrap w:val="0"/>
            <w:tcMar>
              <w:left w:w="28" w:type="dxa"/>
              <w:right w:w="28" w:type="dxa"/>
            </w:tcMar>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运营</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期环</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境影</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响和</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w:t>
            </w:r>
          </w:p>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color w:val="auto"/>
                <w:sz w:val="21"/>
                <w:szCs w:val="21"/>
              </w:rPr>
              <w:t>措施</w:t>
            </w:r>
          </w:p>
        </w:tc>
        <w:tc>
          <w:tcPr>
            <w:tcW w:w="7641" w:type="dxa"/>
            <w:tcBorders>
              <w:left w:val="single" w:color="auto" w:sz="4" w:space="0"/>
              <w:bottom w:val="single" w:color="auto" w:sz="4" w:space="0"/>
              <w:right w:val="single" w:color="auto" w:sz="4" w:space="0"/>
            </w:tcBorders>
            <w:noWrap w:val="0"/>
            <w:vAlign w:val="center"/>
          </w:tcPr>
          <w:p>
            <w:pPr>
              <w:pStyle w:val="3"/>
              <w:numPr>
                <w:ilvl w:val="1"/>
                <w:numId w:val="0"/>
              </w:numPr>
              <w:bidi w:val="0"/>
              <w:ind w:leftChars="0"/>
              <w:rPr>
                <w:rFonts w:hint="default" w:ascii="Times New Roman" w:hAnsi="Times New Roman" w:cs="Times New Roman"/>
                <w:color w:val="auto"/>
                <w:lang w:eastAsia="zh-CN"/>
              </w:rPr>
            </w:pPr>
            <w:bookmarkStart w:id="40" w:name="_Toc26578"/>
            <w:r>
              <w:rPr>
                <w:rFonts w:hint="default" w:ascii="Times New Roman" w:hAnsi="Times New Roman" w:cs="Times New Roman"/>
                <w:color w:val="auto"/>
                <w:lang w:val="en-US" w:eastAsia="zh-CN"/>
              </w:rPr>
              <w:t>4.</w:t>
            </w:r>
            <w:r>
              <w:rPr>
                <w:rFonts w:hint="eastAsia" w:cs="Times New Roman"/>
                <w:color w:val="auto"/>
                <w:lang w:val="en-US" w:eastAsia="zh-CN"/>
              </w:rPr>
              <w:t>2</w:t>
            </w:r>
            <w:r>
              <w:rPr>
                <w:rFonts w:hint="default" w:ascii="Times New Roman" w:hAnsi="Times New Roman" w:cs="Times New Roman"/>
                <w:color w:val="auto"/>
              </w:rPr>
              <w:t>废</w:t>
            </w:r>
            <w:r>
              <w:rPr>
                <w:rFonts w:hint="default" w:ascii="Times New Roman" w:hAnsi="Times New Roman" w:cs="Times New Roman"/>
                <w:color w:val="auto"/>
                <w:lang w:eastAsia="zh-CN"/>
              </w:rPr>
              <w:t>水</w:t>
            </w:r>
            <w:bookmarkEnd w:id="40"/>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2</w:t>
            </w:r>
            <w:r>
              <w:rPr>
                <w:rFonts w:hint="default" w:ascii="Times New Roman" w:hAnsi="Times New Roman" w:cs="Times New Roman"/>
                <w:color w:val="auto"/>
                <w:lang w:val="en-US" w:eastAsia="zh-CN"/>
              </w:rPr>
              <w:t>.1废水</w:t>
            </w:r>
            <w:r>
              <w:rPr>
                <w:rFonts w:hint="default" w:ascii="Times New Roman" w:hAnsi="Times New Roman" w:cs="Times New Roman"/>
                <w:color w:val="auto"/>
              </w:rPr>
              <w:t>污染源强</w:t>
            </w:r>
          </w:p>
          <w:p>
            <w:pPr>
              <w:spacing w:line="360" w:lineRule="auto"/>
              <w:ind w:firstLine="480" w:firstLineChars="200"/>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本项目废水源自各门诊科室、门诊、病房</w:t>
            </w:r>
            <w:r>
              <w:rPr>
                <w:rFonts w:hint="eastAsia" w:cs="Times New Roman"/>
                <w:color w:val="auto"/>
                <w:kern w:val="0"/>
                <w:sz w:val="24"/>
                <w:szCs w:val="21"/>
                <w:lang w:val="en-US" w:eastAsia="zh-CN" w:bidi="ar-SA"/>
              </w:rPr>
              <w:t>、检验科</w:t>
            </w:r>
            <w:r>
              <w:rPr>
                <w:rFonts w:hint="default" w:ascii="Times New Roman" w:hAnsi="Times New Roman" w:eastAsia="宋体" w:cs="Times New Roman"/>
                <w:color w:val="auto"/>
                <w:kern w:val="0"/>
                <w:sz w:val="24"/>
                <w:szCs w:val="21"/>
                <w:lang w:val="en-US" w:eastAsia="zh-CN" w:bidi="ar-SA"/>
              </w:rPr>
              <w:t>排放的医疗废水、洗衣房废水、食堂废水、后勤人员产生的一般生活污水。</w:t>
            </w:r>
          </w:p>
          <w:p>
            <w:pPr>
              <w:widowControl/>
              <w:ind w:firstLine="480"/>
              <w:jc w:val="left"/>
              <w:rPr>
                <w:rFonts w:hint="default" w:ascii="Times New Roman" w:hAnsi="Times New Roman" w:cs="Times New Roman"/>
                <w:color w:val="auto"/>
                <w:kern w:val="0"/>
                <w:lang w:bidi="ar"/>
              </w:rPr>
            </w:pPr>
            <w:r>
              <w:rPr>
                <w:rFonts w:hint="default" w:ascii="Times New Roman" w:hAnsi="Times New Roman" w:cs="Times New Roman"/>
                <w:color w:val="auto"/>
                <w:kern w:val="0"/>
                <w:lang w:bidi="ar"/>
              </w:rPr>
              <w:t>通过参考国家环境保护总局关于发布《医院污水处理技术指南》的通知（环发[2003]97号），项目综合废水初始浓度将表</w:t>
            </w:r>
            <w:r>
              <w:rPr>
                <w:rFonts w:hint="default" w:ascii="Times New Roman" w:hAnsi="Times New Roman" w:cs="Times New Roman"/>
                <w:color w:val="auto"/>
                <w:kern w:val="0"/>
                <w:lang w:val="en-US" w:eastAsia="zh-CN" w:bidi="ar"/>
              </w:rPr>
              <w:t>4.</w:t>
            </w:r>
            <w:r>
              <w:rPr>
                <w:rFonts w:hint="eastAsia" w:cs="Times New Roman"/>
                <w:color w:val="auto"/>
                <w:kern w:val="0"/>
                <w:lang w:val="en-US" w:eastAsia="zh-CN" w:bidi="ar"/>
              </w:rPr>
              <w:t>2</w:t>
            </w:r>
            <w:r>
              <w:rPr>
                <w:rFonts w:hint="default" w:ascii="Times New Roman" w:hAnsi="Times New Roman" w:cs="Times New Roman"/>
                <w:color w:val="auto"/>
                <w:kern w:val="0"/>
                <w:lang w:val="en-US" w:eastAsia="zh-CN" w:bidi="ar"/>
              </w:rPr>
              <w:t>-1</w:t>
            </w:r>
            <w:r>
              <w:rPr>
                <w:rFonts w:hint="default" w:ascii="Times New Roman" w:hAnsi="Times New Roman" w:cs="Times New Roman"/>
                <w:color w:val="auto"/>
                <w:kern w:val="0"/>
                <w:lang w:bidi="ar"/>
              </w:rPr>
              <w:t>。</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2</w:t>
            </w:r>
            <w:r>
              <w:rPr>
                <w:rFonts w:hint="default" w:ascii="Times New Roman" w:hAnsi="Times New Roman" w:cs="Times New Roman"/>
                <w:b/>
                <w:bCs/>
                <w:color w:val="auto"/>
                <w:lang w:val="en-US" w:eastAsia="zh-CN"/>
              </w:rPr>
              <w:t>-1</w:t>
            </w:r>
            <w:r>
              <w:rPr>
                <w:rFonts w:hint="default" w:ascii="Times New Roman" w:hAnsi="Times New Roman" w:cs="Times New Roman"/>
                <w:b/>
                <w:bCs/>
                <w:color w:val="auto"/>
              </w:rPr>
              <w:t xml:space="preserve"> 项目综合废水初始浓度一览表</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976"/>
              <w:gridCol w:w="1224"/>
              <w:gridCol w:w="1224"/>
              <w:gridCol w:w="1224"/>
              <w:gridCol w:w="13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977"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项目</w:t>
                  </w:r>
                </w:p>
              </w:tc>
              <w:tc>
                <w:tcPr>
                  <w:tcW w:w="657"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COD</w:t>
                  </w:r>
                  <w:r>
                    <w:rPr>
                      <w:rFonts w:hint="default" w:ascii="Times New Roman" w:hAnsi="Times New Roman" w:cs="Times New Roman"/>
                      <w:b w:val="0"/>
                      <w:bCs w:val="0"/>
                      <w:color w:val="auto"/>
                      <w:sz w:val="21"/>
                      <w:szCs w:val="21"/>
                      <w:vertAlign w:val="subscript"/>
                    </w:rPr>
                    <w:t>Cr</w:t>
                  </w:r>
                  <w:r>
                    <w:rPr>
                      <w:rFonts w:hint="default" w:ascii="Times New Roman" w:hAnsi="Times New Roman" w:cs="Times New Roman"/>
                      <w:b w:val="0"/>
                      <w:bCs w:val="0"/>
                      <w:color w:val="auto"/>
                      <w:sz w:val="21"/>
                      <w:szCs w:val="21"/>
                    </w:rPr>
                    <w:t>（mg/L）</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BOD</w:t>
                  </w:r>
                  <w:r>
                    <w:rPr>
                      <w:rFonts w:hint="default" w:ascii="Times New Roman" w:hAnsi="Times New Roman" w:cs="Times New Roman"/>
                      <w:b w:val="0"/>
                      <w:bCs w:val="0"/>
                      <w:color w:val="auto"/>
                      <w:sz w:val="21"/>
                      <w:szCs w:val="21"/>
                      <w:vertAlign w:val="subscript"/>
                    </w:rPr>
                    <w:t>5</w:t>
                  </w:r>
                  <w:r>
                    <w:rPr>
                      <w:rFonts w:hint="default" w:ascii="Times New Roman" w:hAnsi="Times New Roman" w:cs="Times New Roman"/>
                      <w:b w:val="0"/>
                      <w:bCs w:val="0"/>
                      <w:color w:val="auto"/>
                      <w:sz w:val="21"/>
                      <w:szCs w:val="21"/>
                    </w:rPr>
                    <w:t>（mg/L）</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SS（mg/L）</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氨氮（mg/L）</w:t>
                  </w:r>
                </w:p>
              </w:tc>
              <w:tc>
                <w:tcPr>
                  <w:tcW w:w="891"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粪大肠杆菌（个/L）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977"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污水浓度范围</w:t>
                  </w:r>
                </w:p>
              </w:tc>
              <w:tc>
                <w:tcPr>
                  <w:tcW w:w="657"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150-300</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80-150</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40-120</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10-50</w:t>
                  </w:r>
                </w:p>
              </w:tc>
              <w:tc>
                <w:tcPr>
                  <w:tcW w:w="891"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1.0×10</w:t>
                  </w:r>
                  <w:r>
                    <w:rPr>
                      <w:rFonts w:hint="default" w:ascii="Times New Roman" w:hAnsi="Times New Roman" w:cs="Times New Roman"/>
                      <w:b w:val="0"/>
                      <w:bCs w:val="0"/>
                      <w:color w:val="auto"/>
                      <w:sz w:val="21"/>
                      <w:szCs w:val="21"/>
                      <w:vertAlign w:val="superscript"/>
                    </w:rPr>
                    <w:t>6</w:t>
                  </w:r>
                  <w:r>
                    <w:rPr>
                      <w:rFonts w:hint="default" w:ascii="Times New Roman" w:hAnsi="Times New Roman" w:cs="Times New Roman"/>
                      <w:b w:val="0"/>
                      <w:bCs w:val="0"/>
                      <w:color w:val="auto"/>
                      <w:sz w:val="21"/>
                      <w:szCs w:val="21"/>
                    </w:rPr>
                    <w:t>-3.0×10</w:t>
                  </w:r>
                  <w:r>
                    <w:rPr>
                      <w:rFonts w:hint="default" w:ascii="Times New Roman" w:hAnsi="Times New Roman" w:cs="Times New Roman"/>
                      <w:b w:val="0"/>
                      <w:bCs w:val="0"/>
                      <w:color w:val="auto"/>
                      <w:sz w:val="21"/>
                      <w:szCs w:val="21"/>
                      <w:vertAlign w:val="superscript"/>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977"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本评价取值</w:t>
                  </w:r>
                </w:p>
              </w:tc>
              <w:tc>
                <w:tcPr>
                  <w:tcW w:w="657" w:type="pct"/>
                  <w:shd w:val="clear" w:color="auto" w:fill="auto"/>
                  <w:noWrap w:val="0"/>
                  <w:vAlign w:val="center"/>
                </w:tcPr>
                <w:p>
                  <w:pPr>
                    <w:pStyle w:val="18"/>
                    <w:spacing w:line="240" w:lineRule="auto"/>
                    <w:ind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300</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rPr>
                    <w:t>1</w:t>
                  </w:r>
                  <w:r>
                    <w:rPr>
                      <w:rFonts w:hint="eastAsia" w:cs="Times New Roman"/>
                      <w:b w:val="0"/>
                      <w:bCs w:val="0"/>
                      <w:color w:val="auto"/>
                      <w:sz w:val="21"/>
                      <w:szCs w:val="21"/>
                      <w:lang w:val="en-US" w:eastAsia="zh-CN"/>
                    </w:rPr>
                    <w:t>50</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80</w:t>
                  </w:r>
                </w:p>
              </w:tc>
              <w:tc>
                <w:tcPr>
                  <w:tcW w:w="824"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30</w:t>
                  </w:r>
                </w:p>
              </w:tc>
              <w:tc>
                <w:tcPr>
                  <w:tcW w:w="891" w:type="pct"/>
                  <w:shd w:val="clear" w:color="auto" w:fill="auto"/>
                  <w:noWrap w:val="0"/>
                  <w:vAlign w:val="center"/>
                </w:tcPr>
                <w:p>
                  <w:pPr>
                    <w:pStyle w:val="18"/>
                    <w:spacing w:line="240" w:lineRule="auto"/>
                    <w:ind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1.6×10</w:t>
                  </w:r>
                  <w:r>
                    <w:rPr>
                      <w:rFonts w:hint="default" w:ascii="Times New Roman" w:hAnsi="Times New Roman" w:cs="Times New Roman"/>
                      <w:b w:val="0"/>
                      <w:bCs w:val="0"/>
                      <w:color w:val="auto"/>
                      <w:sz w:val="21"/>
                      <w:szCs w:val="21"/>
                      <w:vertAlign w:val="superscript"/>
                    </w:rPr>
                    <w:t>8</w:t>
                  </w:r>
                </w:p>
              </w:tc>
            </w:tr>
          </w:tbl>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auto"/>
                <w:kern w:val="0"/>
                <w:lang w:bidi="ar"/>
              </w:rPr>
            </w:pPr>
            <w:r>
              <w:rPr>
                <w:rFonts w:hint="default" w:ascii="Times New Roman" w:hAnsi="Times New Roman" w:cs="Times New Roman"/>
                <w:color w:val="auto"/>
                <w:kern w:val="0"/>
                <w:lang w:bidi="ar"/>
              </w:rPr>
              <w:t>本项目在院区</w:t>
            </w:r>
            <w:r>
              <w:rPr>
                <w:rFonts w:hint="default" w:ascii="Times New Roman" w:hAnsi="Times New Roman" w:cs="Times New Roman"/>
                <w:color w:val="auto"/>
                <w:kern w:val="0"/>
                <w:lang w:eastAsia="zh-CN" w:bidi="ar"/>
              </w:rPr>
              <w:t>东北</w:t>
            </w:r>
            <w:r>
              <w:rPr>
                <w:rFonts w:hint="default" w:ascii="Times New Roman" w:hAnsi="Times New Roman" w:cs="Times New Roman"/>
                <w:color w:val="auto"/>
                <w:kern w:val="0"/>
                <w:lang w:bidi="ar"/>
              </w:rPr>
              <w:t>角新建一套处理规模为</w:t>
            </w:r>
            <w:r>
              <w:rPr>
                <w:rFonts w:hint="default" w:ascii="Times New Roman" w:hAnsi="Times New Roman" w:cs="Times New Roman"/>
                <w:color w:val="auto"/>
                <w:kern w:val="0"/>
                <w:lang w:val="en-US" w:eastAsia="zh-CN" w:bidi="ar"/>
              </w:rPr>
              <w:t>2</w:t>
            </w:r>
            <w:r>
              <w:rPr>
                <w:rFonts w:hint="default" w:ascii="Times New Roman" w:hAnsi="Times New Roman" w:cs="Times New Roman"/>
                <w:color w:val="auto"/>
                <w:kern w:val="0"/>
                <w:lang w:bidi="ar"/>
              </w:rPr>
              <w:t>00t/d的污水处理站，污水处理站采用“调节+好氧+</w:t>
            </w:r>
            <w:r>
              <w:rPr>
                <w:rFonts w:hint="default" w:ascii="Times New Roman" w:hAnsi="Times New Roman" w:cs="Times New Roman"/>
                <w:color w:val="auto"/>
                <w:kern w:val="0"/>
                <w:lang w:eastAsia="zh-CN" w:bidi="ar"/>
              </w:rPr>
              <w:t>沉淀</w:t>
            </w:r>
            <w:r>
              <w:rPr>
                <w:rFonts w:hint="default" w:ascii="Times New Roman" w:hAnsi="Times New Roman" w:cs="Times New Roman"/>
                <w:color w:val="auto"/>
                <w:kern w:val="0"/>
                <w:lang w:bidi="ar"/>
              </w:rPr>
              <w:t>+消毒工艺”。</w:t>
            </w:r>
            <w:r>
              <w:rPr>
                <w:rFonts w:hint="default" w:ascii="Times New Roman" w:hAnsi="Times New Roman" w:cs="Times New Roman"/>
                <w:color w:val="auto"/>
                <w:kern w:val="0"/>
                <w:lang w:val="en-US" w:eastAsia="zh-CN" w:bidi="ar"/>
              </w:rPr>
              <w:t>根据本项目污水处理工艺技术资料，本项目产生的污水处理前后效果及排放情况见表4.</w:t>
            </w:r>
            <w:r>
              <w:rPr>
                <w:rFonts w:hint="eastAsia" w:cs="Times New Roman"/>
                <w:color w:val="auto"/>
                <w:kern w:val="0"/>
                <w:lang w:val="en-US" w:eastAsia="zh-CN" w:bidi="ar"/>
              </w:rPr>
              <w:t>2</w:t>
            </w:r>
            <w:r>
              <w:rPr>
                <w:rFonts w:hint="default" w:ascii="Times New Roman" w:hAnsi="Times New Roman" w:cs="Times New Roman"/>
                <w:color w:val="auto"/>
                <w:kern w:val="0"/>
                <w:lang w:val="en-US" w:eastAsia="zh-CN" w:bidi="ar"/>
              </w:rPr>
              <w:t>-2。</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2</w:t>
            </w:r>
            <w:r>
              <w:rPr>
                <w:rFonts w:hint="default" w:ascii="Times New Roman" w:hAnsi="Times New Roman" w:cs="Times New Roman"/>
                <w:b/>
                <w:bCs/>
                <w:color w:val="auto"/>
                <w:lang w:val="en-US" w:eastAsia="zh-CN"/>
              </w:rPr>
              <w:t xml:space="preserve">-2 </w:t>
            </w:r>
            <w:r>
              <w:rPr>
                <w:rFonts w:hint="default" w:ascii="Times New Roman" w:hAnsi="Times New Roman" w:cs="Times New Roman"/>
                <w:b/>
                <w:bCs/>
                <w:color w:val="auto"/>
              </w:rPr>
              <w:t>综合废水源强核算</w:t>
            </w:r>
          </w:p>
          <w:tbl>
            <w:tblPr>
              <w:tblStyle w:val="26"/>
              <w:tblpPr w:leftFromText="180" w:rightFromText="180" w:vertAnchor="text" w:tblpXSpec="center" w:tblpY="1"/>
              <w:tblOverlap w:val="never"/>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709"/>
              <w:gridCol w:w="1526"/>
              <w:gridCol w:w="867"/>
              <w:gridCol w:w="863"/>
              <w:gridCol w:w="881"/>
              <w:gridCol w:w="650"/>
              <w:gridCol w:w="12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noWrap w:val="0"/>
                  <w:vAlign w:val="center"/>
                </w:tcPr>
                <w:p>
                  <w:pPr>
                    <w:pStyle w:val="32"/>
                    <w:spacing w:line="240" w:lineRule="auto"/>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废水来源</w:t>
                  </w:r>
                </w:p>
              </w:tc>
              <w:tc>
                <w:tcPr>
                  <w:tcW w:w="477" w:type="pct"/>
                  <w:noWrap w:val="0"/>
                  <w:vAlign w:val="center"/>
                </w:tcPr>
                <w:p>
                  <w:pPr>
                    <w:pStyle w:val="32"/>
                    <w:spacing w:line="240" w:lineRule="auto"/>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废水量t/a</w:t>
                  </w:r>
                </w:p>
              </w:tc>
              <w:tc>
                <w:tcPr>
                  <w:tcW w:w="1028" w:type="pct"/>
                  <w:noWrap w:val="0"/>
                  <w:vAlign w:val="center"/>
                </w:tcPr>
                <w:p>
                  <w:pPr>
                    <w:pStyle w:val="32"/>
                    <w:spacing w:line="240" w:lineRule="auto"/>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污染因子</w:t>
                  </w:r>
                </w:p>
              </w:tc>
              <w:tc>
                <w:tcPr>
                  <w:tcW w:w="584" w:type="pct"/>
                  <w:noWrap w:val="0"/>
                  <w:vAlign w:val="center"/>
                </w:tcPr>
                <w:p>
                  <w:pPr>
                    <w:pStyle w:val="32"/>
                    <w:spacing w:line="240" w:lineRule="auto"/>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COD</w:t>
                  </w:r>
                </w:p>
              </w:tc>
              <w:tc>
                <w:tcPr>
                  <w:tcW w:w="581" w:type="pct"/>
                  <w:noWrap w:val="0"/>
                  <w:vAlign w:val="center"/>
                </w:tcPr>
                <w:p>
                  <w:pPr>
                    <w:pStyle w:val="32"/>
                    <w:spacing w:line="240" w:lineRule="auto"/>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BOD</w:t>
                  </w:r>
                  <w:r>
                    <w:rPr>
                      <w:rFonts w:hint="default" w:ascii="Times New Roman" w:hAnsi="Times New Roman" w:cs="Times New Roman"/>
                      <w:b w:val="0"/>
                      <w:bCs w:val="0"/>
                      <w:color w:val="auto"/>
                      <w:sz w:val="18"/>
                      <w:szCs w:val="18"/>
                      <w:vertAlign w:val="subscript"/>
                    </w:rPr>
                    <w:t>5</w:t>
                  </w:r>
                </w:p>
              </w:tc>
              <w:tc>
                <w:tcPr>
                  <w:tcW w:w="593" w:type="pct"/>
                  <w:noWrap w:val="0"/>
                  <w:vAlign w:val="center"/>
                </w:tcPr>
                <w:p>
                  <w:pPr>
                    <w:pStyle w:val="32"/>
                    <w:spacing w:line="240" w:lineRule="auto"/>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SS</w:t>
                  </w:r>
                </w:p>
              </w:tc>
              <w:tc>
                <w:tcPr>
                  <w:tcW w:w="437" w:type="pct"/>
                  <w:noWrap w:val="0"/>
                  <w:vAlign w:val="center"/>
                </w:tcPr>
                <w:p>
                  <w:pPr>
                    <w:pStyle w:val="32"/>
                    <w:spacing w:line="240" w:lineRule="auto"/>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氨氮</w:t>
                  </w:r>
                </w:p>
              </w:tc>
              <w:tc>
                <w:tcPr>
                  <w:tcW w:w="838" w:type="pct"/>
                  <w:noWrap w:val="0"/>
                  <w:vAlign w:val="center"/>
                </w:tcPr>
                <w:p>
                  <w:pPr>
                    <w:pStyle w:val="32"/>
                    <w:spacing w:line="240" w:lineRule="auto"/>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粪大肠杆菌*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restart"/>
                  <w:noWrap w:val="0"/>
                  <w:vAlign w:val="center"/>
                </w:tcPr>
                <w:p>
                  <w:pPr>
                    <w:pStyle w:val="32"/>
                    <w:spacing w:line="240" w:lineRule="auto"/>
                    <w:rPr>
                      <w:rFonts w:hint="default" w:ascii="Times New Roman" w:hAnsi="Times New Roman" w:cs="Times New Roman"/>
                      <w:b w:val="0"/>
                      <w:bCs w:val="0"/>
                      <w:color w:val="auto"/>
                      <w:sz w:val="18"/>
                      <w:szCs w:val="18"/>
                    </w:rPr>
                  </w:pPr>
                  <w:bookmarkStart w:id="41" w:name="OLE_LINK1" w:colFirst="3" w:colLast="8"/>
                  <w:r>
                    <w:rPr>
                      <w:rFonts w:hint="default" w:ascii="Times New Roman" w:hAnsi="Times New Roman" w:cs="Times New Roman"/>
                      <w:b w:val="0"/>
                      <w:bCs w:val="0"/>
                      <w:color w:val="auto"/>
                      <w:sz w:val="18"/>
                      <w:szCs w:val="18"/>
                    </w:rPr>
                    <w:t>综合废水</w:t>
                  </w:r>
                </w:p>
              </w:tc>
              <w:tc>
                <w:tcPr>
                  <w:tcW w:w="477" w:type="pct"/>
                  <w:vMerge w:val="restar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eastAsia="宋体" w:cs="Times New Roman"/>
                      <w:b w:val="0"/>
                      <w:bCs w:val="0"/>
                      <w:i w:val="0"/>
                      <w:iCs w:val="0"/>
                      <w:color w:val="auto"/>
                      <w:kern w:val="0"/>
                      <w:sz w:val="18"/>
                      <w:szCs w:val="18"/>
                      <w:u w:val="none"/>
                      <w:lang w:val="en-US" w:eastAsia="zh-CN" w:bidi="ar"/>
                    </w:rPr>
                    <w:t>241</w:t>
                  </w:r>
                  <w:r>
                    <w:rPr>
                      <w:rFonts w:hint="eastAsia" w:cs="Times New Roman"/>
                      <w:b w:val="0"/>
                      <w:bCs w:val="0"/>
                      <w:i w:val="0"/>
                      <w:iCs w:val="0"/>
                      <w:color w:val="auto"/>
                      <w:kern w:val="0"/>
                      <w:sz w:val="18"/>
                      <w:szCs w:val="18"/>
                      <w:u w:val="none"/>
                      <w:lang w:val="en-US" w:eastAsia="zh-CN" w:bidi="ar"/>
                    </w:rPr>
                    <w:t>76.23</w:t>
                  </w:r>
                </w:p>
              </w:tc>
              <w:tc>
                <w:tcPr>
                  <w:tcW w:w="1028" w:type="pct"/>
                  <w:noWrap w:val="0"/>
                  <w:vAlign w:val="center"/>
                </w:tcPr>
                <w:p>
                  <w:pPr>
                    <w:widowControl/>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kern w:val="0"/>
                      <w:sz w:val="18"/>
                      <w:szCs w:val="18"/>
                      <w:lang w:bidi="ar"/>
                    </w:rPr>
                    <w:t>产生浓度</w:t>
                  </w:r>
                </w:p>
              </w:tc>
              <w:tc>
                <w:tcPr>
                  <w:tcW w:w="584" w:type="pct"/>
                  <w:noWrap w:val="0"/>
                  <w:vAlign w:val="center"/>
                </w:tcPr>
                <w:p>
                  <w:pPr>
                    <w:pStyle w:val="18"/>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eastAsia" w:cs="Times New Roman"/>
                      <w:b w:val="0"/>
                      <w:bCs w:val="0"/>
                      <w:color w:val="auto"/>
                      <w:sz w:val="18"/>
                      <w:szCs w:val="18"/>
                      <w:lang w:val="en-US" w:eastAsia="zh-CN"/>
                    </w:rPr>
                    <w:t>300</w:t>
                  </w:r>
                </w:p>
              </w:tc>
              <w:tc>
                <w:tcPr>
                  <w:tcW w:w="581" w:type="pct"/>
                  <w:noWrap w:val="0"/>
                  <w:vAlign w:val="center"/>
                </w:tcPr>
                <w:p>
                  <w:pPr>
                    <w:pStyle w:val="18"/>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cs="Times New Roman"/>
                      <w:b w:val="0"/>
                      <w:bCs w:val="0"/>
                      <w:color w:val="auto"/>
                      <w:sz w:val="18"/>
                      <w:szCs w:val="18"/>
                    </w:rPr>
                    <w:t>1</w:t>
                  </w:r>
                  <w:r>
                    <w:rPr>
                      <w:rFonts w:hint="eastAsia" w:cs="Times New Roman"/>
                      <w:b w:val="0"/>
                      <w:bCs w:val="0"/>
                      <w:color w:val="auto"/>
                      <w:sz w:val="18"/>
                      <w:szCs w:val="18"/>
                      <w:lang w:val="en-US" w:eastAsia="zh-CN"/>
                    </w:rPr>
                    <w:t>50</w:t>
                  </w:r>
                </w:p>
              </w:tc>
              <w:tc>
                <w:tcPr>
                  <w:tcW w:w="593" w:type="pct"/>
                  <w:noWrap w:val="0"/>
                  <w:vAlign w:val="center"/>
                </w:tcPr>
                <w:p>
                  <w:pPr>
                    <w:pStyle w:val="18"/>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cs="Times New Roman"/>
                      <w:b w:val="0"/>
                      <w:bCs w:val="0"/>
                      <w:color w:val="auto"/>
                      <w:sz w:val="18"/>
                      <w:szCs w:val="18"/>
                    </w:rPr>
                    <w:t>80</w:t>
                  </w:r>
                </w:p>
              </w:tc>
              <w:tc>
                <w:tcPr>
                  <w:tcW w:w="437" w:type="pct"/>
                  <w:noWrap w:val="0"/>
                  <w:vAlign w:val="center"/>
                </w:tcPr>
                <w:p>
                  <w:pPr>
                    <w:pStyle w:val="18"/>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cs="Times New Roman"/>
                      <w:b w:val="0"/>
                      <w:bCs w:val="0"/>
                      <w:color w:val="auto"/>
                      <w:sz w:val="18"/>
                      <w:szCs w:val="18"/>
                    </w:rPr>
                    <w:t>30</w:t>
                  </w:r>
                </w:p>
              </w:tc>
              <w:tc>
                <w:tcPr>
                  <w:tcW w:w="838" w:type="pct"/>
                  <w:noWrap w:val="0"/>
                  <w:vAlign w:val="center"/>
                </w:tcPr>
                <w:p>
                  <w:pPr>
                    <w:pStyle w:val="18"/>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cs="Times New Roman"/>
                      <w:b w:val="0"/>
                      <w:bCs w:val="0"/>
                      <w:color w:val="auto"/>
                      <w:sz w:val="18"/>
                      <w:szCs w:val="18"/>
                    </w:rPr>
                    <w:t>1.6×10</w:t>
                  </w:r>
                  <w:r>
                    <w:rPr>
                      <w:rFonts w:hint="default" w:ascii="Times New Roman" w:hAnsi="Times New Roman" w:cs="Times New Roman"/>
                      <w:b w:val="0"/>
                      <w:bCs w:val="0"/>
                      <w:color w:val="auto"/>
                      <w:sz w:val="18"/>
                      <w:szCs w:val="18"/>
                      <w:vertAlign w:val="superscript"/>
                    </w:rPr>
                    <w:t>8</w:t>
                  </w:r>
                </w:p>
              </w:tc>
            </w:tr>
            <w:bookmarkEnd w:id="41"/>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noWrap w:val="0"/>
                  <w:vAlign w:val="center"/>
                </w:tcPr>
                <w:p>
                  <w:pPr>
                    <w:pStyle w:val="32"/>
                    <w:spacing w:line="240" w:lineRule="auto"/>
                    <w:rPr>
                      <w:rFonts w:hint="default" w:ascii="Times New Roman" w:hAnsi="Times New Roman" w:cs="Times New Roman"/>
                      <w:b w:val="0"/>
                      <w:bCs w:val="0"/>
                      <w:color w:val="auto"/>
                      <w:sz w:val="18"/>
                      <w:szCs w:val="18"/>
                    </w:rPr>
                  </w:pPr>
                </w:p>
              </w:tc>
              <w:tc>
                <w:tcPr>
                  <w:tcW w:w="477" w:type="pct"/>
                  <w:vMerge w:val="continue"/>
                  <w:noWrap w:val="0"/>
                  <w:vAlign w:val="center"/>
                </w:tcPr>
                <w:p>
                  <w:pPr>
                    <w:spacing w:line="240" w:lineRule="auto"/>
                    <w:jc w:val="center"/>
                    <w:rPr>
                      <w:rFonts w:hint="default" w:ascii="Times New Roman" w:hAnsi="Times New Roman" w:cs="Times New Roman"/>
                      <w:b w:val="0"/>
                      <w:bCs w:val="0"/>
                      <w:color w:val="auto"/>
                      <w:sz w:val="18"/>
                      <w:szCs w:val="18"/>
                    </w:rPr>
                  </w:pPr>
                </w:p>
              </w:tc>
              <w:tc>
                <w:tcPr>
                  <w:tcW w:w="1028" w:type="pct"/>
                  <w:noWrap w:val="0"/>
                  <w:vAlign w:val="center"/>
                </w:tcPr>
                <w:p>
                  <w:pPr>
                    <w:widowControl/>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kern w:val="0"/>
                      <w:sz w:val="18"/>
                      <w:szCs w:val="18"/>
                      <w:lang w:bidi="ar"/>
                    </w:rPr>
                    <w:t>产生量（t/a）</w:t>
                  </w:r>
                </w:p>
              </w:tc>
              <w:tc>
                <w:tcPr>
                  <w:tcW w:w="584"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7.2529 </w:t>
                  </w:r>
                </w:p>
              </w:tc>
              <w:tc>
                <w:tcPr>
                  <w:tcW w:w="581"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3.6264 </w:t>
                  </w:r>
                </w:p>
              </w:tc>
              <w:tc>
                <w:tcPr>
                  <w:tcW w:w="593"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1.9341 </w:t>
                  </w:r>
                </w:p>
              </w:tc>
              <w:tc>
                <w:tcPr>
                  <w:tcW w:w="437"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0.7253 </w:t>
                  </w:r>
                </w:p>
              </w:tc>
              <w:tc>
                <w:tcPr>
                  <w:tcW w:w="838" w:type="pct"/>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0"/>
                      <w:sz w:val="18"/>
                      <w:szCs w:val="18"/>
                      <w:lang w:val="en-US" w:eastAsia="zh-CN" w:bidi="ar"/>
                    </w:rPr>
                  </w:pPr>
                  <w:r>
                    <w:rPr>
                      <w:rFonts w:hint="eastAsia" w:cs="Times New Roman"/>
                      <w:b w:val="0"/>
                      <w:bCs w:val="0"/>
                      <w:i w:val="0"/>
                      <w:iCs w:val="0"/>
                      <w:color w:val="auto"/>
                      <w:kern w:val="0"/>
                      <w:sz w:val="18"/>
                      <w:szCs w:val="18"/>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noWrap w:val="0"/>
                  <w:vAlign w:val="center"/>
                </w:tcPr>
                <w:p>
                  <w:pPr>
                    <w:pStyle w:val="32"/>
                    <w:spacing w:line="240" w:lineRule="auto"/>
                    <w:rPr>
                      <w:rFonts w:hint="default" w:ascii="Times New Roman" w:hAnsi="Times New Roman" w:cs="Times New Roman"/>
                      <w:b w:val="0"/>
                      <w:bCs w:val="0"/>
                      <w:color w:val="auto"/>
                      <w:sz w:val="18"/>
                      <w:szCs w:val="18"/>
                    </w:rPr>
                  </w:pPr>
                  <w:bookmarkStart w:id="42" w:name="OLE_LINK2" w:colFirst="3" w:colLast="8"/>
                </w:p>
              </w:tc>
              <w:tc>
                <w:tcPr>
                  <w:tcW w:w="477" w:type="pct"/>
                  <w:vMerge w:val="continue"/>
                  <w:noWrap w:val="0"/>
                  <w:vAlign w:val="center"/>
                </w:tcPr>
                <w:p>
                  <w:pPr>
                    <w:spacing w:line="240" w:lineRule="auto"/>
                    <w:jc w:val="center"/>
                    <w:rPr>
                      <w:rFonts w:hint="default" w:ascii="Times New Roman" w:hAnsi="Times New Roman" w:cs="Times New Roman"/>
                      <w:b w:val="0"/>
                      <w:bCs w:val="0"/>
                      <w:color w:val="auto"/>
                      <w:sz w:val="18"/>
                      <w:szCs w:val="18"/>
                    </w:rPr>
                  </w:pPr>
                </w:p>
              </w:tc>
              <w:tc>
                <w:tcPr>
                  <w:tcW w:w="1028" w:type="pct"/>
                  <w:noWrap w:val="0"/>
                  <w:vAlign w:val="center"/>
                </w:tcPr>
                <w:p>
                  <w:pPr>
                    <w:widowControl/>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kern w:val="0"/>
                      <w:sz w:val="18"/>
                      <w:szCs w:val="18"/>
                      <w:lang w:bidi="ar"/>
                    </w:rPr>
                    <w:t>自建污水站去除率%</w:t>
                  </w:r>
                </w:p>
              </w:tc>
              <w:tc>
                <w:tcPr>
                  <w:tcW w:w="584"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0.5</w:t>
                  </w:r>
                </w:p>
              </w:tc>
              <w:tc>
                <w:tcPr>
                  <w:tcW w:w="581"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lang w:val="en-US"/>
                    </w:rPr>
                  </w:pPr>
                  <w:r>
                    <w:rPr>
                      <w:rFonts w:hint="default" w:ascii="Times New Roman" w:hAnsi="Times New Roman" w:eastAsia="宋体" w:cs="Times New Roman"/>
                      <w:i w:val="0"/>
                      <w:iCs w:val="0"/>
                      <w:color w:val="auto"/>
                      <w:kern w:val="0"/>
                      <w:sz w:val="18"/>
                      <w:szCs w:val="18"/>
                      <w:u w:val="none"/>
                      <w:lang w:val="en-US" w:eastAsia="zh-CN" w:bidi="ar"/>
                    </w:rPr>
                    <w:t>0.68</w:t>
                  </w:r>
                </w:p>
              </w:tc>
              <w:tc>
                <w:tcPr>
                  <w:tcW w:w="593"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0.95</w:t>
                  </w:r>
                </w:p>
              </w:tc>
              <w:tc>
                <w:tcPr>
                  <w:tcW w:w="437"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lang w:val="en-US"/>
                    </w:rPr>
                  </w:pPr>
                  <w:r>
                    <w:rPr>
                      <w:rFonts w:hint="default" w:ascii="Times New Roman" w:hAnsi="Times New Roman" w:eastAsia="宋体" w:cs="Times New Roman"/>
                      <w:i w:val="0"/>
                      <w:iCs w:val="0"/>
                      <w:color w:val="auto"/>
                      <w:kern w:val="0"/>
                      <w:sz w:val="18"/>
                      <w:szCs w:val="18"/>
                      <w:u w:val="none"/>
                      <w:lang w:val="en-US" w:eastAsia="zh-CN" w:bidi="ar"/>
                    </w:rPr>
                    <w:t>0.07</w:t>
                  </w:r>
                </w:p>
              </w:tc>
              <w:tc>
                <w:tcPr>
                  <w:tcW w:w="838" w:type="pct"/>
                  <w:noWrap/>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lang w:val="en-US"/>
                    </w:rPr>
                  </w:pPr>
                  <w:r>
                    <w:rPr>
                      <w:rFonts w:hint="default" w:ascii="Times New Roman" w:hAnsi="Times New Roman" w:eastAsia="宋体" w:cs="Times New Roman"/>
                      <w:b w:val="0"/>
                      <w:bCs w:val="0"/>
                      <w:i w:val="0"/>
                      <w:iCs w:val="0"/>
                      <w:color w:val="auto"/>
                      <w:kern w:val="0"/>
                      <w:sz w:val="18"/>
                      <w:szCs w:val="18"/>
                      <w:u w:val="none"/>
                      <w:lang w:val="en-US" w:eastAsia="zh-CN" w:bidi="ar"/>
                    </w:rPr>
                    <w:t>0.999</w:t>
                  </w:r>
                  <w:r>
                    <w:rPr>
                      <w:rFonts w:hint="eastAsia" w:cs="Times New Roman"/>
                      <w:b w:val="0"/>
                      <w:bCs w:val="0"/>
                      <w:i w:val="0"/>
                      <w:iCs w:val="0"/>
                      <w:color w:val="auto"/>
                      <w:kern w:val="0"/>
                      <w:sz w:val="18"/>
                      <w:szCs w:val="18"/>
                      <w:u w:val="none"/>
                      <w:lang w:val="en-US" w:eastAsia="zh-CN" w:bidi="ar"/>
                    </w:rPr>
                    <w:t>99</w:t>
                  </w:r>
                </w:p>
              </w:tc>
            </w:tr>
            <w:bookmarkEnd w:id="42"/>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noWrap w:val="0"/>
                  <w:vAlign w:val="center"/>
                </w:tcPr>
                <w:p>
                  <w:pPr>
                    <w:pStyle w:val="32"/>
                    <w:spacing w:line="240" w:lineRule="auto"/>
                    <w:rPr>
                      <w:rFonts w:hint="default" w:ascii="Times New Roman" w:hAnsi="Times New Roman" w:cs="Times New Roman"/>
                      <w:b w:val="0"/>
                      <w:bCs w:val="0"/>
                      <w:color w:val="auto"/>
                      <w:sz w:val="18"/>
                      <w:szCs w:val="18"/>
                    </w:rPr>
                  </w:pPr>
                </w:p>
              </w:tc>
              <w:tc>
                <w:tcPr>
                  <w:tcW w:w="477" w:type="pct"/>
                  <w:vMerge w:val="continue"/>
                  <w:noWrap w:val="0"/>
                  <w:vAlign w:val="center"/>
                </w:tcPr>
                <w:p>
                  <w:pPr>
                    <w:spacing w:line="240" w:lineRule="auto"/>
                    <w:jc w:val="center"/>
                    <w:rPr>
                      <w:rFonts w:hint="default" w:ascii="Times New Roman" w:hAnsi="Times New Roman" w:cs="Times New Roman"/>
                      <w:b w:val="0"/>
                      <w:bCs w:val="0"/>
                      <w:color w:val="auto"/>
                      <w:sz w:val="18"/>
                      <w:szCs w:val="18"/>
                    </w:rPr>
                  </w:pPr>
                </w:p>
              </w:tc>
              <w:tc>
                <w:tcPr>
                  <w:tcW w:w="1028" w:type="pct"/>
                  <w:noWrap w:val="0"/>
                  <w:vAlign w:val="center"/>
                </w:tcPr>
                <w:p>
                  <w:pPr>
                    <w:widowControl/>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kern w:val="0"/>
                      <w:sz w:val="18"/>
                      <w:szCs w:val="18"/>
                      <w:lang w:bidi="ar"/>
                    </w:rPr>
                    <w:t>排放浓度（mg/L）</w:t>
                  </w:r>
                </w:p>
              </w:tc>
              <w:tc>
                <w:tcPr>
                  <w:tcW w:w="584"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150.0 </w:t>
                  </w:r>
                </w:p>
              </w:tc>
              <w:tc>
                <w:tcPr>
                  <w:tcW w:w="581"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48.0</w:t>
                  </w:r>
                </w:p>
              </w:tc>
              <w:tc>
                <w:tcPr>
                  <w:tcW w:w="593"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4.0 </w:t>
                  </w:r>
                </w:p>
              </w:tc>
              <w:tc>
                <w:tcPr>
                  <w:tcW w:w="437"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lang w:val="en-US"/>
                    </w:rPr>
                  </w:pPr>
                  <w:r>
                    <w:rPr>
                      <w:rFonts w:hint="default" w:ascii="Times New Roman" w:hAnsi="Times New Roman" w:eastAsia="宋体" w:cs="Times New Roman"/>
                      <w:i w:val="0"/>
                      <w:iCs w:val="0"/>
                      <w:color w:val="auto"/>
                      <w:kern w:val="0"/>
                      <w:sz w:val="18"/>
                      <w:szCs w:val="18"/>
                      <w:u w:val="none"/>
                      <w:lang w:val="en-US" w:eastAsia="zh-CN" w:bidi="ar"/>
                    </w:rPr>
                    <w:t xml:space="preserve">27.9 </w:t>
                  </w:r>
                </w:p>
              </w:tc>
              <w:tc>
                <w:tcPr>
                  <w:tcW w:w="838"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1600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noWrap w:val="0"/>
                  <w:vAlign w:val="center"/>
                </w:tcPr>
                <w:p>
                  <w:pPr>
                    <w:pStyle w:val="32"/>
                    <w:spacing w:line="240" w:lineRule="auto"/>
                    <w:rPr>
                      <w:rFonts w:hint="default" w:ascii="Times New Roman" w:hAnsi="Times New Roman" w:cs="Times New Roman"/>
                      <w:b w:val="0"/>
                      <w:bCs w:val="0"/>
                      <w:color w:val="auto"/>
                      <w:sz w:val="18"/>
                      <w:szCs w:val="18"/>
                    </w:rPr>
                  </w:pPr>
                </w:p>
              </w:tc>
              <w:tc>
                <w:tcPr>
                  <w:tcW w:w="477" w:type="pct"/>
                  <w:vMerge w:val="continue"/>
                  <w:noWrap w:val="0"/>
                  <w:vAlign w:val="center"/>
                </w:tcPr>
                <w:p>
                  <w:pPr>
                    <w:spacing w:line="240" w:lineRule="auto"/>
                    <w:jc w:val="center"/>
                    <w:rPr>
                      <w:rFonts w:hint="default" w:ascii="Times New Roman" w:hAnsi="Times New Roman" w:cs="Times New Roman"/>
                      <w:b w:val="0"/>
                      <w:bCs w:val="0"/>
                      <w:color w:val="auto"/>
                      <w:sz w:val="18"/>
                      <w:szCs w:val="18"/>
                    </w:rPr>
                  </w:pPr>
                </w:p>
              </w:tc>
              <w:tc>
                <w:tcPr>
                  <w:tcW w:w="1028" w:type="pct"/>
                  <w:noWrap w:val="0"/>
                  <w:vAlign w:val="center"/>
                </w:tcPr>
                <w:p>
                  <w:pPr>
                    <w:widowControl/>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kern w:val="0"/>
                      <w:sz w:val="18"/>
                      <w:szCs w:val="18"/>
                      <w:lang w:bidi="ar"/>
                    </w:rPr>
                    <w:t>排放量（t/a）</w:t>
                  </w:r>
                </w:p>
              </w:tc>
              <w:tc>
                <w:tcPr>
                  <w:tcW w:w="584"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3.6264 </w:t>
                  </w:r>
                </w:p>
              </w:tc>
              <w:tc>
                <w:tcPr>
                  <w:tcW w:w="581"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1.1605 </w:t>
                  </w:r>
                </w:p>
              </w:tc>
              <w:tc>
                <w:tcPr>
                  <w:tcW w:w="593"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0.0967 </w:t>
                  </w:r>
                </w:p>
              </w:tc>
              <w:tc>
                <w:tcPr>
                  <w:tcW w:w="437"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0.6745 </w:t>
                  </w:r>
                </w:p>
              </w:tc>
              <w:tc>
                <w:tcPr>
                  <w:tcW w:w="838"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eastAsia" w:cs="Times New Roman"/>
                      <w:b w:val="0"/>
                      <w:bCs w:val="0"/>
                      <w:i w:val="0"/>
                      <w:iCs w:val="0"/>
                      <w:color w:val="auto"/>
                      <w:kern w:val="0"/>
                      <w:sz w:val="18"/>
                      <w:szCs w:val="18"/>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noWrap w:val="0"/>
                  <w:vAlign w:val="center"/>
                </w:tcPr>
                <w:p>
                  <w:pPr>
                    <w:pStyle w:val="32"/>
                    <w:spacing w:line="240" w:lineRule="auto"/>
                    <w:rPr>
                      <w:rFonts w:hint="default" w:ascii="Times New Roman" w:hAnsi="Times New Roman" w:cs="Times New Roman"/>
                      <w:b w:val="0"/>
                      <w:bCs w:val="0"/>
                      <w:color w:val="auto"/>
                      <w:sz w:val="18"/>
                      <w:szCs w:val="18"/>
                    </w:rPr>
                  </w:pPr>
                </w:p>
              </w:tc>
              <w:tc>
                <w:tcPr>
                  <w:tcW w:w="477" w:type="pct"/>
                  <w:vMerge w:val="continue"/>
                  <w:noWrap w:val="0"/>
                  <w:vAlign w:val="center"/>
                </w:tcPr>
                <w:p>
                  <w:pPr>
                    <w:spacing w:line="240" w:lineRule="auto"/>
                    <w:jc w:val="center"/>
                    <w:rPr>
                      <w:rFonts w:hint="default" w:ascii="Times New Roman" w:hAnsi="Times New Roman" w:cs="Times New Roman"/>
                      <w:b w:val="0"/>
                      <w:bCs w:val="0"/>
                      <w:color w:val="auto"/>
                      <w:sz w:val="18"/>
                      <w:szCs w:val="18"/>
                    </w:rPr>
                  </w:pPr>
                </w:p>
              </w:tc>
              <w:tc>
                <w:tcPr>
                  <w:tcW w:w="1028" w:type="pct"/>
                  <w:noWrap w:val="0"/>
                  <w:vAlign w:val="center"/>
                </w:tcPr>
                <w:p>
                  <w:pPr>
                    <w:widowControl/>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kern w:val="0"/>
                      <w:sz w:val="18"/>
                      <w:szCs w:val="18"/>
                      <w:lang w:bidi="ar"/>
                    </w:rPr>
                    <w:t>削减量</w:t>
                  </w:r>
                </w:p>
              </w:tc>
              <w:tc>
                <w:tcPr>
                  <w:tcW w:w="584"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3.6264 </w:t>
                  </w:r>
                </w:p>
              </w:tc>
              <w:tc>
                <w:tcPr>
                  <w:tcW w:w="581"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2.4660 </w:t>
                  </w:r>
                </w:p>
              </w:tc>
              <w:tc>
                <w:tcPr>
                  <w:tcW w:w="593"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1.8374 </w:t>
                  </w:r>
                </w:p>
              </w:tc>
              <w:tc>
                <w:tcPr>
                  <w:tcW w:w="437"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 xml:space="preserve">0.0508 </w:t>
                  </w:r>
                </w:p>
              </w:tc>
              <w:tc>
                <w:tcPr>
                  <w:tcW w:w="838" w:type="pc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val="0"/>
                      <w:color w:val="auto"/>
                      <w:sz w:val="18"/>
                      <w:szCs w:val="18"/>
                    </w:rPr>
                  </w:pPr>
                  <w:r>
                    <w:rPr>
                      <w:rFonts w:hint="eastAsia" w:cs="Times New Roman"/>
                      <w:b w:val="0"/>
                      <w:bCs w:val="0"/>
                      <w:i w:val="0"/>
                      <w:iCs w:val="0"/>
                      <w:color w:val="auto"/>
                      <w:kern w:val="0"/>
                      <w:sz w:val="18"/>
                      <w:szCs w:val="18"/>
                      <w:u w:val="none"/>
                      <w:lang w:val="en-US" w:eastAsia="zh-CN" w:bidi="ar"/>
                    </w:rPr>
                    <w:t>/</w:t>
                  </w:r>
                </w:p>
              </w:tc>
            </w:tr>
          </w:tbl>
          <w:p>
            <w:pPr>
              <w:pStyle w:val="14"/>
              <w:rPr>
                <w:rFonts w:hint="default" w:ascii="Times New Roman" w:hAnsi="Times New Roman" w:cs="Times New Roman"/>
                <w:color w:val="auto"/>
              </w:rPr>
            </w:pPr>
          </w:p>
          <w:p>
            <w:pPr>
              <w:rPr>
                <w:rFonts w:hint="default" w:ascii="Times New Roman" w:hAnsi="Times New Roman" w:cs="Times New Roman"/>
                <w:color w:val="auto"/>
              </w:rPr>
            </w:pPr>
          </w:p>
        </w:tc>
      </w:tr>
    </w:tbl>
    <w:p>
      <w:pPr>
        <w:pStyle w:val="10"/>
        <w:ind w:left="0" w:leftChars="0" w:firstLine="0" w:firstLineChars="0"/>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3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运营</w:t>
            </w:r>
          </w:p>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期环</w:t>
            </w:r>
          </w:p>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境影</w:t>
            </w:r>
          </w:p>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响和</w:t>
            </w:r>
          </w:p>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w:t>
            </w:r>
          </w:p>
          <w:p>
            <w:pPr>
              <w:pStyle w:val="10"/>
              <w:keepNext w:val="0"/>
              <w:keepLines w:val="0"/>
              <w:pageBreakBefore w:val="0"/>
              <w:widowControl w:val="0"/>
              <w:kinsoku/>
              <w:wordWrap/>
              <w:overflowPunct/>
              <w:topLinePunct w:val="0"/>
              <w:autoSpaceDE/>
              <w:autoSpaceDN/>
              <w:bidi w:val="0"/>
              <w:spacing w:line="240" w:lineRule="auto"/>
              <w:ind w:firstLine="0"/>
              <w:jc w:val="center"/>
              <w:textAlignment w:val="auto"/>
              <w:rPr>
                <w:color w:val="auto"/>
                <w:vertAlign w:val="baseline"/>
              </w:rPr>
            </w:pPr>
            <w:r>
              <w:rPr>
                <w:rFonts w:hint="default" w:ascii="Times New Roman" w:hAnsi="Times New Roman" w:cs="Times New Roman"/>
                <w:color w:val="auto"/>
                <w:sz w:val="21"/>
                <w:szCs w:val="21"/>
              </w:rPr>
              <w:t>措施</w:t>
            </w:r>
          </w:p>
        </w:tc>
        <w:tc>
          <w:tcPr>
            <w:tcW w:w="13094" w:type="dxa"/>
          </w:tcPr>
          <w:p>
            <w:pPr>
              <w:pStyle w:val="31"/>
              <w:spacing w:line="360" w:lineRule="auto"/>
              <w:jc w:val="center"/>
              <w:rPr>
                <w:color w:val="auto"/>
              </w:rPr>
            </w:pPr>
            <w:r>
              <w:rPr>
                <w:color w:val="auto"/>
              </w:rPr>
              <w:t>表4.</w:t>
            </w:r>
            <w:r>
              <w:rPr>
                <w:rFonts w:hint="eastAsia"/>
                <w:color w:val="auto"/>
                <w:lang w:val="en-US" w:eastAsia="zh-CN"/>
              </w:rPr>
              <w:t>2</w:t>
            </w:r>
            <w:r>
              <w:rPr>
                <w:color w:val="auto"/>
              </w:rPr>
              <w:t>-</w:t>
            </w:r>
            <w:r>
              <w:rPr>
                <w:rFonts w:hint="eastAsia"/>
                <w:color w:val="auto"/>
                <w:lang w:val="en-US" w:eastAsia="zh-CN"/>
              </w:rPr>
              <w:t>3</w:t>
            </w:r>
            <w:r>
              <w:rPr>
                <w:color w:val="auto"/>
              </w:rPr>
              <w:t xml:space="preserve">  </w:t>
            </w:r>
            <w:r>
              <w:rPr>
                <w:rFonts w:ascii="Times New Roman" w:hAnsi="Times New Roman" w:cs="Times New Roman"/>
                <w:b/>
                <w:bCs/>
                <w:color w:val="auto"/>
              </w:rPr>
              <w:t xml:space="preserve"> 废水类别、污染物及污染治理设施信息表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9"/>
              <w:gridCol w:w="748"/>
              <w:gridCol w:w="886"/>
              <w:gridCol w:w="914"/>
              <w:gridCol w:w="849"/>
              <w:gridCol w:w="664"/>
              <w:gridCol w:w="471"/>
              <w:gridCol w:w="692"/>
              <w:gridCol w:w="591"/>
              <w:gridCol w:w="517"/>
              <w:gridCol w:w="692"/>
              <w:gridCol w:w="702"/>
              <w:gridCol w:w="639"/>
              <w:gridCol w:w="335"/>
              <w:gridCol w:w="335"/>
              <w:gridCol w:w="335"/>
              <w:gridCol w:w="616"/>
              <w:gridCol w:w="335"/>
              <w:gridCol w:w="335"/>
              <w:gridCol w:w="1002"/>
              <w:gridCol w:w="5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restar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产污环节</w:t>
                  </w:r>
                </w:p>
              </w:tc>
              <w:tc>
                <w:tcPr>
                  <w:tcW w:w="290" w:type="pct"/>
                  <w:vMerge w:val="restar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类别</w:t>
                  </w:r>
                </w:p>
              </w:tc>
              <w:tc>
                <w:tcPr>
                  <w:tcW w:w="343" w:type="pct"/>
                  <w:vMerge w:val="restar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污染物种类</w:t>
                  </w:r>
                </w:p>
              </w:tc>
              <w:tc>
                <w:tcPr>
                  <w:tcW w:w="684" w:type="pct"/>
                  <w:gridSpan w:val="2"/>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产生源强</w:t>
                  </w:r>
                </w:p>
              </w:tc>
              <w:tc>
                <w:tcPr>
                  <w:tcW w:w="257"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处理能力t/d</w:t>
                  </w:r>
                </w:p>
              </w:tc>
              <w:tc>
                <w:tcPr>
                  <w:tcW w:w="182"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治理工艺</w:t>
                  </w:r>
                </w:p>
              </w:tc>
              <w:tc>
                <w:tcPr>
                  <w:tcW w:w="268"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治理效率/%</w:t>
                  </w:r>
                </w:p>
              </w:tc>
              <w:tc>
                <w:tcPr>
                  <w:tcW w:w="229"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是否为可行技术</w:t>
                  </w:r>
                </w:p>
              </w:tc>
              <w:tc>
                <w:tcPr>
                  <w:tcW w:w="20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废水排放量t/a</w:t>
                  </w:r>
                </w:p>
              </w:tc>
              <w:tc>
                <w:tcPr>
                  <w:tcW w:w="268"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因子</w:t>
                  </w:r>
                </w:p>
              </w:tc>
              <w:tc>
                <w:tcPr>
                  <w:tcW w:w="520" w:type="pct"/>
                  <w:gridSpan w:val="2"/>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排放源强</w:t>
                  </w:r>
                </w:p>
              </w:tc>
              <w:tc>
                <w:tcPr>
                  <w:tcW w:w="13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排放方式</w:t>
                  </w:r>
                </w:p>
              </w:tc>
              <w:tc>
                <w:tcPr>
                  <w:tcW w:w="13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排放去向</w:t>
                  </w:r>
                </w:p>
              </w:tc>
              <w:tc>
                <w:tcPr>
                  <w:tcW w:w="13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排放规律</w:t>
                  </w:r>
                </w:p>
              </w:tc>
              <w:tc>
                <w:tcPr>
                  <w:tcW w:w="888" w:type="pct"/>
                  <w:gridSpan w:val="4"/>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排放口基本情况</w:t>
                  </w:r>
                </w:p>
              </w:tc>
              <w:tc>
                <w:tcPr>
                  <w:tcW w:w="221"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9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343"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354" w:type="pc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主要污染物产生量(t/a)</w:t>
                  </w:r>
                </w:p>
              </w:tc>
              <w:tc>
                <w:tcPr>
                  <w:tcW w:w="329" w:type="pc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污染物产生浓度(mg/</w:t>
                  </w:r>
                  <w:r>
                    <w:rPr>
                      <w:rFonts w:hint="default" w:ascii="Times New Roman" w:hAnsi="Times New Roman" w:cs="Times New Roman"/>
                      <w:b w:val="0"/>
                      <w:bCs/>
                      <w:color w:val="auto"/>
                      <w:sz w:val="15"/>
                      <w:szCs w:val="15"/>
                      <w:lang w:val="en-US" w:eastAsia="zh-CN"/>
                    </w:rPr>
                    <w:t>L</w:t>
                  </w:r>
                  <w:r>
                    <w:rPr>
                      <w:rFonts w:hint="default" w:ascii="Times New Roman" w:hAnsi="Times New Roman" w:cs="Times New Roman"/>
                      <w:b w:val="0"/>
                      <w:bCs/>
                      <w:color w:val="auto"/>
                      <w:sz w:val="15"/>
                      <w:szCs w:val="15"/>
                    </w:rPr>
                    <w:t>)</w:t>
                  </w:r>
                </w:p>
              </w:tc>
              <w:tc>
                <w:tcPr>
                  <w:tcW w:w="257"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82"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68"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2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0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68"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72" w:type="pc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主要污染物排放量(t/a)</w:t>
                  </w:r>
                </w:p>
              </w:tc>
              <w:tc>
                <w:tcPr>
                  <w:tcW w:w="248" w:type="pc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污染物排放浓度(mg/</w:t>
                  </w:r>
                  <w:r>
                    <w:rPr>
                      <w:rFonts w:hint="default" w:ascii="Times New Roman" w:hAnsi="Times New Roman" w:cs="Times New Roman"/>
                      <w:b w:val="0"/>
                      <w:bCs/>
                      <w:color w:val="auto"/>
                      <w:sz w:val="15"/>
                      <w:szCs w:val="15"/>
                      <w:lang w:val="en-US" w:eastAsia="zh-CN"/>
                    </w:rPr>
                    <w:t>L</w:t>
                  </w:r>
                  <w:r>
                    <w:rPr>
                      <w:rFonts w:hint="default" w:ascii="Times New Roman" w:hAnsi="Times New Roman" w:cs="Times New Roman"/>
                      <w:b w:val="0"/>
                      <w:bCs/>
                      <w:color w:val="auto"/>
                      <w:sz w:val="15"/>
                      <w:szCs w:val="15"/>
                    </w:rPr>
                    <w:t>)</w:t>
                  </w: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39" w:type="pc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编号</w:t>
                  </w:r>
                </w:p>
              </w:tc>
              <w:tc>
                <w:tcPr>
                  <w:tcW w:w="130" w:type="pc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名称</w:t>
                  </w:r>
                </w:p>
              </w:tc>
              <w:tc>
                <w:tcPr>
                  <w:tcW w:w="130" w:type="pc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类型</w:t>
                  </w:r>
                </w:p>
              </w:tc>
              <w:tc>
                <w:tcPr>
                  <w:tcW w:w="389" w:type="pc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地理坐标</w:t>
                  </w:r>
                </w:p>
              </w:tc>
              <w:tc>
                <w:tcPr>
                  <w:tcW w:w="221"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restart"/>
                  <w:tcBorders>
                    <w:tl2br w:val="nil"/>
                    <w:tr2bl w:val="nil"/>
                  </w:tcBorders>
                  <w:noWrap/>
                  <w:vAlign w:val="center"/>
                </w:tcPr>
                <w:p>
                  <w:pPr>
                    <w:pStyle w:val="32"/>
                    <w:spacing w:line="240" w:lineRule="auto"/>
                    <w:jc w:val="center"/>
                    <w:rPr>
                      <w:rFonts w:hint="default" w:ascii="Times New Roman" w:hAnsi="Times New Roman" w:cs="Times New Roman" w:eastAsiaTheme="minorEastAsia"/>
                      <w:b w:val="0"/>
                      <w:bCs/>
                      <w:color w:val="auto"/>
                      <w:sz w:val="15"/>
                      <w:szCs w:val="15"/>
                      <w:lang w:val="en-US" w:eastAsia="zh-CN"/>
                    </w:rPr>
                  </w:pPr>
                  <w:r>
                    <w:rPr>
                      <w:rFonts w:hint="default" w:ascii="Times New Roman" w:hAnsi="Times New Roman" w:cs="Times New Roman"/>
                      <w:b w:val="0"/>
                      <w:bCs/>
                      <w:color w:val="auto"/>
                      <w:sz w:val="15"/>
                      <w:szCs w:val="15"/>
                      <w:lang w:val="en-US" w:eastAsia="zh-CN"/>
                    </w:rPr>
                    <w:t>综合废水</w:t>
                  </w:r>
                </w:p>
              </w:tc>
              <w:tc>
                <w:tcPr>
                  <w:tcW w:w="290" w:type="pct"/>
                  <w:vMerge w:val="restar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eastAsia" w:ascii="Times New Roman" w:cs="Times New Roman"/>
                      <w:b w:val="0"/>
                      <w:bCs/>
                      <w:color w:val="auto"/>
                      <w:sz w:val="15"/>
                      <w:szCs w:val="15"/>
                      <w:lang w:val="en-US" w:eastAsia="zh-CN"/>
                    </w:rPr>
                    <w:t>医疗废水、综合废水、</w:t>
                  </w:r>
                  <w:r>
                    <w:rPr>
                      <w:rFonts w:hint="default" w:ascii="Times New Roman" w:hAnsi="Times New Roman" w:cs="Times New Roman"/>
                      <w:b w:val="0"/>
                      <w:bCs/>
                      <w:color w:val="auto"/>
                      <w:sz w:val="15"/>
                      <w:szCs w:val="15"/>
                    </w:rPr>
                    <w:t>生活污水</w:t>
                  </w:r>
                </w:p>
              </w:tc>
              <w:tc>
                <w:tcPr>
                  <w:tcW w:w="343" w:type="pc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COD</w:t>
                  </w:r>
                </w:p>
              </w:tc>
              <w:tc>
                <w:tcPr>
                  <w:tcW w:w="35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7.2529</w:t>
                  </w:r>
                </w:p>
              </w:tc>
              <w:tc>
                <w:tcPr>
                  <w:tcW w:w="329"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300</w:t>
                  </w:r>
                </w:p>
              </w:tc>
              <w:tc>
                <w:tcPr>
                  <w:tcW w:w="257" w:type="pct"/>
                  <w:vMerge w:val="restart"/>
                  <w:tcBorders>
                    <w:tl2br w:val="nil"/>
                    <w:tr2bl w:val="nil"/>
                  </w:tcBorders>
                  <w:noWrap/>
                  <w:vAlign w:val="center"/>
                </w:tcPr>
                <w:p>
                  <w:pPr>
                    <w:pStyle w:val="32"/>
                    <w:spacing w:line="240" w:lineRule="auto"/>
                    <w:jc w:val="center"/>
                    <w:rPr>
                      <w:rFonts w:hint="eastAsia"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调节+好氧+沉淀+消毒工艺</w:t>
                  </w:r>
                  <w:r>
                    <w:rPr>
                      <w:rFonts w:hint="eastAsia" w:ascii="Times New Roman" w:hAnsi="Times New Roman" w:eastAsia="新宋体" w:cs="Times New Roman"/>
                      <w:b w:val="0"/>
                      <w:bCs/>
                      <w:color w:val="auto"/>
                      <w:kern w:val="0"/>
                      <w:sz w:val="15"/>
                      <w:szCs w:val="15"/>
                      <w:lang w:val="en-US" w:eastAsia="zh-CN" w:bidi="ar-SA"/>
                    </w:rPr>
                    <w:t>（埋地式）</w:t>
                  </w:r>
                </w:p>
              </w:tc>
              <w:tc>
                <w:tcPr>
                  <w:tcW w:w="182" w:type="pct"/>
                  <w:vMerge w:val="restart"/>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200t/d</w:t>
                  </w:r>
                </w:p>
              </w:tc>
              <w:tc>
                <w:tcPr>
                  <w:tcW w:w="268" w:type="pct"/>
                  <w:tcBorders>
                    <w:tl2br w:val="nil"/>
                    <w:tr2bl w:val="nil"/>
                  </w:tcBorders>
                  <w:noWrap/>
                  <w:vAlign w:val="center"/>
                </w:tcPr>
                <w:p>
                  <w:pPr>
                    <w:keepNext w:val="0"/>
                    <w:keepLines w:val="0"/>
                    <w:widowControl/>
                    <w:suppressLineNumbers w:val="0"/>
                    <w:spacing w:line="240" w:lineRule="auto"/>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0.5</w:t>
                  </w:r>
                </w:p>
              </w:tc>
              <w:tc>
                <w:tcPr>
                  <w:tcW w:w="229" w:type="pct"/>
                  <w:vMerge w:val="restart"/>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是</w:t>
                  </w:r>
                </w:p>
              </w:tc>
              <w:tc>
                <w:tcPr>
                  <w:tcW w:w="200" w:type="pct"/>
                  <w:vMerge w:val="restart"/>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cs="Times New Roman"/>
                      <w:b w:val="0"/>
                      <w:bCs/>
                      <w:color w:val="auto"/>
                      <w:kern w:val="0"/>
                      <w:sz w:val="15"/>
                      <w:szCs w:val="15"/>
                      <w:lang w:val="en-US" w:eastAsia="zh-CN" w:bidi="ar-SA"/>
                    </w:rPr>
                    <w:t>24176.23</w:t>
                  </w:r>
                </w:p>
              </w:tc>
              <w:tc>
                <w:tcPr>
                  <w:tcW w:w="268" w:type="pct"/>
                  <w:tcBorders>
                    <w:tl2br w:val="nil"/>
                    <w:tr2bl w:val="nil"/>
                  </w:tcBorders>
                  <w:noWrap w:val="0"/>
                  <w:vAlign w:val="center"/>
                </w:tcPr>
                <w:p>
                  <w:pPr>
                    <w:pStyle w:val="32"/>
                    <w:spacing w:line="240" w:lineRule="auto"/>
                    <w:ind w:firstLine="0" w:firstLineChars="0"/>
                    <w:jc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COD</w:t>
                  </w:r>
                </w:p>
              </w:tc>
              <w:tc>
                <w:tcPr>
                  <w:tcW w:w="70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3.6264</w:t>
                  </w:r>
                </w:p>
              </w:tc>
              <w:tc>
                <w:tcPr>
                  <w:tcW w:w="63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150</w:t>
                  </w:r>
                </w:p>
              </w:tc>
              <w:tc>
                <w:tcPr>
                  <w:tcW w:w="13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间接排放</w:t>
                  </w:r>
                </w:p>
              </w:tc>
              <w:tc>
                <w:tcPr>
                  <w:tcW w:w="13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福清市融元污水处理厂</w:t>
                  </w:r>
                </w:p>
              </w:tc>
              <w:tc>
                <w:tcPr>
                  <w:tcW w:w="13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连续排放</w:t>
                  </w:r>
                </w:p>
              </w:tc>
              <w:tc>
                <w:tcPr>
                  <w:tcW w:w="239"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DW001</w:t>
                  </w:r>
                </w:p>
              </w:tc>
              <w:tc>
                <w:tcPr>
                  <w:tcW w:w="13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废水总排口</w:t>
                  </w:r>
                </w:p>
              </w:tc>
              <w:tc>
                <w:tcPr>
                  <w:tcW w:w="130"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间接排放口</w:t>
                  </w:r>
                </w:p>
              </w:tc>
              <w:tc>
                <w:tcPr>
                  <w:tcW w:w="389" w:type="pct"/>
                  <w:vMerge w:val="restart"/>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E11</w:t>
                  </w:r>
                  <w:r>
                    <w:rPr>
                      <w:rFonts w:hint="eastAsia" w:ascii="Times New Roman" w:cs="Times New Roman"/>
                      <w:b w:val="0"/>
                      <w:bCs/>
                      <w:color w:val="auto"/>
                      <w:sz w:val="15"/>
                      <w:szCs w:val="15"/>
                      <w:lang w:val="en-US" w:eastAsia="zh-CN"/>
                    </w:rPr>
                    <w:t>9</w:t>
                  </w:r>
                  <w:r>
                    <w:rPr>
                      <w:rFonts w:hint="default" w:ascii="Times New Roman" w:hAnsi="Times New Roman" w:cs="Times New Roman"/>
                      <w:b w:val="0"/>
                      <w:bCs/>
                      <w:color w:val="auto"/>
                      <w:sz w:val="15"/>
                      <w:szCs w:val="15"/>
                    </w:rPr>
                    <w:t>°</w:t>
                  </w:r>
                  <w:r>
                    <w:rPr>
                      <w:rFonts w:hint="eastAsia" w:ascii="Times New Roman" w:cs="Times New Roman"/>
                      <w:b w:val="0"/>
                      <w:bCs/>
                      <w:color w:val="auto"/>
                      <w:sz w:val="15"/>
                      <w:szCs w:val="15"/>
                      <w:lang w:val="en-US" w:eastAsia="zh-CN"/>
                    </w:rPr>
                    <w:t>2</w:t>
                  </w:r>
                  <w:r>
                    <w:rPr>
                      <w:rFonts w:hint="default" w:ascii="Times New Roman" w:hAnsi="Times New Roman" w:cs="Times New Roman"/>
                      <w:b w:val="0"/>
                      <w:bCs/>
                      <w:color w:val="auto"/>
                      <w:sz w:val="15"/>
                      <w:szCs w:val="15"/>
                    </w:rPr>
                    <w:t>4′42.51″；</w:t>
                  </w:r>
                </w:p>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N2</w:t>
                  </w:r>
                  <w:r>
                    <w:rPr>
                      <w:rFonts w:hint="eastAsia" w:ascii="Times New Roman" w:cs="Times New Roman"/>
                      <w:b w:val="0"/>
                      <w:bCs/>
                      <w:color w:val="auto"/>
                      <w:sz w:val="15"/>
                      <w:szCs w:val="15"/>
                      <w:lang w:val="en-US" w:eastAsia="zh-CN"/>
                    </w:rPr>
                    <w:t>5</w:t>
                  </w:r>
                  <w:r>
                    <w:rPr>
                      <w:rFonts w:hint="default" w:ascii="Times New Roman" w:hAnsi="Times New Roman" w:cs="Times New Roman"/>
                      <w:b w:val="0"/>
                      <w:bCs/>
                      <w:color w:val="auto"/>
                      <w:sz w:val="15"/>
                      <w:szCs w:val="15"/>
                    </w:rPr>
                    <w:t>°4</w:t>
                  </w:r>
                  <w:r>
                    <w:rPr>
                      <w:rFonts w:hint="eastAsia" w:ascii="Times New Roman" w:cs="Times New Roman"/>
                      <w:b w:val="0"/>
                      <w:bCs/>
                      <w:color w:val="auto"/>
                      <w:sz w:val="15"/>
                      <w:szCs w:val="15"/>
                      <w:lang w:val="en-US" w:eastAsia="zh-CN"/>
                    </w:rPr>
                    <w:t>1</w:t>
                  </w:r>
                  <w:r>
                    <w:rPr>
                      <w:rFonts w:hint="default" w:ascii="Times New Roman" w:hAnsi="Times New Roman" w:cs="Times New Roman"/>
                      <w:b w:val="0"/>
                      <w:bCs/>
                      <w:color w:val="auto"/>
                      <w:sz w:val="15"/>
                      <w:szCs w:val="15"/>
                    </w:rPr>
                    <w:t>′23.1</w:t>
                  </w:r>
                  <w:r>
                    <w:rPr>
                      <w:rFonts w:hint="eastAsia" w:ascii="Times New Roman" w:cs="Times New Roman"/>
                      <w:b w:val="0"/>
                      <w:bCs/>
                      <w:color w:val="auto"/>
                      <w:sz w:val="15"/>
                      <w:szCs w:val="15"/>
                      <w:lang w:val="en-US" w:eastAsia="zh-CN"/>
                    </w:rPr>
                    <w:t>9</w:t>
                  </w:r>
                  <w:r>
                    <w:rPr>
                      <w:rFonts w:hint="default" w:ascii="Times New Roman" w:hAnsi="Times New Roman" w:cs="Times New Roman"/>
                      <w:b w:val="0"/>
                      <w:bCs/>
                      <w:color w:val="auto"/>
                      <w:sz w:val="15"/>
                      <w:szCs w:val="15"/>
                    </w:rPr>
                    <w:t>″</w:t>
                  </w:r>
                </w:p>
              </w:tc>
              <w:tc>
                <w:tcPr>
                  <w:tcW w:w="221" w:type="pct"/>
                  <w:tcBorders>
                    <w:tl2br w:val="nil"/>
                    <w:tr2bl w:val="nil"/>
                  </w:tcBorders>
                  <w:noWrap w:val="0"/>
                  <w:vAlign w:val="center"/>
                </w:tcPr>
                <w:p>
                  <w:pPr>
                    <w:pStyle w:val="79"/>
                    <w:kinsoku w:val="0"/>
                    <w:overflowPunct w:val="0"/>
                    <w:spacing w:line="240" w:lineRule="auto"/>
                    <w:jc w:val="center"/>
                    <w:rPr>
                      <w:rFonts w:hint="default" w:ascii="Times New Roman" w:hAnsi="Times New Roman" w:cs="Times New Roman"/>
                      <w:b w:val="0"/>
                      <w:bCs w:val="0"/>
                      <w:color w:val="auto"/>
                      <w:sz w:val="15"/>
                      <w:szCs w:val="15"/>
                    </w:rPr>
                  </w:pPr>
                  <w:r>
                    <w:rPr>
                      <w:rFonts w:hint="default" w:ascii="Times New Roman" w:hAnsi="Times New Roman" w:eastAsia="宋体" w:cs="Times New Roman"/>
                      <w:b w:val="0"/>
                      <w:bCs w:val="0"/>
                      <w:color w:val="auto"/>
                      <w:sz w:val="15"/>
                      <w:szCs w:val="15"/>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51" w:type="pct"/>
                  <w:vMerge w:val="continue"/>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p>
              </w:tc>
              <w:tc>
                <w:tcPr>
                  <w:tcW w:w="290" w:type="pct"/>
                  <w:vMerge w:val="continue"/>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p>
              </w:tc>
              <w:tc>
                <w:tcPr>
                  <w:tcW w:w="343" w:type="pc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BOD</w:t>
                  </w:r>
                  <w:r>
                    <w:rPr>
                      <w:rFonts w:hint="default" w:ascii="Times New Roman" w:hAnsi="Times New Roman" w:cs="Times New Roman"/>
                      <w:b w:val="0"/>
                      <w:bCs/>
                      <w:color w:val="auto"/>
                      <w:sz w:val="15"/>
                      <w:szCs w:val="15"/>
                      <w:vertAlign w:val="subscript"/>
                    </w:rPr>
                    <w:t>5</w:t>
                  </w:r>
                </w:p>
              </w:tc>
              <w:tc>
                <w:tcPr>
                  <w:tcW w:w="35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3.6264</w:t>
                  </w:r>
                </w:p>
              </w:tc>
              <w:tc>
                <w:tcPr>
                  <w:tcW w:w="329"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150</w:t>
                  </w:r>
                </w:p>
              </w:tc>
              <w:tc>
                <w:tcPr>
                  <w:tcW w:w="257" w:type="pct"/>
                  <w:vMerge w:val="continue"/>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182" w:type="pct"/>
                  <w:vMerge w:val="continue"/>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68" w:type="pct"/>
                  <w:tcBorders>
                    <w:tl2br w:val="nil"/>
                    <w:tr2bl w:val="nil"/>
                  </w:tcBorders>
                  <w:noWrap/>
                  <w:vAlign w:val="center"/>
                </w:tcPr>
                <w:p>
                  <w:pPr>
                    <w:keepNext w:val="0"/>
                    <w:keepLines w:val="0"/>
                    <w:widowControl/>
                    <w:suppressLineNumbers w:val="0"/>
                    <w:spacing w:line="240" w:lineRule="auto"/>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0.68</w:t>
                  </w:r>
                </w:p>
              </w:tc>
              <w:tc>
                <w:tcPr>
                  <w:tcW w:w="229" w:type="pct"/>
                  <w:vMerge w:val="continue"/>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00" w:type="pct"/>
                  <w:vMerge w:val="continue"/>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68" w:type="pct"/>
                  <w:tcBorders>
                    <w:tl2br w:val="nil"/>
                    <w:tr2bl w:val="nil"/>
                  </w:tcBorders>
                  <w:noWrap w:val="0"/>
                  <w:vAlign w:val="center"/>
                </w:tcPr>
                <w:p>
                  <w:pPr>
                    <w:pStyle w:val="32"/>
                    <w:spacing w:line="240" w:lineRule="auto"/>
                    <w:ind w:firstLine="0" w:firstLineChars="0"/>
                    <w:jc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BOD5</w:t>
                  </w:r>
                </w:p>
              </w:tc>
              <w:tc>
                <w:tcPr>
                  <w:tcW w:w="70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1.1605</w:t>
                  </w:r>
                </w:p>
              </w:tc>
              <w:tc>
                <w:tcPr>
                  <w:tcW w:w="63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48</w:t>
                  </w: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3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38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21" w:type="pct"/>
                  <w:tcBorders>
                    <w:tl2br w:val="nil"/>
                    <w:tr2bl w:val="nil"/>
                  </w:tcBorders>
                  <w:noWrap w:val="0"/>
                  <w:vAlign w:val="center"/>
                </w:tcPr>
                <w:p>
                  <w:pPr>
                    <w:pStyle w:val="79"/>
                    <w:kinsoku w:val="0"/>
                    <w:overflowPunct w:val="0"/>
                    <w:spacing w:line="240" w:lineRule="auto"/>
                    <w:jc w:val="center"/>
                    <w:rPr>
                      <w:rFonts w:hint="default" w:ascii="Times New Roman" w:hAnsi="Times New Roman" w:cs="Times New Roman"/>
                      <w:b w:val="0"/>
                      <w:bCs w:val="0"/>
                      <w:color w:val="auto"/>
                      <w:sz w:val="15"/>
                      <w:szCs w:val="15"/>
                    </w:rPr>
                  </w:pPr>
                  <w:r>
                    <w:rPr>
                      <w:rFonts w:hint="default" w:ascii="Times New Roman" w:hAnsi="Times New Roman" w:eastAsia="宋体" w:cs="Times New Roman"/>
                      <w:b w:val="0"/>
                      <w:bCs w:val="0"/>
                      <w:color w:val="auto"/>
                      <w:sz w:val="15"/>
                      <w:szCs w:val="15"/>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continue"/>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p>
              </w:tc>
              <w:tc>
                <w:tcPr>
                  <w:tcW w:w="290" w:type="pct"/>
                  <w:vMerge w:val="continue"/>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p>
              </w:tc>
              <w:tc>
                <w:tcPr>
                  <w:tcW w:w="343" w:type="pc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rPr>
                    <w:t>SS</w:t>
                  </w:r>
                </w:p>
              </w:tc>
              <w:tc>
                <w:tcPr>
                  <w:tcW w:w="35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1.9341</w:t>
                  </w:r>
                </w:p>
              </w:tc>
              <w:tc>
                <w:tcPr>
                  <w:tcW w:w="329"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80</w:t>
                  </w:r>
                </w:p>
              </w:tc>
              <w:tc>
                <w:tcPr>
                  <w:tcW w:w="257" w:type="pct"/>
                  <w:vMerge w:val="continue"/>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182" w:type="pct"/>
                  <w:vMerge w:val="continue"/>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68" w:type="pct"/>
                  <w:tcBorders>
                    <w:tl2br w:val="nil"/>
                    <w:tr2bl w:val="nil"/>
                  </w:tcBorders>
                  <w:noWrap/>
                  <w:vAlign w:val="center"/>
                </w:tcPr>
                <w:p>
                  <w:pPr>
                    <w:keepNext w:val="0"/>
                    <w:keepLines w:val="0"/>
                    <w:widowControl/>
                    <w:suppressLineNumbers w:val="0"/>
                    <w:spacing w:line="240" w:lineRule="auto"/>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0.95</w:t>
                  </w:r>
                </w:p>
              </w:tc>
              <w:tc>
                <w:tcPr>
                  <w:tcW w:w="229" w:type="pct"/>
                  <w:vMerge w:val="continue"/>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00" w:type="pct"/>
                  <w:vMerge w:val="continue"/>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68" w:type="pct"/>
                  <w:tcBorders>
                    <w:tl2br w:val="nil"/>
                    <w:tr2bl w:val="nil"/>
                  </w:tcBorders>
                  <w:noWrap w:val="0"/>
                  <w:vAlign w:val="center"/>
                </w:tcPr>
                <w:p>
                  <w:pPr>
                    <w:pStyle w:val="32"/>
                    <w:spacing w:line="240" w:lineRule="auto"/>
                    <w:ind w:firstLine="0" w:firstLineChars="0"/>
                    <w:jc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SS</w:t>
                  </w:r>
                </w:p>
              </w:tc>
              <w:tc>
                <w:tcPr>
                  <w:tcW w:w="70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0.0967</w:t>
                  </w:r>
                </w:p>
              </w:tc>
              <w:tc>
                <w:tcPr>
                  <w:tcW w:w="63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4</w:t>
                  </w: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3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38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21" w:type="pct"/>
                  <w:tcBorders>
                    <w:tl2br w:val="nil"/>
                    <w:tr2bl w:val="nil"/>
                  </w:tcBorders>
                  <w:noWrap w:val="0"/>
                  <w:vAlign w:val="center"/>
                </w:tcPr>
                <w:p>
                  <w:pPr>
                    <w:pStyle w:val="79"/>
                    <w:kinsoku w:val="0"/>
                    <w:overflowPunct w:val="0"/>
                    <w:spacing w:line="240" w:lineRule="auto"/>
                    <w:jc w:val="center"/>
                    <w:rPr>
                      <w:rFonts w:hint="default" w:ascii="Times New Roman" w:hAnsi="Times New Roman" w:cs="Times New Roman"/>
                      <w:b w:val="0"/>
                      <w:bCs w:val="0"/>
                      <w:color w:val="auto"/>
                      <w:sz w:val="15"/>
                      <w:szCs w:val="15"/>
                    </w:rPr>
                  </w:pPr>
                  <w:r>
                    <w:rPr>
                      <w:rFonts w:hint="default" w:ascii="Times New Roman" w:hAnsi="Times New Roman" w:eastAsia="宋体" w:cs="Times New Roman"/>
                      <w:b w:val="0"/>
                      <w:bCs w:val="0"/>
                      <w:color w:val="auto"/>
                      <w:sz w:val="15"/>
                      <w:szCs w:val="15"/>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continue"/>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p>
              </w:tc>
              <w:tc>
                <w:tcPr>
                  <w:tcW w:w="290" w:type="pct"/>
                  <w:vMerge w:val="continue"/>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p>
              </w:tc>
              <w:tc>
                <w:tcPr>
                  <w:tcW w:w="343" w:type="pc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color w:val="auto"/>
                      <w:sz w:val="15"/>
                      <w:szCs w:val="15"/>
                      <w:lang w:val="en-US" w:eastAsia="zh-CN"/>
                    </w:rPr>
                    <w:t>NH</w:t>
                  </w:r>
                  <w:r>
                    <w:rPr>
                      <w:rFonts w:hint="default" w:ascii="Times New Roman" w:hAnsi="Times New Roman" w:cs="Times New Roman"/>
                      <w:b w:val="0"/>
                      <w:bCs/>
                      <w:color w:val="auto"/>
                      <w:sz w:val="15"/>
                      <w:szCs w:val="15"/>
                      <w:vertAlign w:val="subscript"/>
                      <w:lang w:val="en-US" w:eastAsia="zh-CN"/>
                    </w:rPr>
                    <w:t>3</w:t>
                  </w:r>
                  <w:r>
                    <w:rPr>
                      <w:rFonts w:hint="default" w:ascii="Times New Roman" w:hAnsi="Times New Roman" w:cs="Times New Roman"/>
                      <w:b w:val="0"/>
                      <w:bCs/>
                      <w:color w:val="auto"/>
                      <w:sz w:val="15"/>
                      <w:szCs w:val="15"/>
                      <w:lang w:val="en-US" w:eastAsia="zh-CN"/>
                    </w:rPr>
                    <w:t>-H</w:t>
                  </w:r>
                </w:p>
              </w:tc>
              <w:tc>
                <w:tcPr>
                  <w:tcW w:w="35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0.7253</w:t>
                  </w:r>
                </w:p>
              </w:tc>
              <w:tc>
                <w:tcPr>
                  <w:tcW w:w="329"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30</w:t>
                  </w:r>
                </w:p>
              </w:tc>
              <w:tc>
                <w:tcPr>
                  <w:tcW w:w="257" w:type="pct"/>
                  <w:vMerge w:val="continue"/>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182" w:type="pct"/>
                  <w:vMerge w:val="continue"/>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68" w:type="pct"/>
                  <w:tcBorders>
                    <w:tl2br w:val="nil"/>
                    <w:tr2bl w:val="nil"/>
                  </w:tcBorders>
                  <w:noWrap/>
                  <w:vAlign w:val="center"/>
                </w:tcPr>
                <w:p>
                  <w:pPr>
                    <w:keepNext w:val="0"/>
                    <w:keepLines w:val="0"/>
                    <w:widowControl/>
                    <w:suppressLineNumbers w:val="0"/>
                    <w:spacing w:line="240" w:lineRule="auto"/>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0.07</w:t>
                  </w:r>
                </w:p>
              </w:tc>
              <w:tc>
                <w:tcPr>
                  <w:tcW w:w="229" w:type="pct"/>
                  <w:vMerge w:val="continue"/>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00" w:type="pct"/>
                  <w:vMerge w:val="continue"/>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68" w:type="pct"/>
                  <w:tcBorders>
                    <w:tl2br w:val="nil"/>
                    <w:tr2bl w:val="nil"/>
                  </w:tcBorders>
                  <w:noWrap w:val="0"/>
                  <w:vAlign w:val="center"/>
                </w:tcPr>
                <w:p>
                  <w:pPr>
                    <w:pStyle w:val="32"/>
                    <w:spacing w:line="240" w:lineRule="auto"/>
                    <w:ind w:firstLine="0" w:firstLineChars="0"/>
                    <w:jc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NH3-H</w:t>
                  </w:r>
                </w:p>
              </w:tc>
              <w:tc>
                <w:tcPr>
                  <w:tcW w:w="70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0.6745</w:t>
                  </w:r>
                </w:p>
              </w:tc>
              <w:tc>
                <w:tcPr>
                  <w:tcW w:w="63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27.9</w:t>
                  </w: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3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38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21" w:type="pct"/>
                  <w:tcBorders>
                    <w:tl2br w:val="nil"/>
                    <w:tr2bl w:val="nil"/>
                  </w:tcBorders>
                  <w:noWrap w:val="0"/>
                  <w:vAlign w:val="center"/>
                </w:tcPr>
                <w:p>
                  <w:pPr>
                    <w:pStyle w:val="79"/>
                    <w:kinsoku w:val="0"/>
                    <w:overflowPunct w:val="0"/>
                    <w:spacing w:line="240" w:lineRule="auto"/>
                    <w:jc w:val="center"/>
                    <w:rPr>
                      <w:rFonts w:hint="default" w:ascii="Times New Roman" w:hAnsi="Times New Roman" w:cs="Times New Roman"/>
                      <w:b w:val="0"/>
                      <w:bCs w:val="0"/>
                      <w:color w:val="auto"/>
                      <w:sz w:val="15"/>
                      <w:szCs w:val="15"/>
                    </w:rPr>
                  </w:pPr>
                  <w:r>
                    <w:rPr>
                      <w:rFonts w:hint="default" w:ascii="Times New Roman" w:hAnsi="Times New Roman" w:eastAsia="宋体" w:cs="Times New Roman"/>
                      <w:b w:val="0"/>
                      <w:bCs w:val="0"/>
                      <w:color w:val="auto"/>
                      <w:sz w:val="15"/>
                      <w:szCs w:val="15"/>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251" w:type="pct"/>
                  <w:vMerge w:val="continue"/>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p>
              </w:tc>
              <w:tc>
                <w:tcPr>
                  <w:tcW w:w="290" w:type="pct"/>
                  <w:vMerge w:val="continue"/>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p>
              </w:tc>
              <w:tc>
                <w:tcPr>
                  <w:tcW w:w="343" w:type="pct"/>
                  <w:tcBorders>
                    <w:tl2br w:val="nil"/>
                    <w:tr2bl w:val="nil"/>
                  </w:tcBorders>
                  <w:noWrap/>
                  <w:vAlign w:val="center"/>
                </w:tcPr>
                <w:p>
                  <w:pPr>
                    <w:pStyle w:val="32"/>
                    <w:spacing w:line="240" w:lineRule="auto"/>
                    <w:jc w:val="center"/>
                    <w:rPr>
                      <w:rFonts w:hint="default" w:ascii="Times New Roman" w:hAnsi="Times New Roman" w:cs="Times New Roman"/>
                      <w:b w:val="0"/>
                      <w:bCs/>
                      <w:color w:val="auto"/>
                      <w:sz w:val="15"/>
                      <w:szCs w:val="15"/>
                    </w:rPr>
                  </w:pPr>
                  <w:r>
                    <w:rPr>
                      <w:rFonts w:hint="default" w:ascii="Times New Roman" w:hAnsi="Times New Roman" w:cs="Times New Roman"/>
                      <w:b w:val="0"/>
                      <w:bCs w:val="0"/>
                      <w:color w:val="auto"/>
                      <w:sz w:val="15"/>
                      <w:szCs w:val="15"/>
                    </w:rPr>
                    <w:t>粪大肠杆菌</w:t>
                  </w:r>
                </w:p>
              </w:tc>
              <w:tc>
                <w:tcPr>
                  <w:tcW w:w="354" w:type="pct"/>
                  <w:tcBorders>
                    <w:tl2br w:val="nil"/>
                    <w:tr2bl w:val="nil"/>
                  </w:tcBorders>
                  <w:noWrap/>
                  <w:vAlign w:val="center"/>
                </w:tcPr>
                <w:p>
                  <w:pPr>
                    <w:keepNext w:val="0"/>
                    <w:keepLines w:val="0"/>
                    <w:widowControl/>
                    <w:suppressLineNumbers w:val="0"/>
                    <w:spacing w:line="240" w:lineRule="auto"/>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w:t>
                  </w:r>
                </w:p>
              </w:tc>
              <w:tc>
                <w:tcPr>
                  <w:tcW w:w="329" w:type="pct"/>
                  <w:tcBorders>
                    <w:tl2br w:val="nil"/>
                    <w:tr2bl w:val="nil"/>
                  </w:tcBorders>
                  <w:noWrap/>
                  <w:vAlign w:val="center"/>
                </w:tcPr>
                <w:p>
                  <w:pPr>
                    <w:keepNext w:val="0"/>
                    <w:keepLines w:val="0"/>
                    <w:widowControl/>
                    <w:suppressLineNumbers w:val="0"/>
                    <w:spacing w:line="240" w:lineRule="auto"/>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1.6×108</w:t>
                  </w:r>
                </w:p>
              </w:tc>
              <w:tc>
                <w:tcPr>
                  <w:tcW w:w="257" w:type="pct"/>
                  <w:vMerge w:val="continue"/>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182" w:type="pct"/>
                  <w:vMerge w:val="continue"/>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68" w:type="pct"/>
                  <w:tcBorders>
                    <w:tl2br w:val="nil"/>
                    <w:tr2bl w:val="nil"/>
                  </w:tcBorders>
                  <w:noWrap/>
                  <w:vAlign w:val="center"/>
                </w:tcPr>
                <w:p>
                  <w:pPr>
                    <w:keepNext w:val="0"/>
                    <w:keepLines w:val="0"/>
                    <w:widowControl/>
                    <w:suppressLineNumbers w:val="0"/>
                    <w:spacing w:line="240" w:lineRule="auto"/>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0.999</w:t>
                  </w:r>
                  <w:r>
                    <w:rPr>
                      <w:rFonts w:hint="eastAsia" w:ascii="Times New Roman" w:hAnsi="Times New Roman" w:eastAsia="新宋体" w:cs="Times New Roman"/>
                      <w:b w:val="0"/>
                      <w:bCs/>
                      <w:color w:val="auto"/>
                      <w:kern w:val="0"/>
                      <w:sz w:val="15"/>
                      <w:szCs w:val="15"/>
                      <w:lang w:val="en-US" w:eastAsia="zh-CN" w:bidi="ar-SA"/>
                    </w:rPr>
                    <w:t>9</w:t>
                  </w:r>
                </w:p>
              </w:tc>
              <w:tc>
                <w:tcPr>
                  <w:tcW w:w="229" w:type="pct"/>
                  <w:vMerge w:val="continue"/>
                  <w:tcBorders>
                    <w:tl2br w:val="nil"/>
                    <w:tr2bl w:val="nil"/>
                  </w:tcBorders>
                  <w:noWrap/>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00" w:type="pct"/>
                  <w:vMerge w:val="continue"/>
                  <w:tcBorders>
                    <w:tl2br w:val="nil"/>
                    <w:tr2bl w:val="nil"/>
                  </w:tcBorders>
                  <w:noWrap w:val="0"/>
                  <w:vAlign w:val="center"/>
                </w:tcPr>
                <w:p>
                  <w:pPr>
                    <w:pStyle w:val="32"/>
                    <w:spacing w:line="240" w:lineRule="auto"/>
                    <w:jc w:val="center"/>
                    <w:rPr>
                      <w:rFonts w:hint="default" w:ascii="Times New Roman" w:hAnsi="Times New Roman" w:eastAsia="新宋体" w:cs="Times New Roman"/>
                      <w:b w:val="0"/>
                      <w:bCs/>
                      <w:color w:val="auto"/>
                      <w:kern w:val="0"/>
                      <w:sz w:val="15"/>
                      <w:szCs w:val="15"/>
                      <w:lang w:val="en-US" w:eastAsia="zh-CN" w:bidi="ar-SA"/>
                    </w:rPr>
                  </w:pPr>
                </w:p>
              </w:tc>
              <w:tc>
                <w:tcPr>
                  <w:tcW w:w="268" w:type="pct"/>
                  <w:tcBorders>
                    <w:tl2br w:val="nil"/>
                    <w:tr2bl w:val="nil"/>
                  </w:tcBorders>
                  <w:noWrap w:val="0"/>
                  <w:vAlign w:val="center"/>
                </w:tcPr>
                <w:p>
                  <w:pPr>
                    <w:pStyle w:val="32"/>
                    <w:spacing w:line="240" w:lineRule="auto"/>
                    <w:ind w:firstLine="0" w:firstLineChars="0"/>
                    <w:jc w:val="center"/>
                    <w:rPr>
                      <w:rFonts w:hint="default" w:ascii="Times New Roman" w:hAnsi="Times New Roman" w:eastAsia="新宋体" w:cs="Times New Roman"/>
                      <w:b w:val="0"/>
                      <w:bCs/>
                      <w:color w:val="auto"/>
                      <w:kern w:val="0"/>
                      <w:sz w:val="15"/>
                      <w:szCs w:val="15"/>
                      <w:lang w:val="en-US" w:eastAsia="zh-CN" w:bidi="ar-SA"/>
                    </w:rPr>
                  </w:pPr>
                  <w:r>
                    <w:rPr>
                      <w:rFonts w:hint="default" w:ascii="Times New Roman" w:hAnsi="Times New Roman" w:eastAsia="新宋体" w:cs="Times New Roman"/>
                      <w:b w:val="0"/>
                      <w:bCs/>
                      <w:color w:val="auto"/>
                      <w:kern w:val="0"/>
                      <w:sz w:val="15"/>
                      <w:szCs w:val="15"/>
                      <w:lang w:val="en-US" w:eastAsia="zh-CN" w:bidi="ar-SA"/>
                    </w:rPr>
                    <w:t>粪大肠杆菌</w:t>
                  </w:r>
                </w:p>
              </w:tc>
              <w:tc>
                <w:tcPr>
                  <w:tcW w:w="27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w:t>
                  </w:r>
                </w:p>
              </w:tc>
              <w:tc>
                <w:tcPr>
                  <w:tcW w:w="2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新宋体" w:cs="Times New Roman"/>
                      <w:b w:val="0"/>
                      <w:bCs/>
                      <w:color w:val="auto"/>
                      <w:kern w:val="0"/>
                      <w:sz w:val="15"/>
                      <w:szCs w:val="15"/>
                      <w:lang w:val="en-US" w:eastAsia="zh-CN" w:bidi="ar-SA"/>
                    </w:rPr>
                  </w:pPr>
                  <w:r>
                    <w:rPr>
                      <w:rFonts w:hint="eastAsia" w:ascii="Times New Roman" w:hAnsi="Times New Roman" w:eastAsia="新宋体" w:cs="Times New Roman"/>
                      <w:b w:val="0"/>
                      <w:bCs/>
                      <w:color w:val="auto"/>
                      <w:kern w:val="0"/>
                      <w:sz w:val="15"/>
                      <w:szCs w:val="15"/>
                      <w:lang w:val="en-US" w:eastAsia="zh-CN" w:bidi="ar-SA"/>
                    </w:rPr>
                    <w:t>1600</w:t>
                  </w: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3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130"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389" w:type="pct"/>
                  <w:vMerge w:val="continue"/>
                  <w:tcBorders>
                    <w:tl2br w:val="nil"/>
                    <w:tr2bl w:val="nil"/>
                  </w:tcBorders>
                  <w:noWrap w:val="0"/>
                  <w:vAlign w:val="center"/>
                </w:tcPr>
                <w:p>
                  <w:pPr>
                    <w:pStyle w:val="32"/>
                    <w:spacing w:line="240" w:lineRule="auto"/>
                    <w:jc w:val="center"/>
                    <w:rPr>
                      <w:rFonts w:hint="default" w:ascii="Times New Roman" w:hAnsi="Times New Roman" w:cs="Times New Roman"/>
                      <w:b w:val="0"/>
                      <w:bCs/>
                      <w:color w:val="auto"/>
                      <w:sz w:val="15"/>
                      <w:szCs w:val="15"/>
                    </w:rPr>
                  </w:pPr>
                </w:p>
              </w:tc>
              <w:tc>
                <w:tcPr>
                  <w:tcW w:w="221" w:type="pct"/>
                  <w:tcBorders>
                    <w:tl2br w:val="nil"/>
                    <w:tr2bl w:val="nil"/>
                  </w:tcBorders>
                  <w:noWrap w:val="0"/>
                  <w:vAlign w:val="center"/>
                </w:tcPr>
                <w:p>
                  <w:pPr>
                    <w:pStyle w:val="32"/>
                    <w:spacing w:line="240" w:lineRule="auto"/>
                    <w:jc w:val="center"/>
                    <w:rPr>
                      <w:rFonts w:hint="default" w:ascii="Times New Roman" w:hAnsi="Times New Roman" w:cs="Times New Roman" w:eastAsiaTheme="minorEastAsia"/>
                      <w:b w:val="0"/>
                      <w:bCs w:val="0"/>
                      <w:color w:val="auto"/>
                      <w:sz w:val="15"/>
                      <w:szCs w:val="15"/>
                      <w:lang w:eastAsia="zh-CN"/>
                    </w:rPr>
                  </w:pPr>
                  <w:r>
                    <w:rPr>
                      <w:rFonts w:hint="default" w:ascii="Times New Roman" w:hAnsi="Times New Roman" w:eastAsia="宋体" w:cs="Times New Roman"/>
                      <w:b w:val="0"/>
                      <w:bCs w:val="0"/>
                      <w:color w:val="auto"/>
                      <w:sz w:val="15"/>
                      <w:szCs w:val="15"/>
                    </w:rPr>
                    <w:t>5000</w:t>
                  </w:r>
                </w:p>
              </w:tc>
            </w:tr>
          </w:tbl>
          <w:p>
            <w:pPr>
              <w:pStyle w:val="10"/>
              <w:rPr>
                <w:color w:val="auto"/>
                <w:vertAlign w:val="baseline"/>
              </w:rPr>
            </w:pPr>
          </w:p>
        </w:tc>
      </w:tr>
    </w:tbl>
    <w:p>
      <w:pPr>
        <w:pStyle w:val="10"/>
        <w:ind w:left="0" w:leftChars="0" w:firstLine="0" w:firstLineChars="0"/>
        <w:rPr>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6"/>
        <w:tblW w:w="84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1"/>
        <w:gridCol w:w="76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left w:val="single" w:color="auto" w:sz="4" w:space="0"/>
              <w:bottom w:val="single" w:color="auto" w:sz="4" w:space="0"/>
              <w:right w:val="single" w:color="auto" w:sz="4" w:space="0"/>
            </w:tcBorders>
            <w:noWrap w:val="0"/>
            <w:tcMar>
              <w:left w:w="28" w:type="dxa"/>
              <w:right w:w="28" w:type="dxa"/>
            </w:tcMar>
            <w:vAlign w:val="center"/>
          </w:tcPr>
          <w:p>
            <w:pPr>
              <w:adjustRightInd w:val="0"/>
              <w:snapToGrid w:val="0"/>
              <w:jc w:val="center"/>
              <w:rPr>
                <w:rFonts w:hint="default" w:ascii="Times New Roman" w:hAnsi="Times New Roman" w:cs="Times New Roman"/>
                <w:color w:val="auto"/>
                <w:sz w:val="21"/>
                <w:szCs w:val="21"/>
              </w:rPr>
            </w:pPr>
            <w:bookmarkStart w:id="43" w:name="_Toc7472"/>
            <w:bookmarkStart w:id="44" w:name="_Toc9742"/>
            <w:bookmarkStart w:id="45" w:name="_Toc89"/>
            <w:r>
              <w:rPr>
                <w:rFonts w:hint="default" w:ascii="Times New Roman" w:hAnsi="Times New Roman" w:cs="Times New Roman"/>
                <w:color w:val="auto"/>
                <w:sz w:val="21"/>
                <w:szCs w:val="21"/>
              </w:rPr>
              <w:t>运营</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期环</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境影</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响和</w:t>
            </w:r>
          </w:p>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w:t>
            </w:r>
          </w:p>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color w:val="auto"/>
                <w:sz w:val="21"/>
                <w:szCs w:val="21"/>
              </w:rPr>
              <w:t>措施</w:t>
            </w:r>
          </w:p>
        </w:tc>
        <w:tc>
          <w:tcPr>
            <w:tcW w:w="7641" w:type="dxa"/>
            <w:tcBorders>
              <w:left w:val="single" w:color="auto" w:sz="4" w:space="0"/>
              <w:bottom w:val="single" w:color="auto" w:sz="4" w:space="0"/>
              <w:right w:val="single" w:color="auto" w:sz="4" w:space="0"/>
            </w:tcBorders>
            <w:noWrap w:val="0"/>
            <w:vAlign w:val="center"/>
          </w:tcPr>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4.2.2</w:t>
            </w:r>
            <w:r>
              <w:rPr>
                <w:rFonts w:hint="default" w:ascii="Times New Roman" w:hAnsi="Times New Roman" w:cs="Times New Roman"/>
                <w:color w:val="auto"/>
              </w:rPr>
              <w:t>措施可行性分析</w:t>
            </w:r>
          </w:p>
          <w:p>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4.2.2.1</w:t>
            </w:r>
            <w:r>
              <w:rPr>
                <w:rFonts w:hint="default" w:ascii="Times New Roman" w:hAnsi="Times New Roman" w:cs="Times New Roman"/>
                <w:color w:val="auto"/>
              </w:rPr>
              <w:t>废水措施可行性分析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（1）处理工艺符合性分析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①处理工艺简介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工程污水处理工艺为：调节+好氧+沉池+消毒工艺。</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4.2-</w:t>
            </w:r>
            <w:r>
              <w:rPr>
                <w:rFonts w:hint="eastAsia" w:cs="Times New Roman"/>
                <w:b/>
                <w:bCs/>
                <w:color w:val="auto"/>
                <w:lang w:val="en-US" w:eastAsia="zh-CN"/>
              </w:rPr>
              <w:t>4</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污水处理工艺说明</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6"/>
              <w:gridCol w:w="53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构筑物</w:t>
                  </w:r>
                </w:p>
              </w:tc>
              <w:tc>
                <w:tcPr>
                  <w:tcW w:w="5547"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主要功能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调节池</w:t>
                  </w:r>
                </w:p>
              </w:tc>
              <w:tc>
                <w:tcPr>
                  <w:tcW w:w="5547"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为了使处理工艺正常工作，不受废水高峰流量或高峰浓度变化的影响，设置调节池进行水质和水量的调节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lang w:val="en-US" w:eastAsia="zh-CN"/>
                    </w:rPr>
                    <w:t>好氧</w:t>
                  </w:r>
                  <w:r>
                    <w:rPr>
                      <w:rFonts w:hint="default" w:ascii="Times New Roman" w:hAnsi="Times New Roman" w:cs="Times New Roman"/>
                      <w:b w:val="0"/>
                      <w:bCs w:val="0"/>
                      <w:color w:val="auto"/>
                      <w:sz w:val="21"/>
                      <w:szCs w:val="32"/>
                    </w:rPr>
                    <w:t>池</w:t>
                  </w:r>
                </w:p>
              </w:tc>
              <w:tc>
                <w:tcPr>
                  <w:tcW w:w="5547"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在池中设置填料，将其作为生物膜的载体。待处理的废水经充氧后以一定流速流经填料，与生物膜接触，生物膜与悬浮的活性污泥共同作用，达到净化废水的作用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沉淀池</w:t>
                  </w:r>
                </w:p>
              </w:tc>
              <w:tc>
                <w:tcPr>
                  <w:tcW w:w="5547"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采用混凝沉淀工艺，添加聚合氯化铝作为絮凝剂，沉淀池污泥通过池底的污泥收集系统将污泥部分回流到缺氧池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消毒池</w:t>
                  </w:r>
                </w:p>
              </w:tc>
              <w:tc>
                <w:tcPr>
                  <w:tcW w:w="5547"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采用次氯酸钠作为消毒剂，用于医疗废水消毒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污泥浓缩及消毒</w:t>
                  </w:r>
                </w:p>
              </w:tc>
              <w:tc>
                <w:tcPr>
                  <w:tcW w:w="5547" w:type="dxa"/>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沉淀产生的污泥部分进入污泥浓缩池浓缩后，采用氯法消毒对浓缩后的污泥进行消毒。经消毒的淤泥由指定单位定期清运</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②技术可行性分析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对照《排污许可证申请与核发技术规范 医疗机构》（HJ1105-2020）中“表 A.2 医疗机构排污单位污水治理可行技术参照表”。本项目属于二级处理/深度处理+消毒工艺，属于推荐可行技术，且本项目废水经自建</w:t>
            </w:r>
            <w:r>
              <w:rPr>
                <w:rFonts w:hint="eastAsia" w:cs="Times New Roman"/>
                <w:color w:val="auto"/>
                <w:lang w:val="en-US" w:eastAsia="zh-CN"/>
              </w:rPr>
              <w:t>地埋式</w:t>
            </w:r>
            <w:r>
              <w:rPr>
                <w:rFonts w:hint="default" w:ascii="Times New Roman" w:hAnsi="Times New Roman" w:cs="Times New Roman"/>
                <w:color w:val="auto"/>
              </w:rPr>
              <w:t>污水站处理后排入</w:t>
            </w:r>
            <w:r>
              <w:rPr>
                <w:rFonts w:hint="eastAsia" w:cs="Times New Roman"/>
                <w:color w:val="auto"/>
                <w:lang w:eastAsia="zh-CN"/>
              </w:rPr>
              <w:t>福清市融元污水处理厂</w:t>
            </w:r>
            <w:r>
              <w:rPr>
                <w:rFonts w:hint="default" w:ascii="Times New Roman" w:hAnsi="Times New Roman" w:cs="Times New Roman"/>
                <w:color w:val="auto"/>
              </w:rPr>
              <w:t>，技术有效可行。</w:t>
            </w:r>
          </w:p>
          <w:p>
            <w:pPr>
              <w:pStyle w:val="56"/>
              <w:numPr>
                <w:ilvl w:val="4"/>
                <w:numId w:val="0"/>
              </w:numPr>
              <w:ind w:leftChars="0"/>
              <w:jc w:val="center"/>
              <w:rPr>
                <w:rFonts w:hint="default" w:ascii="Times New Roman" w:hAnsi="Times New Roman" w:cs="Times New Roman"/>
                <w:color w:val="auto"/>
              </w:rPr>
            </w:pPr>
            <w:r>
              <w:rPr>
                <w:rFonts w:hint="default" w:ascii="Times New Roman" w:hAnsi="Times New Roman" w:cs="Times New Roman"/>
                <w:color w:val="auto"/>
                <w:lang w:eastAsia="zh-CN"/>
              </w:rPr>
              <w:t>表</w:t>
            </w:r>
            <w:r>
              <w:rPr>
                <w:rFonts w:hint="default" w:ascii="Times New Roman" w:hAnsi="Times New Roman" w:cs="Times New Roman"/>
                <w:color w:val="auto"/>
                <w:lang w:val="en-US" w:eastAsia="zh-CN"/>
              </w:rPr>
              <w:t>4.2-</w:t>
            </w:r>
            <w:r>
              <w:rPr>
                <w:rFonts w:hint="eastAsia" w:cs="Times New Roman"/>
                <w:color w:val="auto"/>
                <w:lang w:val="en-US" w:eastAsia="zh-CN"/>
              </w:rPr>
              <w:t>5</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与推荐技术符合性分析</w:t>
            </w:r>
          </w:p>
          <w:tbl>
            <w:tblPr>
              <w:tblStyle w:val="26"/>
              <w:tblW w:w="5000"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56"/>
              <w:gridCol w:w="1328"/>
              <w:gridCol w:w="703"/>
              <w:gridCol w:w="2269"/>
              <w:gridCol w:w="226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77"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污水类别</w:t>
                  </w:r>
                </w:p>
              </w:tc>
              <w:tc>
                <w:tcPr>
                  <w:tcW w:w="89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污染物种类</w:t>
                  </w:r>
                </w:p>
              </w:tc>
              <w:tc>
                <w:tcPr>
                  <w:tcW w:w="473"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排放去向</w:t>
                  </w:r>
                </w:p>
              </w:tc>
              <w:tc>
                <w:tcPr>
                  <w:tcW w:w="1527"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可行技术</w:t>
                  </w:r>
                </w:p>
              </w:tc>
              <w:tc>
                <w:tcPr>
                  <w:tcW w:w="1527"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本项目采用工艺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77" w:type="pct"/>
                  <w:vMerge w:val="restar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医疗污水</w:t>
                  </w:r>
                </w:p>
              </w:tc>
              <w:tc>
                <w:tcPr>
                  <w:tcW w:w="894" w:type="pct"/>
                  <w:vMerge w:val="restar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粪大肠菌群数、肠道致病菌、肠道病毒、化学需氧量、氨氮、pH值、悬浮物、五日生化需氧量、动植物油、石油类、阴离子表面活性剂、挥发酚、色度、总氰化物、总余氯</w:t>
                  </w:r>
                </w:p>
              </w:tc>
              <w:tc>
                <w:tcPr>
                  <w:tcW w:w="473"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进入海域、江、河、湖库等水体</w:t>
                  </w:r>
                </w:p>
              </w:tc>
              <w:tc>
                <w:tcPr>
                  <w:tcW w:w="1527"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二级处理/深度处理+消毒工艺。二级处理包括：活性污泥法；生物膜法。深度处理包括：絮凝沉淀法；砂滤法；活性炭法；臭氧氧化法；膜分离法；生物脱氮除磷法。消毒工艺：加氯消毒，臭氧法消毒，次氯酸钠法、二氧化氯法消毒、紫外线消毒等。</w:t>
                  </w:r>
                </w:p>
              </w:tc>
              <w:tc>
                <w:tcPr>
                  <w:tcW w:w="1527" w:type="pct"/>
                  <w:vMerge w:val="restar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调节+好氧+沉池+消毒工艺；属于二级处理/深度处理+消毒工艺，属于推荐可行技术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77" w:type="pct"/>
                  <w:vMerge w:val="continue"/>
                  <w:noWrap w:val="0"/>
                  <w:vAlign w:val="center"/>
                </w:tcPr>
                <w:p>
                  <w:pPr>
                    <w:pStyle w:val="32"/>
                    <w:rPr>
                      <w:rFonts w:hint="default" w:ascii="Times New Roman" w:hAnsi="Times New Roman" w:cs="Times New Roman"/>
                      <w:b w:val="0"/>
                      <w:bCs w:val="0"/>
                      <w:color w:val="auto"/>
                    </w:rPr>
                  </w:pPr>
                </w:p>
              </w:tc>
              <w:tc>
                <w:tcPr>
                  <w:tcW w:w="894" w:type="pct"/>
                  <w:vMerge w:val="continue"/>
                  <w:noWrap w:val="0"/>
                  <w:vAlign w:val="center"/>
                </w:tcPr>
                <w:p>
                  <w:pPr>
                    <w:pStyle w:val="32"/>
                    <w:rPr>
                      <w:rFonts w:hint="default" w:ascii="Times New Roman" w:hAnsi="Times New Roman" w:cs="Times New Roman"/>
                      <w:b w:val="0"/>
                      <w:bCs w:val="0"/>
                      <w:color w:val="auto"/>
                    </w:rPr>
                  </w:pPr>
                </w:p>
              </w:tc>
              <w:tc>
                <w:tcPr>
                  <w:tcW w:w="473"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排入城镇污水处理厂</w:t>
                  </w:r>
                </w:p>
              </w:tc>
              <w:tc>
                <w:tcPr>
                  <w:tcW w:w="1527"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一级处理/一级强化处理+消毒工艺。一级处理包括：筛滤法；沉淀法；气浮法；预曝气法。</w:t>
                  </w:r>
                </w:p>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一级强化处理包括：化学混凝处理、机械过滤或不完全生物处理。消毒工艺：加氯消毒，臭氧法消毒，次氯酸钠法、二氧化氯法消毒、紫外线消毒等。</w:t>
                  </w:r>
                </w:p>
              </w:tc>
              <w:tc>
                <w:tcPr>
                  <w:tcW w:w="1527" w:type="pct"/>
                  <w:vMerge w:val="continue"/>
                  <w:noWrap w:val="0"/>
                  <w:vAlign w:val="center"/>
                </w:tcPr>
                <w:p>
                  <w:pPr>
                    <w:pStyle w:val="32"/>
                    <w:rPr>
                      <w:rFonts w:hint="default" w:ascii="Times New Roman" w:hAnsi="Times New Roman" w:cs="Times New Roman"/>
                      <w:b w:val="0"/>
                      <w:bCs w:val="0"/>
                      <w:color w:val="auto"/>
                    </w:rPr>
                  </w:pP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③自建</w:t>
            </w:r>
            <w:r>
              <w:rPr>
                <w:rFonts w:hint="eastAsia" w:cs="Times New Roman"/>
                <w:color w:val="auto"/>
                <w:lang w:val="en-US" w:eastAsia="zh-CN"/>
              </w:rPr>
              <w:t>地埋式</w:t>
            </w:r>
            <w:r>
              <w:rPr>
                <w:rFonts w:hint="default" w:ascii="Times New Roman" w:hAnsi="Times New Roman" w:cs="Times New Roman"/>
                <w:color w:val="auto"/>
              </w:rPr>
              <w:t>污水站水量可行性分析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废水自建</w:t>
            </w:r>
            <w:r>
              <w:rPr>
                <w:rFonts w:hint="eastAsia" w:cs="Times New Roman"/>
                <w:color w:val="auto"/>
                <w:lang w:val="en-US" w:eastAsia="zh-CN"/>
              </w:rPr>
              <w:t>地埋式</w:t>
            </w:r>
            <w:r>
              <w:rPr>
                <w:rFonts w:hint="default" w:ascii="Times New Roman" w:hAnsi="Times New Roman" w:cs="Times New Roman"/>
                <w:color w:val="auto"/>
              </w:rPr>
              <w:t>污水站（处理能力</w:t>
            </w:r>
            <w:r>
              <w:rPr>
                <w:rFonts w:hint="default" w:ascii="Times New Roman" w:hAnsi="Times New Roman" w:cs="Times New Roman"/>
                <w:color w:val="auto"/>
                <w:lang w:val="en-US" w:eastAsia="zh-CN"/>
              </w:rPr>
              <w:t>200</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r>
              <w:rPr>
                <w:rFonts w:hint="default" w:ascii="Times New Roman" w:hAnsi="Times New Roman" w:cs="Times New Roman"/>
                <w:color w:val="auto"/>
                <w:lang w:val="en-US" w:eastAsia="zh-CN"/>
              </w:rPr>
              <w:t>综合</w:t>
            </w:r>
            <w:r>
              <w:rPr>
                <w:rFonts w:hint="default" w:ascii="Times New Roman" w:hAnsi="Times New Roman" w:cs="Times New Roman"/>
                <w:color w:val="auto"/>
              </w:rPr>
              <w:t>废水产生量为</w:t>
            </w:r>
            <w:r>
              <w:rPr>
                <w:rFonts w:hint="eastAsia" w:cs="Times New Roman"/>
                <w:color w:val="auto"/>
                <w:lang w:val="en-US" w:eastAsia="zh-CN"/>
              </w:rPr>
              <w:t>66.23</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r>
              <w:rPr>
                <w:rFonts w:hint="default" w:ascii="Times New Roman" w:hAnsi="Times New Roman" w:cs="Times New Roman"/>
                <w:color w:val="auto"/>
                <w:lang w:val="en-US" w:eastAsia="zh-CN"/>
              </w:rPr>
              <w:t>20</w:t>
            </w:r>
            <w:r>
              <w:rPr>
                <w:rFonts w:hint="default" w:ascii="Times New Roman" w:hAnsi="Times New Roman" w:cs="Times New Roman"/>
                <w:color w:val="auto"/>
              </w:rPr>
              <w:t>0m</w:t>
            </w:r>
            <w:r>
              <w:rPr>
                <w:rFonts w:hint="default" w:ascii="Times New Roman" w:hAnsi="Times New Roman" w:cs="Times New Roman"/>
                <w:color w:val="auto"/>
                <w:vertAlign w:val="superscript"/>
              </w:rPr>
              <w:t>3</w:t>
            </w:r>
            <w:r>
              <w:rPr>
                <w:rFonts w:hint="default" w:ascii="Times New Roman" w:hAnsi="Times New Roman" w:cs="Times New Roman"/>
                <w:color w:val="auto"/>
              </w:rPr>
              <w:t>/d，因此，污水处理站处理能力可满足污水处理需求。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④自建污水站出口达标分析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根据上述核算结果，自建污水站处理后出水达标性分析详见下表。</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4.2-</w:t>
            </w:r>
            <w:r>
              <w:rPr>
                <w:rFonts w:hint="eastAsia" w:cs="Times New Roman"/>
                <w:b/>
                <w:bCs/>
                <w:color w:val="auto"/>
                <w:lang w:val="en-US" w:eastAsia="zh-CN"/>
              </w:rPr>
              <w:t>6</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自建污水站出水达标性分析</w:t>
            </w:r>
          </w:p>
          <w:tbl>
            <w:tblPr>
              <w:tblStyle w:val="26"/>
              <w:tblpPr w:leftFromText="180" w:rightFromText="180" w:vertAnchor="text" w:tblpXSpec="center" w:tblpY="1"/>
              <w:tblOverlap w:val="never"/>
              <w:tblW w:w="497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5"/>
              <w:gridCol w:w="719"/>
              <w:gridCol w:w="1713"/>
              <w:gridCol w:w="931"/>
              <w:gridCol w:w="747"/>
              <w:gridCol w:w="793"/>
              <w:gridCol w:w="917"/>
              <w:gridCol w:w="8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废水来源</w:t>
                  </w:r>
                </w:p>
              </w:tc>
              <w:tc>
                <w:tcPr>
                  <w:tcW w:w="719"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废水量t/a</w:t>
                  </w:r>
                </w:p>
              </w:tc>
              <w:tc>
                <w:tcPr>
                  <w:tcW w:w="171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污染因子</w:t>
                  </w:r>
                </w:p>
              </w:tc>
              <w:tc>
                <w:tcPr>
                  <w:tcW w:w="931"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COD</w:t>
                  </w:r>
                </w:p>
              </w:tc>
              <w:tc>
                <w:tcPr>
                  <w:tcW w:w="747"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BOD</w:t>
                  </w:r>
                  <w:r>
                    <w:rPr>
                      <w:rFonts w:hint="default" w:ascii="Times New Roman" w:hAnsi="Times New Roman" w:cs="Times New Roman"/>
                      <w:b w:val="0"/>
                      <w:bCs/>
                      <w:color w:val="auto"/>
                      <w:vertAlign w:val="subscript"/>
                    </w:rPr>
                    <w:t>5</w:t>
                  </w:r>
                </w:p>
              </w:tc>
              <w:tc>
                <w:tcPr>
                  <w:tcW w:w="79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SS</w:t>
                  </w:r>
                </w:p>
              </w:tc>
              <w:tc>
                <w:tcPr>
                  <w:tcW w:w="917"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氨氮</w:t>
                  </w:r>
                </w:p>
              </w:tc>
              <w:tc>
                <w:tcPr>
                  <w:tcW w:w="836"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粪大肠杆菌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vMerge w:val="restar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综合废水</w:t>
                  </w:r>
                </w:p>
              </w:tc>
              <w:tc>
                <w:tcPr>
                  <w:tcW w:w="719" w:type="dxa"/>
                  <w:vMerge w:val="restart"/>
                  <w:noWrap w:val="0"/>
                  <w:vAlign w:val="center"/>
                </w:tcPr>
                <w:p>
                  <w:pPr>
                    <w:pStyle w:val="32"/>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szCs w:val="21"/>
                      <w:lang w:val="en-US" w:eastAsia="zh-CN" w:bidi="ar"/>
                    </w:rPr>
                    <w:t>2</w:t>
                  </w:r>
                  <w:r>
                    <w:rPr>
                      <w:rFonts w:hint="eastAsia" w:ascii="Times New Roman" w:cs="Times New Roman"/>
                      <w:b w:val="0"/>
                      <w:bCs/>
                      <w:color w:val="auto"/>
                      <w:szCs w:val="21"/>
                      <w:lang w:val="en-US" w:eastAsia="zh-CN" w:bidi="ar"/>
                    </w:rPr>
                    <w:t>4176.23</w:t>
                  </w:r>
                </w:p>
              </w:tc>
              <w:tc>
                <w:tcPr>
                  <w:tcW w:w="171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混合废水排放浓度（mg/L）</w:t>
                  </w:r>
                </w:p>
              </w:tc>
              <w:tc>
                <w:tcPr>
                  <w:tcW w:w="931"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color w:val="auto"/>
                    </w:rPr>
                  </w:pPr>
                  <w:r>
                    <w:rPr>
                      <w:rFonts w:hint="default" w:ascii="Times New Roman" w:hAnsi="Times New Roman" w:eastAsia="宋体" w:cs="Times New Roman"/>
                      <w:i w:val="0"/>
                      <w:iCs w:val="0"/>
                      <w:color w:val="auto"/>
                      <w:kern w:val="0"/>
                      <w:sz w:val="18"/>
                      <w:szCs w:val="18"/>
                      <w:u w:val="none"/>
                      <w:lang w:val="en-US" w:eastAsia="zh-CN" w:bidi="ar"/>
                    </w:rPr>
                    <w:t xml:space="preserve">150.0 </w:t>
                  </w:r>
                </w:p>
              </w:tc>
              <w:tc>
                <w:tcPr>
                  <w:tcW w:w="747"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color w:val="auto"/>
                    </w:rPr>
                  </w:pPr>
                  <w:r>
                    <w:rPr>
                      <w:rFonts w:hint="default" w:ascii="Times New Roman" w:hAnsi="Times New Roman" w:eastAsia="宋体" w:cs="Times New Roman"/>
                      <w:i w:val="0"/>
                      <w:iCs w:val="0"/>
                      <w:color w:val="auto"/>
                      <w:kern w:val="0"/>
                      <w:sz w:val="18"/>
                      <w:szCs w:val="18"/>
                      <w:u w:val="none"/>
                      <w:lang w:val="en-US" w:eastAsia="zh-CN" w:bidi="ar"/>
                    </w:rPr>
                    <w:t>48.0</w:t>
                  </w:r>
                </w:p>
              </w:tc>
              <w:tc>
                <w:tcPr>
                  <w:tcW w:w="793"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color w:val="auto"/>
                    </w:rPr>
                  </w:pPr>
                  <w:r>
                    <w:rPr>
                      <w:rFonts w:hint="default" w:ascii="Times New Roman" w:hAnsi="Times New Roman" w:eastAsia="宋体" w:cs="Times New Roman"/>
                      <w:i w:val="0"/>
                      <w:iCs w:val="0"/>
                      <w:color w:val="auto"/>
                      <w:kern w:val="0"/>
                      <w:sz w:val="18"/>
                      <w:szCs w:val="18"/>
                      <w:u w:val="none"/>
                      <w:lang w:val="en-US" w:eastAsia="zh-CN" w:bidi="ar"/>
                    </w:rPr>
                    <w:t xml:space="preserve">4.0 </w:t>
                  </w:r>
                </w:p>
              </w:tc>
              <w:tc>
                <w:tcPr>
                  <w:tcW w:w="917"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color w:val="auto"/>
                      <w:lang w:val="en-US"/>
                    </w:rPr>
                  </w:pPr>
                  <w:r>
                    <w:rPr>
                      <w:rFonts w:hint="default" w:ascii="Times New Roman" w:hAnsi="Times New Roman" w:eastAsia="宋体" w:cs="Times New Roman"/>
                      <w:i w:val="0"/>
                      <w:iCs w:val="0"/>
                      <w:color w:val="auto"/>
                      <w:kern w:val="0"/>
                      <w:sz w:val="18"/>
                      <w:szCs w:val="18"/>
                      <w:u w:val="none"/>
                      <w:lang w:val="en-US" w:eastAsia="zh-CN" w:bidi="ar"/>
                    </w:rPr>
                    <w:t xml:space="preserve">27.9 </w:t>
                  </w:r>
                </w:p>
              </w:tc>
              <w:tc>
                <w:tcPr>
                  <w:tcW w:w="836"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b w:val="0"/>
                      <w:bCs/>
                      <w:color w:val="auto"/>
                    </w:rPr>
                  </w:pPr>
                  <w:r>
                    <w:rPr>
                      <w:rFonts w:hint="default" w:ascii="Times New Roman" w:hAnsi="Times New Roman" w:eastAsia="宋体" w:cs="Times New Roman"/>
                      <w:i w:val="0"/>
                      <w:iCs w:val="0"/>
                      <w:color w:val="auto"/>
                      <w:kern w:val="0"/>
                      <w:sz w:val="18"/>
                      <w:szCs w:val="18"/>
                      <w:u w:val="none"/>
                      <w:lang w:val="en-US" w:eastAsia="zh-CN" w:bidi="ar"/>
                    </w:rPr>
                    <w:t xml:space="preserve">1600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vMerge w:val="continue"/>
                  <w:noWrap w:val="0"/>
                  <w:vAlign w:val="center"/>
                </w:tcPr>
                <w:p>
                  <w:pPr>
                    <w:pStyle w:val="32"/>
                    <w:rPr>
                      <w:rFonts w:hint="default" w:ascii="Times New Roman" w:hAnsi="Times New Roman" w:cs="Times New Roman"/>
                      <w:b w:val="0"/>
                      <w:bCs/>
                      <w:color w:val="auto"/>
                    </w:rPr>
                  </w:pPr>
                </w:p>
              </w:tc>
              <w:tc>
                <w:tcPr>
                  <w:tcW w:w="719" w:type="dxa"/>
                  <w:vMerge w:val="continue"/>
                  <w:noWrap w:val="0"/>
                  <w:vAlign w:val="center"/>
                </w:tcPr>
                <w:p>
                  <w:pPr>
                    <w:pStyle w:val="32"/>
                    <w:rPr>
                      <w:rFonts w:hint="default" w:ascii="Times New Roman" w:hAnsi="Times New Roman" w:cs="Times New Roman"/>
                      <w:b w:val="0"/>
                      <w:bCs/>
                      <w:color w:val="auto"/>
                    </w:rPr>
                  </w:pPr>
                </w:p>
              </w:tc>
              <w:tc>
                <w:tcPr>
                  <w:tcW w:w="171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排放标准（mg/L）</w:t>
                  </w:r>
                </w:p>
              </w:tc>
              <w:tc>
                <w:tcPr>
                  <w:tcW w:w="931"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szCs w:val="21"/>
                    </w:rPr>
                    <w:t>250</w:t>
                  </w:r>
                </w:p>
              </w:tc>
              <w:tc>
                <w:tcPr>
                  <w:tcW w:w="747"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szCs w:val="21"/>
                    </w:rPr>
                    <w:t>100</w:t>
                  </w:r>
                </w:p>
              </w:tc>
              <w:tc>
                <w:tcPr>
                  <w:tcW w:w="79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szCs w:val="21"/>
                    </w:rPr>
                    <w:t>60</w:t>
                  </w:r>
                </w:p>
              </w:tc>
              <w:tc>
                <w:tcPr>
                  <w:tcW w:w="917"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w:t>
                  </w:r>
                </w:p>
              </w:tc>
              <w:tc>
                <w:tcPr>
                  <w:tcW w:w="836"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szCs w:val="21"/>
                    </w:rPr>
                    <w: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vMerge w:val="continue"/>
                  <w:noWrap w:val="0"/>
                  <w:vAlign w:val="center"/>
                </w:tcPr>
                <w:p>
                  <w:pPr>
                    <w:pStyle w:val="32"/>
                    <w:rPr>
                      <w:rFonts w:hint="default" w:ascii="Times New Roman" w:hAnsi="Times New Roman" w:cs="Times New Roman"/>
                      <w:b w:val="0"/>
                      <w:bCs/>
                      <w:color w:val="auto"/>
                    </w:rPr>
                  </w:pPr>
                </w:p>
              </w:tc>
              <w:tc>
                <w:tcPr>
                  <w:tcW w:w="719" w:type="dxa"/>
                  <w:vMerge w:val="continue"/>
                  <w:noWrap w:val="0"/>
                  <w:vAlign w:val="center"/>
                </w:tcPr>
                <w:p>
                  <w:pPr>
                    <w:pStyle w:val="32"/>
                    <w:rPr>
                      <w:rFonts w:hint="default" w:ascii="Times New Roman" w:hAnsi="Times New Roman" w:cs="Times New Roman"/>
                      <w:b w:val="0"/>
                      <w:bCs/>
                      <w:color w:val="auto"/>
                    </w:rPr>
                  </w:pPr>
                </w:p>
              </w:tc>
              <w:tc>
                <w:tcPr>
                  <w:tcW w:w="171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是否达标</w:t>
                  </w:r>
                </w:p>
              </w:tc>
              <w:tc>
                <w:tcPr>
                  <w:tcW w:w="931"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c>
                <w:tcPr>
                  <w:tcW w:w="747"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c>
                <w:tcPr>
                  <w:tcW w:w="79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c>
                <w:tcPr>
                  <w:tcW w:w="917"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c>
                <w:tcPr>
                  <w:tcW w:w="836" w:type="dxa"/>
                  <w:noWrap/>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35" w:type="dxa"/>
                  <w:vMerge w:val="continue"/>
                  <w:noWrap w:val="0"/>
                  <w:vAlign w:val="center"/>
                </w:tcPr>
                <w:p>
                  <w:pPr>
                    <w:pStyle w:val="32"/>
                    <w:rPr>
                      <w:rFonts w:hint="default" w:ascii="Times New Roman" w:hAnsi="Times New Roman" w:cs="Times New Roman"/>
                      <w:b w:val="0"/>
                      <w:bCs/>
                      <w:color w:val="auto"/>
                    </w:rPr>
                  </w:pPr>
                </w:p>
              </w:tc>
              <w:tc>
                <w:tcPr>
                  <w:tcW w:w="719" w:type="dxa"/>
                  <w:vMerge w:val="continue"/>
                  <w:noWrap w:val="0"/>
                  <w:vAlign w:val="center"/>
                </w:tcPr>
                <w:p>
                  <w:pPr>
                    <w:pStyle w:val="32"/>
                    <w:rPr>
                      <w:rFonts w:hint="default" w:ascii="Times New Roman" w:hAnsi="Times New Roman" w:cs="Times New Roman"/>
                      <w:b w:val="0"/>
                      <w:bCs/>
                      <w:color w:val="auto"/>
                    </w:rPr>
                  </w:pPr>
                </w:p>
              </w:tc>
              <w:tc>
                <w:tcPr>
                  <w:tcW w:w="1713" w:type="dxa"/>
                  <w:noWrap w:val="0"/>
                  <w:vAlign w:val="center"/>
                </w:tcPr>
                <w:p>
                  <w:pPr>
                    <w:pStyle w:val="32"/>
                    <w:rPr>
                      <w:rFonts w:hint="default" w:ascii="Times New Roman" w:hAnsi="Times New Roman" w:cs="Times New Roman"/>
                      <w:b w:val="0"/>
                      <w:bCs/>
                      <w:color w:val="auto"/>
                    </w:rPr>
                  </w:pPr>
                  <w:r>
                    <w:rPr>
                      <w:rFonts w:hint="eastAsia" w:ascii="Times New Roman" w:cs="Times New Roman"/>
                      <w:b w:val="0"/>
                      <w:bCs/>
                      <w:color w:val="auto"/>
                      <w:lang w:eastAsia="zh-CN"/>
                    </w:rPr>
                    <w:t>福清市融元污水处理厂</w:t>
                  </w:r>
                  <w:r>
                    <w:rPr>
                      <w:rFonts w:hint="default" w:ascii="Times New Roman" w:hAnsi="Times New Roman" w:cs="Times New Roman"/>
                      <w:b w:val="0"/>
                      <w:bCs/>
                      <w:color w:val="auto"/>
                    </w:rPr>
                    <w:t>纳管标准（mg/L）</w:t>
                  </w:r>
                </w:p>
              </w:tc>
              <w:tc>
                <w:tcPr>
                  <w:tcW w:w="931" w:type="dxa"/>
                  <w:noWrap w:val="0"/>
                  <w:vAlign w:val="center"/>
                </w:tcPr>
                <w:p>
                  <w:pPr>
                    <w:pStyle w:val="32"/>
                    <w:rPr>
                      <w:rFonts w:hint="default" w:ascii="Times New Roman" w:hAnsi="Times New Roman" w:cs="Times New Roman"/>
                      <w:b w:val="0"/>
                      <w:bCs/>
                      <w:color w:val="auto"/>
                    </w:rPr>
                  </w:pPr>
                  <w:r>
                    <w:rPr>
                      <w:rFonts w:hint="eastAsia" w:ascii="Times New Roman" w:cs="Times New Roman"/>
                      <w:b w:val="0"/>
                      <w:bCs/>
                      <w:color w:val="auto"/>
                      <w:lang w:val="en-US" w:eastAsia="zh-CN"/>
                    </w:rPr>
                    <w:t>4</w:t>
                  </w:r>
                  <w:r>
                    <w:rPr>
                      <w:rFonts w:hint="default" w:ascii="Times New Roman" w:hAnsi="Times New Roman" w:cs="Times New Roman"/>
                      <w:b w:val="0"/>
                      <w:bCs/>
                      <w:color w:val="auto"/>
                    </w:rPr>
                    <w:t>00</w:t>
                  </w:r>
                </w:p>
              </w:tc>
              <w:tc>
                <w:tcPr>
                  <w:tcW w:w="747" w:type="dxa"/>
                  <w:noWrap w:val="0"/>
                  <w:vAlign w:val="center"/>
                </w:tcPr>
                <w:p>
                  <w:pPr>
                    <w:pStyle w:val="32"/>
                    <w:rPr>
                      <w:rFonts w:hint="default" w:ascii="Times New Roman" w:hAnsi="Times New Roman" w:eastAsia="新宋体" w:cs="Times New Roman"/>
                      <w:b w:val="0"/>
                      <w:bCs/>
                      <w:color w:val="auto"/>
                      <w:lang w:val="en-US" w:eastAsia="zh-CN"/>
                    </w:rPr>
                  </w:pPr>
                  <w:r>
                    <w:rPr>
                      <w:rFonts w:hint="eastAsia" w:ascii="Times New Roman" w:cs="Times New Roman"/>
                      <w:b w:val="0"/>
                      <w:bCs/>
                      <w:color w:val="auto"/>
                      <w:lang w:val="en-US" w:eastAsia="zh-CN"/>
                    </w:rPr>
                    <w:t>220</w:t>
                  </w:r>
                </w:p>
              </w:tc>
              <w:tc>
                <w:tcPr>
                  <w:tcW w:w="793" w:type="dxa"/>
                  <w:noWrap w:val="0"/>
                  <w:vAlign w:val="center"/>
                </w:tcPr>
                <w:p>
                  <w:pPr>
                    <w:pStyle w:val="32"/>
                    <w:rPr>
                      <w:rFonts w:hint="default" w:ascii="Times New Roman" w:hAnsi="Times New Roman" w:eastAsia="新宋体" w:cs="Times New Roman"/>
                      <w:b w:val="0"/>
                      <w:bCs/>
                      <w:color w:val="auto"/>
                      <w:lang w:val="en-US" w:eastAsia="zh-CN"/>
                    </w:rPr>
                  </w:pPr>
                  <w:r>
                    <w:rPr>
                      <w:rFonts w:hint="eastAsia" w:ascii="Times New Roman" w:cs="Times New Roman"/>
                      <w:b w:val="0"/>
                      <w:bCs/>
                      <w:color w:val="auto"/>
                      <w:lang w:val="en-US" w:eastAsia="zh-CN"/>
                    </w:rPr>
                    <w:t>280</w:t>
                  </w:r>
                </w:p>
              </w:tc>
              <w:tc>
                <w:tcPr>
                  <w:tcW w:w="917" w:type="dxa"/>
                  <w:noWrap w:val="0"/>
                  <w:vAlign w:val="center"/>
                </w:tcPr>
                <w:p>
                  <w:pPr>
                    <w:pStyle w:val="32"/>
                    <w:rPr>
                      <w:rFonts w:hint="default" w:ascii="Times New Roman" w:hAnsi="Times New Roman" w:eastAsia="新宋体" w:cs="Times New Roman"/>
                      <w:b w:val="0"/>
                      <w:bCs/>
                      <w:color w:val="auto"/>
                      <w:lang w:val="en-US" w:eastAsia="zh-CN"/>
                    </w:rPr>
                  </w:pPr>
                  <w:r>
                    <w:rPr>
                      <w:rFonts w:hint="eastAsia" w:ascii="Times New Roman" w:cs="Times New Roman"/>
                      <w:b w:val="0"/>
                      <w:bCs/>
                      <w:color w:val="auto"/>
                      <w:lang w:val="en-US" w:eastAsia="zh-CN"/>
                    </w:rPr>
                    <w:t>37</w:t>
                  </w:r>
                </w:p>
              </w:tc>
              <w:tc>
                <w:tcPr>
                  <w:tcW w:w="836"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vMerge w:val="continue"/>
                  <w:noWrap w:val="0"/>
                  <w:vAlign w:val="center"/>
                </w:tcPr>
                <w:p>
                  <w:pPr>
                    <w:pStyle w:val="32"/>
                    <w:rPr>
                      <w:rFonts w:hint="default" w:ascii="Times New Roman" w:hAnsi="Times New Roman" w:cs="Times New Roman"/>
                      <w:b w:val="0"/>
                      <w:bCs/>
                      <w:color w:val="auto"/>
                    </w:rPr>
                  </w:pPr>
                </w:p>
              </w:tc>
              <w:tc>
                <w:tcPr>
                  <w:tcW w:w="719" w:type="dxa"/>
                  <w:vMerge w:val="continue"/>
                  <w:noWrap w:val="0"/>
                  <w:vAlign w:val="center"/>
                </w:tcPr>
                <w:p>
                  <w:pPr>
                    <w:pStyle w:val="32"/>
                    <w:rPr>
                      <w:rFonts w:hint="default" w:ascii="Times New Roman" w:hAnsi="Times New Roman" w:cs="Times New Roman"/>
                      <w:b w:val="0"/>
                      <w:bCs/>
                      <w:color w:val="auto"/>
                    </w:rPr>
                  </w:pPr>
                </w:p>
              </w:tc>
              <w:tc>
                <w:tcPr>
                  <w:tcW w:w="171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是否达标</w:t>
                  </w:r>
                </w:p>
              </w:tc>
              <w:tc>
                <w:tcPr>
                  <w:tcW w:w="931"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c>
                <w:tcPr>
                  <w:tcW w:w="747"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c>
                <w:tcPr>
                  <w:tcW w:w="793"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c>
                <w:tcPr>
                  <w:tcW w:w="917"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是</w:t>
                  </w:r>
                </w:p>
              </w:tc>
              <w:tc>
                <w:tcPr>
                  <w:tcW w:w="836" w:type="dxa"/>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根据上表分析，自建污水站出水可达《医疗机构水污染物排放标准》（GB18466-2005）“表2综合医疗机构和其他医疗机构水污染物排放限值的预处理标准”及</w:t>
            </w:r>
            <w:r>
              <w:rPr>
                <w:rFonts w:hint="eastAsia" w:cs="Times New Roman"/>
                <w:color w:val="auto"/>
                <w:lang w:eastAsia="zh-CN"/>
              </w:rPr>
              <w:t>福清市融元污水处理厂</w:t>
            </w:r>
            <w:r>
              <w:rPr>
                <w:rFonts w:hint="default" w:ascii="Times New Roman" w:hAnsi="Times New Roman" w:cs="Times New Roman"/>
                <w:color w:val="auto"/>
              </w:rPr>
              <w:t>污水纳管标准。</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4.2.2.2应急事故池设施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医院污水处理工程技术规范》（HJ2029-2013）：“12.4.1、医院污水处理工程应设应急事故池，以贮存处理系统事故或其他突发事件时医院污水。传染病医院污水处理工程应急事故池容积不小于日排放量的100%，非传染病医院污水处理工程应急事故池容积不小于日排放量的30%。”本项目为康复医院，拟于污水处理站旁建设1座容积为30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的应急事故池及应急切换阀门。本项目综合废水日排放量为</w:t>
            </w:r>
            <w:r>
              <w:rPr>
                <w:rFonts w:hint="eastAsia" w:cs="Times New Roman"/>
                <w:color w:val="auto"/>
                <w:lang w:val="en-US" w:eastAsia="zh-CN"/>
              </w:rPr>
              <w:t>66.23</w:t>
            </w:r>
            <w:r>
              <w:rPr>
                <w:rFonts w:hint="default" w:ascii="Times New Roman" w:hAnsi="Times New Roman" w:cs="Times New Roman"/>
                <w:color w:val="auto"/>
                <w:lang w:val="en-US" w:eastAsia="zh-CN"/>
              </w:rPr>
              <w:t>t，项目所设应急事故池容积可满足事故状态废水收集及处理，符合《医院污水处理工程技术规范》（HJ2029-2013）要求。另外，项目将配套建设完善的排水系统、切换系统及污水提升装置，以应对因管道破裂、泵设备损坏或失效、人为操作失误等事故，确保事故污水全部收集至应急事故池暂存，待事故结束后分批泵入污水处理站处理达标后排放。</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4.2.2.3</w:t>
            </w:r>
            <w:r>
              <w:rPr>
                <w:rFonts w:hint="default" w:ascii="Times New Roman" w:hAnsi="Times New Roman" w:cs="Times New Roman"/>
                <w:color w:val="auto"/>
              </w:rPr>
              <w:t>尾水进入</w:t>
            </w:r>
            <w:r>
              <w:rPr>
                <w:rFonts w:hint="eastAsia" w:cs="Times New Roman"/>
                <w:color w:val="auto"/>
                <w:lang w:eastAsia="zh-CN"/>
              </w:rPr>
              <w:t>福清市融元污水处理厂</w:t>
            </w:r>
            <w:r>
              <w:rPr>
                <w:rFonts w:hint="default" w:ascii="Times New Roman" w:hAnsi="Times New Roman" w:cs="Times New Roman"/>
                <w:color w:val="auto"/>
              </w:rPr>
              <w:t>处理可行性分析</w:t>
            </w:r>
          </w:p>
          <w:p>
            <w:pPr>
              <w:widowControl/>
              <w:spacing w:line="360" w:lineRule="auto"/>
              <w:ind w:firstLine="480"/>
              <w:rPr>
                <w:rFonts w:hint="default" w:ascii="Times New Roman" w:hAnsi="Times New Roman" w:cs="Times New Roman"/>
                <w:color w:val="auto"/>
                <w:kern w:val="0"/>
                <w:sz w:val="24"/>
              </w:rPr>
            </w:pPr>
            <w:r>
              <w:rPr>
                <w:rFonts w:hint="default" w:ascii="Times New Roman" w:hAnsi="Times New Roman" w:cs="Times New Roman"/>
                <w:color w:val="auto"/>
                <w:kern w:val="0"/>
                <w:sz w:val="24"/>
              </w:rPr>
              <w:t>（1）与污水管网的衔接性</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福清市融元污水处理厂主要负责城关区和洪宽区的生活污水和工业污水。本项目位于</w:t>
            </w:r>
            <w:r>
              <w:rPr>
                <w:rFonts w:hint="default" w:ascii="Times New Roman" w:hAnsi="Times New Roman" w:cs="Times New Roman"/>
                <w:color w:val="auto"/>
                <w:lang w:val="en-US" w:eastAsia="zh-CN"/>
              </w:rPr>
              <w:t>福建省福州市福清市龙江街道龙江路667号</w:t>
            </w:r>
            <w:r>
              <w:rPr>
                <w:rFonts w:hint="default" w:ascii="Times New Roman" w:hAnsi="Times New Roman" w:cs="Times New Roman"/>
                <w:color w:val="auto"/>
              </w:rPr>
              <w:t>，属于福清市融元污水处理厂服务范围内，根据现场勘查，目前项目所在地的市政污水管网已经铺设完成并已经投入正常运行，本项目厂区污水总排口已经接入市政污水管网。</w:t>
            </w:r>
          </w:p>
          <w:p>
            <w:pPr>
              <w:widowControl/>
              <w:spacing w:line="360" w:lineRule="auto"/>
              <w:ind w:firstLine="480"/>
              <w:rPr>
                <w:rFonts w:hint="default" w:ascii="Times New Roman" w:hAnsi="Times New Roman" w:cs="Times New Roman"/>
                <w:color w:val="auto"/>
                <w:kern w:val="0"/>
                <w:sz w:val="24"/>
              </w:rPr>
            </w:pPr>
            <w:r>
              <w:rPr>
                <w:rFonts w:hint="default" w:ascii="Times New Roman" w:hAnsi="Times New Roman" w:cs="Times New Roman"/>
                <w:color w:val="auto"/>
                <w:kern w:val="0"/>
                <w:sz w:val="24"/>
              </w:rPr>
              <w:t>（2）与污水处理厂处理工艺的适宜性分析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①设计进出水水质</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eastAsia" w:cs="Times New Roman"/>
                <w:color w:val="auto"/>
                <w:lang w:eastAsia="zh-CN"/>
              </w:rPr>
              <w:t>福清市融元污水处理厂</w:t>
            </w:r>
            <w:r>
              <w:rPr>
                <w:rFonts w:hint="default" w:ascii="Times New Roman" w:hAnsi="Times New Roman" w:cs="Times New Roman"/>
                <w:color w:val="auto"/>
              </w:rPr>
              <w:t>处理进出水水质见表4.2-</w:t>
            </w:r>
            <w:r>
              <w:rPr>
                <w:rFonts w:hint="eastAsia" w:cs="Times New Roman"/>
                <w:color w:val="auto"/>
                <w:lang w:val="en-US" w:eastAsia="zh-CN"/>
              </w:rPr>
              <w:t>7</w:t>
            </w:r>
            <w:r>
              <w:rPr>
                <w:rFonts w:hint="default" w:ascii="Times New Roman" w:hAnsi="Times New Roman" w:cs="Times New Roman"/>
                <w:color w:val="auto"/>
              </w:rPr>
              <w:t>。</w:t>
            </w:r>
          </w:p>
          <w:p>
            <w:pPr>
              <w:bidi w:val="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表4.2-</w:t>
            </w:r>
            <w:r>
              <w:rPr>
                <w:rFonts w:hint="eastAsia" w:cs="Times New Roman"/>
                <w:b/>
                <w:bCs/>
                <w:color w:val="auto"/>
                <w:lang w:val="en-US" w:eastAsia="zh-CN"/>
              </w:rPr>
              <w:t>7</w:t>
            </w:r>
            <w:r>
              <w:rPr>
                <w:rFonts w:hint="default" w:ascii="Times New Roman" w:hAnsi="Times New Roman" w:cs="Times New Roman"/>
                <w:b/>
                <w:bCs/>
                <w:color w:val="auto"/>
                <w:lang w:val="en-US" w:eastAsia="zh-CN"/>
              </w:rPr>
              <w:t xml:space="preserve"> 污水厂进出水水质标准(mg/L  pH除外)</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74"/>
              <w:gridCol w:w="1186"/>
              <w:gridCol w:w="966"/>
              <w:gridCol w:w="874"/>
              <w:gridCol w:w="931"/>
              <w:gridCol w:w="862"/>
              <w:gridCol w:w="862"/>
              <w:gridCol w:w="7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56"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水质指标</w:t>
                  </w:r>
                </w:p>
              </w:tc>
              <w:tc>
                <w:tcPr>
                  <w:tcW w:w="799"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pH</w:t>
                  </w:r>
                </w:p>
              </w:tc>
              <w:tc>
                <w:tcPr>
                  <w:tcW w:w="65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COD</w:t>
                  </w:r>
                </w:p>
              </w:tc>
              <w:tc>
                <w:tcPr>
                  <w:tcW w:w="588"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BOD</w:t>
                  </w:r>
                  <w:r>
                    <w:rPr>
                      <w:rFonts w:hint="default" w:ascii="Times New Roman" w:hAnsi="Times New Roman" w:cs="Times New Roman"/>
                      <w:color w:val="auto"/>
                      <w:sz w:val="21"/>
                      <w:szCs w:val="18"/>
                      <w:vertAlign w:val="subscript"/>
                    </w:rPr>
                    <w:t>5</w:t>
                  </w:r>
                </w:p>
              </w:tc>
              <w:tc>
                <w:tcPr>
                  <w:tcW w:w="627"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SS</w:t>
                  </w:r>
                </w:p>
              </w:tc>
              <w:tc>
                <w:tcPr>
                  <w:tcW w:w="58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NH</w:t>
                  </w:r>
                  <w:r>
                    <w:rPr>
                      <w:rFonts w:hint="default" w:ascii="Times New Roman" w:hAnsi="Times New Roman" w:cs="Times New Roman"/>
                      <w:color w:val="auto"/>
                      <w:sz w:val="21"/>
                      <w:szCs w:val="18"/>
                      <w:vertAlign w:val="subscript"/>
                    </w:rPr>
                    <w:t>3</w:t>
                  </w:r>
                  <w:r>
                    <w:rPr>
                      <w:rFonts w:hint="default" w:ascii="Times New Roman" w:hAnsi="Times New Roman" w:cs="Times New Roman"/>
                      <w:color w:val="auto"/>
                      <w:sz w:val="21"/>
                      <w:szCs w:val="18"/>
                    </w:rPr>
                    <w:t>-N</w:t>
                  </w:r>
                </w:p>
              </w:tc>
              <w:tc>
                <w:tcPr>
                  <w:tcW w:w="58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TN</w:t>
                  </w:r>
                </w:p>
              </w:tc>
              <w:tc>
                <w:tcPr>
                  <w:tcW w:w="518"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56" w:type="pct"/>
                  <w:noWrap w:val="0"/>
                  <w:vAlign w:val="center"/>
                </w:tcPr>
                <w:p>
                  <w:pPr>
                    <w:jc w:val="center"/>
                    <w:rPr>
                      <w:rFonts w:hint="default" w:ascii="Times New Roman" w:hAnsi="Times New Roman" w:eastAsia="宋体" w:cs="Times New Roman"/>
                      <w:color w:val="auto"/>
                      <w:sz w:val="21"/>
                      <w:szCs w:val="18"/>
                      <w:lang w:val="en-US" w:eastAsia="zh-CN"/>
                    </w:rPr>
                  </w:pPr>
                  <w:r>
                    <w:rPr>
                      <w:rFonts w:hint="eastAsia" w:cs="Times New Roman"/>
                      <w:color w:val="auto"/>
                      <w:sz w:val="21"/>
                      <w:szCs w:val="18"/>
                      <w:lang w:val="en-US" w:eastAsia="zh-CN"/>
                    </w:rPr>
                    <w:t>本项目</w:t>
                  </w:r>
                </w:p>
              </w:tc>
              <w:tc>
                <w:tcPr>
                  <w:tcW w:w="799" w:type="pct"/>
                  <w:noWrap w:val="0"/>
                  <w:vAlign w:val="center"/>
                </w:tcPr>
                <w:p>
                  <w:pPr>
                    <w:jc w:val="center"/>
                    <w:rPr>
                      <w:rFonts w:hint="eastAsia" w:ascii="Times New Roman" w:hAnsi="Times New Roman" w:eastAsia="宋体" w:cs="Times New Roman"/>
                      <w:color w:val="auto"/>
                      <w:sz w:val="21"/>
                      <w:szCs w:val="18"/>
                      <w:lang w:val="en-US" w:eastAsia="zh-CN"/>
                    </w:rPr>
                  </w:pPr>
                  <w:r>
                    <w:rPr>
                      <w:rFonts w:hint="eastAsia" w:cs="Times New Roman"/>
                      <w:color w:val="auto"/>
                      <w:sz w:val="21"/>
                      <w:szCs w:val="18"/>
                      <w:lang w:val="en-US" w:eastAsia="zh-CN"/>
                    </w:rPr>
                    <w:t>/</w:t>
                  </w:r>
                </w:p>
              </w:tc>
              <w:tc>
                <w:tcPr>
                  <w:tcW w:w="966" w:type="dxa"/>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lang w:val="en-US" w:eastAsia="zh-CN"/>
                    </w:rPr>
                    <w:t xml:space="preserve">150.0 </w:t>
                  </w:r>
                </w:p>
              </w:tc>
              <w:tc>
                <w:tcPr>
                  <w:tcW w:w="874" w:type="dxa"/>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lang w:val="en-US" w:eastAsia="zh-CN"/>
                    </w:rPr>
                    <w:t>48.0</w:t>
                  </w:r>
                </w:p>
              </w:tc>
              <w:tc>
                <w:tcPr>
                  <w:tcW w:w="931" w:type="dxa"/>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lang w:val="en-US" w:eastAsia="zh-CN"/>
                    </w:rPr>
                    <w:t xml:space="preserve">4.0 </w:t>
                  </w:r>
                </w:p>
              </w:tc>
              <w:tc>
                <w:tcPr>
                  <w:tcW w:w="862" w:type="dxa"/>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lang w:val="en-US" w:eastAsia="zh-CN"/>
                    </w:rPr>
                    <w:t xml:space="preserve">27.9 </w:t>
                  </w:r>
                </w:p>
              </w:tc>
              <w:tc>
                <w:tcPr>
                  <w:tcW w:w="580" w:type="pct"/>
                  <w:noWrap w:val="0"/>
                  <w:vAlign w:val="center"/>
                </w:tcPr>
                <w:p>
                  <w:pPr>
                    <w:jc w:val="center"/>
                    <w:rPr>
                      <w:rFonts w:hint="eastAsia" w:ascii="Times New Roman" w:hAnsi="Times New Roman" w:eastAsia="宋体" w:cs="Times New Roman"/>
                      <w:color w:val="auto"/>
                      <w:sz w:val="21"/>
                      <w:szCs w:val="18"/>
                      <w:lang w:val="en-US" w:eastAsia="zh-CN"/>
                    </w:rPr>
                  </w:pPr>
                  <w:r>
                    <w:rPr>
                      <w:rFonts w:hint="eastAsia" w:cs="Times New Roman"/>
                      <w:color w:val="auto"/>
                      <w:sz w:val="21"/>
                      <w:szCs w:val="18"/>
                      <w:lang w:val="en-US" w:eastAsia="zh-CN"/>
                    </w:rPr>
                    <w:t>/</w:t>
                  </w:r>
                </w:p>
              </w:tc>
              <w:tc>
                <w:tcPr>
                  <w:tcW w:w="518" w:type="pct"/>
                  <w:noWrap w:val="0"/>
                  <w:vAlign w:val="center"/>
                </w:tcPr>
                <w:p>
                  <w:pPr>
                    <w:jc w:val="center"/>
                    <w:rPr>
                      <w:rFonts w:hint="eastAsia" w:ascii="Times New Roman" w:hAnsi="Times New Roman" w:eastAsia="宋体" w:cs="Times New Roman"/>
                      <w:color w:val="auto"/>
                      <w:sz w:val="21"/>
                      <w:szCs w:val="18"/>
                      <w:lang w:val="en-US" w:eastAsia="zh-CN"/>
                    </w:rPr>
                  </w:pPr>
                  <w:r>
                    <w:rPr>
                      <w:rFonts w:hint="eastAsia" w:cs="Times New Roman"/>
                      <w:color w:val="auto"/>
                      <w:sz w:val="21"/>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56"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进水水质</w:t>
                  </w:r>
                </w:p>
              </w:tc>
              <w:tc>
                <w:tcPr>
                  <w:tcW w:w="799"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6~9(无量纲)</w:t>
                  </w:r>
                </w:p>
              </w:tc>
              <w:tc>
                <w:tcPr>
                  <w:tcW w:w="65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≤400</w:t>
                  </w:r>
                </w:p>
              </w:tc>
              <w:tc>
                <w:tcPr>
                  <w:tcW w:w="588"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≤220</w:t>
                  </w:r>
                </w:p>
              </w:tc>
              <w:tc>
                <w:tcPr>
                  <w:tcW w:w="627"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≤280</w:t>
                  </w:r>
                </w:p>
              </w:tc>
              <w:tc>
                <w:tcPr>
                  <w:tcW w:w="58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≤37</w:t>
                  </w:r>
                </w:p>
              </w:tc>
              <w:tc>
                <w:tcPr>
                  <w:tcW w:w="58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≤54</w:t>
                  </w:r>
                </w:p>
              </w:tc>
              <w:tc>
                <w:tcPr>
                  <w:tcW w:w="518"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56"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出水标准</w:t>
                  </w:r>
                </w:p>
              </w:tc>
              <w:tc>
                <w:tcPr>
                  <w:tcW w:w="799"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6~9(无量纲)</w:t>
                  </w:r>
                </w:p>
              </w:tc>
              <w:tc>
                <w:tcPr>
                  <w:tcW w:w="65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≤50</w:t>
                  </w:r>
                </w:p>
              </w:tc>
              <w:tc>
                <w:tcPr>
                  <w:tcW w:w="588"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≤10</w:t>
                  </w:r>
                </w:p>
              </w:tc>
              <w:tc>
                <w:tcPr>
                  <w:tcW w:w="627"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≤10</w:t>
                  </w:r>
                </w:p>
              </w:tc>
              <w:tc>
                <w:tcPr>
                  <w:tcW w:w="58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≤5</w:t>
                  </w:r>
                </w:p>
              </w:tc>
              <w:tc>
                <w:tcPr>
                  <w:tcW w:w="580"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≤15</w:t>
                  </w:r>
                </w:p>
              </w:tc>
              <w:tc>
                <w:tcPr>
                  <w:tcW w:w="518" w:type="pct"/>
                  <w:noWrap w:val="0"/>
                  <w:vAlign w:val="center"/>
                </w:tcPr>
                <w:p>
                  <w:pPr>
                    <w:jc w:val="center"/>
                    <w:rPr>
                      <w:rFonts w:hint="default" w:ascii="Times New Roman" w:hAnsi="Times New Roman" w:cs="Times New Roman"/>
                      <w:color w:val="auto"/>
                      <w:sz w:val="21"/>
                      <w:szCs w:val="18"/>
                    </w:rPr>
                  </w:pPr>
                  <w:r>
                    <w:rPr>
                      <w:rFonts w:hint="default" w:ascii="Times New Roman" w:hAnsi="Times New Roman" w:cs="Times New Roman"/>
                      <w:color w:val="auto"/>
                      <w:sz w:val="21"/>
                      <w:szCs w:val="18"/>
                    </w:rPr>
                    <w:t>≤0.5</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本项目污水主要污染物排放浓度均能满足污水厂进水水质要求。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rPr>
            </w:pPr>
            <w:r>
              <w:rPr>
                <w:rFonts w:hint="default"/>
                <w:color w:val="auto"/>
              </w:rPr>
              <w:t>项目生活污水不涉及有毒有害污染物，不涉及持久性、重金属，也不含有腐蚀成分，因此，从水质方面分析，福清市融元污水处理厂可接纳项目生活污水，不会对污水厂水质负荷造成冲击。</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②处理工艺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污水处理工艺流程。</w:t>
            </w:r>
          </w:p>
          <w:p>
            <w:pPr>
              <w:widowControl/>
              <w:spacing w:line="360" w:lineRule="auto"/>
              <w:jc w:val="center"/>
              <w:rPr>
                <w:rFonts w:hint="default" w:ascii="Times New Roman" w:hAnsi="Times New Roman" w:cs="Times New Roman"/>
                <w:color w:val="auto"/>
              </w:rPr>
            </w:pPr>
            <w:r>
              <w:rPr>
                <w:color w:val="auto"/>
              </w:rPr>
              <w:drawing>
                <wp:inline distT="0" distB="0" distL="114300" distR="114300">
                  <wp:extent cx="4710430" cy="2722245"/>
                  <wp:effectExtent l="0" t="0" r="13970" b="5715"/>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16"/>
                          <a:stretch>
                            <a:fillRect/>
                          </a:stretch>
                        </pic:blipFill>
                        <pic:spPr>
                          <a:xfrm>
                            <a:off x="0" y="0"/>
                            <a:ext cx="4710430" cy="2722245"/>
                          </a:xfrm>
                          <a:prstGeom prst="rect">
                            <a:avLst/>
                          </a:prstGeom>
                          <a:noFill/>
                          <a:ln>
                            <a:noFill/>
                          </a:ln>
                        </pic:spPr>
                      </pic:pic>
                    </a:graphicData>
                  </a:graphic>
                </wp:inline>
              </w:drawing>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rPr>
              <w:t>图4</w:t>
            </w:r>
            <w:r>
              <w:rPr>
                <w:rFonts w:hint="default" w:ascii="Times New Roman" w:hAnsi="Times New Roman" w:cs="Times New Roman"/>
                <w:b/>
                <w:bCs/>
                <w:color w:val="auto"/>
                <w:lang w:val="en-US" w:eastAsia="zh-CN"/>
              </w:rPr>
              <w:t xml:space="preserve">.2-1 </w:t>
            </w:r>
            <w:r>
              <w:rPr>
                <w:rFonts w:hint="eastAsia" w:cs="Times New Roman"/>
                <w:b/>
                <w:bCs/>
                <w:color w:val="auto"/>
                <w:lang w:eastAsia="zh-CN"/>
              </w:rPr>
              <w:t>福清市融元污水处理厂</w:t>
            </w:r>
            <w:r>
              <w:rPr>
                <w:rFonts w:hint="default" w:ascii="Times New Roman" w:hAnsi="Times New Roman" w:cs="Times New Roman"/>
                <w:b/>
                <w:bCs/>
                <w:color w:val="auto"/>
              </w:rPr>
              <w:t>处理污水处理流程图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kern w:val="0"/>
              </w:rPr>
            </w:pPr>
            <w:r>
              <w:rPr>
                <w:rFonts w:hint="eastAsia" w:cs="Times New Roman"/>
                <w:color w:val="auto"/>
                <w:lang w:eastAsia="zh-CN"/>
              </w:rPr>
              <w:t>福清市融元污水处理厂现状设计总处理规模为12万t/d，根据调查，目前福清市融元污水处理厂日平均处理规模约为11.85万m</w:t>
            </w:r>
            <w:r>
              <w:rPr>
                <w:rFonts w:hint="eastAsia" w:cs="Times New Roman"/>
                <w:color w:val="auto"/>
                <w:vertAlign w:val="superscript"/>
                <w:lang w:eastAsia="zh-CN"/>
              </w:rPr>
              <w:t>3</w:t>
            </w:r>
            <w:r>
              <w:rPr>
                <w:rFonts w:hint="eastAsia" w:cs="Times New Roman"/>
                <w:color w:val="auto"/>
                <w:lang w:eastAsia="zh-CN"/>
              </w:rPr>
              <w:t>/d，剩余处理能力1500m³/d。</w:t>
            </w:r>
            <w:r>
              <w:rPr>
                <w:rFonts w:hint="default" w:ascii="Times New Roman" w:hAnsi="Times New Roman" w:cs="Times New Roman"/>
                <w:color w:val="auto"/>
                <w:kern w:val="0"/>
              </w:rPr>
              <w:t>本项目的污水排放量为</w:t>
            </w:r>
            <w:r>
              <w:rPr>
                <w:rFonts w:hint="eastAsia" w:cs="Times New Roman"/>
                <w:color w:val="auto"/>
                <w:kern w:val="0"/>
                <w:lang w:val="en-US" w:eastAsia="zh-CN"/>
              </w:rPr>
              <w:t>66.23</w:t>
            </w:r>
            <w:r>
              <w:rPr>
                <w:rFonts w:hint="default" w:ascii="Times New Roman" w:hAnsi="Times New Roman" w:cs="Times New Roman"/>
                <w:color w:val="auto"/>
                <w:kern w:val="0"/>
              </w:rPr>
              <w:t>t/d，水质简单，仅占</w:t>
            </w:r>
            <w:r>
              <w:rPr>
                <w:rFonts w:hint="eastAsia" w:cs="Times New Roman"/>
                <w:color w:val="auto"/>
                <w:lang w:eastAsia="zh-CN"/>
              </w:rPr>
              <w:t>福清市融元污水处理厂</w:t>
            </w:r>
            <w:r>
              <w:rPr>
                <w:rFonts w:hint="default" w:ascii="Times New Roman" w:hAnsi="Times New Roman" w:cs="Times New Roman"/>
                <w:color w:val="auto"/>
                <w:kern w:val="0"/>
              </w:rPr>
              <w:t>剩余处理能力的</w:t>
            </w:r>
            <w:r>
              <w:rPr>
                <w:rFonts w:hint="eastAsia" w:cs="Times New Roman"/>
                <w:color w:val="auto"/>
                <w:kern w:val="0"/>
                <w:lang w:val="en-US" w:eastAsia="zh-CN"/>
              </w:rPr>
              <w:t>4.4</w:t>
            </w:r>
            <w:r>
              <w:rPr>
                <w:rFonts w:hint="default" w:ascii="Times New Roman" w:hAnsi="Times New Roman" w:cs="Times New Roman"/>
                <w:color w:val="auto"/>
                <w:kern w:val="0"/>
              </w:rPr>
              <w:t>%，对污水处理厂的处理负荷基本不会产生影响。</w:t>
            </w:r>
          </w:p>
          <w:p>
            <w:pPr>
              <w:widowControl/>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因此，从废水水质和废水排放量分析，本项目产生的生活污水处理后接入市政污水管网排入</w:t>
            </w:r>
            <w:r>
              <w:rPr>
                <w:rFonts w:hint="eastAsia" w:cs="Times New Roman"/>
                <w:color w:val="auto"/>
                <w:sz w:val="24"/>
                <w:lang w:eastAsia="zh-CN"/>
              </w:rPr>
              <w:t>福清市融元污水处理厂</w:t>
            </w:r>
            <w:r>
              <w:rPr>
                <w:rFonts w:hint="default" w:ascii="Times New Roman" w:hAnsi="Times New Roman" w:cs="Times New Roman"/>
                <w:color w:val="auto"/>
                <w:kern w:val="0"/>
                <w:sz w:val="24"/>
              </w:rPr>
              <w:t>处理是可行的。</w:t>
            </w:r>
          </w:p>
          <w:p>
            <w:pPr>
              <w:pStyle w:val="3"/>
              <w:numPr>
                <w:ilvl w:val="1"/>
                <w:numId w:val="0"/>
              </w:numPr>
              <w:bidi w:val="0"/>
              <w:ind w:leftChars="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3</w:t>
            </w:r>
            <w:r>
              <w:rPr>
                <w:rFonts w:hint="default" w:ascii="Times New Roman" w:hAnsi="Times New Roman" w:cs="Times New Roman"/>
                <w:color w:val="auto"/>
              </w:rPr>
              <w:t>废</w:t>
            </w:r>
            <w:r>
              <w:rPr>
                <w:rFonts w:hint="default" w:ascii="Times New Roman" w:hAnsi="Times New Roman" w:cs="Times New Roman"/>
                <w:color w:val="auto"/>
                <w:lang w:eastAsia="zh-CN"/>
              </w:rPr>
              <w:t>气</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3</w:t>
            </w:r>
            <w:r>
              <w:rPr>
                <w:rFonts w:hint="default" w:ascii="Times New Roman" w:hAnsi="Times New Roman" w:cs="Times New Roman"/>
                <w:color w:val="auto"/>
                <w:lang w:val="en-US" w:eastAsia="zh-CN"/>
              </w:rPr>
              <w:t>.1</w:t>
            </w:r>
            <w:r>
              <w:rPr>
                <w:rFonts w:hint="default" w:ascii="Times New Roman" w:hAnsi="Times New Roman" w:cs="Times New Roman"/>
                <w:color w:val="auto"/>
              </w:rPr>
              <w:t>污染源强分析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本项目产生的废气主要为污水处理站恶臭、检验室废气、发电机烟气、厨房油烟等。</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（1）自建污水站恶臭</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本项目自建污水站参照美国EPA对城市污水处理厂恶臭污染物产生情况的研究结果：每处理1gBOD</w:t>
            </w:r>
            <w:r>
              <w:rPr>
                <w:rFonts w:hint="default" w:ascii="Times New Roman" w:hAnsi="Times New Roman" w:cs="Times New Roman"/>
                <w:color w:val="auto"/>
                <w:vertAlign w:val="subscript"/>
              </w:rPr>
              <w:t>5</w:t>
            </w:r>
            <w:r>
              <w:rPr>
                <w:rFonts w:hint="default" w:ascii="Times New Roman" w:hAnsi="Times New Roman" w:cs="Times New Roman"/>
                <w:color w:val="auto"/>
              </w:rPr>
              <w:t>可产生0.0031gNH</w:t>
            </w:r>
            <w:r>
              <w:rPr>
                <w:rFonts w:hint="default" w:ascii="Times New Roman" w:hAnsi="Times New Roman" w:cs="Times New Roman"/>
                <w:color w:val="auto"/>
                <w:vertAlign w:val="subscript"/>
              </w:rPr>
              <w:t>3</w:t>
            </w:r>
            <w:r>
              <w:rPr>
                <w:rFonts w:hint="default" w:ascii="Times New Roman" w:hAnsi="Times New Roman" w:cs="Times New Roman"/>
                <w:color w:val="auto"/>
              </w:rPr>
              <w:t>和0.00012gH</w:t>
            </w:r>
            <w:r>
              <w:rPr>
                <w:rFonts w:hint="default" w:ascii="Times New Roman" w:hAnsi="Times New Roman" w:cs="Times New Roman"/>
                <w:color w:val="auto"/>
                <w:vertAlign w:val="subscript"/>
              </w:rPr>
              <w:t>2</w:t>
            </w:r>
            <w:r>
              <w:rPr>
                <w:rFonts w:hint="default" w:ascii="Times New Roman" w:hAnsi="Times New Roman" w:cs="Times New Roman"/>
                <w:color w:val="auto"/>
              </w:rPr>
              <w:t>S。</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cs="Times New Roman"/>
                <w:color w:val="auto"/>
              </w:rPr>
              <w:t>根据章节4.</w:t>
            </w:r>
            <w:r>
              <w:rPr>
                <w:rFonts w:hint="default" w:ascii="Times New Roman" w:hAnsi="Times New Roman" w:cs="Times New Roman"/>
                <w:color w:val="auto"/>
                <w:lang w:val="en-US" w:eastAsia="zh-CN"/>
              </w:rPr>
              <w:t>1-2</w:t>
            </w:r>
            <w:r>
              <w:rPr>
                <w:rFonts w:hint="default" w:ascii="Times New Roman" w:hAnsi="Times New Roman" w:cs="Times New Roman"/>
                <w:color w:val="auto"/>
              </w:rPr>
              <w:t>核算，项目自建污水站BOD</w:t>
            </w:r>
            <w:r>
              <w:rPr>
                <w:rFonts w:hint="default" w:ascii="Times New Roman" w:hAnsi="Times New Roman" w:cs="Times New Roman"/>
                <w:color w:val="auto"/>
                <w:vertAlign w:val="subscript"/>
              </w:rPr>
              <w:t>5</w:t>
            </w:r>
            <w:r>
              <w:rPr>
                <w:rFonts w:hint="default" w:ascii="Times New Roman" w:hAnsi="Times New Roman" w:cs="Times New Roman"/>
                <w:color w:val="auto"/>
              </w:rPr>
              <w:t>削减量</w:t>
            </w:r>
            <w:r>
              <w:rPr>
                <w:rFonts w:hint="default" w:ascii="Times New Roman" w:hAnsi="Times New Roman" w:cs="Times New Roman"/>
                <w:color w:val="auto"/>
                <w:lang w:val="en-US" w:eastAsia="zh-CN"/>
              </w:rPr>
              <w:t>4.4602</w:t>
            </w:r>
            <w:r>
              <w:rPr>
                <w:rFonts w:hint="default" w:ascii="Times New Roman" w:hAnsi="Times New Roman" w:cs="Times New Roman"/>
                <w:color w:val="auto"/>
              </w:rPr>
              <w:t>t/a。污水站年运行365天，24h/d。</w:t>
            </w:r>
            <w:r>
              <w:rPr>
                <w:rFonts w:hint="default" w:ascii="Times New Roman" w:hAnsi="Times New Roman" w:cs="Times New Roman"/>
                <w:color w:val="auto"/>
                <w:lang w:eastAsia="zh-CN"/>
              </w:rPr>
              <w:t>则</w:t>
            </w: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default" w:ascii="Times New Roman" w:hAnsi="Times New Roman" w:cs="Times New Roman"/>
                <w:color w:val="auto"/>
                <w:vertAlign w:val="baseline"/>
                <w:lang w:eastAsia="zh-CN"/>
              </w:rPr>
              <w:t>产生量为</w:t>
            </w:r>
            <w:r>
              <w:rPr>
                <w:rFonts w:hint="default" w:ascii="Times New Roman" w:hAnsi="Times New Roman" w:cs="Times New Roman"/>
                <w:color w:val="auto"/>
                <w:vertAlign w:val="baseline"/>
                <w:lang w:val="en-US" w:eastAsia="zh-CN"/>
              </w:rPr>
              <w:t>0.0138</w:t>
            </w:r>
            <w:r>
              <w:rPr>
                <w:rFonts w:hint="default" w:ascii="Times New Roman" w:hAnsi="Times New Roman" w:cs="Times New Roman"/>
                <w:color w:val="auto"/>
              </w:rPr>
              <w:t>t/a</w:t>
            </w:r>
            <w:r>
              <w:rPr>
                <w:rFonts w:hint="default" w:ascii="Times New Roman" w:hAnsi="Times New Roman" w:cs="Times New Roman"/>
                <w:color w:val="auto"/>
                <w:lang w:eastAsia="zh-CN"/>
              </w:rPr>
              <w:t>，</w:t>
            </w: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S</w:t>
            </w:r>
            <w:r>
              <w:rPr>
                <w:rFonts w:hint="default" w:ascii="Times New Roman" w:hAnsi="Times New Roman" w:cs="Times New Roman"/>
                <w:color w:val="auto"/>
                <w:vertAlign w:val="baseline"/>
                <w:lang w:eastAsia="zh-CN"/>
              </w:rPr>
              <w:t>产生量为</w:t>
            </w:r>
            <w:r>
              <w:rPr>
                <w:rFonts w:hint="default" w:ascii="Times New Roman" w:hAnsi="Times New Roman" w:cs="Times New Roman"/>
                <w:color w:val="auto"/>
                <w:vertAlign w:val="baseline"/>
                <w:lang w:val="en-US" w:eastAsia="zh-CN"/>
              </w:rPr>
              <w:t>0.0005</w:t>
            </w:r>
            <w:r>
              <w:rPr>
                <w:rFonts w:hint="default" w:ascii="Times New Roman" w:hAnsi="Times New Roman" w:cs="Times New Roman"/>
                <w:color w:val="auto"/>
              </w:rPr>
              <w:t>t/a</w:t>
            </w:r>
            <w:r>
              <w:rPr>
                <w:rFonts w:hint="default" w:ascii="Times New Roman" w:hAnsi="Times New Roman" w:cs="Times New Roman"/>
                <w:color w:val="auto"/>
                <w:lang w:eastAsia="zh-CN"/>
              </w:rPr>
              <w:t>。</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针对污水处理站产生的恶臭，本项目化粪池、调节池为地下水池，采取密闭加盖方式，污水处理站为一体化设备，为密闭式箱体，可有效防止病菌通过空气传播和污水气味对环境的影响。只留必要的检修孔和采样口，检修口与采样口平时加盖密闭，减轻臭气影响。污水站周围设置绿化带，日常投加除臭剂进行喷雾除臭。根据《排污许可证申请与核发技术规范 医疗机构》（HJ1105-2020），“产生恶臭区域加罩或加盖，投放除臭剂”为污水处理站恶臭气体治理可行性技术。经处理后（处理效率为80%）的恶臭气体排放量为NH</w:t>
            </w:r>
            <w:r>
              <w:rPr>
                <w:rFonts w:hint="default" w:ascii="Times New Roman" w:hAnsi="Times New Roman" w:eastAsia="宋体" w:cs="Times New Roman"/>
                <w:color w:val="auto"/>
                <w:kern w:val="0"/>
                <w:sz w:val="15"/>
                <w:szCs w:val="15"/>
                <w:lang w:val="en-US" w:eastAsia="zh-CN" w:bidi="ar"/>
              </w:rPr>
              <w:t>3</w:t>
            </w:r>
            <w:r>
              <w:rPr>
                <w:rFonts w:hint="default" w:ascii="Times New Roman" w:hAnsi="Times New Roman" w:eastAsia="宋体" w:cs="Times New Roman"/>
                <w:color w:val="auto"/>
                <w:kern w:val="0"/>
                <w:sz w:val="24"/>
                <w:szCs w:val="24"/>
                <w:lang w:val="en-US" w:eastAsia="zh-CN" w:bidi="ar"/>
              </w:rPr>
              <w:t>0.003t/a、H</w:t>
            </w:r>
            <w:r>
              <w:rPr>
                <w:rFonts w:hint="default" w:ascii="Times New Roman" w:hAnsi="Times New Roman" w:eastAsia="宋体" w:cs="Times New Roman"/>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S 0.0001t/a，排放速率NH</w:t>
            </w:r>
            <w:r>
              <w:rPr>
                <w:rFonts w:hint="default" w:ascii="Times New Roman" w:hAnsi="Times New Roman" w:eastAsia="宋体" w:cs="Times New Roman"/>
                <w:color w:val="auto"/>
                <w:kern w:val="0"/>
                <w:sz w:val="15"/>
                <w:szCs w:val="15"/>
                <w:lang w:val="en-US" w:eastAsia="zh-CN" w:bidi="ar"/>
              </w:rPr>
              <w:t>3</w:t>
            </w:r>
            <w:r>
              <w:rPr>
                <w:rFonts w:hint="default" w:ascii="Times New Roman" w:hAnsi="Times New Roman" w:eastAsia="宋体" w:cs="Times New Roman"/>
                <w:color w:val="auto"/>
                <w:kern w:val="0"/>
                <w:sz w:val="24"/>
                <w:szCs w:val="24"/>
                <w:lang w:val="en-US" w:eastAsia="zh-CN" w:bidi="ar"/>
              </w:rPr>
              <w:t>0.0003kg/h、H</w:t>
            </w:r>
            <w:r>
              <w:rPr>
                <w:rFonts w:hint="default" w:ascii="Times New Roman" w:hAnsi="Times New Roman" w:eastAsia="宋体" w:cs="Times New Roman"/>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S0.00001kg/h，排放浓度为 NH</w:t>
            </w:r>
            <w:r>
              <w:rPr>
                <w:rFonts w:hint="default" w:ascii="Times New Roman" w:hAnsi="Times New Roman" w:eastAsia="宋体" w:cs="Times New Roman"/>
                <w:color w:val="auto"/>
                <w:kern w:val="0"/>
                <w:sz w:val="15"/>
                <w:szCs w:val="15"/>
                <w:lang w:val="en-US" w:eastAsia="zh-CN" w:bidi="ar"/>
              </w:rPr>
              <w:t>3</w:t>
            </w:r>
            <w:r>
              <w:rPr>
                <w:rFonts w:hint="default" w:ascii="Times New Roman" w:hAnsi="Times New Roman" w:eastAsia="宋体" w:cs="Times New Roman"/>
                <w:color w:val="auto"/>
                <w:kern w:val="0"/>
                <w:sz w:val="24"/>
                <w:szCs w:val="24"/>
                <w:lang w:val="en-US" w:eastAsia="zh-CN" w:bidi="ar"/>
              </w:rPr>
              <w:t>0.1mg/m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、H</w:t>
            </w:r>
            <w:r>
              <w:rPr>
                <w:rFonts w:hint="default" w:ascii="Times New Roman" w:hAnsi="Times New Roman" w:eastAsia="宋体" w:cs="Times New Roman"/>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S 0.003mg/m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，能够满足《医疗机构水污染物排放标准》（GB18466-2005）表3中的要求（NH</w:t>
            </w:r>
            <w:r>
              <w:rPr>
                <w:rFonts w:hint="default" w:ascii="Times New Roman" w:hAnsi="Times New Roman" w:eastAsia="宋体" w:cs="Times New Roman"/>
                <w:color w:val="auto"/>
                <w:kern w:val="0"/>
                <w:sz w:val="15"/>
                <w:szCs w:val="15"/>
                <w:lang w:val="en-US" w:eastAsia="zh-CN" w:bidi="ar"/>
              </w:rPr>
              <w:t>3</w:t>
            </w:r>
            <w:r>
              <w:rPr>
                <w:rFonts w:hint="default" w:ascii="Times New Roman" w:hAnsi="Times New Roman" w:eastAsia="宋体" w:cs="Times New Roman"/>
                <w:color w:val="auto"/>
                <w:kern w:val="0"/>
                <w:sz w:val="24"/>
                <w:szCs w:val="24"/>
                <w:lang w:val="en-US" w:eastAsia="zh-CN" w:bidi="ar"/>
              </w:rPr>
              <w:t>1.0mg/m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，H</w:t>
            </w:r>
            <w:r>
              <w:rPr>
                <w:rFonts w:hint="default" w:ascii="Times New Roman" w:hAnsi="Times New Roman" w:eastAsia="宋体" w:cs="Times New Roman"/>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S0.03mg/m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检验室废气</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项目化验室在检验过程中，会排放很少量的挥发性有机废气等污染气体，本项目规模小，化验使用化学试剂量很少，产生废气量很小，</w:t>
            </w:r>
            <w:r>
              <w:rPr>
                <w:rFonts w:hint="eastAsia" w:cs="Times New Roman"/>
                <w:color w:val="auto"/>
                <w:lang w:val="en-US" w:eastAsia="zh-CN"/>
              </w:rPr>
              <w:t>经收</w:t>
            </w:r>
            <w:r>
              <w:rPr>
                <w:rFonts w:hint="eastAsia" w:ascii="Times New Roman" w:hAnsi="Times New Roman" w:cs="Times New Roman"/>
                <w:color w:val="auto"/>
                <w:lang w:val="en-US" w:eastAsia="zh-CN"/>
              </w:rPr>
              <w:t>集后</w:t>
            </w:r>
            <w:r>
              <w:rPr>
                <w:rFonts w:hint="eastAsia" w:cs="Times New Roman"/>
                <w:color w:val="auto"/>
                <w:lang w:val="en-US" w:eastAsia="zh-CN"/>
              </w:rPr>
              <w:t>通过</w:t>
            </w:r>
            <w:r>
              <w:rPr>
                <w:rFonts w:hint="eastAsia" w:ascii="Times New Roman" w:hAnsi="Times New Roman" w:cs="Times New Roman"/>
                <w:color w:val="auto"/>
                <w:lang w:val="en-US" w:eastAsia="zh-CN"/>
              </w:rPr>
              <w:t>活性炭吸附处理后高空排放，排放高度20m。</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3</w:t>
            </w:r>
            <w:r>
              <w:rPr>
                <w:rFonts w:hint="default" w:ascii="Times New Roman" w:hAnsi="Times New Roman" w:cs="Times New Roman"/>
                <w:color w:val="auto"/>
                <w:lang w:eastAsia="zh-CN"/>
              </w:rPr>
              <w:t>）</w:t>
            </w:r>
            <w:r>
              <w:rPr>
                <w:rFonts w:hint="default" w:ascii="Times New Roman" w:hAnsi="Times New Roman" w:cs="Times New Roman"/>
                <w:color w:val="auto"/>
              </w:rPr>
              <w:t>食堂油烟</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项目设有职工食堂，职工食堂炉灶燃用天然气。餐饮人数按</w:t>
            </w:r>
            <w:r>
              <w:rPr>
                <w:rFonts w:hint="default" w:ascii="Times New Roman" w:hAnsi="Times New Roman" w:cs="Times New Roman"/>
                <w:color w:val="auto"/>
                <w:lang w:val="en-US" w:eastAsia="zh-CN"/>
              </w:rPr>
              <w:t>300</w:t>
            </w:r>
            <w:r>
              <w:rPr>
                <w:rFonts w:hint="default" w:ascii="Times New Roman" w:hAnsi="Times New Roman" w:cs="Times New Roman"/>
                <w:color w:val="auto"/>
              </w:rPr>
              <w:t>人次/d，本项目食堂设置</w:t>
            </w:r>
            <w:r>
              <w:rPr>
                <w:rFonts w:hint="default" w:ascii="Times New Roman" w:hAnsi="Times New Roman" w:cs="Times New Roman"/>
                <w:color w:val="auto"/>
                <w:lang w:val="en-US" w:eastAsia="zh-CN"/>
              </w:rPr>
              <w:t>4</w:t>
            </w:r>
            <w:r>
              <w:rPr>
                <w:rFonts w:hint="default" w:ascii="Times New Roman" w:hAnsi="Times New Roman" w:cs="Times New Roman"/>
                <w:color w:val="auto"/>
              </w:rPr>
              <w:t>基本灶台，根据《中国居民食用油摄入状况及变化》（房红芸、何宇纳、于冬梅、郭齐雅、王寻、许晓丽、赵丽云，2017），人均食用油消耗量为41.8g/人·d计，油烟挥发量一般为用油量的1%～3%，本次评价以最大量3%计。项目设油烟集气罩，收集按90%计，项目设高效油烟净化器去除效率按90%计</w:t>
            </w:r>
            <w:r>
              <w:rPr>
                <w:rFonts w:hint="default" w:ascii="Times New Roman" w:hAnsi="Times New Roman" w:cs="Times New Roman"/>
                <w:color w:val="auto"/>
                <w:lang w:eastAsia="zh-CN"/>
              </w:rPr>
              <w:t>。</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-1 </w:t>
            </w:r>
            <w:r>
              <w:rPr>
                <w:rFonts w:hint="default" w:ascii="Times New Roman" w:hAnsi="Times New Roman" w:cs="Times New Roman"/>
                <w:b/>
                <w:bCs/>
                <w:color w:val="auto"/>
              </w:rPr>
              <w:t>食堂油烟产污情况</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1237"/>
              <w:gridCol w:w="698"/>
              <w:gridCol w:w="877"/>
              <w:gridCol w:w="897"/>
              <w:gridCol w:w="1238"/>
              <w:gridCol w:w="12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人数</w:t>
                  </w:r>
                </w:p>
              </w:tc>
              <w:tc>
                <w:tcPr>
                  <w:tcW w:w="833"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消耗系数g/人·d</w:t>
                  </w:r>
                </w:p>
              </w:tc>
              <w:tc>
                <w:tcPr>
                  <w:tcW w:w="470"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挥发系数</w:t>
                  </w:r>
                </w:p>
              </w:tc>
              <w:tc>
                <w:tcPr>
                  <w:tcW w:w="590"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产生量t/a</w:t>
                  </w:r>
                </w:p>
              </w:tc>
              <w:tc>
                <w:tcPr>
                  <w:tcW w:w="604"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收集效率</w:t>
                  </w:r>
                </w:p>
              </w:tc>
              <w:tc>
                <w:tcPr>
                  <w:tcW w:w="833"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有组织产生量t/a</w:t>
                  </w:r>
                </w:p>
              </w:tc>
              <w:tc>
                <w:tcPr>
                  <w:tcW w:w="833"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无组织产生量t/a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 w:type="pct"/>
                  <w:noWrap w:val="0"/>
                  <w:vAlign w:val="center"/>
                </w:tcPr>
                <w:p>
                  <w:pPr>
                    <w:pStyle w:val="32"/>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lang w:val="en-US" w:eastAsia="zh-CN"/>
                    </w:rPr>
                    <w:t>300</w:t>
                  </w:r>
                </w:p>
              </w:tc>
              <w:tc>
                <w:tcPr>
                  <w:tcW w:w="833"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41.8</w:t>
                  </w:r>
                </w:p>
              </w:tc>
              <w:tc>
                <w:tcPr>
                  <w:tcW w:w="470"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3%</w:t>
                  </w:r>
                </w:p>
              </w:tc>
              <w:tc>
                <w:tcPr>
                  <w:tcW w:w="590" w:type="pct"/>
                  <w:noWrap w:val="0"/>
                  <w:vAlign w:val="center"/>
                </w:tcPr>
                <w:p>
                  <w:pPr>
                    <w:pStyle w:val="32"/>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rPr>
                    <w:t>0.</w:t>
                  </w:r>
                  <w:r>
                    <w:rPr>
                      <w:rFonts w:hint="default" w:ascii="Times New Roman" w:hAnsi="Times New Roman" w:cs="Times New Roman"/>
                      <w:b w:val="0"/>
                      <w:bCs/>
                      <w:color w:val="auto"/>
                      <w:lang w:val="en-US" w:eastAsia="zh-CN"/>
                    </w:rPr>
                    <w:t>1373</w:t>
                  </w:r>
                </w:p>
              </w:tc>
              <w:tc>
                <w:tcPr>
                  <w:tcW w:w="604" w:type="pct"/>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90%</w:t>
                  </w:r>
                </w:p>
              </w:tc>
              <w:tc>
                <w:tcPr>
                  <w:tcW w:w="833" w:type="pct"/>
                  <w:noWrap w:val="0"/>
                  <w:vAlign w:val="center"/>
                </w:tcPr>
                <w:p>
                  <w:pPr>
                    <w:pStyle w:val="32"/>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rPr>
                    <w:t>0.</w:t>
                  </w:r>
                  <w:r>
                    <w:rPr>
                      <w:rFonts w:hint="default" w:ascii="Times New Roman" w:hAnsi="Times New Roman" w:cs="Times New Roman"/>
                      <w:b w:val="0"/>
                      <w:bCs/>
                      <w:color w:val="auto"/>
                      <w:lang w:val="en-US" w:eastAsia="zh-CN"/>
                    </w:rPr>
                    <w:t>1236</w:t>
                  </w:r>
                </w:p>
              </w:tc>
              <w:tc>
                <w:tcPr>
                  <w:tcW w:w="833" w:type="pct"/>
                  <w:noWrap w:val="0"/>
                  <w:vAlign w:val="center"/>
                </w:tcPr>
                <w:p>
                  <w:pPr>
                    <w:pStyle w:val="32"/>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rPr>
                    <w:t>0.0</w:t>
                  </w:r>
                  <w:r>
                    <w:rPr>
                      <w:rFonts w:hint="default" w:ascii="Times New Roman" w:hAnsi="Times New Roman" w:cs="Times New Roman"/>
                      <w:b w:val="0"/>
                      <w:bCs/>
                      <w:color w:val="auto"/>
                      <w:lang w:val="en-US" w:eastAsia="zh-CN"/>
                    </w:rPr>
                    <w:t>137</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项目食堂灶头均设3000m</w:t>
            </w:r>
            <w:r>
              <w:rPr>
                <w:rFonts w:hint="default" w:ascii="Times New Roman" w:hAnsi="Times New Roman" w:cs="Times New Roman"/>
                <w:color w:val="auto"/>
                <w:vertAlign w:val="superscript"/>
              </w:rPr>
              <w:t>3</w:t>
            </w:r>
            <w:r>
              <w:rPr>
                <w:rFonts w:hint="default" w:ascii="Times New Roman" w:hAnsi="Times New Roman" w:cs="Times New Roman"/>
                <w:color w:val="auto"/>
              </w:rPr>
              <w:t>/h风机，收集后经油烟净化器处理后排放，合计风量为1</w:t>
            </w:r>
            <w:r>
              <w:rPr>
                <w:rFonts w:hint="default" w:ascii="Times New Roman" w:hAnsi="Times New Roman" w:cs="Times New Roman"/>
                <w:color w:val="auto"/>
                <w:lang w:val="en-US" w:eastAsia="zh-CN"/>
              </w:rPr>
              <w:t>2</w:t>
            </w:r>
            <w:r>
              <w:rPr>
                <w:rFonts w:hint="default" w:ascii="Times New Roman" w:hAnsi="Times New Roman" w:cs="Times New Roman"/>
                <w:color w:val="auto"/>
              </w:rPr>
              <w:t>000m</w:t>
            </w:r>
            <w:r>
              <w:rPr>
                <w:rFonts w:hint="default" w:ascii="Times New Roman" w:hAnsi="Times New Roman" w:cs="Times New Roman"/>
                <w:color w:val="auto"/>
                <w:vertAlign w:val="superscript"/>
              </w:rPr>
              <w:t>3</w:t>
            </w:r>
            <w:r>
              <w:rPr>
                <w:rFonts w:hint="default" w:ascii="Times New Roman" w:hAnsi="Times New Roman" w:cs="Times New Roman"/>
                <w:color w:val="auto"/>
              </w:rPr>
              <w:t>/h，年运行365天，日工作4h（中、晚各2小时）。</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则食堂油烟有组织产排情况详见表4.</w:t>
            </w:r>
            <w:r>
              <w:rPr>
                <w:rFonts w:hint="eastAsia" w:cs="Times New Roman"/>
                <w:color w:val="auto"/>
                <w:lang w:val="en-US" w:eastAsia="zh-CN"/>
              </w:rPr>
              <w:t>3</w:t>
            </w:r>
            <w:r>
              <w:rPr>
                <w:rFonts w:hint="default" w:ascii="Times New Roman" w:hAnsi="Times New Roman" w:cs="Times New Roman"/>
                <w:color w:val="auto"/>
                <w:lang w:val="en-US" w:eastAsia="zh-CN"/>
              </w:rPr>
              <w:t>-2</w:t>
            </w:r>
            <w:r>
              <w:rPr>
                <w:rFonts w:hint="default" w:ascii="Times New Roman" w:hAnsi="Times New Roman" w:cs="Times New Roman"/>
                <w:color w:val="auto"/>
              </w:rPr>
              <w:t>。</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-2 </w:t>
            </w:r>
            <w:r>
              <w:rPr>
                <w:rFonts w:hint="default" w:ascii="Times New Roman" w:hAnsi="Times New Roman" w:cs="Times New Roman"/>
                <w:b/>
                <w:bCs/>
                <w:color w:val="auto"/>
              </w:rPr>
              <w:t>食堂油烟产排情况表</w:t>
            </w:r>
          </w:p>
          <w:tbl>
            <w:tblPr>
              <w:tblStyle w:val="26"/>
              <w:tblpPr w:leftFromText="180" w:rightFromText="180" w:vertAnchor="text" w:tblpXSpec="center" w:tblpY="1"/>
              <w:tblOverlap w:val="never"/>
              <w:tblW w:w="4997" w:type="pct"/>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34"/>
              <w:gridCol w:w="753"/>
              <w:gridCol w:w="728"/>
              <w:gridCol w:w="777"/>
              <w:gridCol w:w="819"/>
              <w:gridCol w:w="593"/>
              <w:gridCol w:w="850"/>
              <w:gridCol w:w="770"/>
              <w:gridCol w:w="827"/>
              <w:gridCol w:w="670"/>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27" w:type="pct"/>
                  <w:tcBorders>
                    <w:bottom w:val="single" w:color="000000" w:sz="8" w:space="0"/>
                    <w:right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灶台</w:t>
                  </w:r>
                </w:p>
              </w:tc>
              <w:tc>
                <w:tcPr>
                  <w:tcW w:w="507" w:type="pct"/>
                  <w:tcBorders>
                    <w:left w:val="nil"/>
                    <w:bottom w:val="single" w:color="000000" w:sz="8" w:space="0"/>
                    <w:right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风量m</w:t>
                  </w:r>
                  <w:r>
                    <w:rPr>
                      <w:rFonts w:hint="default" w:ascii="Times New Roman" w:hAnsi="Times New Roman" w:cs="Times New Roman"/>
                      <w:b w:val="0"/>
                      <w:bCs/>
                      <w:color w:val="auto"/>
                      <w:vertAlign w:val="superscript"/>
                    </w:rPr>
                    <w:t>3</w:t>
                  </w:r>
                  <w:r>
                    <w:rPr>
                      <w:rFonts w:hint="default" w:ascii="Times New Roman" w:hAnsi="Times New Roman" w:cs="Times New Roman"/>
                      <w:b w:val="0"/>
                      <w:bCs/>
                      <w:color w:val="auto"/>
                    </w:rPr>
                    <w:t>/h</w:t>
                  </w:r>
                </w:p>
              </w:tc>
              <w:tc>
                <w:tcPr>
                  <w:tcW w:w="490" w:type="pct"/>
                  <w:tcBorders>
                    <w:left w:val="nil"/>
                    <w:bottom w:val="single" w:color="000000" w:sz="8" w:space="0"/>
                    <w:right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产生浓度mg/m</w:t>
                  </w:r>
                  <w:r>
                    <w:rPr>
                      <w:rFonts w:hint="default" w:ascii="Times New Roman" w:hAnsi="Times New Roman" w:cs="Times New Roman"/>
                      <w:b w:val="0"/>
                      <w:bCs/>
                      <w:color w:val="auto"/>
                      <w:vertAlign w:val="superscript"/>
                    </w:rPr>
                    <w:t>3</w:t>
                  </w:r>
                </w:p>
              </w:tc>
              <w:tc>
                <w:tcPr>
                  <w:tcW w:w="523" w:type="pct"/>
                  <w:tcBorders>
                    <w:left w:val="nil"/>
                    <w:bottom w:val="single" w:color="000000" w:sz="8" w:space="0"/>
                    <w:right w:val="single" w:color="auto" w:sz="4"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产生速率kg/h</w:t>
                  </w:r>
                </w:p>
              </w:tc>
              <w:tc>
                <w:tcPr>
                  <w:tcW w:w="551" w:type="pct"/>
                  <w:tcBorders>
                    <w:left w:val="single" w:color="auto" w:sz="4" w:space="0"/>
                    <w:bottom w:val="single" w:color="000000" w:sz="8" w:space="0"/>
                    <w:right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产生量t/a</w:t>
                  </w:r>
                </w:p>
              </w:tc>
              <w:tc>
                <w:tcPr>
                  <w:tcW w:w="399" w:type="pct"/>
                  <w:tcBorders>
                    <w:left w:val="nil"/>
                    <w:bottom w:val="single" w:color="000000" w:sz="8" w:space="0"/>
                    <w:right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处理效率</w:t>
                  </w:r>
                </w:p>
              </w:tc>
              <w:tc>
                <w:tcPr>
                  <w:tcW w:w="572" w:type="pct"/>
                  <w:tcBorders>
                    <w:left w:val="nil"/>
                    <w:bottom w:val="single" w:color="000000" w:sz="8" w:space="0"/>
                    <w:right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排放浓度mg/m</w:t>
                  </w:r>
                  <w:r>
                    <w:rPr>
                      <w:rFonts w:hint="default" w:ascii="Times New Roman" w:hAnsi="Times New Roman" w:cs="Times New Roman"/>
                      <w:b w:val="0"/>
                      <w:bCs/>
                      <w:color w:val="auto"/>
                      <w:vertAlign w:val="superscript"/>
                    </w:rPr>
                    <w:t>3</w:t>
                  </w:r>
                </w:p>
              </w:tc>
              <w:tc>
                <w:tcPr>
                  <w:tcW w:w="518" w:type="pct"/>
                  <w:tcBorders>
                    <w:left w:val="nil"/>
                    <w:bottom w:val="single" w:color="000000" w:sz="8" w:space="0"/>
                    <w:right w:val="single" w:color="auto" w:sz="4"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油烟排放量kg/h</w:t>
                  </w:r>
                </w:p>
              </w:tc>
              <w:tc>
                <w:tcPr>
                  <w:tcW w:w="557" w:type="pct"/>
                  <w:tcBorders>
                    <w:left w:val="single" w:color="auto" w:sz="4" w:space="0"/>
                    <w:bottom w:val="single" w:color="000000" w:sz="8" w:space="0"/>
                    <w:right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排放量t/a</w:t>
                  </w:r>
                </w:p>
              </w:tc>
              <w:tc>
                <w:tcPr>
                  <w:tcW w:w="451" w:type="pct"/>
                  <w:tcBorders>
                    <w:left w:val="nil"/>
                    <w:bottom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排放标准</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27" w:type="pct"/>
                  <w:tcBorders>
                    <w:top w:val="nil"/>
                    <w:right w:val="single" w:color="000000" w:sz="8" w:space="0"/>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lang w:val="en-US" w:eastAsia="zh-CN"/>
                    </w:rPr>
                    <w:t>4</w:t>
                  </w:r>
                  <w:r>
                    <w:rPr>
                      <w:rFonts w:hint="default" w:ascii="Times New Roman" w:hAnsi="Times New Roman" w:cs="Times New Roman"/>
                      <w:b w:val="0"/>
                      <w:bCs/>
                      <w:color w:val="auto"/>
                    </w:rPr>
                    <w:t>个</w:t>
                  </w:r>
                </w:p>
              </w:tc>
              <w:tc>
                <w:tcPr>
                  <w:tcW w:w="507" w:type="pct"/>
                  <w:tcBorders>
                    <w:top w:val="nil"/>
                    <w:left w:val="nil"/>
                    <w:right w:val="single" w:color="000000" w:sz="8" w:space="0"/>
                  </w:tcBorders>
                  <w:noWrap w:val="0"/>
                  <w:vAlign w:val="center"/>
                </w:tcPr>
                <w:p>
                  <w:pPr>
                    <w:widowControl/>
                    <w:jc w:val="center"/>
                    <w:textAlignment w:val="center"/>
                    <w:rPr>
                      <w:rFonts w:hint="default" w:ascii="Times New Roman" w:hAnsi="Times New Roman" w:cs="Times New Roman"/>
                      <w:b w:val="0"/>
                      <w:bCs/>
                      <w:color w:val="auto"/>
                    </w:rPr>
                  </w:pPr>
                  <w:r>
                    <w:rPr>
                      <w:rFonts w:hint="default" w:ascii="Times New Roman" w:hAnsi="Times New Roman" w:cs="Times New Roman"/>
                      <w:b w:val="0"/>
                      <w:bCs/>
                      <w:color w:val="auto"/>
                      <w:kern w:val="0"/>
                      <w:sz w:val="21"/>
                      <w:szCs w:val="21"/>
                      <w:lang w:bidi="ar"/>
                    </w:rPr>
                    <w:t>1</w:t>
                  </w:r>
                  <w:r>
                    <w:rPr>
                      <w:rFonts w:hint="default" w:ascii="Times New Roman" w:hAnsi="Times New Roman" w:cs="Times New Roman"/>
                      <w:b w:val="0"/>
                      <w:bCs/>
                      <w:color w:val="auto"/>
                      <w:kern w:val="0"/>
                      <w:sz w:val="21"/>
                      <w:szCs w:val="21"/>
                      <w:lang w:val="en-US" w:eastAsia="zh-CN" w:bidi="ar"/>
                    </w:rPr>
                    <w:t>2</w:t>
                  </w:r>
                  <w:r>
                    <w:rPr>
                      <w:rFonts w:hint="default" w:ascii="Times New Roman" w:hAnsi="Times New Roman" w:cs="Times New Roman"/>
                      <w:b w:val="0"/>
                      <w:bCs/>
                      <w:color w:val="auto"/>
                      <w:kern w:val="0"/>
                      <w:sz w:val="21"/>
                      <w:szCs w:val="21"/>
                      <w:lang w:bidi="ar"/>
                    </w:rPr>
                    <w:t>000</w:t>
                  </w:r>
                </w:p>
              </w:tc>
              <w:tc>
                <w:tcPr>
                  <w:tcW w:w="490" w:type="pct"/>
                  <w:tcBorders>
                    <w:top w:val="nil"/>
                    <w:left w:val="nil"/>
                    <w:right w:val="single" w:color="000000" w:sz="8" w:space="0"/>
                  </w:tcBorders>
                  <w:noWrap w:val="0"/>
                  <w:vAlign w:val="center"/>
                </w:tcPr>
                <w:p>
                  <w:pPr>
                    <w:widowControl/>
                    <w:jc w:val="center"/>
                    <w:textAlignment w:val="center"/>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kern w:val="0"/>
                      <w:sz w:val="21"/>
                      <w:szCs w:val="21"/>
                      <w:lang w:val="en-US" w:eastAsia="zh-CN" w:bidi="ar"/>
                    </w:rPr>
                    <w:t>7.055</w:t>
                  </w:r>
                </w:p>
              </w:tc>
              <w:tc>
                <w:tcPr>
                  <w:tcW w:w="523" w:type="pct"/>
                  <w:tcBorders>
                    <w:top w:val="nil"/>
                    <w:left w:val="nil"/>
                    <w:right w:val="single" w:color="auto" w:sz="4" w:space="0"/>
                  </w:tcBorders>
                  <w:noWrap w:val="0"/>
                  <w:vAlign w:val="center"/>
                </w:tcPr>
                <w:p>
                  <w:pPr>
                    <w:widowControl/>
                    <w:jc w:val="center"/>
                    <w:textAlignment w:val="center"/>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kern w:val="0"/>
                      <w:sz w:val="21"/>
                      <w:szCs w:val="21"/>
                      <w:lang w:bidi="ar"/>
                    </w:rPr>
                    <w:t>0.</w:t>
                  </w:r>
                  <w:r>
                    <w:rPr>
                      <w:rFonts w:hint="default" w:ascii="Times New Roman" w:hAnsi="Times New Roman" w:cs="Times New Roman"/>
                      <w:b w:val="0"/>
                      <w:bCs/>
                      <w:color w:val="auto"/>
                      <w:kern w:val="0"/>
                      <w:sz w:val="21"/>
                      <w:szCs w:val="21"/>
                      <w:lang w:val="en-US" w:eastAsia="zh-CN" w:bidi="ar"/>
                    </w:rPr>
                    <w:t>0846</w:t>
                  </w:r>
                </w:p>
              </w:tc>
              <w:tc>
                <w:tcPr>
                  <w:tcW w:w="551" w:type="pct"/>
                  <w:tcBorders>
                    <w:top w:val="nil"/>
                    <w:left w:val="single" w:color="auto" w:sz="4" w:space="0"/>
                    <w:right w:val="single" w:color="000000" w:sz="8" w:space="0"/>
                  </w:tcBorders>
                  <w:noWrap w:val="0"/>
                  <w:vAlign w:val="center"/>
                </w:tcPr>
                <w:p>
                  <w:pPr>
                    <w:widowControl/>
                    <w:jc w:val="center"/>
                    <w:textAlignment w:val="center"/>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kern w:val="0"/>
                      <w:sz w:val="21"/>
                      <w:szCs w:val="21"/>
                      <w:lang w:bidi="ar"/>
                    </w:rPr>
                    <w:t>0.</w:t>
                  </w:r>
                  <w:r>
                    <w:rPr>
                      <w:rFonts w:hint="default" w:ascii="Times New Roman" w:hAnsi="Times New Roman" w:cs="Times New Roman"/>
                      <w:b w:val="0"/>
                      <w:bCs/>
                      <w:color w:val="auto"/>
                      <w:kern w:val="0"/>
                      <w:sz w:val="21"/>
                      <w:szCs w:val="21"/>
                      <w:lang w:val="en-US" w:eastAsia="zh-CN" w:bidi="ar"/>
                    </w:rPr>
                    <w:t>1236</w:t>
                  </w:r>
                </w:p>
              </w:tc>
              <w:tc>
                <w:tcPr>
                  <w:tcW w:w="399" w:type="pct"/>
                  <w:tcBorders>
                    <w:top w:val="nil"/>
                    <w:left w:val="nil"/>
                    <w:right w:val="single" w:color="000000" w:sz="8" w:space="0"/>
                  </w:tcBorders>
                  <w:noWrap w:val="0"/>
                  <w:vAlign w:val="center"/>
                </w:tcPr>
                <w:p>
                  <w:pPr>
                    <w:widowControl/>
                    <w:jc w:val="center"/>
                    <w:textAlignment w:val="center"/>
                    <w:rPr>
                      <w:rFonts w:hint="default" w:ascii="Times New Roman" w:hAnsi="Times New Roman" w:cs="Times New Roman"/>
                      <w:b w:val="0"/>
                      <w:bCs/>
                      <w:color w:val="auto"/>
                    </w:rPr>
                  </w:pPr>
                  <w:r>
                    <w:rPr>
                      <w:rFonts w:hint="default" w:ascii="Times New Roman" w:hAnsi="Times New Roman" w:cs="Times New Roman"/>
                      <w:b w:val="0"/>
                      <w:bCs/>
                      <w:color w:val="auto"/>
                      <w:kern w:val="0"/>
                      <w:sz w:val="21"/>
                      <w:szCs w:val="21"/>
                      <w:lang w:bidi="ar"/>
                    </w:rPr>
                    <w:t>90%</w:t>
                  </w:r>
                </w:p>
              </w:tc>
              <w:tc>
                <w:tcPr>
                  <w:tcW w:w="572" w:type="pct"/>
                  <w:tcBorders>
                    <w:top w:val="nil"/>
                    <w:left w:val="nil"/>
                    <w:right w:val="single" w:color="000000" w:sz="8" w:space="0"/>
                  </w:tcBorders>
                  <w:noWrap w:val="0"/>
                  <w:vAlign w:val="center"/>
                </w:tcPr>
                <w:p>
                  <w:pPr>
                    <w:widowControl/>
                    <w:jc w:val="center"/>
                    <w:textAlignment w:val="center"/>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kern w:val="0"/>
                      <w:sz w:val="21"/>
                      <w:szCs w:val="21"/>
                      <w:lang w:val="en-US" w:eastAsia="zh-CN" w:bidi="ar"/>
                    </w:rPr>
                    <w:t>0.7055</w:t>
                  </w:r>
                </w:p>
              </w:tc>
              <w:tc>
                <w:tcPr>
                  <w:tcW w:w="518" w:type="pct"/>
                  <w:tcBorders>
                    <w:top w:val="nil"/>
                    <w:left w:val="nil"/>
                    <w:right w:val="single" w:color="auto" w:sz="4" w:space="0"/>
                  </w:tcBorders>
                  <w:noWrap w:val="0"/>
                  <w:vAlign w:val="center"/>
                </w:tcPr>
                <w:p>
                  <w:pPr>
                    <w:widowControl/>
                    <w:jc w:val="center"/>
                    <w:textAlignment w:val="center"/>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kern w:val="0"/>
                      <w:sz w:val="21"/>
                      <w:szCs w:val="21"/>
                      <w:lang w:bidi="ar"/>
                    </w:rPr>
                    <w:t>0.0</w:t>
                  </w:r>
                  <w:r>
                    <w:rPr>
                      <w:rFonts w:hint="default" w:ascii="Times New Roman" w:hAnsi="Times New Roman" w:cs="Times New Roman"/>
                      <w:b w:val="0"/>
                      <w:bCs/>
                      <w:color w:val="auto"/>
                      <w:kern w:val="0"/>
                      <w:sz w:val="21"/>
                      <w:szCs w:val="21"/>
                      <w:lang w:val="en-US" w:eastAsia="zh-CN" w:bidi="ar"/>
                    </w:rPr>
                    <w:t>085</w:t>
                  </w:r>
                </w:p>
              </w:tc>
              <w:tc>
                <w:tcPr>
                  <w:tcW w:w="557" w:type="pct"/>
                  <w:tcBorders>
                    <w:top w:val="nil"/>
                    <w:left w:val="single" w:color="auto" w:sz="4" w:space="0"/>
                    <w:right w:val="single" w:color="000000" w:sz="8" w:space="0"/>
                  </w:tcBorders>
                  <w:noWrap w:val="0"/>
                  <w:vAlign w:val="center"/>
                </w:tcPr>
                <w:p>
                  <w:pPr>
                    <w:widowControl/>
                    <w:jc w:val="center"/>
                    <w:textAlignment w:val="center"/>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kern w:val="0"/>
                      <w:sz w:val="21"/>
                      <w:szCs w:val="21"/>
                      <w:lang w:bidi="ar"/>
                    </w:rPr>
                    <w:t>0.0</w:t>
                  </w:r>
                  <w:r>
                    <w:rPr>
                      <w:rFonts w:hint="default" w:ascii="Times New Roman" w:hAnsi="Times New Roman" w:cs="Times New Roman"/>
                      <w:b w:val="0"/>
                      <w:bCs/>
                      <w:color w:val="auto"/>
                      <w:kern w:val="0"/>
                      <w:sz w:val="21"/>
                      <w:szCs w:val="21"/>
                      <w:lang w:val="en-US" w:eastAsia="zh-CN" w:bidi="ar"/>
                    </w:rPr>
                    <w:t>1236</w:t>
                  </w:r>
                </w:p>
              </w:tc>
              <w:tc>
                <w:tcPr>
                  <w:tcW w:w="451" w:type="pct"/>
                  <w:tcBorders>
                    <w:top w:val="nil"/>
                    <w:left w:val="nil"/>
                  </w:tcBorders>
                  <w:noWrap w:val="0"/>
                  <w:vAlign w:val="center"/>
                </w:tcPr>
                <w:p>
                  <w:pPr>
                    <w:pStyle w:val="32"/>
                    <w:rPr>
                      <w:rFonts w:hint="default" w:ascii="Times New Roman" w:hAnsi="Times New Roman" w:cs="Times New Roman"/>
                      <w:b w:val="0"/>
                      <w:bCs/>
                      <w:color w:val="auto"/>
                    </w:rPr>
                  </w:pPr>
                  <w:r>
                    <w:rPr>
                      <w:rFonts w:hint="default" w:ascii="Times New Roman" w:hAnsi="Times New Roman" w:cs="Times New Roman"/>
                      <w:b w:val="0"/>
                      <w:bCs/>
                      <w:color w:val="auto"/>
                    </w:rPr>
                    <w:t>2mg/m</w:t>
                  </w:r>
                  <w:r>
                    <w:rPr>
                      <w:rFonts w:hint="default" w:ascii="Times New Roman" w:hAnsi="Times New Roman" w:cs="Times New Roman"/>
                      <w:b w:val="0"/>
                      <w:bCs/>
                      <w:color w:val="auto"/>
                      <w:vertAlign w:val="superscript"/>
                    </w:rPr>
                    <w:t>3</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4</w:t>
            </w:r>
            <w:r>
              <w:rPr>
                <w:rFonts w:hint="default" w:ascii="Times New Roman" w:hAnsi="Times New Roman" w:cs="Times New Roman"/>
                <w:color w:val="auto"/>
                <w:lang w:eastAsia="zh-CN"/>
              </w:rPr>
              <w:t>）</w:t>
            </w:r>
            <w:r>
              <w:rPr>
                <w:rFonts w:hint="default" w:ascii="Times New Roman" w:hAnsi="Times New Roman" w:cs="Times New Roman"/>
                <w:color w:val="auto"/>
              </w:rPr>
              <w:t>备用发电机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项目内设1台柴油发电机作为备用应急电源。备用发电机仅作为应急电源，正常供电情况下不得使用，全年使用不超过96h。</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项目柴油发电机以0＃轻质柴油为燃料，柴油燃烧时会产生CO、NO</w:t>
            </w:r>
            <w:r>
              <w:rPr>
                <w:rFonts w:hint="default" w:ascii="Times New Roman" w:hAnsi="Times New Roman" w:cs="Times New Roman"/>
                <w:color w:val="auto"/>
                <w:vertAlign w:val="subscript"/>
              </w:rPr>
              <w:t>X</w:t>
            </w:r>
            <w:r>
              <w:rPr>
                <w:rFonts w:hint="default" w:ascii="Times New Roman" w:hAnsi="Times New Roman" w:cs="Times New Roman"/>
                <w:color w:val="auto"/>
              </w:rPr>
              <w:t>和总碳氢化合物（THC）等废气。因备用发电机组为停电时使用，使用时间短暂，污染物产生量小可忽略不计。因此，本次评价仅进行定性分析。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5</w:t>
            </w:r>
            <w:r>
              <w:rPr>
                <w:rFonts w:hint="default" w:ascii="Times New Roman" w:hAnsi="Times New Roman" w:cs="Times New Roman"/>
                <w:color w:val="auto"/>
              </w:rPr>
              <w:t>）外环境废气影响分析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根据现场查勘，并收集区域未来规划，本项目所在区域附近主要为居民区、无大型工业。受外环境影响主要来自周边道路汽车尾气影响。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eastAsia="zh-CN"/>
              </w:rPr>
            </w:pPr>
            <w:r>
              <w:rPr>
                <w:rFonts w:hint="default" w:ascii="Times New Roman" w:hAnsi="Times New Roman" w:cs="Times New Roman"/>
                <w:color w:val="auto"/>
              </w:rPr>
              <w:t>在正常情况下区外交通道路车流排放的CO和NOx污染物体现为分散的线源排放，一般最高浓度值基本靠近路边，随着离开道路的距离，浓度逐渐递减。风向与道路交角不同其沿线浓度分布也不同。但不管交角如何，总的情况是道路近处下风向浓度较大，风速越大，浓度值越小。项目周边道路起伏不大，地势较平坦开阔，通风条件好，对沿路的影响浓度增加不多，可以保证其下风向路侧的环境空气质量保持在允许范围内。随着城市对汽车尾气达标排放的管理加强，道路上行驶车辆对沿线环境空气质量影响只会减少。各道路两侧种植行道树，且本项目在靠近道路一侧均建设绿化缓冲带。道路汽车尾气经大气扩散和绿化带吸附作用后对项目区的影响较小。总体来看，项目今后周边道路的汽车尾气不会对项目产生明显影响，区外汽车尾气影响不会成为项目的主要环境问题，本评价不作预测，仅作以上定性分析</w:t>
            </w:r>
            <w:r>
              <w:rPr>
                <w:rFonts w:hint="default" w:ascii="Times New Roman" w:hAnsi="Times New Roman" w:cs="Times New Roman"/>
                <w:color w:val="auto"/>
                <w:lang w:eastAsia="zh-CN"/>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w:t>
            </w:r>
            <w:r>
              <w:rPr>
                <w:rFonts w:hint="default" w:ascii="Times New Roman" w:hAnsi="Times New Roman" w:cs="Times New Roman"/>
                <w:color w:val="auto"/>
                <w:lang w:val="en-US" w:eastAsia="zh-CN"/>
              </w:rPr>
              <w:t>6</w:t>
            </w:r>
            <w:r>
              <w:rPr>
                <w:rFonts w:hint="default" w:ascii="Times New Roman" w:hAnsi="Times New Roman" w:cs="Times New Roman"/>
                <w:color w:val="auto"/>
              </w:rPr>
              <w:t>）小结</w:t>
            </w:r>
            <w:r>
              <w:rPr>
                <w:rFonts w:hint="default" w:ascii="Times New Roman" w:hAnsi="Times New Roman" w:cs="Times New Roman"/>
                <w:color w:val="auto"/>
                <w:lang w:val="en-US" w:eastAsia="zh-CN"/>
              </w:rPr>
              <w:t xml:space="preserve"> </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①正常情况下污染物产排情况</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-3 </w:t>
            </w:r>
            <w:r>
              <w:rPr>
                <w:rFonts w:hint="default" w:ascii="Times New Roman" w:hAnsi="Times New Roman" w:cs="Times New Roman"/>
                <w:b/>
                <w:bCs/>
                <w:color w:val="auto"/>
              </w:rPr>
              <w:t>大气污染物新增年排放量核算表</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2"/>
              <w:gridCol w:w="3218"/>
              <w:gridCol w:w="24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66" w:type="pct"/>
                  <w:noWrap w:val="0"/>
                  <w:vAlign w:val="top"/>
                </w:tcPr>
                <w:p>
                  <w:pPr>
                    <w:pStyle w:val="60"/>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2166" w:type="pct"/>
                  <w:noWrap w:val="0"/>
                  <w:vAlign w:val="top"/>
                </w:tcPr>
                <w:p>
                  <w:pPr>
                    <w:pStyle w:val="60"/>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1666" w:type="pct"/>
                  <w:noWrap w:val="0"/>
                  <w:vAlign w:val="top"/>
                </w:tcPr>
                <w:p>
                  <w:pPr>
                    <w:pStyle w:val="60"/>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66" w:type="pct"/>
                  <w:noWrap w:val="0"/>
                  <w:vAlign w:val="top"/>
                </w:tcPr>
                <w:p>
                  <w:pPr>
                    <w:pStyle w:val="60"/>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2166"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氨</w:t>
                  </w:r>
                </w:p>
              </w:tc>
              <w:tc>
                <w:tcPr>
                  <w:tcW w:w="2646"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66" w:type="pct"/>
                  <w:noWrap w:val="0"/>
                  <w:vAlign w:val="top"/>
                </w:tcPr>
                <w:p>
                  <w:pPr>
                    <w:pStyle w:val="60"/>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2166"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硫化氢</w:t>
                  </w:r>
                </w:p>
              </w:tc>
              <w:tc>
                <w:tcPr>
                  <w:tcW w:w="2646"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66" w:type="pct"/>
                  <w:noWrap w:val="0"/>
                  <w:vAlign w:val="top"/>
                </w:tcPr>
                <w:p>
                  <w:pPr>
                    <w:pStyle w:val="60"/>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2166" w:type="pct"/>
                  <w:noWrap w:val="0"/>
                  <w:vAlign w:val="center"/>
                </w:tcPr>
                <w:p>
                  <w:pPr>
                    <w:pStyle w:val="58"/>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油烟</w:t>
                  </w:r>
                </w:p>
              </w:tc>
              <w:tc>
                <w:tcPr>
                  <w:tcW w:w="166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bidi="ar"/>
                    </w:rPr>
                    <w:t>0.0</w:t>
                  </w:r>
                  <w:r>
                    <w:rPr>
                      <w:rFonts w:hint="default" w:ascii="Times New Roman" w:hAnsi="Times New Roman" w:cs="Times New Roman"/>
                      <w:color w:val="auto"/>
                      <w:kern w:val="0"/>
                      <w:sz w:val="21"/>
                      <w:szCs w:val="21"/>
                      <w:lang w:val="en-US" w:eastAsia="zh-CN" w:bidi="ar"/>
                    </w:rPr>
                    <w:t>2606</w:t>
                  </w:r>
                </w:p>
              </w:tc>
            </w:tr>
          </w:tbl>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3</w:t>
            </w:r>
            <w:r>
              <w:rPr>
                <w:rFonts w:hint="default" w:ascii="Times New Roman" w:hAnsi="Times New Roman" w:cs="Times New Roman"/>
                <w:color w:val="auto"/>
                <w:lang w:val="en-US" w:eastAsia="zh-CN"/>
              </w:rPr>
              <w:t>.2</w:t>
            </w:r>
            <w:r>
              <w:rPr>
                <w:rFonts w:hint="default" w:ascii="Times New Roman" w:hAnsi="Times New Roman" w:cs="Times New Roman"/>
                <w:color w:val="auto"/>
              </w:rPr>
              <w:t>废气影响预测分析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（1）预测因子筛选</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根据项目实际生产工艺，本次预测因子详见表4.</w:t>
            </w:r>
            <w:r>
              <w:rPr>
                <w:rFonts w:hint="eastAsia" w:cs="Times New Roman"/>
                <w:color w:val="auto"/>
                <w:lang w:val="en-US" w:eastAsia="zh-CN"/>
              </w:rPr>
              <w:t>3</w:t>
            </w: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-4 </w:t>
            </w:r>
            <w:r>
              <w:rPr>
                <w:rFonts w:hint="default" w:ascii="Times New Roman" w:hAnsi="Times New Roman" w:cs="Times New Roman"/>
                <w:b/>
                <w:bCs/>
                <w:color w:val="auto"/>
              </w:rPr>
              <w:t>预测因子筛选</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5"/>
              <w:gridCol w:w="883"/>
              <w:gridCol w:w="1113"/>
              <w:gridCol w:w="1178"/>
              <w:gridCol w:w="1211"/>
              <w:gridCol w:w="1102"/>
              <w:gridCol w:w="13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7"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序号</w:t>
                  </w:r>
                </w:p>
              </w:tc>
              <w:tc>
                <w:tcPr>
                  <w:tcW w:w="594"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车间</w:t>
                  </w:r>
                </w:p>
              </w:tc>
              <w:tc>
                <w:tcPr>
                  <w:tcW w:w="749"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工序</w:t>
                  </w:r>
                </w:p>
              </w:tc>
              <w:tc>
                <w:tcPr>
                  <w:tcW w:w="793"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污染物</w:t>
                  </w:r>
                </w:p>
              </w:tc>
              <w:tc>
                <w:tcPr>
                  <w:tcW w:w="815"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排放方式</w:t>
                  </w:r>
                </w:p>
              </w:tc>
              <w:tc>
                <w:tcPr>
                  <w:tcW w:w="742"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是否纳入本次预测</w:t>
                  </w:r>
                </w:p>
              </w:tc>
              <w:tc>
                <w:tcPr>
                  <w:tcW w:w="916"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7"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1</w:t>
                  </w:r>
                </w:p>
              </w:tc>
              <w:tc>
                <w:tcPr>
                  <w:tcW w:w="594"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污水站</w:t>
                  </w:r>
                </w:p>
              </w:tc>
              <w:tc>
                <w:tcPr>
                  <w:tcW w:w="749"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污水处理</w:t>
                  </w:r>
                </w:p>
              </w:tc>
              <w:tc>
                <w:tcPr>
                  <w:tcW w:w="793"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氨、硫化氢</w:t>
                  </w:r>
                </w:p>
              </w:tc>
              <w:tc>
                <w:tcPr>
                  <w:tcW w:w="815"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lang w:eastAsia="zh-CN"/>
                    </w:rPr>
                    <w:t>无</w:t>
                  </w:r>
                  <w:r>
                    <w:rPr>
                      <w:rFonts w:hint="default" w:ascii="Times New Roman" w:hAnsi="Times New Roman" w:cs="Times New Roman"/>
                      <w:b w:val="0"/>
                      <w:bCs/>
                      <w:color w:val="auto"/>
                      <w:sz w:val="21"/>
                      <w:szCs w:val="32"/>
                    </w:rPr>
                    <w:t>组织</w:t>
                  </w:r>
                </w:p>
              </w:tc>
              <w:tc>
                <w:tcPr>
                  <w:tcW w:w="742"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是</w:t>
                  </w:r>
                </w:p>
              </w:tc>
              <w:tc>
                <w:tcPr>
                  <w:tcW w:w="916"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7"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2</w:t>
                  </w:r>
                </w:p>
              </w:tc>
              <w:tc>
                <w:tcPr>
                  <w:tcW w:w="594"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食堂</w:t>
                  </w:r>
                </w:p>
              </w:tc>
              <w:tc>
                <w:tcPr>
                  <w:tcW w:w="749"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食堂烹饪</w:t>
                  </w:r>
                </w:p>
              </w:tc>
              <w:tc>
                <w:tcPr>
                  <w:tcW w:w="793"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油烟</w:t>
                  </w:r>
                </w:p>
              </w:tc>
              <w:tc>
                <w:tcPr>
                  <w:tcW w:w="815"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有、无组织</w:t>
                  </w:r>
                </w:p>
              </w:tc>
              <w:tc>
                <w:tcPr>
                  <w:tcW w:w="742"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否</w:t>
                  </w:r>
                </w:p>
              </w:tc>
              <w:tc>
                <w:tcPr>
                  <w:tcW w:w="916" w:type="pct"/>
                  <w:noWrap w:val="0"/>
                  <w:vAlign w:val="center"/>
                </w:tcPr>
                <w:p>
                  <w:pPr>
                    <w:pStyle w:val="32"/>
                    <w:rPr>
                      <w:rFonts w:hint="default" w:ascii="Times New Roman" w:hAnsi="Times New Roman" w:cs="Times New Roman"/>
                      <w:b w:val="0"/>
                      <w:bCs/>
                      <w:color w:val="auto"/>
                      <w:sz w:val="21"/>
                      <w:szCs w:val="32"/>
                    </w:rPr>
                  </w:pPr>
                  <w:r>
                    <w:rPr>
                      <w:rFonts w:hint="default" w:ascii="Times New Roman" w:hAnsi="Times New Roman" w:cs="Times New Roman"/>
                      <w:b w:val="0"/>
                      <w:bCs/>
                      <w:color w:val="auto"/>
                      <w:sz w:val="21"/>
                      <w:szCs w:val="32"/>
                    </w:rPr>
                    <w:t>油烟无空气质量标准</w:t>
                  </w:r>
                </w:p>
              </w:tc>
            </w:tr>
          </w:tbl>
          <w:p>
            <w:pPr>
              <w:pStyle w:val="61"/>
              <w:rPr>
                <w:rFonts w:hint="default" w:ascii="Times New Roman" w:hAnsi="Times New Roman" w:cs="Times New Roman"/>
                <w:color w:val="auto"/>
              </w:rPr>
            </w:pPr>
            <w:r>
              <w:rPr>
                <w:rFonts w:hint="default" w:ascii="Times New Roman" w:hAnsi="Times New Roman" w:cs="Times New Roman"/>
                <w:color w:val="auto"/>
              </w:rPr>
              <w:t>（2）预测废气源强</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-5 </w:t>
            </w:r>
            <w:r>
              <w:rPr>
                <w:rFonts w:hint="default" w:ascii="Times New Roman" w:hAnsi="Times New Roman" w:cs="Times New Roman"/>
                <w:b/>
                <w:bCs/>
                <w:color w:val="auto"/>
                <w:lang w:eastAsia="zh-CN"/>
              </w:rPr>
              <w:t>无</w:t>
            </w:r>
            <w:r>
              <w:rPr>
                <w:rFonts w:hint="default" w:ascii="Times New Roman" w:hAnsi="Times New Roman" w:cs="Times New Roman"/>
                <w:b/>
                <w:bCs/>
                <w:color w:val="auto"/>
              </w:rPr>
              <w:t>组织排放污染物源强</w:t>
            </w:r>
          </w:p>
          <w:tbl>
            <w:tblPr>
              <w:tblStyle w:val="2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2"/>
              <w:gridCol w:w="909"/>
              <w:gridCol w:w="592"/>
              <w:gridCol w:w="696"/>
              <w:gridCol w:w="1029"/>
              <w:gridCol w:w="696"/>
              <w:gridCol w:w="597"/>
              <w:gridCol w:w="1149"/>
              <w:gridCol w:w="13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57"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default" w:ascii="Times New Roman" w:hAnsi="Times New Roman" w:cs="Times New Roman"/>
                      <w:color w:val="auto"/>
                      <w:sz w:val="18"/>
                      <w:szCs w:val="18"/>
                      <w:highlight w:val="none"/>
                      <w:vertAlign w:val="baseline"/>
                      <w:lang w:eastAsia="zh-CN"/>
                    </w:rPr>
                    <w:t>编号</w:t>
                  </w:r>
                </w:p>
              </w:tc>
              <w:tc>
                <w:tcPr>
                  <w:tcW w:w="612"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default" w:ascii="Times New Roman" w:hAnsi="Times New Roman" w:cs="Times New Roman"/>
                      <w:color w:val="auto"/>
                      <w:sz w:val="18"/>
                      <w:szCs w:val="18"/>
                      <w:highlight w:val="none"/>
                      <w:vertAlign w:val="baseline"/>
                      <w:lang w:eastAsia="zh-CN"/>
                    </w:rPr>
                    <w:t>名称</w:t>
                  </w:r>
                </w:p>
              </w:tc>
              <w:tc>
                <w:tcPr>
                  <w:tcW w:w="399"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default" w:ascii="Times New Roman" w:hAnsi="Times New Roman" w:cs="Times New Roman"/>
                      <w:color w:val="auto"/>
                      <w:sz w:val="18"/>
                      <w:szCs w:val="18"/>
                      <w:highlight w:val="none"/>
                      <w:vertAlign w:val="baseline"/>
                      <w:lang w:eastAsia="zh-CN"/>
                    </w:rPr>
                    <w:t>面源长度</w:t>
                  </w:r>
                </w:p>
              </w:tc>
              <w:tc>
                <w:tcPr>
                  <w:tcW w:w="469"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lang w:eastAsia="zh-CN"/>
                    </w:rPr>
                    <w:t>面源宽度</w:t>
                  </w:r>
                </w:p>
              </w:tc>
              <w:tc>
                <w:tcPr>
                  <w:tcW w:w="693"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rPr>
                    <w:t>面源有效排放高度/m</w:t>
                  </w:r>
                </w:p>
              </w:tc>
              <w:tc>
                <w:tcPr>
                  <w:tcW w:w="469"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rPr>
                    <w:t>年排放小时数</w:t>
                  </w:r>
                </w:p>
              </w:tc>
              <w:tc>
                <w:tcPr>
                  <w:tcW w:w="402"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rPr>
                    <w:t>排放工况</w:t>
                  </w:r>
                </w:p>
              </w:tc>
              <w:tc>
                <w:tcPr>
                  <w:tcW w:w="1696" w:type="pct"/>
                  <w:gridSpan w:val="2"/>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7"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p>
              </w:tc>
              <w:tc>
                <w:tcPr>
                  <w:tcW w:w="61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p>
              </w:tc>
              <w:tc>
                <w:tcPr>
                  <w:tcW w:w="399"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p>
              </w:tc>
              <w:tc>
                <w:tcPr>
                  <w:tcW w:w="469"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p>
              </w:tc>
              <w:tc>
                <w:tcPr>
                  <w:tcW w:w="693"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p>
              </w:tc>
              <w:tc>
                <w:tcPr>
                  <w:tcW w:w="469"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p>
              </w:tc>
              <w:tc>
                <w:tcPr>
                  <w:tcW w:w="40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rPr>
                  </w:pPr>
                </w:p>
              </w:tc>
              <w:tc>
                <w:tcPr>
                  <w:tcW w:w="7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p>
              </w:tc>
              <w:tc>
                <w:tcPr>
                  <w:tcW w:w="9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57" w:type="pc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6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bidi="ar-SA"/>
                    </w:rPr>
                    <w:t>污水站废气</w:t>
                  </w:r>
                </w:p>
              </w:tc>
              <w:tc>
                <w:tcPr>
                  <w:tcW w:w="399" w:type="pc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10</w:t>
                  </w:r>
                </w:p>
              </w:tc>
              <w:tc>
                <w:tcPr>
                  <w:tcW w:w="469" w:type="pc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5</w:t>
                  </w:r>
                </w:p>
              </w:tc>
              <w:tc>
                <w:tcPr>
                  <w:tcW w:w="693" w:type="pc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3</w:t>
                  </w:r>
                </w:p>
              </w:tc>
              <w:tc>
                <w:tcPr>
                  <w:tcW w:w="4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8760</w:t>
                  </w:r>
                </w:p>
              </w:tc>
              <w:tc>
                <w:tcPr>
                  <w:tcW w:w="40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正常</w:t>
                  </w:r>
                </w:p>
              </w:tc>
              <w:tc>
                <w:tcPr>
                  <w:tcW w:w="774" w:type="pc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0.0003</w:t>
                  </w:r>
                </w:p>
              </w:tc>
              <w:tc>
                <w:tcPr>
                  <w:tcW w:w="921" w:type="pct"/>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0.00001</w:t>
                  </w:r>
                </w:p>
              </w:tc>
            </w:tr>
          </w:tbl>
          <w:p>
            <w:pPr>
              <w:spacing w:line="360" w:lineRule="auto"/>
              <w:ind w:firstLine="480" w:firstLineChars="200"/>
              <w:rPr>
                <w:rFonts w:hint="default" w:ascii="Times New Roman" w:hAnsi="Times New Roman" w:cs="Times New Roman"/>
                <w:color w:val="auto"/>
                <w:szCs w:val="22"/>
              </w:rPr>
            </w:pPr>
            <w:r>
              <w:rPr>
                <w:rFonts w:hint="default" w:ascii="Times New Roman" w:hAnsi="Times New Roman" w:cs="Times New Roman"/>
                <w:color w:val="auto"/>
                <w:szCs w:val="22"/>
              </w:rPr>
              <w:t>（3）评价等级计算</w:t>
            </w:r>
          </w:p>
          <w:p>
            <w:pPr>
              <w:pStyle w:val="62"/>
              <w:ind w:firstLine="480"/>
              <w:rPr>
                <w:rFonts w:hint="default" w:ascii="Times New Roman" w:hAnsi="Times New Roman" w:cs="Times New Roman"/>
                <w:color w:val="auto"/>
                <w:szCs w:val="22"/>
              </w:rPr>
            </w:pPr>
            <w:r>
              <w:rPr>
                <w:rFonts w:hint="default" w:ascii="Times New Roman" w:hAnsi="Times New Roman" w:cs="Times New Roman"/>
                <w:color w:val="auto"/>
                <w:szCs w:val="22"/>
              </w:rPr>
              <w:t>本项目废气污染源正常排放的主要污染物及排放参数，本次评价采用《环境影响评价技术导则大气环境》（HJ2.2-2018）“附录A推荐模型清单”中的估算模型AERSCREEN，计算出项目污染源的最大环境影响，即分别计算项目排放主要污染物的最大地面空气质量浓度占标率</w:t>
            </w:r>
            <w:r>
              <w:rPr>
                <w:rFonts w:hint="default" w:ascii="Times New Roman" w:hAnsi="Times New Roman" w:cs="Times New Roman"/>
                <w:i/>
                <w:iCs/>
                <w:color w:val="auto"/>
                <w:szCs w:val="22"/>
              </w:rPr>
              <w:t>P</w:t>
            </w:r>
            <w:r>
              <w:rPr>
                <w:rFonts w:hint="default" w:ascii="Times New Roman" w:hAnsi="Times New Roman" w:cs="Times New Roman"/>
                <w:i/>
                <w:iCs/>
                <w:color w:val="auto"/>
                <w:szCs w:val="22"/>
                <w:vertAlign w:val="subscript"/>
              </w:rPr>
              <w:t>i</w:t>
            </w:r>
            <w:r>
              <w:rPr>
                <w:rFonts w:hint="default" w:ascii="Times New Roman" w:hAnsi="Times New Roman" w:cs="Times New Roman"/>
                <w:color w:val="auto"/>
                <w:szCs w:val="22"/>
              </w:rPr>
              <w:t>（简称“最大浓度占标率”）及第</w:t>
            </w:r>
            <w:r>
              <w:rPr>
                <w:rFonts w:hint="default" w:ascii="Times New Roman" w:hAnsi="Times New Roman" w:cs="Times New Roman"/>
                <w:i/>
                <w:iCs/>
                <w:color w:val="auto"/>
                <w:szCs w:val="22"/>
              </w:rPr>
              <w:t>i</w:t>
            </w:r>
            <w:r>
              <w:rPr>
                <w:rFonts w:hint="default" w:ascii="Times New Roman" w:hAnsi="Times New Roman" w:cs="Times New Roman"/>
                <w:color w:val="auto"/>
                <w:szCs w:val="22"/>
              </w:rPr>
              <w:t>个污染物的地面空气质量浓度达到标准值的10%时所对应的最远距离D</w:t>
            </w:r>
            <w:r>
              <w:rPr>
                <w:rFonts w:hint="default" w:ascii="Times New Roman" w:hAnsi="Times New Roman" w:cs="Times New Roman"/>
                <w:color w:val="auto"/>
                <w:szCs w:val="22"/>
                <w:vertAlign w:val="subscript"/>
              </w:rPr>
              <w:t>10%</w:t>
            </w:r>
            <w:r>
              <w:rPr>
                <w:rFonts w:hint="default" w:ascii="Times New Roman" w:hAnsi="Times New Roman" w:cs="Times New Roman"/>
                <w:color w:val="auto"/>
                <w:szCs w:val="22"/>
              </w:rPr>
              <w:t>。</w:t>
            </w:r>
          </w:p>
          <w:p>
            <w:pPr>
              <w:pStyle w:val="62"/>
              <w:ind w:firstLine="480"/>
              <w:rPr>
                <w:rFonts w:hint="default" w:ascii="Times New Roman" w:hAnsi="Times New Roman" w:cs="Times New Roman"/>
                <w:color w:val="auto"/>
                <w:szCs w:val="22"/>
              </w:rPr>
            </w:pPr>
            <w:r>
              <w:rPr>
                <w:rFonts w:hint="default" w:ascii="Times New Roman" w:hAnsi="Times New Roman" w:cs="Times New Roman"/>
                <w:color w:val="auto"/>
                <w:szCs w:val="22"/>
              </w:rPr>
              <w:t>其中</w:t>
            </w:r>
            <w:r>
              <w:rPr>
                <w:rFonts w:hint="default" w:ascii="Times New Roman" w:hAnsi="Times New Roman" w:cs="Times New Roman"/>
                <w:i/>
                <w:iCs/>
                <w:color w:val="auto"/>
                <w:szCs w:val="22"/>
              </w:rPr>
              <w:t>P</w:t>
            </w:r>
            <w:r>
              <w:rPr>
                <w:rFonts w:hint="default" w:ascii="Times New Roman" w:hAnsi="Times New Roman" w:cs="Times New Roman"/>
                <w:i/>
                <w:iCs/>
                <w:color w:val="auto"/>
                <w:szCs w:val="22"/>
                <w:vertAlign w:val="subscript"/>
              </w:rPr>
              <w:t>i</w:t>
            </w:r>
            <w:r>
              <w:rPr>
                <w:rFonts w:hint="default" w:ascii="Times New Roman" w:hAnsi="Times New Roman" w:cs="Times New Roman"/>
                <w:color w:val="auto"/>
                <w:szCs w:val="22"/>
              </w:rPr>
              <w:t>定义为：</w:t>
            </w:r>
          </w:p>
          <w:p>
            <w:pPr>
              <w:ind w:firstLine="420" w:firstLineChars="200"/>
              <w:jc w:val="center"/>
              <w:rPr>
                <w:rFonts w:hint="default" w:ascii="Times New Roman" w:hAnsi="Times New Roman" w:cs="Times New Roman"/>
                <w:color w:val="auto"/>
                <w:sz w:val="21"/>
              </w:rPr>
            </w:pPr>
            <w:r>
              <w:rPr>
                <w:rFonts w:hint="default" w:ascii="Times New Roman" w:hAnsi="Times New Roman" w:cs="Times New Roman"/>
                <w:color w:val="auto"/>
                <w:sz w:val="21"/>
              </w:rPr>
              <w:object>
                <v:shape id="_x0000_i1025" o:spt="75" type="#_x0000_t75" style="height:34.45pt;width:79.5pt;" o:ole="t" filled="f" o:preferrelative="t" stroked="f" coordsize="21600,21600">
                  <v:path/>
                  <v:fill on="f" focussize="0,0"/>
                  <v:stroke on="f"/>
                  <v:imagedata r:id="rId18" o:title=""/>
                  <o:lock v:ext="edit" aspectratio="t"/>
                  <w10:wrap type="none"/>
                  <w10:anchorlock/>
                </v:shape>
                <o:OLEObject Type="Embed" ProgID="Equation.3" ShapeID="_x0000_i1025" DrawAspect="Content" ObjectID="_1468075725" r:id="rId17">
                  <o:LockedField>false</o:LockedField>
                </o:OLEObject>
              </w:object>
            </w:r>
          </w:p>
          <w:p>
            <w:pPr>
              <w:pStyle w:val="62"/>
              <w:ind w:firstLine="480"/>
              <w:rPr>
                <w:rFonts w:hint="default" w:ascii="Times New Roman" w:hAnsi="Times New Roman" w:cs="Times New Roman"/>
                <w:color w:val="auto"/>
                <w:szCs w:val="22"/>
              </w:rPr>
            </w:pPr>
            <w:r>
              <w:rPr>
                <w:rFonts w:hint="default" w:ascii="Times New Roman" w:hAnsi="Times New Roman" w:cs="Times New Roman"/>
                <w:color w:val="auto"/>
                <w:szCs w:val="22"/>
              </w:rPr>
              <w:t>式中：</w:t>
            </w:r>
            <w:r>
              <w:rPr>
                <w:rFonts w:hint="default" w:ascii="Times New Roman" w:hAnsi="Times New Roman" w:cs="Times New Roman"/>
                <w:i/>
                <w:iCs/>
                <w:color w:val="auto"/>
                <w:szCs w:val="22"/>
              </w:rPr>
              <w:t>P</w:t>
            </w:r>
            <w:r>
              <w:rPr>
                <w:rFonts w:hint="default" w:ascii="Times New Roman" w:hAnsi="Times New Roman" w:cs="Times New Roman"/>
                <w:i/>
                <w:iCs/>
                <w:color w:val="auto"/>
                <w:szCs w:val="22"/>
                <w:vertAlign w:val="subscript"/>
              </w:rPr>
              <w:t>i</w:t>
            </w:r>
            <w:r>
              <w:rPr>
                <w:rFonts w:hint="default" w:ascii="Times New Roman" w:hAnsi="Times New Roman" w:cs="Times New Roman"/>
                <w:color w:val="auto"/>
                <w:szCs w:val="22"/>
              </w:rPr>
              <w:t>——第i个污染物的最大地面空气质量浓度占标率，%；</w:t>
            </w:r>
          </w:p>
          <w:p>
            <w:pPr>
              <w:spacing w:line="360" w:lineRule="auto"/>
              <w:ind w:firstLine="1132" w:firstLineChars="472"/>
              <w:rPr>
                <w:rFonts w:hint="default" w:ascii="Times New Roman" w:hAnsi="Times New Roman" w:cs="Times New Roman"/>
                <w:color w:val="auto"/>
                <w:szCs w:val="22"/>
              </w:rPr>
            </w:pPr>
            <w:r>
              <w:rPr>
                <w:rFonts w:hint="default" w:ascii="Times New Roman" w:hAnsi="Times New Roman" w:cs="Times New Roman"/>
                <w:i/>
                <w:iCs/>
                <w:color w:val="auto"/>
                <w:szCs w:val="22"/>
              </w:rPr>
              <w:t>C</w:t>
            </w:r>
            <w:r>
              <w:rPr>
                <w:rFonts w:hint="default" w:ascii="Times New Roman" w:hAnsi="Times New Roman" w:cs="Times New Roman"/>
                <w:i/>
                <w:iCs/>
                <w:color w:val="auto"/>
                <w:szCs w:val="22"/>
                <w:vertAlign w:val="subscript"/>
              </w:rPr>
              <w:t>i</w:t>
            </w:r>
            <w:r>
              <w:rPr>
                <w:rFonts w:hint="default" w:ascii="Times New Roman" w:hAnsi="Times New Roman" w:cs="Times New Roman"/>
                <w:color w:val="auto"/>
                <w:szCs w:val="22"/>
              </w:rPr>
              <w:t>——采用估算模型计算出的第</w:t>
            </w:r>
            <w:r>
              <w:rPr>
                <w:rFonts w:hint="default" w:ascii="Times New Roman" w:hAnsi="Times New Roman" w:cs="Times New Roman"/>
                <w:i/>
                <w:iCs/>
                <w:color w:val="auto"/>
                <w:szCs w:val="22"/>
              </w:rPr>
              <w:t>i</w:t>
            </w:r>
            <w:r>
              <w:rPr>
                <w:rFonts w:hint="default" w:ascii="Times New Roman" w:hAnsi="Times New Roman" w:cs="Times New Roman"/>
                <w:color w:val="auto"/>
                <w:szCs w:val="22"/>
              </w:rPr>
              <w:t>个污染物的最大1h地面空气质量浓度，</w:t>
            </w:r>
            <w:r>
              <w:rPr>
                <w:rFonts w:hint="default" w:ascii="Times New Roman" w:hAnsi="Times New Roman" w:cs="Times New Roman"/>
                <w:color w:val="auto"/>
                <w:kern w:val="0"/>
              </w:rPr>
              <w:t>μg/m</w:t>
            </w:r>
            <w:r>
              <w:rPr>
                <w:rFonts w:hint="default" w:ascii="Times New Roman" w:hAnsi="Times New Roman" w:cs="Times New Roman"/>
                <w:color w:val="auto"/>
                <w:kern w:val="0"/>
                <w:vertAlign w:val="superscript"/>
              </w:rPr>
              <w:t>3</w:t>
            </w:r>
            <w:r>
              <w:rPr>
                <w:rFonts w:hint="default" w:ascii="Times New Roman" w:hAnsi="Times New Roman" w:cs="Times New Roman"/>
                <w:color w:val="auto"/>
                <w:szCs w:val="22"/>
              </w:rPr>
              <w:t>；</w:t>
            </w:r>
          </w:p>
          <w:p>
            <w:pPr>
              <w:spacing w:line="360" w:lineRule="auto"/>
              <w:ind w:firstLine="1132" w:firstLineChars="472"/>
              <w:rPr>
                <w:rFonts w:hint="default" w:ascii="Times New Roman" w:hAnsi="Times New Roman" w:cs="Times New Roman"/>
                <w:color w:val="auto"/>
                <w:szCs w:val="22"/>
              </w:rPr>
            </w:pPr>
            <w:r>
              <w:rPr>
                <w:rFonts w:hint="default" w:ascii="Times New Roman" w:hAnsi="Times New Roman" w:cs="Times New Roman"/>
                <w:i/>
                <w:iCs/>
                <w:color w:val="auto"/>
                <w:szCs w:val="22"/>
              </w:rPr>
              <w:t>Coi</w:t>
            </w:r>
            <w:r>
              <w:rPr>
                <w:rFonts w:hint="default" w:ascii="Times New Roman" w:hAnsi="Times New Roman" w:cs="Times New Roman"/>
                <w:color w:val="auto"/>
                <w:szCs w:val="22"/>
              </w:rPr>
              <w:t>——第</w:t>
            </w:r>
            <w:r>
              <w:rPr>
                <w:rFonts w:hint="default" w:ascii="Times New Roman" w:hAnsi="Times New Roman" w:cs="Times New Roman"/>
                <w:i/>
                <w:iCs/>
                <w:color w:val="auto"/>
                <w:szCs w:val="22"/>
              </w:rPr>
              <w:t>i</w:t>
            </w:r>
            <w:r>
              <w:rPr>
                <w:rFonts w:hint="default" w:ascii="Times New Roman" w:hAnsi="Times New Roman" w:cs="Times New Roman"/>
                <w:color w:val="auto"/>
                <w:szCs w:val="22"/>
              </w:rPr>
              <w:t>个污染物的环境空气质量浓度标准，</w:t>
            </w:r>
            <w:r>
              <w:rPr>
                <w:rFonts w:hint="default" w:ascii="Times New Roman" w:hAnsi="Times New Roman" w:cs="Times New Roman"/>
                <w:color w:val="auto"/>
                <w:kern w:val="0"/>
              </w:rPr>
              <w:t>μg/m</w:t>
            </w:r>
            <w:r>
              <w:rPr>
                <w:rFonts w:hint="default" w:ascii="Times New Roman" w:hAnsi="Times New Roman" w:cs="Times New Roman"/>
                <w:color w:val="auto"/>
                <w:kern w:val="0"/>
                <w:vertAlign w:val="superscript"/>
              </w:rPr>
              <w:t>3</w:t>
            </w:r>
            <w:r>
              <w:rPr>
                <w:rFonts w:hint="default" w:ascii="Times New Roman" w:hAnsi="Times New Roman" w:cs="Times New Roman"/>
                <w:color w:val="auto"/>
                <w:szCs w:val="22"/>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根据HJ2.2-2018中的“表2评价等级判别表”的分级判据进行评价工作等级的划分，评价分级判据见</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REF _Ref25954 \r \h </w:instrText>
            </w:r>
            <w:r>
              <w:rPr>
                <w:rFonts w:hint="default" w:ascii="Times New Roman" w:hAnsi="Times New Roman" w:cs="Times New Roman"/>
                <w:color w:val="auto"/>
              </w:rPr>
              <w:fldChar w:fldCharType="separate"/>
            </w:r>
            <w:r>
              <w:rPr>
                <w:rFonts w:hint="default" w:ascii="Times New Roman" w:hAnsi="Times New Roman" w:cs="Times New Roman"/>
                <w:color w:val="auto"/>
              </w:rPr>
              <w:t>表4</w:t>
            </w:r>
            <w:r>
              <w:rPr>
                <w:rFonts w:hint="default" w:ascii="Times New Roman" w:hAnsi="Times New Roman" w:cs="Times New Roman"/>
                <w:color w:val="auto"/>
              </w:rPr>
              <w:fldChar w:fldCharType="end"/>
            </w:r>
            <w:r>
              <w:rPr>
                <w:rFonts w:hint="default" w:ascii="Times New Roman" w:hAnsi="Times New Roman" w:cs="Times New Roman"/>
                <w:color w:val="auto"/>
              </w:rPr>
              <w:t>.</w:t>
            </w:r>
            <w:r>
              <w:rPr>
                <w:rFonts w:hint="eastAsia" w:cs="Times New Roman"/>
                <w:color w:val="auto"/>
                <w:lang w:val="en-US" w:eastAsia="zh-CN"/>
              </w:rPr>
              <w:t>3</w:t>
            </w:r>
            <w:r>
              <w:rPr>
                <w:rFonts w:hint="default" w:ascii="Times New Roman" w:hAnsi="Times New Roman" w:cs="Times New Roman"/>
                <w:color w:val="auto"/>
              </w:rPr>
              <w:t>-</w:t>
            </w:r>
            <w:r>
              <w:rPr>
                <w:rFonts w:hint="default" w:ascii="Times New Roman" w:hAnsi="Times New Roman" w:cs="Times New Roman"/>
                <w:color w:val="auto"/>
                <w:lang w:val="en-US" w:eastAsia="zh-CN"/>
              </w:rPr>
              <w:t>6</w:t>
            </w:r>
            <w:r>
              <w:rPr>
                <w:rFonts w:hint="default" w:ascii="Times New Roman" w:hAnsi="Times New Roman" w:cs="Times New Roman"/>
                <w:color w:val="auto"/>
              </w:rPr>
              <w:t>。</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-6 </w:t>
            </w:r>
            <w:r>
              <w:rPr>
                <w:rFonts w:hint="default" w:ascii="Times New Roman" w:hAnsi="Times New Roman" w:cs="Times New Roman"/>
                <w:b/>
                <w:bCs/>
                <w:color w:val="auto"/>
              </w:rPr>
              <w:t>评价等级判定表</w:t>
            </w:r>
          </w:p>
          <w:tbl>
            <w:tblPr>
              <w:tblStyle w:val="26"/>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249"/>
              <w:gridCol w:w="417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1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评价工作等级</w:t>
                  </w:r>
                </w:p>
              </w:tc>
              <w:tc>
                <w:tcPr>
                  <w:tcW w:w="281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评价工作分级依据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1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一级评价</w:t>
                  </w:r>
                </w:p>
              </w:tc>
              <w:tc>
                <w:tcPr>
                  <w:tcW w:w="281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P</w:t>
                  </w:r>
                  <w:r>
                    <w:rPr>
                      <w:rFonts w:hint="default" w:ascii="Times New Roman" w:hAnsi="Times New Roman" w:cs="Times New Roman"/>
                      <w:b w:val="0"/>
                      <w:bCs w:val="0"/>
                      <w:color w:val="auto"/>
                      <w:sz w:val="21"/>
                      <w:vertAlign w:val="subscript"/>
                    </w:rPr>
                    <w:t>max</w:t>
                  </w:r>
                  <w:r>
                    <w:rPr>
                      <w:rFonts w:hint="default" w:ascii="Times New Roman" w:hAnsi="Times New Roman" w:cs="Times New Roman"/>
                      <w:b w:val="0"/>
                      <w:bCs w:val="0"/>
                      <w:color w:val="auto"/>
                      <w:sz w:val="21"/>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1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二级评价</w:t>
                  </w:r>
                </w:p>
              </w:tc>
              <w:tc>
                <w:tcPr>
                  <w:tcW w:w="281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1%≤P</w:t>
                  </w:r>
                  <w:r>
                    <w:rPr>
                      <w:rFonts w:hint="default" w:ascii="Times New Roman" w:hAnsi="Times New Roman" w:cs="Times New Roman"/>
                      <w:b w:val="0"/>
                      <w:bCs w:val="0"/>
                      <w:color w:val="auto"/>
                      <w:sz w:val="21"/>
                      <w:vertAlign w:val="subscript"/>
                    </w:rPr>
                    <w:t>max</w:t>
                  </w:r>
                  <w:r>
                    <w:rPr>
                      <w:rFonts w:hint="default" w:ascii="Times New Roman" w:hAnsi="Times New Roman" w:cs="Times New Roman"/>
                      <w:b w:val="0"/>
                      <w:bCs w:val="0"/>
                      <w:color w:val="auto"/>
                      <w:sz w:val="21"/>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1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三级评价</w:t>
                  </w:r>
                </w:p>
              </w:tc>
              <w:tc>
                <w:tcPr>
                  <w:tcW w:w="281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P</w:t>
                  </w:r>
                  <w:r>
                    <w:rPr>
                      <w:rFonts w:hint="default" w:ascii="Times New Roman" w:hAnsi="Times New Roman" w:cs="Times New Roman"/>
                      <w:b w:val="0"/>
                      <w:bCs w:val="0"/>
                      <w:color w:val="auto"/>
                      <w:sz w:val="21"/>
                      <w:vertAlign w:val="subscript"/>
                    </w:rPr>
                    <w:t>max</w:t>
                  </w:r>
                  <w:r>
                    <w:rPr>
                      <w:rFonts w:hint="default" w:ascii="Times New Roman" w:hAnsi="Times New Roman" w:cs="Times New Roman"/>
                      <w:b w:val="0"/>
                      <w:bCs w:val="0"/>
                      <w:color w:val="auto"/>
                      <w:sz w:val="21"/>
                    </w:rPr>
                    <w:t>＜1%</w:t>
                  </w:r>
                </w:p>
              </w:tc>
            </w:tr>
          </w:tbl>
          <w:p>
            <w:pPr>
              <w:pStyle w:val="61"/>
              <w:rPr>
                <w:rFonts w:hint="default" w:ascii="Times New Roman" w:hAnsi="Times New Roman" w:cs="Times New Roman"/>
                <w:color w:val="auto"/>
              </w:rPr>
            </w:pPr>
            <w:r>
              <w:rPr>
                <w:rFonts w:hint="default" w:ascii="Times New Roman" w:hAnsi="Times New Roman" w:cs="Times New Roman"/>
                <w:color w:val="auto"/>
              </w:rPr>
              <w:t>评价选用估算模式（AERSCREEN）计算各污染物的最大地面浓度，并计算各大气污染物的最大地面浓度占标率</w:t>
            </w:r>
            <w:r>
              <w:rPr>
                <w:rFonts w:hint="default" w:ascii="Times New Roman" w:hAnsi="Times New Roman" w:cs="Times New Roman"/>
                <w:i/>
                <w:color w:val="auto"/>
              </w:rPr>
              <w:t>Pi</w:t>
            </w:r>
            <w:r>
              <w:rPr>
                <w:rFonts w:hint="default" w:ascii="Times New Roman" w:hAnsi="Times New Roman" w:cs="Times New Roman"/>
                <w:color w:val="auto"/>
              </w:rPr>
              <w:t>。</w:t>
            </w:r>
          </w:p>
          <w:p>
            <w:pPr>
              <w:pStyle w:val="61"/>
              <w:rPr>
                <w:rFonts w:hint="default" w:ascii="Times New Roman" w:hAnsi="Times New Roman" w:cs="Times New Roman"/>
                <w:color w:val="auto"/>
              </w:rPr>
            </w:pPr>
            <w:r>
              <w:rPr>
                <w:rFonts w:hint="default" w:ascii="Times New Roman" w:hAnsi="Times New Roman" w:cs="Times New Roman"/>
                <w:color w:val="auto"/>
              </w:rPr>
              <w:t>（4）估算模型参数</w:t>
            </w:r>
          </w:p>
          <w:p>
            <w:pPr>
              <w:pStyle w:val="61"/>
              <w:rPr>
                <w:rFonts w:hint="default" w:ascii="Times New Roman" w:hAnsi="Times New Roman" w:cs="Times New Roman"/>
                <w:color w:val="auto"/>
              </w:rPr>
            </w:pPr>
            <w:r>
              <w:rPr>
                <w:rFonts w:hint="default" w:ascii="Times New Roman" w:hAnsi="Times New Roman" w:cs="Times New Roman"/>
                <w:color w:val="auto"/>
              </w:rPr>
              <w:t>本项目估算模型参数表详见</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REF _Ref54260059 \r \h </w:instrText>
            </w:r>
            <w:r>
              <w:rPr>
                <w:rFonts w:hint="default" w:ascii="Times New Roman" w:hAnsi="Times New Roman" w:cs="Times New Roman"/>
                <w:color w:val="auto"/>
              </w:rPr>
              <w:fldChar w:fldCharType="separate"/>
            </w:r>
            <w:r>
              <w:rPr>
                <w:rFonts w:hint="default" w:ascii="Times New Roman" w:hAnsi="Times New Roman" w:cs="Times New Roman"/>
                <w:color w:val="auto"/>
              </w:rPr>
              <w:t>表4</w:t>
            </w:r>
            <w:r>
              <w:rPr>
                <w:rFonts w:hint="default" w:ascii="Times New Roman" w:hAnsi="Times New Roman" w:cs="Times New Roman"/>
                <w:color w:val="auto"/>
              </w:rPr>
              <w:fldChar w:fldCharType="end"/>
            </w:r>
            <w:r>
              <w:rPr>
                <w:rFonts w:hint="default" w:ascii="Times New Roman" w:hAnsi="Times New Roman" w:cs="Times New Roman"/>
                <w:color w:val="auto"/>
              </w:rPr>
              <w:t>.</w:t>
            </w:r>
            <w:r>
              <w:rPr>
                <w:rFonts w:hint="eastAsia" w:cs="Times New Roman"/>
                <w:color w:val="auto"/>
                <w:lang w:val="en-US" w:eastAsia="zh-CN"/>
              </w:rPr>
              <w:t>3</w:t>
            </w:r>
            <w:r>
              <w:rPr>
                <w:rFonts w:hint="default" w:ascii="Times New Roman" w:hAnsi="Times New Roman" w:cs="Times New Roman"/>
                <w:color w:val="auto"/>
                <w:lang w:val="en-US" w:eastAsia="zh-CN"/>
              </w:rPr>
              <w:t>-7</w:t>
            </w:r>
            <w:r>
              <w:rPr>
                <w:rFonts w:hint="default" w:ascii="Times New Roman" w:hAnsi="Times New Roman" w:cs="Times New Roman"/>
                <w:color w:val="auto"/>
              </w:rPr>
              <w:t>。</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-7 </w:t>
            </w:r>
            <w:r>
              <w:rPr>
                <w:rFonts w:hint="default" w:ascii="Times New Roman" w:hAnsi="Times New Roman" w:cs="Times New Roman"/>
                <w:b/>
                <w:bCs/>
                <w:color w:val="auto"/>
              </w:rPr>
              <w:t>估算模型参数表</w:t>
            </w:r>
          </w:p>
          <w:tbl>
            <w:tblPr>
              <w:tblStyle w:val="26"/>
              <w:tblW w:w="499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2052"/>
              <w:gridCol w:w="2701"/>
              <w:gridCol w:w="267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320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8"/>
                    </w:rPr>
                  </w:pPr>
                  <w:r>
                    <w:rPr>
                      <w:rFonts w:hint="default" w:ascii="Times New Roman" w:hAnsi="Times New Roman" w:cs="Times New Roman"/>
                      <w:b/>
                      <w:bCs/>
                      <w:color w:val="auto"/>
                      <w:sz w:val="21"/>
                      <w:szCs w:val="28"/>
                    </w:rPr>
                    <w:t>参数</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8"/>
                    </w:rPr>
                  </w:pPr>
                  <w:r>
                    <w:rPr>
                      <w:rFonts w:hint="default" w:ascii="Times New Roman" w:hAnsi="Times New Roman" w:cs="Times New Roman"/>
                      <w:b/>
                      <w:bCs/>
                      <w:color w:val="auto"/>
                      <w:sz w:val="21"/>
                      <w:szCs w:val="28"/>
                    </w:rPr>
                    <w:t>取值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138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城市/农村选项</w:t>
                  </w:r>
                </w:p>
              </w:tc>
              <w:tc>
                <w:tcPr>
                  <w:tcW w:w="18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城市/农村</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城市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138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p>
              </w:tc>
              <w:tc>
                <w:tcPr>
                  <w:tcW w:w="18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人口数（城市选项时）</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8"/>
                      <w:lang w:eastAsia="zh-CN"/>
                    </w:rPr>
                  </w:pPr>
                  <w:r>
                    <w:rPr>
                      <w:rFonts w:hint="default" w:ascii="Times New Roman" w:hAnsi="Times New Roman" w:cs="Times New Roman"/>
                      <w:color w:val="auto"/>
                      <w:sz w:val="21"/>
                      <w:szCs w:val="28"/>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320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最高环境温度/℃</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39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320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最低环境温度/℃</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8"/>
                      <w:lang w:val="en-US" w:eastAsia="zh-CN"/>
                    </w:rPr>
                  </w:pPr>
                  <w:r>
                    <w:rPr>
                      <w:rFonts w:hint="default" w:ascii="Times New Roman" w:hAnsi="Times New Roman" w:cs="Times New Roman"/>
                      <w:color w:val="auto"/>
                      <w:sz w:val="21"/>
                      <w:szCs w:val="28"/>
                    </w:rPr>
                    <w:t>-</w:t>
                  </w:r>
                  <w:r>
                    <w:rPr>
                      <w:rFonts w:hint="default" w:ascii="Times New Roman" w:hAnsi="Times New Roman" w:cs="Times New Roman"/>
                      <w:color w:val="auto"/>
                      <w:sz w:val="21"/>
                      <w:szCs w:val="28"/>
                      <w:lang w:val="en-US" w:eastAsia="zh-CN"/>
                    </w:rPr>
                    <w:t>0.6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320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允许使用的最小风速/m/s</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0.50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320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土地利用类型</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城市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320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区域湿度条件</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潮湿气候</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138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是否考虑地形</w:t>
                  </w:r>
                </w:p>
              </w:tc>
              <w:tc>
                <w:tcPr>
                  <w:tcW w:w="18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考虑地形</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 xml:space="preserve">□是  </w:t>
                  </w:r>
                  <w:r>
                    <w:rPr>
                      <w:rFonts w:hint="default" w:ascii="Times New Roman" w:hAnsi="Times New Roman" w:cs="Times New Roman"/>
                      <w:color w:val="auto"/>
                      <w:sz w:val="21"/>
                      <w:szCs w:val="28"/>
                    </w:rPr>
                    <w:sym w:font="Wingdings 2" w:char="0052"/>
                  </w:r>
                  <w:r>
                    <w:rPr>
                      <w:rFonts w:hint="default" w:ascii="Times New Roman" w:hAnsi="Times New Roman" w:cs="Times New Roman"/>
                      <w:color w:val="auto"/>
                      <w:sz w:val="21"/>
                      <w:szCs w:val="28"/>
                    </w:rPr>
                    <w:t>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138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p>
              </w:tc>
              <w:tc>
                <w:tcPr>
                  <w:tcW w:w="18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地形数据分辨率/m</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138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是否考虑海岸线熏烟</w:t>
                  </w:r>
                </w:p>
              </w:tc>
              <w:tc>
                <w:tcPr>
                  <w:tcW w:w="18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考虑岸边熏烟</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□是    √否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138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p>
              </w:tc>
              <w:tc>
                <w:tcPr>
                  <w:tcW w:w="18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海岸线距离/m</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138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p>
              </w:tc>
              <w:tc>
                <w:tcPr>
                  <w:tcW w:w="181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海岸线方向/°</w:t>
                  </w:r>
                </w:p>
              </w:tc>
              <w:tc>
                <w:tcPr>
                  <w:tcW w:w="179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8"/>
                    </w:rPr>
                  </w:pPr>
                  <w:r>
                    <w:rPr>
                      <w:rFonts w:hint="default" w:ascii="Times New Roman" w:hAnsi="Times New Roman" w:cs="Times New Roman"/>
                      <w:color w:val="auto"/>
                      <w:sz w:val="21"/>
                      <w:szCs w:val="28"/>
                    </w:rPr>
                    <w:t>/</w:t>
                  </w:r>
                </w:p>
              </w:tc>
            </w:tr>
          </w:tbl>
          <w:p>
            <w:pPr>
              <w:pStyle w:val="61"/>
              <w:rPr>
                <w:rFonts w:hint="default" w:ascii="Times New Roman" w:hAnsi="Times New Roman" w:cs="Times New Roman"/>
                <w:color w:val="auto"/>
              </w:rPr>
            </w:pPr>
            <w:r>
              <w:rPr>
                <w:rFonts w:hint="default" w:ascii="Times New Roman" w:hAnsi="Times New Roman" w:cs="Times New Roman"/>
                <w:color w:val="auto"/>
              </w:rPr>
              <w:t>（5）评价工作等级分级结果</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-8 </w:t>
            </w:r>
            <w:r>
              <w:rPr>
                <w:rFonts w:hint="default" w:ascii="Times New Roman" w:hAnsi="Times New Roman" w:cs="Times New Roman"/>
                <w:b/>
                <w:bCs/>
                <w:color w:val="auto"/>
              </w:rPr>
              <w:t>大气环境影响评价工作等级分级结果</w:t>
            </w:r>
          </w:p>
          <w:tbl>
            <w:tblPr>
              <w:tblStyle w:val="26"/>
              <w:tblpPr w:leftFromText="180" w:rightFromText="180" w:vertAnchor="text" w:tblpXSpec="center" w:tblpY="1"/>
              <w:tblOverlap w:val="never"/>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1141"/>
              <w:gridCol w:w="976"/>
              <w:gridCol w:w="893"/>
              <w:gridCol w:w="804"/>
              <w:gridCol w:w="802"/>
              <w:gridCol w:w="1192"/>
              <w:gridCol w:w="807"/>
              <w:gridCol w:w="80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68" w:type="pct"/>
                  <w:noWrap w:val="0"/>
                  <w:tcMar>
                    <w:top w:w="15" w:type="dxa"/>
                    <w:left w:w="15" w:type="dxa"/>
                    <w:right w:w="15" w:type="dxa"/>
                  </w:tcMar>
                  <w:vAlign w:val="center"/>
                </w:tcPr>
                <w:p>
                  <w:pPr>
                    <w:pStyle w:val="60"/>
                    <w:rPr>
                      <w:rFonts w:hint="default" w:ascii="Times New Roman" w:hAnsi="Times New Roman" w:cs="Times New Roman"/>
                      <w:b/>
                      <w:bCs/>
                      <w:color w:val="auto"/>
                    </w:rPr>
                  </w:pPr>
                  <w:r>
                    <w:rPr>
                      <w:rFonts w:hint="default" w:ascii="Times New Roman" w:hAnsi="Times New Roman" w:cs="Times New Roman"/>
                      <w:b/>
                      <w:bCs/>
                      <w:color w:val="auto"/>
                    </w:rPr>
                    <w:t>污染源</w:t>
                  </w:r>
                </w:p>
              </w:tc>
              <w:tc>
                <w:tcPr>
                  <w:tcW w:w="657" w:type="pct"/>
                  <w:noWrap w:val="0"/>
                  <w:tcMar>
                    <w:top w:w="15" w:type="dxa"/>
                    <w:left w:w="15" w:type="dxa"/>
                    <w:right w:w="15" w:type="dxa"/>
                  </w:tcMar>
                  <w:vAlign w:val="center"/>
                </w:tcPr>
                <w:p>
                  <w:pPr>
                    <w:pStyle w:val="60"/>
                    <w:rPr>
                      <w:rFonts w:hint="default" w:ascii="Times New Roman" w:hAnsi="Times New Roman" w:cs="Times New Roman"/>
                      <w:b/>
                      <w:bCs/>
                      <w:color w:val="auto"/>
                    </w:rPr>
                  </w:pPr>
                  <w:r>
                    <w:rPr>
                      <w:rFonts w:hint="default" w:ascii="Times New Roman" w:hAnsi="Times New Roman" w:cs="Times New Roman"/>
                      <w:b/>
                      <w:bCs/>
                      <w:color w:val="auto"/>
                    </w:rPr>
                    <w:t>污染因子</w:t>
                  </w:r>
                </w:p>
              </w:tc>
              <w:tc>
                <w:tcPr>
                  <w:tcW w:w="601" w:type="pct"/>
                  <w:noWrap w:val="0"/>
                  <w:tcMar>
                    <w:top w:w="15" w:type="dxa"/>
                    <w:left w:w="15" w:type="dxa"/>
                    <w:right w:w="15" w:type="dxa"/>
                  </w:tcMar>
                  <w:vAlign w:val="center"/>
                </w:tcPr>
                <w:p>
                  <w:pPr>
                    <w:pStyle w:val="60"/>
                    <w:rPr>
                      <w:rFonts w:hint="default" w:ascii="Times New Roman" w:hAnsi="Times New Roman" w:cs="Times New Roman"/>
                      <w:b/>
                      <w:bCs/>
                      <w:color w:val="auto"/>
                    </w:rPr>
                  </w:pPr>
                  <w:r>
                    <w:rPr>
                      <w:rFonts w:hint="default" w:ascii="Times New Roman" w:hAnsi="Times New Roman" w:cs="Times New Roman"/>
                      <w:b/>
                      <w:bCs/>
                      <w:color w:val="auto"/>
                    </w:rPr>
                    <w:t>最大落地浓度（ug/</w:t>
                  </w:r>
                  <w:r>
                    <w:rPr>
                      <w:rFonts w:hint="default" w:ascii="Times New Roman" w:hAnsi="Times New Roman" w:cs="Times New Roman"/>
                      <w:b/>
                      <w:bCs/>
                      <w:color w:val="auto"/>
                      <w:szCs w:val="24"/>
                    </w:rPr>
                    <w:t>m</w:t>
                  </w:r>
                  <w:r>
                    <w:rPr>
                      <w:rFonts w:hint="default" w:ascii="Times New Roman" w:hAnsi="Times New Roman" w:cs="Times New Roman"/>
                      <w:b/>
                      <w:bCs/>
                      <w:color w:val="auto"/>
                      <w:szCs w:val="24"/>
                      <w:vertAlign w:val="superscript"/>
                    </w:rPr>
                    <w:t>3</w:t>
                  </w:r>
                  <w:r>
                    <w:rPr>
                      <w:rFonts w:hint="default" w:ascii="Times New Roman" w:hAnsi="Times New Roman" w:cs="Times New Roman"/>
                      <w:b/>
                      <w:bCs/>
                      <w:color w:val="auto"/>
                    </w:rPr>
                    <w:t>）</w:t>
                  </w:r>
                </w:p>
              </w:tc>
              <w:tc>
                <w:tcPr>
                  <w:tcW w:w="541" w:type="pct"/>
                  <w:noWrap w:val="0"/>
                  <w:tcMar>
                    <w:top w:w="15" w:type="dxa"/>
                    <w:left w:w="15" w:type="dxa"/>
                    <w:right w:w="15" w:type="dxa"/>
                  </w:tcMar>
                  <w:vAlign w:val="center"/>
                </w:tcPr>
                <w:p>
                  <w:pPr>
                    <w:pStyle w:val="60"/>
                    <w:rPr>
                      <w:rFonts w:hint="default" w:ascii="Times New Roman" w:hAnsi="Times New Roman" w:cs="Times New Roman"/>
                      <w:b/>
                      <w:bCs/>
                      <w:color w:val="auto"/>
                    </w:rPr>
                  </w:pPr>
                  <w:r>
                    <w:rPr>
                      <w:rFonts w:hint="default" w:ascii="Times New Roman" w:hAnsi="Times New Roman" w:cs="Times New Roman"/>
                      <w:b/>
                      <w:bCs/>
                      <w:color w:val="auto"/>
                    </w:rPr>
                    <w:t>最大浓度落地点（m）</w:t>
                  </w:r>
                </w:p>
              </w:tc>
              <w:tc>
                <w:tcPr>
                  <w:tcW w:w="540" w:type="pct"/>
                  <w:noWrap w:val="0"/>
                  <w:tcMar>
                    <w:top w:w="15" w:type="dxa"/>
                    <w:left w:w="15" w:type="dxa"/>
                    <w:right w:w="15" w:type="dxa"/>
                  </w:tcMar>
                  <w:vAlign w:val="center"/>
                </w:tcPr>
                <w:p>
                  <w:pPr>
                    <w:pStyle w:val="60"/>
                    <w:rPr>
                      <w:rFonts w:hint="default" w:ascii="Times New Roman" w:hAnsi="Times New Roman" w:cs="Times New Roman"/>
                      <w:b/>
                      <w:bCs/>
                      <w:color w:val="auto"/>
                    </w:rPr>
                  </w:pPr>
                  <w:r>
                    <w:rPr>
                      <w:rFonts w:hint="default" w:ascii="Times New Roman" w:hAnsi="Times New Roman" w:cs="Times New Roman"/>
                      <w:b/>
                      <w:bCs/>
                      <w:color w:val="auto"/>
                    </w:rPr>
                    <w:t>评价标准（ug/</w:t>
                  </w:r>
                  <w:r>
                    <w:rPr>
                      <w:rFonts w:hint="default" w:ascii="Times New Roman" w:hAnsi="Times New Roman" w:cs="Times New Roman"/>
                      <w:b/>
                      <w:bCs/>
                      <w:color w:val="auto"/>
                      <w:szCs w:val="24"/>
                    </w:rPr>
                    <w:t>m</w:t>
                  </w:r>
                  <w:r>
                    <w:rPr>
                      <w:rFonts w:hint="default" w:ascii="Times New Roman" w:hAnsi="Times New Roman" w:cs="Times New Roman"/>
                      <w:b/>
                      <w:bCs/>
                      <w:color w:val="auto"/>
                      <w:szCs w:val="24"/>
                      <w:vertAlign w:val="superscript"/>
                    </w:rPr>
                    <w:t>3</w:t>
                  </w:r>
                  <w:r>
                    <w:rPr>
                      <w:rFonts w:hint="default" w:ascii="Times New Roman" w:hAnsi="Times New Roman" w:cs="Times New Roman"/>
                      <w:b/>
                      <w:bCs/>
                      <w:color w:val="auto"/>
                    </w:rPr>
                    <w:t>）</w:t>
                  </w:r>
                </w:p>
              </w:tc>
              <w:tc>
                <w:tcPr>
                  <w:tcW w:w="802" w:type="pct"/>
                  <w:noWrap w:val="0"/>
                  <w:tcMar>
                    <w:top w:w="15" w:type="dxa"/>
                    <w:left w:w="15" w:type="dxa"/>
                    <w:right w:w="15" w:type="dxa"/>
                  </w:tcMar>
                  <w:vAlign w:val="center"/>
                </w:tcPr>
                <w:p>
                  <w:pPr>
                    <w:pStyle w:val="60"/>
                    <w:rPr>
                      <w:rFonts w:hint="default" w:ascii="Times New Roman" w:hAnsi="Times New Roman" w:cs="Times New Roman"/>
                      <w:b/>
                      <w:bCs/>
                      <w:color w:val="auto"/>
                    </w:rPr>
                  </w:pPr>
                  <w:r>
                    <w:rPr>
                      <w:rFonts w:hint="default" w:ascii="Times New Roman" w:hAnsi="Times New Roman" w:cs="Times New Roman"/>
                      <w:b/>
                      <w:bCs/>
                      <w:color w:val="auto"/>
                    </w:rPr>
                    <w:t>占标率（%）</w:t>
                  </w:r>
                </w:p>
              </w:tc>
              <w:tc>
                <w:tcPr>
                  <w:tcW w:w="543" w:type="pct"/>
                  <w:noWrap w:val="0"/>
                  <w:tcMar>
                    <w:top w:w="15" w:type="dxa"/>
                    <w:left w:w="15" w:type="dxa"/>
                    <w:right w:w="15" w:type="dxa"/>
                  </w:tcMar>
                  <w:vAlign w:val="center"/>
                </w:tcPr>
                <w:p>
                  <w:pPr>
                    <w:pStyle w:val="60"/>
                    <w:rPr>
                      <w:rFonts w:hint="default" w:ascii="Times New Roman" w:hAnsi="Times New Roman" w:cs="Times New Roman"/>
                      <w:b/>
                      <w:bCs/>
                      <w:color w:val="auto"/>
                    </w:rPr>
                  </w:pPr>
                  <w:r>
                    <w:rPr>
                      <w:rFonts w:hint="default" w:ascii="Times New Roman" w:hAnsi="Times New Roman" w:cs="Times New Roman"/>
                      <w:b/>
                      <w:bCs/>
                      <w:color w:val="auto"/>
                    </w:rPr>
                    <w:t>D10%（m）</w:t>
                  </w:r>
                </w:p>
              </w:tc>
              <w:tc>
                <w:tcPr>
                  <w:tcW w:w="543" w:type="pct"/>
                  <w:noWrap w:val="0"/>
                  <w:tcMar>
                    <w:top w:w="15" w:type="dxa"/>
                    <w:left w:w="15" w:type="dxa"/>
                    <w:right w:w="15" w:type="dxa"/>
                  </w:tcMar>
                  <w:vAlign w:val="center"/>
                </w:tcPr>
                <w:p>
                  <w:pPr>
                    <w:pStyle w:val="60"/>
                    <w:rPr>
                      <w:rFonts w:hint="default" w:ascii="Times New Roman" w:hAnsi="Times New Roman" w:cs="Times New Roman"/>
                      <w:b/>
                      <w:bCs/>
                      <w:color w:val="auto"/>
                    </w:rPr>
                  </w:pPr>
                  <w:r>
                    <w:rPr>
                      <w:rFonts w:hint="default" w:ascii="Times New Roman" w:hAnsi="Times New Roman" w:cs="Times New Roman"/>
                      <w:b/>
                      <w:bCs/>
                      <w:color w:val="auto"/>
                    </w:rPr>
                    <w:t>推荐评价等级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68" w:type="pct"/>
                  <w:vMerge w:val="restar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污水站废气</w:t>
                  </w:r>
                </w:p>
              </w:tc>
              <w:tc>
                <w:tcPr>
                  <w:tcW w:w="657" w:type="pc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氨</w:t>
                  </w:r>
                </w:p>
              </w:tc>
              <w:tc>
                <w:tcPr>
                  <w:tcW w:w="601" w:type="pct"/>
                  <w:noWrap w:val="0"/>
                  <w:tcMar>
                    <w:top w:w="15" w:type="dxa"/>
                    <w:left w:w="15" w:type="dxa"/>
                    <w:right w:w="15" w:type="dxa"/>
                  </w:tcMar>
                  <w:vAlign w:val="center"/>
                </w:tcPr>
                <w:p>
                  <w:pPr>
                    <w:pStyle w:val="6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0.0012</w:t>
                  </w:r>
                </w:p>
              </w:tc>
              <w:tc>
                <w:tcPr>
                  <w:tcW w:w="541" w:type="pct"/>
                  <w:vMerge w:val="restart"/>
                  <w:noWrap w:val="0"/>
                  <w:tcMar>
                    <w:top w:w="15" w:type="dxa"/>
                    <w:left w:w="15" w:type="dxa"/>
                    <w:right w:w="15" w:type="dxa"/>
                  </w:tcMar>
                  <w:vAlign w:val="center"/>
                </w:tcPr>
                <w:p>
                  <w:pPr>
                    <w:pStyle w:val="6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56</w:t>
                  </w:r>
                </w:p>
              </w:tc>
              <w:tc>
                <w:tcPr>
                  <w:tcW w:w="540" w:type="pc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200</w:t>
                  </w:r>
                </w:p>
              </w:tc>
              <w:tc>
                <w:tcPr>
                  <w:tcW w:w="802" w:type="pct"/>
                  <w:noWrap w:val="0"/>
                  <w:tcMar>
                    <w:top w:w="15" w:type="dxa"/>
                    <w:left w:w="15" w:type="dxa"/>
                    <w:right w:w="15" w:type="dxa"/>
                  </w:tcMar>
                  <w:vAlign w:val="center"/>
                </w:tcPr>
                <w:p>
                  <w:pPr>
                    <w:pStyle w:val="6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61</w:t>
                  </w:r>
                </w:p>
              </w:tc>
              <w:tc>
                <w:tcPr>
                  <w:tcW w:w="543" w:type="pc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0</w:t>
                  </w:r>
                </w:p>
              </w:tc>
              <w:tc>
                <w:tcPr>
                  <w:tcW w:w="543" w:type="pc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三级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768" w:type="pct"/>
                  <w:vMerge w:val="continue"/>
                  <w:noWrap w:val="0"/>
                  <w:tcMar>
                    <w:top w:w="15" w:type="dxa"/>
                    <w:left w:w="15" w:type="dxa"/>
                    <w:right w:w="15" w:type="dxa"/>
                  </w:tcMar>
                  <w:vAlign w:val="center"/>
                </w:tcPr>
                <w:p>
                  <w:pPr>
                    <w:pStyle w:val="60"/>
                    <w:rPr>
                      <w:rFonts w:hint="default" w:ascii="Times New Roman" w:hAnsi="Times New Roman" w:cs="Times New Roman"/>
                      <w:color w:val="auto"/>
                    </w:rPr>
                  </w:pPr>
                </w:p>
              </w:tc>
              <w:tc>
                <w:tcPr>
                  <w:tcW w:w="657" w:type="pc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硫化氢</w:t>
                  </w:r>
                </w:p>
              </w:tc>
              <w:tc>
                <w:tcPr>
                  <w:tcW w:w="601" w:type="pct"/>
                  <w:noWrap w:val="0"/>
                  <w:tcMar>
                    <w:top w:w="15" w:type="dxa"/>
                    <w:left w:w="15" w:type="dxa"/>
                    <w:right w:w="15" w:type="dxa"/>
                  </w:tcMar>
                  <w:vAlign w:val="center"/>
                </w:tcPr>
                <w:p>
                  <w:pPr>
                    <w:pStyle w:val="6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4.042E-5</w:t>
                  </w:r>
                </w:p>
              </w:tc>
              <w:tc>
                <w:tcPr>
                  <w:tcW w:w="541" w:type="pct"/>
                  <w:vMerge w:val="continue"/>
                  <w:noWrap w:val="0"/>
                  <w:tcMar>
                    <w:top w:w="15" w:type="dxa"/>
                    <w:left w:w="15" w:type="dxa"/>
                    <w:right w:w="15" w:type="dxa"/>
                  </w:tcMar>
                  <w:vAlign w:val="center"/>
                </w:tcPr>
                <w:p>
                  <w:pPr>
                    <w:pStyle w:val="60"/>
                    <w:rPr>
                      <w:rFonts w:hint="default" w:ascii="Times New Roman" w:hAnsi="Times New Roman" w:cs="Times New Roman"/>
                      <w:color w:val="auto"/>
                    </w:rPr>
                  </w:pPr>
                </w:p>
              </w:tc>
              <w:tc>
                <w:tcPr>
                  <w:tcW w:w="540" w:type="pc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10</w:t>
                  </w:r>
                </w:p>
              </w:tc>
              <w:tc>
                <w:tcPr>
                  <w:tcW w:w="802" w:type="pct"/>
                  <w:noWrap w:val="0"/>
                  <w:tcMar>
                    <w:top w:w="15" w:type="dxa"/>
                    <w:left w:w="15" w:type="dxa"/>
                    <w:right w:w="15" w:type="dxa"/>
                  </w:tcMar>
                  <w:vAlign w:val="center"/>
                </w:tcPr>
                <w:p>
                  <w:pPr>
                    <w:pStyle w:val="6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40</w:t>
                  </w:r>
                </w:p>
              </w:tc>
              <w:tc>
                <w:tcPr>
                  <w:tcW w:w="543" w:type="pc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0</w:t>
                  </w:r>
                </w:p>
              </w:tc>
              <w:tc>
                <w:tcPr>
                  <w:tcW w:w="543" w:type="pct"/>
                  <w:noWrap w:val="0"/>
                  <w:tcMar>
                    <w:top w:w="15" w:type="dxa"/>
                    <w:left w:w="15" w:type="dxa"/>
                    <w:right w:w="15" w:type="dxa"/>
                  </w:tcMar>
                  <w:vAlign w:val="center"/>
                </w:tcPr>
                <w:p>
                  <w:pPr>
                    <w:pStyle w:val="60"/>
                    <w:rPr>
                      <w:rFonts w:hint="default" w:ascii="Times New Roman" w:hAnsi="Times New Roman" w:cs="Times New Roman"/>
                      <w:color w:val="auto"/>
                    </w:rPr>
                  </w:pPr>
                  <w:r>
                    <w:rPr>
                      <w:rFonts w:hint="default" w:ascii="Times New Roman" w:hAnsi="Times New Roman" w:cs="Times New Roman"/>
                      <w:color w:val="auto"/>
                    </w:rPr>
                    <w:t>三级</w:t>
                  </w:r>
                </w:p>
              </w:tc>
            </w:tr>
          </w:tbl>
          <w:p>
            <w:pPr>
              <w:pStyle w:val="61"/>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6</w:t>
            </w:r>
            <w:r>
              <w:rPr>
                <w:rFonts w:hint="default" w:ascii="Times New Roman" w:hAnsi="Times New Roman" w:cs="Times New Roman"/>
                <w:color w:val="auto"/>
              </w:rPr>
              <w:t>）等级判定结论</w:t>
            </w:r>
          </w:p>
          <w:p>
            <w:pPr>
              <w:pStyle w:val="61"/>
              <w:rPr>
                <w:rFonts w:hint="default" w:ascii="Times New Roman" w:hAnsi="Times New Roman" w:cs="Times New Roman"/>
                <w:color w:val="auto"/>
              </w:rPr>
            </w:pPr>
            <w:r>
              <w:rPr>
                <w:rFonts w:hint="default" w:ascii="Times New Roman" w:hAnsi="Times New Roman" w:cs="Times New Roman"/>
                <w:color w:val="auto"/>
              </w:rPr>
              <w:t>根据估算模式计算结果及《环境影响评价技术导则大气环境》（HJ2.2-2018）中5.3.3.1条规定：“同一项目有多个污染源（两个及以上，下同）时，则按各污染源分别确定评价等级，并取评价等级最高者作为项目的评价等级”，项目排放的各废气污染源中，筛选计算各污染源中占标率最大源为</w:t>
            </w:r>
            <w:r>
              <w:rPr>
                <w:rFonts w:hint="default" w:ascii="Times New Roman" w:hAnsi="Times New Roman" w:cs="Times New Roman"/>
                <w:color w:val="auto"/>
                <w:lang w:val="en-US" w:eastAsia="zh-CN"/>
              </w:rPr>
              <w:t>污水站有组织排放的废气氨气</w:t>
            </w:r>
            <w:r>
              <w:rPr>
                <w:rFonts w:hint="default" w:ascii="Times New Roman" w:hAnsi="Times New Roman" w:cs="Times New Roman"/>
                <w:color w:val="auto"/>
              </w:rPr>
              <w:t>，其对应Pmax=0.</w:t>
            </w:r>
            <w:r>
              <w:rPr>
                <w:rFonts w:hint="default" w:ascii="Times New Roman" w:hAnsi="Times New Roman" w:cs="Times New Roman"/>
                <w:color w:val="auto"/>
                <w:lang w:val="en-US" w:eastAsia="zh-CN"/>
              </w:rPr>
              <w:t>61</w:t>
            </w:r>
            <w:r>
              <w:rPr>
                <w:rFonts w:hint="default" w:ascii="Times New Roman" w:hAnsi="Times New Roman" w:cs="Times New Roman"/>
                <w:color w:val="auto"/>
              </w:rPr>
              <w:t>%＜1%。</w:t>
            </w:r>
          </w:p>
          <w:p>
            <w:pPr>
              <w:pStyle w:val="61"/>
              <w:ind w:firstLine="482"/>
              <w:rPr>
                <w:rFonts w:hint="default" w:ascii="Times New Roman" w:hAnsi="Times New Roman" w:cs="Times New Roman"/>
                <w:b w:val="0"/>
                <w:bCs w:val="0"/>
                <w:color w:val="auto"/>
              </w:rPr>
            </w:pPr>
            <w:r>
              <w:rPr>
                <w:rFonts w:hint="default" w:ascii="Times New Roman" w:hAnsi="Times New Roman" w:cs="Times New Roman"/>
                <w:b w:val="0"/>
                <w:bCs w:val="0"/>
                <w:color w:val="auto"/>
              </w:rPr>
              <w:t>根据《环境影响评价技术导则大气环境》（HJ2.2-2018），确定本项目大气环境影响评价工作等级为三级，</w:t>
            </w:r>
          </w:p>
          <w:p>
            <w:pPr>
              <w:pStyle w:val="61"/>
              <w:ind w:firstLine="482"/>
              <w:rPr>
                <w:rFonts w:hint="default" w:ascii="Times New Roman" w:hAnsi="Times New Roman" w:cs="Times New Roman"/>
                <w:b w:val="0"/>
                <w:bCs w:val="0"/>
                <w:color w:val="auto"/>
              </w:rPr>
            </w:pPr>
            <w:r>
              <w:rPr>
                <w:rFonts w:hint="default" w:ascii="Times New Roman" w:hAnsi="Times New Roman" w:cs="Times New Roman"/>
                <w:b w:val="0"/>
                <w:bCs w:val="0"/>
                <w:color w:val="auto"/>
              </w:rPr>
              <w:t>评价范围确定：三级评价项目不需设置大气环境影响评价范围</w:t>
            </w:r>
          </w:p>
          <w:p>
            <w:pPr>
              <w:pStyle w:val="10"/>
              <w:ind w:left="0" w:leftChars="0" w:firstLine="0" w:firstLineChars="0"/>
              <w:rPr>
                <w:rFonts w:hint="default" w:ascii="Times New Roman" w:hAnsi="Times New Roman" w:cs="Times New Roman"/>
                <w:b/>
                <w:bCs/>
                <w:color w:val="auto"/>
              </w:rPr>
            </w:pPr>
            <w:r>
              <w:rPr>
                <w:rFonts w:hint="default" w:ascii="Times New Roman" w:hAnsi="Times New Roman" w:cs="Times New Roman"/>
                <w:b w:val="0"/>
                <w:bCs w:val="0"/>
                <w:color w:val="auto"/>
              </w:rPr>
              <w:t>大气环境影响预测与评价：三级评价项目不进行进一步预测与评价。</w:t>
            </w:r>
          </w:p>
          <w:p>
            <w:pPr>
              <w:pStyle w:val="61"/>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7</w:t>
            </w:r>
            <w:r>
              <w:rPr>
                <w:rFonts w:hint="default" w:ascii="Times New Roman" w:hAnsi="Times New Roman" w:cs="Times New Roman"/>
                <w:color w:val="auto"/>
              </w:rPr>
              <w:t>）大气环境防护距离</w:t>
            </w:r>
          </w:p>
          <w:p>
            <w:pPr>
              <w:pStyle w:val="61"/>
              <w:rPr>
                <w:rFonts w:hint="default" w:ascii="Times New Roman" w:hAnsi="Times New Roman" w:cs="Times New Roman"/>
                <w:color w:val="auto"/>
              </w:rPr>
            </w:pPr>
            <w:r>
              <w:rPr>
                <w:rFonts w:hint="default" w:ascii="Times New Roman" w:hAnsi="Times New Roman" w:cs="Times New Roman"/>
                <w:color w:val="auto"/>
              </w:rPr>
              <w:t>对照《环境影响评价技术导则 大气环境》（HJ2.2-2018）中“8.7.5.1 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根据预测结果，本项目最大落地浓度污染物为</w:t>
            </w:r>
            <w:r>
              <w:rPr>
                <w:rFonts w:hint="default" w:ascii="Times New Roman" w:hAnsi="Times New Roman" w:cs="Times New Roman"/>
                <w:color w:val="auto"/>
                <w:lang w:val="en-US" w:eastAsia="zh-CN"/>
              </w:rPr>
              <w:t>氨气</w:t>
            </w:r>
            <w:r>
              <w:rPr>
                <w:rFonts w:hint="default" w:ascii="Times New Roman" w:hAnsi="Times New Roman" w:cs="Times New Roman"/>
                <w:color w:val="auto"/>
              </w:rPr>
              <w:t>，其最大落地浓度0.</w:t>
            </w:r>
            <w:r>
              <w:rPr>
                <w:rFonts w:hint="default" w:ascii="Times New Roman" w:hAnsi="Times New Roman" w:cs="Times New Roman"/>
                <w:color w:val="auto"/>
                <w:lang w:val="en-US" w:eastAsia="zh-CN"/>
              </w:rPr>
              <w:t>0.0012</w:t>
            </w:r>
            <w:r>
              <w:rPr>
                <w:rFonts w:hint="default" w:ascii="Times New Roman" w:hAnsi="Times New Roman" w:cs="Times New Roman"/>
                <w:color w:val="auto"/>
              </w:rPr>
              <w:t>ug/m</w:t>
            </w:r>
            <w:r>
              <w:rPr>
                <w:rFonts w:hint="default" w:ascii="Times New Roman" w:hAnsi="Times New Roman" w:cs="Times New Roman"/>
                <w:color w:val="auto"/>
                <w:vertAlign w:val="superscript"/>
              </w:rPr>
              <w:t>3</w:t>
            </w:r>
            <w:r>
              <w:rPr>
                <w:rFonts w:hint="default" w:ascii="Times New Roman" w:hAnsi="Times New Roman" w:cs="Times New Roman"/>
                <w:color w:val="auto"/>
              </w:rPr>
              <w:t>远小于环境质量浓度200ug/m</w:t>
            </w:r>
            <w:r>
              <w:rPr>
                <w:rFonts w:hint="default" w:ascii="Times New Roman" w:hAnsi="Times New Roman" w:cs="Times New Roman"/>
                <w:color w:val="auto"/>
                <w:vertAlign w:val="superscript"/>
              </w:rPr>
              <w:t>3</w:t>
            </w:r>
            <w:r>
              <w:rPr>
                <w:rFonts w:hint="default" w:ascii="Times New Roman" w:hAnsi="Times New Roman" w:cs="Times New Roman"/>
                <w:color w:val="auto"/>
              </w:rPr>
              <w:t>，因此，本项目厂界外无超标点，因此，无需设置大气环境防护距离。</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（8）卫生防护距离</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大气有害物质无组织排放卫生防护距离推导技术导则》(GB/T39499-2020)，企业卫生防护距离的确定:凡不通过排气筒或通过15m高度以下排气筒的有害气体排放，均属无组织排放，同时参考《大气环境影响评价实用技术》“10.2.2.2章计算确定卫生防护距离技术要点”章节相关内容：在污染源所有影响区域范围内，排放到环境中的污染物浓度如超过环境空气质量标准，包括厂区内、厂界、厂界外，则需要设置卫生防护距离。如在厂区内就满足GB3096及TJ36要求，可不设置卫生防护距离。”</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无组织排放的有害气体进入呼吸大气层时，其浓度未超过GB3095与TJ36规定的居住区浓度限值，则无组织排放源所在的生产单元(生产区、车间或工段)与居住区之间无需设置卫生防护距离。根据预测结果，预测厂界外无超标点。项目无浓度超标点，不属于需要设置卫生防护距离的情况。综上所述，本评价认为，项目不需设置环境防护距离。</w:t>
            </w:r>
          </w:p>
          <w:p>
            <w:pPr>
              <w:pStyle w:val="61"/>
              <w:rPr>
                <w:rFonts w:hint="default" w:ascii="Times New Roman" w:hAnsi="Times New Roman" w:cs="Times New Roman"/>
                <w:color w:val="auto"/>
              </w:rPr>
            </w:pPr>
            <w:r>
              <w:rPr>
                <w:rFonts w:hint="default" w:ascii="Times New Roman" w:hAnsi="Times New Roman" w:cs="Times New Roman"/>
                <w:color w:val="auto"/>
              </w:rPr>
              <w:t>（9）小结</w:t>
            </w:r>
          </w:p>
          <w:p>
            <w:pPr>
              <w:pStyle w:val="61"/>
              <w:rPr>
                <w:rFonts w:hint="default" w:ascii="Times New Roman" w:hAnsi="Times New Roman" w:cs="Times New Roman"/>
                <w:color w:val="auto"/>
              </w:rPr>
            </w:pPr>
            <w:r>
              <w:rPr>
                <w:rFonts w:hint="default" w:ascii="Times New Roman" w:hAnsi="Times New Roman" w:cs="Times New Roman"/>
                <w:color w:val="auto"/>
              </w:rPr>
              <w:t>根据上述预测结果，项目废气产生污染物对周边环境影响较小。</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3</w:t>
            </w:r>
            <w:r>
              <w:rPr>
                <w:rFonts w:hint="default" w:ascii="Times New Roman" w:hAnsi="Times New Roman" w:cs="Times New Roman"/>
                <w:color w:val="auto"/>
                <w:lang w:val="en-US" w:eastAsia="zh-CN"/>
              </w:rPr>
              <w:t>.3</w:t>
            </w:r>
            <w:r>
              <w:rPr>
                <w:rFonts w:hint="default" w:ascii="Times New Roman" w:hAnsi="Times New Roman" w:cs="Times New Roman"/>
                <w:color w:val="auto"/>
              </w:rPr>
              <w:t>废气措施可行性分析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①食堂油烟尾气措施分析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员工食堂拟设</w:t>
            </w:r>
            <w:r>
              <w:rPr>
                <w:rFonts w:hint="default" w:ascii="Times New Roman" w:hAnsi="Times New Roman" w:cs="Times New Roman"/>
                <w:color w:val="auto"/>
                <w:lang w:val="en-US" w:eastAsia="zh-CN"/>
              </w:rPr>
              <w:t>4</w:t>
            </w:r>
            <w:r>
              <w:rPr>
                <w:rFonts w:hint="default" w:ascii="Times New Roman" w:hAnsi="Times New Roman" w:cs="Times New Roman"/>
                <w:color w:val="auto"/>
              </w:rPr>
              <w:t>个基准炉灶，根据上述核算厨房油烟经油烟净化器处理后的排放浓度为</w:t>
            </w:r>
            <w:r>
              <w:rPr>
                <w:rFonts w:hint="default" w:ascii="Times New Roman" w:hAnsi="Times New Roman" w:cs="Times New Roman"/>
                <w:color w:val="auto"/>
                <w:lang w:val="en-US" w:eastAsia="zh-CN"/>
              </w:rPr>
              <w:t>0.7055</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r>
              <w:rPr>
                <w:rFonts w:hint="default" w:ascii="Times New Roman" w:hAnsi="Times New Roman" w:cs="Times New Roman"/>
                <w:color w:val="auto"/>
              </w:rPr>
              <w:t>可达《饮食业油烟排放标准（试行）》（GB18483-2001）</w:t>
            </w:r>
            <w:r>
              <w:rPr>
                <w:rFonts w:hint="default" w:ascii="Times New Roman" w:hAnsi="Times New Roman" w:cs="Times New Roman"/>
                <w:color w:val="auto"/>
                <w:lang w:val="en-US" w:eastAsia="zh-CN"/>
              </w:rPr>
              <w:t>中</w:t>
            </w:r>
            <w:r>
              <w:rPr>
                <w:rFonts w:hint="default" w:ascii="Times New Roman" w:hAnsi="Times New Roman" w:cs="Times New Roman"/>
                <w:color w:val="auto"/>
              </w:rPr>
              <w:t>型饮食行业排放标准的要求的2mg/m</w:t>
            </w:r>
            <w:r>
              <w:rPr>
                <w:rFonts w:hint="default" w:ascii="Times New Roman" w:hAnsi="Times New Roman" w:cs="Times New Roman"/>
                <w:color w:val="auto"/>
                <w:vertAlign w:val="superscript"/>
              </w:rPr>
              <w:t>3</w:t>
            </w:r>
            <w:r>
              <w:rPr>
                <w:rFonts w:hint="default" w:ascii="Times New Roman" w:hAnsi="Times New Roman" w:cs="Times New Roman"/>
                <w:color w:val="auto"/>
              </w:rPr>
              <w:t>。项目食堂未收集的油烟排放量较小，对周边环境影响较小。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综上所述，后工程废气处理措施有效可行。</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②备用发电机尾气措施分析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项目拟设1台备用发电机，当外电源停电时，柴油发电机自动启动向消防及重要负荷供电。柴油发电机使用0#柴油。</w:t>
            </w:r>
            <w:r>
              <w:rPr>
                <w:rFonts w:hint="default" w:ascii="Times New Roman" w:hAnsi="Times New Roman" w:cs="Times New Roman"/>
                <w:color w:val="auto"/>
                <w:lang w:eastAsia="zh-CN"/>
              </w:rPr>
              <w:t>福清市</w:t>
            </w:r>
            <w:r>
              <w:rPr>
                <w:rFonts w:hint="default" w:ascii="Times New Roman" w:hAnsi="Times New Roman" w:cs="Times New Roman"/>
                <w:color w:val="auto"/>
              </w:rPr>
              <w:t>的供电比较正常，因此备用发电机的启用次数不多，仅作备用。日常应加强对备用发电机管理，定期维护，保证设施运行良好，污染物正常排放。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③污水站尾气措施分析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项目污水处理站位于院区</w:t>
            </w:r>
            <w:r>
              <w:rPr>
                <w:rFonts w:hint="default" w:ascii="Times New Roman" w:hAnsi="Times New Roman" w:cs="Times New Roman"/>
                <w:color w:val="auto"/>
                <w:lang w:eastAsia="zh-CN"/>
              </w:rPr>
              <w:t>东</w:t>
            </w:r>
            <w:r>
              <w:rPr>
                <w:rFonts w:hint="default" w:ascii="Times New Roman" w:hAnsi="Times New Roman" w:cs="Times New Roman"/>
                <w:color w:val="auto"/>
                <w:lang w:val="en-US" w:eastAsia="zh-CN"/>
              </w:rPr>
              <w:t>北</w:t>
            </w:r>
            <w:r>
              <w:rPr>
                <w:rFonts w:hint="default" w:ascii="Times New Roman" w:hAnsi="Times New Roman" w:cs="Times New Roman"/>
                <w:color w:val="auto"/>
              </w:rPr>
              <w:t>侧，根据《医院污水处理设计规范》（CECS07:2004）中所做规定“医院污水处理站应独立设置，与病房、居民区建筑物的距离不宜小于10m，并设置隔离带，当无法满足上述条件时应采取有效安全隔离措施，不得将污水处理站设于门诊或病房等建筑物的地下室”。项目污水处理站为地埋式，距离病房、居民区建筑物的距离大于10米，且周边均绿化，对自身其周边敏感点影响较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对照《排污许可证申请与核发技术规范 医疗机构（HJ1105</w:t>
            </w:r>
            <w:r>
              <w:rPr>
                <w:rFonts w:hint="default" w:ascii="Times New Roman" w:hAnsi="Times New Roman" w:cs="Times New Roman"/>
                <w:color w:val="auto"/>
                <w:lang w:val="en-US" w:eastAsia="zh-CN"/>
              </w:rPr>
              <w:t>-</w:t>
            </w:r>
            <w:r>
              <w:rPr>
                <w:rFonts w:hint="default" w:ascii="Times New Roman" w:hAnsi="Times New Roman" w:cs="Times New Roman"/>
                <w:color w:val="auto"/>
              </w:rPr>
              <w:t>2020）》中</w:t>
            </w:r>
            <w:r>
              <w:rPr>
                <w:rFonts w:hint="default" w:ascii="Times New Roman" w:hAnsi="Times New Roman" w:cs="Times New Roman"/>
                <w:color w:val="auto"/>
                <w:lang w:val="en-US" w:eastAsia="zh-CN"/>
              </w:rPr>
              <w:t>“产生恶臭区域加罩或加盖，投放除臭剂”为污水处理站恶臭气体治理可行性技术</w:t>
            </w:r>
            <w:r>
              <w:rPr>
                <w:rFonts w:hint="default" w:ascii="Times New Roman" w:hAnsi="Times New Roman" w:cs="Times New Roman"/>
                <w:color w:val="auto"/>
              </w:rPr>
              <w:t>，则措施有效可行。</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p>
          <w:p>
            <w:pPr>
              <w:pStyle w:val="3"/>
              <w:numPr>
                <w:ilvl w:val="1"/>
                <w:numId w:val="0"/>
              </w:numPr>
              <w:bidi w:val="0"/>
              <w:ind w:left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r>
              <w:rPr>
                <w:rFonts w:hint="eastAsia" w:cs="Times New Roman"/>
                <w:color w:val="auto"/>
                <w:lang w:val="en-US" w:eastAsia="zh-CN"/>
              </w:rPr>
              <w:t>4</w:t>
            </w:r>
            <w:r>
              <w:rPr>
                <w:rFonts w:hint="default" w:ascii="Times New Roman" w:hAnsi="Times New Roman" w:cs="Times New Roman"/>
                <w:color w:val="auto"/>
                <w:lang w:val="en-US" w:eastAsia="zh-CN"/>
              </w:rPr>
              <w:t>噪声</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4</w:t>
            </w:r>
            <w:r>
              <w:rPr>
                <w:rFonts w:hint="default" w:ascii="Times New Roman" w:hAnsi="Times New Roman" w:cs="Times New Roman"/>
                <w:color w:val="auto"/>
                <w:lang w:val="en-US" w:eastAsia="zh-CN"/>
              </w:rPr>
              <w:t>.1</w:t>
            </w:r>
            <w:r>
              <w:rPr>
                <w:rFonts w:hint="default" w:ascii="Times New Roman" w:hAnsi="Times New Roman" w:cs="Times New Roman"/>
                <w:color w:val="auto"/>
              </w:rPr>
              <w:t>污染源强分析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（1）噪声源强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噪声源主要来源于构筑物通风设施风机、输水泵、空调外机、变压器等设施。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（2）噪声预测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本次环评采用《环境影响评价技术导则声环境》（HJ2.4-2021）“附录A户外声传播的衰减”及“附录B典型行业噪声预测模型”对本项目噪声影响进行预测。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①户外声传播的衰减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户外声传播衰减包括几何发散（Adiv）、大气吸收（Aatm）、地面效应（Agr）、障碍物屏蔽（Abar）、其他多方面效应（Amisc）引起的衰减。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在环境影响评价中，应根据声源声功率级或参考位置处的声压级、户外声传播衰减，计算预测点的声级，分别按式（A.1）或式（A.2）计算。</w:t>
            </w:r>
          </w:p>
          <w:p>
            <w:pPr>
              <w:pStyle w:val="67"/>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Lp（r）＝Lw+DC－（A</w:t>
            </w:r>
            <w:r>
              <w:rPr>
                <w:rFonts w:hint="default" w:ascii="Times New Roman" w:hAnsi="Times New Roman" w:cs="Times New Roman"/>
                <w:color w:val="auto"/>
                <w:vertAlign w:val="subscript"/>
              </w:rPr>
              <w:t>div</w:t>
            </w:r>
            <w:r>
              <w:rPr>
                <w:rFonts w:hint="default" w:ascii="Times New Roman" w:hAnsi="Times New Roman" w:cs="Times New Roman"/>
                <w:color w:val="auto"/>
              </w:rPr>
              <w:t>＋A</w:t>
            </w:r>
            <w:r>
              <w:rPr>
                <w:rFonts w:hint="default" w:ascii="Times New Roman" w:hAnsi="Times New Roman" w:cs="Times New Roman"/>
                <w:color w:val="auto"/>
                <w:vertAlign w:val="subscript"/>
              </w:rPr>
              <w:t>atm</w:t>
            </w:r>
            <w:r>
              <w:rPr>
                <w:rFonts w:hint="default" w:ascii="Times New Roman" w:hAnsi="Times New Roman" w:cs="Times New Roman"/>
                <w:color w:val="auto"/>
              </w:rPr>
              <w:t>＋A</w:t>
            </w:r>
            <w:r>
              <w:rPr>
                <w:rFonts w:hint="default" w:ascii="Times New Roman" w:hAnsi="Times New Roman" w:cs="Times New Roman"/>
                <w:color w:val="auto"/>
                <w:vertAlign w:val="subscript"/>
              </w:rPr>
              <w:t>gr</w:t>
            </w:r>
            <w:r>
              <w:rPr>
                <w:rFonts w:hint="default" w:ascii="Times New Roman" w:hAnsi="Times New Roman" w:cs="Times New Roman"/>
                <w:color w:val="auto"/>
              </w:rPr>
              <w:t>＋A</w:t>
            </w:r>
            <w:r>
              <w:rPr>
                <w:rFonts w:hint="default" w:ascii="Times New Roman" w:hAnsi="Times New Roman" w:cs="Times New Roman"/>
                <w:color w:val="auto"/>
                <w:vertAlign w:val="subscript"/>
              </w:rPr>
              <w:t>bar</w:t>
            </w:r>
            <w:r>
              <w:rPr>
                <w:rFonts w:hint="default" w:ascii="Times New Roman" w:hAnsi="Times New Roman" w:cs="Times New Roman"/>
                <w:color w:val="auto"/>
              </w:rPr>
              <w:t>＋A</w:t>
            </w:r>
            <w:r>
              <w:rPr>
                <w:rFonts w:hint="default" w:ascii="Times New Roman" w:hAnsi="Times New Roman" w:cs="Times New Roman"/>
                <w:color w:val="auto"/>
                <w:vertAlign w:val="subscript"/>
              </w:rPr>
              <w:t>misc</w:t>
            </w:r>
            <w:r>
              <w:rPr>
                <w:rFonts w:hint="default" w:ascii="Times New Roman" w:hAnsi="Times New Roman" w:cs="Times New Roman"/>
                <w:color w:val="auto"/>
              </w:rPr>
              <w:t>）</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式中：Lp（r）——预测点处声压级，dB；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w</w:t>
            </w:r>
            <w:r>
              <w:rPr>
                <w:rFonts w:hint="default" w:ascii="Times New Roman" w:hAnsi="Times New Roman" w:cs="Times New Roman"/>
                <w:color w:val="auto"/>
              </w:rPr>
              <w:t>——由点声源产生的声功率级（A计权或倍频带），dB；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DC——指向性校正，它描述点声源的等效连续声压级与产生声功率级Lw的全向点声源在规定方向的声级的偏差程度，dB；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div</w:t>
            </w:r>
            <w:r>
              <w:rPr>
                <w:rFonts w:hint="default" w:ascii="Times New Roman" w:hAnsi="Times New Roman" w:cs="Times New Roman"/>
                <w:color w:val="auto"/>
              </w:rPr>
              <w:t>——几何发散引起的衰减，dB；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atm</w:t>
            </w:r>
            <w:r>
              <w:rPr>
                <w:rFonts w:hint="default" w:ascii="Times New Roman" w:hAnsi="Times New Roman" w:cs="Times New Roman"/>
                <w:color w:val="auto"/>
              </w:rPr>
              <w:t>——大气吸收引起的衰减，dB；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gr</w:t>
            </w:r>
            <w:r>
              <w:rPr>
                <w:rFonts w:hint="default" w:ascii="Times New Roman" w:hAnsi="Times New Roman" w:cs="Times New Roman"/>
                <w:color w:val="auto"/>
              </w:rPr>
              <w:t>——地面效应引起的衰减，dB；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bar</w:t>
            </w:r>
            <w:r>
              <w:rPr>
                <w:rFonts w:hint="default" w:ascii="Times New Roman" w:hAnsi="Times New Roman" w:cs="Times New Roman"/>
                <w:color w:val="auto"/>
              </w:rPr>
              <w:t>——障碍物屏蔽引起的衰减，dB；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misc</w:t>
            </w:r>
            <w:r>
              <w:rPr>
                <w:rFonts w:hint="default" w:ascii="Times New Roman" w:hAnsi="Times New Roman" w:cs="Times New Roman"/>
                <w:color w:val="auto"/>
              </w:rPr>
              <w:t>——其他多方面效应引起的衰减，dB。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②点声源的几何发散衰减</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如果已知点声源的倍频带声功率级或A计权声功率级（L</w:t>
            </w:r>
            <w:r>
              <w:rPr>
                <w:rFonts w:hint="default" w:ascii="Times New Roman" w:hAnsi="Times New Roman" w:cs="Times New Roman"/>
                <w:color w:val="auto"/>
                <w:vertAlign w:val="subscript"/>
              </w:rPr>
              <w:t>Aw</w:t>
            </w:r>
            <w:r>
              <w:rPr>
                <w:rFonts w:hint="default" w:ascii="Times New Roman" w:hAnsi="Times New Roman" w:cs="Times New Roman"/>
                <w:color w:val="auto"/>
              </w:rPr>
              <w:t>），且声源处于自由声场：</w:t>
            </w:r>
          </w:p>
          <w:p>
            <w:pPr>
              <w:pStyle w:val="67"/>
              <w:ind w:firstLine="0" w:firstLineChars="0"/>
              <w:jc w:val="center"/>
              <w:rPr>
                <w:rFonts w:hint="default" w:ascii="Times New Roman" w:hAnsi="Times New Roman" w:eastAsia="Times New Roman" w:cs="Times New Roman"/>
                <w:color w:val="auto"/>
                <w:sz w:val="22"/>
                <w:szCs w:val="22"/>
              </w:rPr>
            </w:pPr>
            <m:oMathPara>
              <m:oMath>
                <m:r>
                  <m:rPr/>
                  <w:rPr>
                    <w:rFonts w:hint="default" w:ascii="Cambria Math" w:hAnsi="Cambria Math" w:eastAsia="Times New Roman" w:cs="Times New Roman"/>
                    <w:color w:val="auto"/>
                    <w:spacing w:val="-2"/>
                    <w:position w:val="10"/>
                    <w:sz w:val="22"/>
                    <w:szCs w:val="22"/>
                  </w:rPr>
                  <m:t>L</m:t>
                </m:r>
                <m:r>
                  <m:rPr/>
                  <w:rPr>
                    <w:rFonts w:hint="default" w:ascii="Cambria Math" w:hAnsi="Cambria Math" w:eastAsia="Times New Roman" w:cs="Times New Roman"/>
                    <w:color w:val="auto"/>
                    <w:spacing w:val="-2"/>
                    <w:position w:val="5"/>
                    <w:sz w:val="13"/>
                    <w:szCs w:val="13"/>
                  </w:rPr>
                  <m:t>p</m:t>
                </m:r>
                <m:r>
                  <m:rPr>
                    <m:sty m:val="p"/>
                  </m:rPr>
                  <w:rPr>
                    <w:rFonts w:hint="default" w:ascii="Cambria Math" w:hAnsi="Cambria Math" w:eastAsia="Symbol" w:cs="Times New Roman"/>
                    <w:color w:val="auto"/>
                    <w:spacing w:val="-2"/>
                    <w:position w:val="10"/>
                    <w:sz w:val="29"/>
                    <w:szCs w:val="29"/>
                  </w:rPr>
                  <m:t>(</m:t>
                </m:r>
                <m:r>
                  <m:rPr/>
                  <w:rPr>
                    <w:rFonts w:hint="default" w:ascii="Cambria Math" w:hAnsi="Cambria Math" w:eastAsia="Times New Roman" w:cs="Times New Roman"/>
                    <w:color w:val="auto"/>
                    <w:spacing w:val="-2"/>
                    <w:position w:val="10"/>
                    <w:sz w:val="22"/>
                    <w:szCs w:val="22"/>
                  </w:rPr>
                  <m:t>r</m:t>
                </m:r>
                <m:r>
                  <m:rPr>
                    <m:sty m:val="p"/>
                  </m:rPr>
                  <w:rPr>
                    <w:rFonts w:hint="default" w:ascii="Cambria Math" w:hAnsi="Cambria Math" w:eastAsia="Symbol" w:cs="Times New Roman"/>
                    <w:color w:val="auto"/>
                    <w:spacing w:val="-2"/>
                    <w:position w:val="10"/>
                    <w:sz w:val="29"/>
                    <w:szCs w:val="29"/>
                  </w:rPr>
                  <m:t xml:space="preserve">) </m:t>
                </m:r>
                <m:r>
                  <m:rPr>
                    <m:sty m:val="p"/>
                  </m:rPr>
                  <w:rPr>
                    <w:rFonts w:hint="default" w:ascii="Cambria Math" w:hAnsi="Cambria Math" w:eastAsia="Symbol" w:cs="Times New Roman"/>
                    <w:color w:val="auto"/>
                    <w:spacing w:val="-2"/>
                    <w:position w:val="10"/>
                    <w:sz w:val="22"/>
                    <w:szCs w:val="22"/>
                  </w:rPr>
                  <m:t xml:space="preserve">= </m:t>
                </m:r>
                <m:r>
                  <m:rPr/>
                  <w:rPr>
                    <w:rFonts w:hint="default" w:ascii="Cambria Math" w:hAnsi="Cambria Math" w:eastAsia="Times New Roman" w:cs="Times New Roman"/>
                    <w:color w:val="auto"/>
                    <w:spacing w:val="-2"/>
                    <w:position w:val="10"/>
                    <w:sz w:val="22"/>
                    <w:szCs w:val="22"/>
                  </w:rPr>
                  <m:t>L</m:t>
                </m:r>
                <m:r>
                  <m:rPr/>
                  <w:rPr>
                    <w:rFonts w:hint="default" w:ascii="Cambria Math" w:hAnsi="Cambria Math" w:eastAsia="Times New Roman" w:cs="Times New Roman"/>
                    <w:color w:val="auto"/>
                    <w:spacing w:val="-2"/>
                    <w:position w:val="5"/>
                    <w:sz w:val="13"/>
                    <w:szCs w:val="13"/>
                  </w:rPr>
                  <m:t>w</m:t>
                </m:r>
                <m:r>
                  <m:rPr/>
                  <w:rPr>
                    <w:rFonts w:hint="default" w:ascii="Cambria Math" w:hAnsi="Cambria Math" w:eastAsia="宋体" w:cs="Times New Roman"/>
                    <w:color w:val="auto"/>
                    <w:position w:val="10"/>
                    <w:sz w:val="22"/>
                    <w:szCs w:val="22"/>
                    <w:lang w:val="en-US" w:eastAsia="zh-CN"/>
                  </w:rPr>
                  <m:t>−</m:t>
                </m:r>
                <m:r>
                  <m:rPr>
                    <m:sty m:val="p"/>
                  </m:rPr>
                  <w:rPr>
                    <w:rFonts w:hint="default" w:ascii="Cambria Math" w:hAnsi="Cambria Math" w:eastAsia="Times New Roman" w:cs="Times New Roman"/>
                    <w:color w:val="auto"/>
                    <w:spacing w:val="-2"/>
                    <w:position w:val="10"/>
                    <w:sz w:val="22"/>
                    <w:szCs w:val="22"/>
                  </w:rPr>
                  <m:t>20lg</m:t>
                </m:r>
                <m:r>
                  <m:rPr/>
                  <w:rPr>
                    <w:rFonts w:hint="default" w:ascii="Cambria Math" w:hAnsi="Cambria Math" w:eastAsia="Times New Roman" w:cs="Times New Roman"/>
                    <w:color w:val="auto"/>
                    <w:position w:val="10"/>
                    <w:sz w:val="22"/>
                    <w:szCs w:val="22"/>
                  </w:rPr>
                  <m:t>r</m:t>
                </m:r>
                <m:r>
                  <m:rPr/>
                  <w:rPr>
                    <w:rFonts w:hint="default" w:ascii="Cambria Math" w:hAnsi="Cambria Math" w:eastAsia="宋体" w:cs="Times New Roman"/>
                    <w:color w:val="auto"/>
                    <w:position w:val="10"/>
                    <w:sz w:val="22"/>
                    <w:szCs w:val="22"/>
                    <w:lang w:val="en-US" w:eastAsia="zh-CN"/>
                  </w:rPr>
                  <m:t>−</m:t>
                </m:r>
                <m:r>
                  <m:rPr>
                    <m:sty m:val="p"/>
                  </m:rPr>
                  <w:rPr>
                    <w:rFonts w:hint="default" w:ascii="Cambria Math" w:hAnsi="Cambria Math" w:eastAsia="Times New Roman" w:cs="Times New Roman"/>
                    <w:color w:val="auto"/>
                    <w:spacing w:val="-2"/>
                    <w:position w:val="10"/>
                    <w:sz w:val="22"/>
                    <w:szCs w:val="22"/>
                  </w:rPr>
                  <m:t>11</m:t>
                </m:r>
              </m:oMath>
            </m:oMathPara>
          </w:p>
          <w:p>
            <w:pPr>
              <w:pStyle w:val="67"/>
              <w:ind w:firstLine="480"/>
              <w:jc w:val="both"/>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p</w:t>
            </w:r>
            <w:r>
              <w:rPr>
                <w:rFonts w:hint="default" w:ascii="Times New Roman" w:hAnsi="Times New Roman" w:cs="Times New Roman"/>
                <w:color w:val="auto"/>
              </w:rPr>
              <w:t>（r）—预测点处声压级，dB；</w:t>
            </w:r>
          </w:p>
          <w:p>
            <w:pPr>
              <w:pStyle w:val="67"/>
              <w:ind w:firstLine="1200" w:firstLineChars="500"/>
              <w:jc w:val="both"/>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w</w:t>
            </w:r>
            <w:r>
              <w:rPr>
                <w:rFonts w:hint="default" w:ascii="Times New Roman" w:hAnsi="Times New Roman" w:cs="Times New Roman"/>
                <w:color w:val="auto"/>
              </w:rPr>
              <w:t>—由点声源产生的倍频带声功率级，dB；</w:t>
            </w:r>
          </w:p>
          <w:p>
            <w:pPr>
              <w:pStyle w:val="67"/>
              <w:ind w:firstLine="1200" w:firstLineChars="500"/>
              <w:jc w:val="both"/>
              <w:rPr>
                <w:rFonts w:hint="default" w:ascii="Times New Roman" w:hAnsi="Times New Roman" w:cs="Times New Roman"/>
                <w:color w:val="auto"/>
              </w:rPr>
            </w:pPr>
            <w:r>
              <w:rPr>
                <w:rFonts w:hint="default" w:ascii="Times New Roman" w:hAnsi="Times New Roman" w:cs="Times New Roman"/>
                <w:color w:val="auto"/>
              </w:rPr>
              <w:t>r—预测点距声源的距离。</w:t>
            </w:r>
          </w:p>
          <w:p>
            <w:pPr>
              <w:pStyle w:val="67"/>
              <w:ind w:firstLine="0" w:firstLineChars="0"/>
              <w:jc w:val="center"/>
              <w:rPr>
                <w:rFonts w:hint="default" w:ascii="Times New Roman" w:hAnsi="Times New Roman" w:eastAsia="Times New Roman" w:cs="Times New Roman"/>
                <w:color w:val="auto"/>
                <w:szCs w:val="24"/>
              </w:rPr>
            </w:pPr>
            <m:oMathPara>
              <m:oMath>
                <m:r>
                  <m:rPr/>
                  <w:rPr>
                    <w:rFonts w:hint="default" w:ascii="Cambria Math" w:hAnsi="Cambria Math" w:eastAsia="Times New Roman" w:cs="Times New Roman"/>
                    <w:color w:val="auto"/>
                    <w:spacing w:val="-8"/>
                    <w:sz w:val="24"/>
                    <w:szCs w:val="24"/>
                  </w:rPr>
                  <m:t>L</m:t>
                </m:r>
                <m:r>
                  <m:rPr>
                    <m:sty m:val="p"/>
                  </m:rPr>
                  <w:rPr>
                    <w:rFonts w:hint="default" w:ascii="Cambria Math" w:hAnsi="Cambria Math" w:eastAsia="Times New Roman" w:cs="Times New Roman"/>
                    <w:color w:val="auto"/>
                    <w:spacing w:val="-8"/>
                    <w:position w:val="-5"/>
                    <w:sz w:val="13"/>
                    <w:szCs w:val="13"/>
                  </w:rPr>
                  <m:t>A</m:t>
                </m:r>
                <m:r>
                  <m:rPr>
                    <m:sty m:val="p"/>
                  </m:rPr>
                  <w:rPr>
                    <w:rFonts w:hint="default" w:ascii="Cambria Math" w:hAnsi="Cambria Math" w:eastAsia="Symbol" w:cs="Times New Roman"/>
                    <w:color w:val="auto"/>
                    <w:spacing w:val="-8"/>
                    <w:sz w:val="31"/>
                    <w:szCs w:val="31"/>
                  </w:rPr>
                  <m:t>(</m:t>
                </m:r>
                <m:r>
                  <m:rPr/>
                  <w:rPr>
                    <w:rFonts w:hint="default" w:ascii="Cambria Math" w:hAnsi="Cambria Math" w:eastAsia="Times New Roman" w:cs="Times New Roman"/>
                    <w:color w:val="auto"/>
                    <w:spacing w:val="-8"/>
                    <w:sz w:val="24"/>
                    <w:szCs w:val="24"/>
                  </w:rPr>
                  <m:t>r</m:t>
                </m:r>
                <m:r>
                  <m:rPr>
                    <m:sty m:val="p"/>
                  </m:rPr>
                  <w:rPr>
                    <w:rFonts w:hint="default" w:ascii="Cambria Math" w:hAnsi="Cambria Math" w:eastAsia="Symbol" w:cs="Times New Roman"/>
                    <w:color w:val="auto"/>
                    <w:spacing w:val="-8"/>
                    <w:sz w:val="31"/>
                    <w:szCs w:val="31"/>
                  </w:rPr>
                  <m:t xml:space="preserve">) </m:t>
                </m:r>
                <m:r>
                  <m:rPr>
                    <m:sty m:val="p"/>
                  </m:rPr>
                  <w:rPr>
                    <w:rFonts w:hint="default" w:ascii="Cambria Math" w:hAnsi="Cambria Math" w:eastAsia="Symbol" w:cs="Times New Roman"/>
                    <w:color w:val="auto"/>
                    <w:spacing w:val="-8"/>
                    <w:sz w:val="24"/>
                    <w:szCs w:val="24"/>
                  </w:rPr>
                  <m:t xml:space="preserve">= </m:t>
                </m:r>
                <m:r>
                  <m:rPr/>
                  <w:rPr>
                    <w:rFonts w:hint="default" w:ascii="Cambria Math" w:hAnsi="Cambria Math" w:eastAsia="Times New Roman" w:cs="Times New Roman"/>
                    <w:color w:val="auto"/>
                    <w:spacing w:val="-8"/>
                    <w:sz w:val="24"/>
                    <w:szCs w:val="24"/>
                  </w:rPr>
                  <m:t>L</m:t>
                </m:r>
                <m:r>
                  <m:rPr>
                    <m:sty m:val="p"/>
                  </m:rPr>
                  <w:rPr>
                    <w:rFonts w:hint="default" w:ascii="Cambria Math" w:hAnsi="Cambria Math" w:eastAsia="Times New Roman" w:cs="Times New Roman"/>
                    <w:color w:val="auto"/>
                    <w:spacing w:val="-8"/>
                    <w:position w:val="-5"/>
                    <w:sz w:val="13"/>
                    <w:szCs w:val="13"/>
                  </w:rPr>
                  <m:t>A</m:t>
                </m:r>
                <m:r>
                  <m:rPr/>
                  <w:rPr>
                    <w:rFonts w:hint="default" w:ascii="Cambria Math" w:hAnsi="Cambria Math" w:eastAsia="Times New Roman" w:cs="Times New Roman"/>
                    <w:color w:val="auto"/>
                    <w:spacing w:val="-8"/>
                    <w:position w:val="-5"/>
                    <w:sz w:val="13"/>
                    <w:szCs w:val="13"/>
                  </w:rPr>
                  <m:t>w</m:t>
                </m:r>
                <m:r>
                  <m:rPr/>
                  <w:rPr>
                    <w:rFonts w:hint="default" w:ascii="Cambria Math" w:hAnsi="Cambria Math" w:eastAsia="宋体" w:cs="Times New Roman"/>
                    <w:color w:val="auto"/>
                    <w:spacing w:val="-8"/>
                    <w:sz w:val="24"/>
                    <w:szCs w:val="24"/>
                    <w:lang w:val="en-US" w:eastAsia="zh-CN"/>
                  </w:rPr>
                  <m:t>−</m:t>
                </m:r>
                <m:r>
                  <m:rPr>
                    <m:sty m:val="p"/>
                  </m:rPr>
                  <w:rPr>
                    <w:rFonts w:hint="default" w:ascii="Cambria Math" w:hAnsi="Cambria Math" w:eastAsia="Times New Roman" w:cs="Times New Roman"/>
                    <w:color w:val="auto"/>
                    <w:spacing w:val="-8"/>
                    <w:sz w:val="24"/>
                    <w:szCs w:val="24"/>
                  </w:rPr>
                  <m:t>20lg</m:t>
                </m:r>
                <m:r>
                  <m:rPr/>
                  <w:rPr>
                    <w:rFonts w:hint="default" w:ascii="Cambria Math" w:hAnsi="Cambria Math" w:eastAsia="Times New Roman" w:cs="Times New Roman"/>
                    <w:color w:val="auto"/>
                    <w:spacing w:val="-8"/>
                    <w:sz w:val="24"/>
                    <w:szCs w:val="24"/>
                  </w:rPr>
                  <m:t>r</m:t>
                </m:r>
                <m:r>
                  <m:rPr/>
                  <w:rPr>
                    <w:rFonts w:hint="default" w:ascii="Cambria Math" w:hAnsi="Cambria Math" w:eastAsia="宋体" w:cs="Times New Roman"/>
                    <w:color w:val="auto"/>
                    <w:spacing w:val="-8"/>
                    <w:sz w:val="24"/>
                    <w:szCs w:val="24"/>
                    <w:lang w:val="en-US" w:eastAsia="zh-CN"/>
                  </w:rPr>
                  <m:t>−</m:t>
                </m:r>
                <m:r>
                  <m:rPr>
                    <m:sty m:val="p"/>
                  </m:rPr>
                  <w:rPr>
                    <w:rFonts w:hint="default" w:ascii="Cambria Math" w:hAnsi="Cambria Math" w:eastAsia="Times New Roman" w:cs="Times New Roman"/>
                    <w:color w:val="auto"/>
                    <w:spacing w:val="-8"/>
                    <w:sz w:val="24"/>
                    <w:szCs w:val="24"/>
                  </w:rPr>
                  <m:t>11</m:t>
                </m:r>
              </m:oMath>
            </m:oMathPara>
          </w:p>
          <w:p>
            <w:pPr>
              <w:pStyle w:val="67"/>
              <w:ind w:firstLine="480"/>
              <w:jc w:val="both"/>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A</w:t>
            </w:r>
            <w:r>
              <w:rPr>
                <w:rFonts w:hint="default" w:ascii="Times New Roman" w:hAnsi="Times New Roman" w:cs="Times New Roman"/>
                <w:color w:val="auto"/>
              </w:rPr>
              <w:t>（r）—距声源r处的A声级，dB（A）；</w:t>
            </w:r>
          </w:p>
          <w:p>
            <w:pPr>
              <w:pStyle w:val="67"/>
              <w:ind w:firstLine="1200" w:firstLineChars="500"/>
              <w:jc w:val="both"/>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Aw</w:t>
            </w:r>
            <w:r>
              <w:rPr>
                <w:rFonts w:hint="default" w:ascii="Times New Roman" w:hAnsi="Times New Roman" w:cs="Times New Roman"/>
                <w:color w:val="auto"/>
              </w:rPr>
              <w:t>—点声源A计权声功率级，dB；</w:t>
            </w:r>
          </w:p>
          <w:p>
            <w:pPr>
              <w:pStyle w:val="67"/>
              <w:ind w:firstLine="1200" w:firstLineChars="500"/>
              <w:jc w:val="both"/>
              <w:rPr>
                <w:rFonts w:hint="default" w:ascii="Times New Roman" w:hAnsi="Times New Roman" w:cs="Times New Roman"/>
                <w:color w:val="auto"/>
              </w:rPr>
            </w:pPr>
            <w:r>
              <w:rPr>
                <w:rFonts w:hint="default" w:ascii="Times New Roman" w:hAnsi="Times New Roman" w:cs="Times New Roman"/>
                <w:color w:val="auto"/>
              </w:rPr>
              <w:t>r—预测点距声源的距离。</w:t>
            </w:r>
          </w:p>
          <w:p>
            <w:pPr>
              <w:pStyle w:val="67"/>
              <w:ind w:firstLine="480"/>
              <w:jc w:val="both"/>
              <w:rPr>
                <w:rFonts w:hint="default" w:ascii="Times New Roman" w:hAnsi="Times New Roman" w:cs="Times New Roman"/>
                <w:color w:val="auto"/>
              </w:rPr>
            </w:pPr>
            <w:r>
              <w:rPr>
                <w:rFonts w:hint="default" w:ascii="Times New Roman" w:hAnsi="Times New Roman" w:cs="Times New Roman"/>
                <w:color w:val="auto"/>
              </w:rPr>
              <w:t>③室内声源等效室外声源声功率级计算方法</w:t>
            </w:r>
          </w:p>
          <w:p>
            <w:pPr>
              <w:pStyle w:val="67"/>
              <w:ind w:firstLine="480"/>
              <w:jc w:val="both"/>
              <w:rPr>
                <w:rFonts w:hint="default" w:ascii="Times New Roman" w:hAnsi="Times New Roman" w:cs="Times New Roman"/>
                <w:color w:val="auto"/>
              </w:rPr>
            </w:pPr>
            <w:r>
              <w:rPr>
                <w:rFonts w:hint="default" w:ascii="Times New Roman" w:hAnsi="Times New Roman" w:cs="Times New Roman"/>
                <w:color w:val="auto"/>
              </w:rPr>
              <w:t>如图4.</w:t>
            </w:r>
            <w:r>
              <w:rPr>
                <w:rFonts w:hint="default" w:ascii="Times New Roman" w:hAnsi="Times New Roman" w:cs="Times New Roman"/>
                <w:color w:val="auto"/>
                <w:lang w:val="en-US" w:eastAsia="zh-CN"/>
              </w:rPr>
              <w:t>3</w:t>
            </w:r>
            <w:r>
              <w:rPr>
                <w:rFonts w:hint="default" w:ascii="Times New Roman" w:hAnsi="Times New Roman" w:cs="Times New Roman"/>
                <w:color w:val="auto"/>
              </w:rPr>
              <w:t>-1所示，声源位于室内，室内声源可采用等效室外声源声功率级法进行计算。设靠近开口处（或窗户）室内、室外某倍频带的声压级或A声级分别为L</w:t>
            </w:r>
            <w:r>
              <w:rPr>
                <w:rFonts w:hint="default" w:ascii="Times New Roman" w:hAnsi="Times New Roman" w:cs="Times New Roman"/>
                <w:color w:val="auto"/>
                <w:vertAlign w:val="subscript"/>
              </w:rPr>
              <w:t>p1</w:t>
            </w:r>
            <w:r>
              <w:rPr>
                <w:rFonts w:hint="default" w:ascii="Times New Roman" w:hAnsi="Times New Roman" w:cs="Times New Roman"/>
                <w:color w:val="auto"/>
              </w:rPr>
              <w:t>和L</w:t>
            </w:r>
            <w:r>
              <w:rPr>
                <w:rFonts w:hint="default" w:ascii="Times New Roman" w:hAnsi="Times New Roman" w:cs="Times New Roman"/>
                <w:color w:val="auto"/>
                <w:vertAlign w:val="subscript"/>
              </w:rPr>
              <w:t>p2</w:t>
            </w:r>
            <w:r>
              <w:rPr>
                <w:rFonts w:hint="default" w:ascii="Times New Roman" w:hAnsi="Times New Roman" w:cs="Times New Roman"/>
                <w:color w:val="auto"/>
              </w:rPr>
              <w:t>。若声源所在室内声场为近似扩散声场，则室外的倍频带声压级可按式（B.1）近似求出：</w:t>
            </w:r>
          </w:p>
          <w:p>
            <w:pPr>
              <w:pStyle w:val="67"/>
              <w:ind w:firstLine="0" w:firstLineChars="0"/>
              <w:jc w:val="center"/>
              <w:rPr>
                <w:rFonts w:hint="default" w:ascii="Times New Roman" w:hAnsi="Times New Roman" w:eastAsia="微软雅黑" w:cs="Times New Roman"/>
                <w:color w:val="auto"/>
                <w:szCs w:val="24"/>
              </w:rPr>
            </w:pPr>
            <m:oMathPara>
              <m:oMath>
                <m:r>
                  <m:rPr/>
                  <w:rPr>
                    <w:rFonts w:hint="default" w:ascii="Cambria Math" w:hAnsi="Cambria Math" w:eastAsia="Times New Roman" w:cs="Times New Roman"/>
                    <w:color w:val="auto"/>
                    <w:position w:val="1"/>
                    <w:sz w:val="19"/>
                    <w:szCs w:val="19"/>
                  </w:rPr>
                  <m:t>L</m:t>
                </m:r>
                <m:r>
                  <m:rPr/>
                  <w:rPr>
                    <w:rFonts w:hint="default" w:ascii="Cambria Math" w:hAnsi="Cambria Math" w:eastAsia="Times New Roman" w:cs="Times New Roman"/>
                    <w:color w:val="auto"/>
                    <w:position w:val="-3"/>
                    <w:sz w:val="11"/>
                    <w:szCs w:val="11"/>
                  </w:rPr>
                  <m:t>p</m:t>
                </m:r>
                <m:r>
                  <m:rPr>
                    <m:sty m:val="p"/>
                  </m:rPr>
                  <w:rPr>
                    <w:rFonts w:hint="default" w:ascii="Cambria Math" w:hAnsi="Cambria Math" w:eastAsia="Times New Roman" w:cs="Times New Roman"/>
                    <w:color w:val="auto"/>
                    <w:spacing w:val="10"/>
                    <w:position w:val="-3"/>
                    <w:sz w:val="11"/>
                    <w:szCs w:val="11"/>
                  </w:rPr>
                  <m:t>2</m:t>
                </m:r>
                <m:r>
                  <m:rPr>
                    <m:sty m:val="p"/>
                  </m:rPr>
                  <w:rPr>
                    <w:rFonts w:hint="default" w:ascii="Cambria Math" w:hAnsi="Cambria Math" w:eastAsia="微软雅黑" w:cs="Times New Roman"/>
                    <w:color w:val="auto"/>
                    <w:spacing w:val="6"/>
                    <w:position w:val="1"/>
                    <w:sz w:val="19"/>
                    <w:szCs w:val="19"/>
                  </w:rPr>
                  <m:t>=</m:t>
                </m:r>
                <m:r>
                  <m:rPr/>
                  <w:rPr>
                    <w:rFonts w:hint="default" w:ascii="Cambria Math" w:hAnsi="Cambria Math" w:eastAsia="Times New Roman" w:cs="Times New Roman"/>
                    <w:color w:val="auto"/>
                    <w:position w:val="1"/>
                    <w:sz w:val="19"/>
                    <w:szCs w:val="19"/>
                  </w:rPr>
                  <m:t>L</m:t>
                </m:r>
                <m:r>
                  <m:rPr/>
                  <w:rPr>
                    <w:rFonts w:hint="default" w:ascii="Cambria Math" w:hAnsi="Cambria Math" w:eastAsia="Times New Roman" w:cs="Times New Roman"/>
                    <w:color w:val="auto"/>
                    <w:position w:val="-3"/>
                    <w:sz w:val="11"/>
                    <w:szCs w:val="11"/>
                  </w:rPr>
                  <m:t>p</m:t>
                </m:r>
                <m:r>
                  <m:rPr>
                    <m:sty m:val="p"/>
                  </m:rPr>
                  <w:rPr>
                    <w:rFonts w:hint="default" w:ascii="Cambria Math" w:hAnsi="Cambria Math" w:eastAsia="Times New Roman" w:cs="Times New Roman"/>
                    <w:color w:val="auto"/>
                    <w:spacing w:val="6"/>
                    <w:position w:val="-3"/>
                    <w:sz w:val="11"/>
                    <w:szCs w:val="11"/>
                  </w:rPr>
                  <m:t>1</m:t>
                </m:r>
                <m:r>
                  <m:rPr>
                    <m:sty m:val="p"/>
                  </m:rPr>
                  <w:rPr>
                    <w:rFonts w:hint="default" w:ascii="Cambria Math" w:hAnsi="Cambria Math" w:eastAsia="微软雅黑" w:cs="Times New Roman"/>
                    <w:color w:val="auto"/>
                    <w:spacing w:val="6"/>
                    <w:position w:val="1"/>
                    <w:sz w:val="19"/>
                    <w:szCs w:val="19"/>
                  </w:rPr>
                  <m:t>−</m:t>
                </m:r>
                <m:r>
                  <m:rPr>
                    <m:sty m:val="p"/>
                  </m:rPr>
                  <w:rPr>
                    <w:rFonts w:hint="default" w:ascii="Cambria Math" w:hAnsi="Cambria Math" w:eastAsia="微软雅黑" w:cs="Times New Roman"/>
                    <w:color w:val="auto"/>
                    <w:spacing w:val="6"/>
                    <w:sz w:val="24"/>
                    <w:szCs w:val="24"/>
                  </w:rPr>
                  <m:t>(</m:t>
                </m:r>
                <m:r>
                  <m:rPr/>
                  <w:rPr>
                    <w:rFonts w:hint="default" w:ascii="Cambria Math" w:hAnsi="Cambria Math" w:eastAsia="Times New Roman" w:cs="Times New Roman"/>
                    <w:color w:val="auto"/>
                    <w:position w:val="1"/>
                    <w:sz w:val="19"/>
                    <w:szCs w:val="19"/>
                  </w:rPr>
                  <m:t>TL</m:t>
                </m:r>
                <m:r>
                  <m:rPr>
                    <m:sty m:val="p"/>
                  </m:rPr>
                  <w:rPr>
                    <w:rFonts w:hint="default" w:ascii="Cambria Math" w:hAnsi="Cambria Math" w:eastAsia="微软雅黑" w:cs="Times New Roman"/>
                    <w:color w:val="auto"/>
                    <w:spacing w:val="6"/>
                    <w:position w:val="1"/>
                    <w:sz w:val="19"/>
                    <w:szCs w:val="19"/>
                  </w:rPr>
                  <m:t>+</m:t>
                </m:r>
                <m:r>
                  <m:rPr>
                    <m:sty m:val="p"/>
                  </m:rPr>
                  <w:rPr>
                    <w:rFonts w:hint="default" w:ascii="Cambria Math" w:hAnsi="Cambria Math" w:eastAsia="Times New Roman" w:cs="Times New Roman"/>
                    <w:color w:val="auto"/>
                    <w:spacing w:val="6"/>
                    <w:position w:val="1"/>
                    <w:sz w:val="19"/>
                    <w:szCs w:val="19"/>
                  </w:rPr>
                  <m:t>6</m:t>
                </m:r>
                <m:r>
                  <m:rPr>
                    <m:sty m:val="p"/>
                  </m:rPr>
                  <w:rPr>
                    <w:rFonts w:hint="default" w:ascii="Cambria Math" w:hAnsi="Cambria Math" w:eastAsia="微软雅黑" w:cs="Times New Roman"/>
                    <w:color w:val="auto"/>
                    <w:spacing w:val="6"/>
                    <w:sz w:val="24"/>
                    <w:szCs w:val="24"/>
                  </w:rPr>
                  <m:t>)</m:t>
                </m:r>
              </m:oMath>
            </m:oMathPara>
          </w:p>
          <w:p>
            <w:pPr>
              <w:pStyle w:val="67"/>
              <w:ind w:firstLine="0" w:firstLineChars="0"/>
              <w:jc w:val="both"/>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p1</w:t>
            </w:r>
            <w:r>
              <w:rPr>
                <w:rFonts w:hint="default" w:ascii="Times New Roman" w:hAnsi="Times New Roman" w:cs="Times New Roman"/>
                <w:color w:val="auto"/>
              </w:rPr>
              <w:t>—靠近开口处（或窗户）室内某倍频带的声压级或A声级，dB；</w:t>
            </w:r>
          </w:p>
          <w:p>
            <w:pPr>
              <w:pStyle w:val="67"/>
              <w:ind w:firstLineChars="300"/>
              <w:jc w:val="both"/>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p2</w:t>
            </w:r>
            <w:r>
              <w:rPr>
                <w:rFonts w:hint="default" w:ascii="Times New Roman" w:hAnsi="Times New Roman" w:cs="Times New Roman"/>
                <w:color w:val="auto"/>
              </w:rPr>
              <w:t>—靠近开口处（或窗户）室外某倍频带的声压级或A声级，dB；</w:t>
            </w:r>
          </w:p>
          <w:p>
            <w:pPr>
              <w:pStyle w:val="67"/>
              <w:ind w:firstLineChars="300"/>
              <w:jc w:val="both"/>
              <w:rPr>
                <w:rFonts w:hint="default" w:ascii="Times New Roman" w:hAnsi="Times New Roman" w:cs="Times New Roman"/>
                <w:color w:val="auto"/>
              </w:rPr>
            </w:pPr>
            <w:r>
              <w:rPr>
                <w:rFonts w:hint="default" w:ascii="Times New Roman" w:hAnsi="Times New Roman" w:cs="Times New Roman"/>
                <w:color w:val="auto"/>
              </w:rPr>
              <w:t>TL—隔墙（或窗户）倍频带或A声级的隔声量，dB。</w:t>
            </w:r>
          </w:p>
          <w:p>
            <w:pPr>
              <w:pStyle w:val="67"/>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3733800" cy="1809750"/>
                  <wp:effectExtent l="0" t="0" r="0" b="3810"/>
                  <wp:docPr id="1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1"/>
                          <pic:cNvPicPr>
                            <a:picLocks noChangeAspect="1"/>
                          </pic:cNvPicPr>
                        </pic:nvPicPr>
                        <pic:blipFill>
                          <a:blip r:embed="rId19"/>
                          <a:stretch>
                            <a:fillRect/>
                          </a:stretch>
                        </pic:blipFill>
                        <pic:spPr>
                          <a:xfrm>
                            <a:off x="0" y="0"/>
                            <a:ext cx="3733800" cy="1809750"/>
                          </a:xfrm>
                          <a:prstGeom prst="rect">
                            <a:avLst/>
                          </a:prstGeom>
                          <a:noFill/>
                          <a:ln>
                            <a:noFill/>
                          </a:ln>
                        </pic:spPr>
                      </pic:pic>
                    </a:graphicData>
                  </a:graphic>
                </wp:inline>
              </w:drawing>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图</w:t>
            </w:r>
            <w:r>
              <w:rPr>
                <w:rFonts w:hint="default" w:ascii="Times New Roman" w:hAnsi="Times New Roman" w:cs="Times New Roman"/>
                <w:b/>
                <w:bCs/>
                <w:color w:val="auto"/>
                <w:lang w:val="en-US" w:eastAsia="zh-CN"/>
              </w:rPr>
              <w:t>4.</w:t>
            </w:r>
            <w:r>
              <w:rPr>
                <w:rFonts w:hint="eastAsia" w:cs="Times New Roman"/>
                <w:b/>
                <w:bCs/>
                <w:color w:val="auto"/>
                <w:lang w:val="en-US" w:eastAsia="zh-CN"/>
              </w:rPr>
              <w:t>4</w:t>
            </w:r>
            <w:r>
              <w:rPr>
                <w:rFonts w:hint="default" w:ascii="Times New Roman" w:hAnsi="Times New Roman" w:cs="Times New Roman"/>
                <w:b/>
                <w:bCs/>
                <w:color w:val="auto"/>
                <w:lang w:val="en-US" w:eastAsia="zh-CN"/>
              </w:rPr>
              <w:t xml:space="preserve">-1 </w:t>
            </w:r>
            <w:r>
              <w:rPr>
                <w:rFonts w:hint="default" w:ascii="Times New Roman" w:hAnsi="Times New Roman" w:cs="Times New Roman"/>
                <w:b/>
                <w:bCs/>
                <w:color w:val="auto"/>
              </w:rPr>
              <w:t>室内声源等效为室外声源图例</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④贡献值</w:t>
            </w:r>
          </w:p>
          <w:p>
            <w:pPr>
              <w:pStyle w:val="67"/>
              <w:ind w:firstLine="0" w:firstLineChars="0"/>
              <w:jc w:val="center"/>
              <w:rPr>
                <w:rFonts w:hint="default" w:ascii="Times New Roman" w:hAnsi="Times New Roman" w:cs="Times New Roman"/>
                <w:color w:val="auto"/>
              </w:rPr>
            </w:pPr>
            <w:r>
              <w:rPr>
                <w:rFonts w:hint="default" w:ascii="Times New Roman" w:hAnsi="Times New Roman" w:cs="Times New Roman"/>
                <w:color w:val="auto"/>
                <w:position w:val="-30"/>
              </w:rPr>
              <w:object>
                <v:shape id="_x0000_i1026" o:spt="75" type="#_x0000_t75" style="height:38.2pt;width:101pt;" o:ole="t" filled="f" o:preferrelative="t" stroked="f" coordsize="21600,21600">
                  <v:path/>
                  <v:fill on="f" focussize="0,0"/>
                  <v:stroke on="f"/>
                  <v:imagedata r:id="rId21" o:title=""/>
                  <o:lock v:ext="edit" aspectratio="t"/>
                  <w10:wrap type="none"/>
                  <w10:anchorlock/>
                </v:shape>
                <o:OLEObject Type="Embed" ProgID="Equation.3" ShapeID="_x0000_i1026" DrawAspect="Content" ObjectID="_1468075726" r:id="rId20">
                  <o:LockedField>false</o:LockedField>
                </o:OLEObject>
              </w:objec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Aeq</w:t>
            </w:r>
            <w:r>
              <w:rPr>
                <w:rFonts w:hint="default" w:ascii="Times New Roman" w:hAnsi="Times New Roman" w:cs="Times New Roman"/>
                <w:color w:val="auto"/>
              </w:rPr>
              <w:t>,T—等效连续A声级，dB；</w:t>
            </w:r>
          </w:p>
          <w:p>
            <w:pPr>
              <w:pStyle w:val="67"/>
              <w:ind w:firstLine="1200" w:firstLineChars="50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A</w:t>
            </w:r>
            <w:r>
              <w:rPr>
                <w:rFonts w:hint="default" w:ascii="Times New Roman" w:hAnsi="Times New Roman" w:cs="Times New Roman"/>
                <w:color w:val="auto"/>
              </w:rPr>
              <w:t>—t时刻的瞬时A声级，dB；</w:t>
            </w:r>
          </w:p>
          <w:p>
            <w:pPr>
              <w:pStyle w:val="67"/>
              <w:ind w:firstLine="1200" w:firstLineChars="500"/>
              <w:rPr>
                <w:rFonts w:hint="default" w:ascii="Times New Roman" w:hAnsi="Times New Roman" w:cs="Times New Roman"/>
                <w:color w:val="auto"/>
              </w:rPr>
            </w:pPr>
            <w:r>
              <w:rPr>
                <w:rFonts w:hint="default" w:ascii="Times New Roman" w:hAnsi="Times New Roman" w:cs="Times New Roman"/>
                <w:color w:val="auto"/>
              </w:rPr>
              <w:t>T—规定的测量时间段，s。</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⑤预测值</w:t>
            </w:r>
          </w:p>
          <w:p>
            <w:pPr>
              <w:pStyle w:val="67"/>
              <w:ind w:firstLine="480"/>
              <w:jc w:val="center"/>
              <w:rPr>
                <w:rFonts w:hint="default" w:ascii="Times New Roman" w:hAnsi="Times New Roman" w:cs="Times New Roman"/>
                <w:color w:val="auto"/>
              </w:rPr>
            </w:pPr>
            <w:r>
              <w:rPr>
                <w:rFonts w:hint="default" w:ascii="Times New Roman" w:hAnsi="Times New Roman" w:cs="Times New Roman"/>
                <w:color w:val="auto"/>
                <w:position w:val="-14"/>
              </w:rPr>
              <w:object>
                <v:shape id="_x0000_i1027" o:spt="75" type="#_x0000_t75" style="height:22.3pt;width:104.1pt;" o:ole="t" filled="f" o:preferrelative="t" stroked="f" coordsize="21600,21600">
                  <v:path/>
                  <v:fill on="f" focussize="0,0"/>
                  <v:stroke on="f"/>
                  <v:imagedata r:id="rId23" o:title=""/>
                  <o:lock v:ext="edit" aspectratio="t"/>
                  <w10:wrap type="none"/>
                  <w10:anchorlock/>
                </v:shape>
                <o:OLEObject Type="Embed" ProgID="Equation.3" ShapeID="_x0000_i1027" DrawAspect="Content" ObjectID="_1468075727" r:id="rId22">
                  <o:LockedField>false</o:LockedField>
                </o:OLEObject>
              </w:objec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eq</w:t>
            </w:r>
            <w:r>
              <w:rPr>
                <w:rFonts w:hint="default" w:ascii="Times New Roman" w:hAnsi="Times New Roman" w:cs="Times New Roman"/>
                <w:color w:val="auto"/>
              </w:rPr>
              <w:t>—预测点的噪声预测值，dB；</w:t>
            </w:r>
          </w:p>
          <w:p>
            <w:pPr>
              <w:pStyle w:val="67"/>
              <w:ind w:firstLine="1200" w:firstLineChars="50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eqg</w:t>
            </w:r>
            <w:r>
              <w:rPr>
                <w:rFonts w:hint="default" w:ascii="Times New Roman" w:hAnsi="Times New Roman" w:cs="Times New Roman"/>
                <w:color w:val="auto"/>
              </w:rPr>
              <w:t>—建设项目声源在预测点产生的噪声贡献值，dB；</w:t>
            </w:r>
          </w:p>
          <w:p>
            <w:pPr>
              <w:pStyle w:val="67"/>
              <w:ind w:firstLine="1200" w:firstLineChars="50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eqb</w:t>
            </w:r>
            <w:r>
              <w:rPr>
                <w:rFonts w:hint="default" w:ascii="Times New Roman" w:hAnsi="Times New Roman" w:cs="Times New Roman"/>
                <w:color w:val="auto"/>
              </w:rPr>
              <w:t>—预测点的背景噪声值，dB。</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⑥噪声叠加</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对两个以上多个声源同时存在时，其预测点总声压级采用下面公式：</w:t>
            </w:r>
          </w:p>
          <w:p>
            <w:pPr>
              <w:spacing w:line="36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object>
                <v:shape id="_x0000_i1028" o:spt="75" type="#_x0000_t75" style="height:38.2pt;width:101pt;" o:ole="t" filled="f" o:preferrelative="t" stroked="f" coordsize="21600,21600">
                  <v:path/>
                  <v:fill on="f" focussize="0,0"/>
                  <v:stroke on="f"/>
                  <v:imagedata r:id="rId25" o:title=""/>
                  <o:lock v:ext="edit" aspectratio="t"/>
                  <w10:wrap type="none"/>
                  <w10:anchorlock/>
                </v:shape>
                <o:OLEObject Type="Embed" ProgID="Equation.3" ShapeID="_x0000_i1028" DrawAspect="Content" ObjectID="_1468075728" r:id="rId24">
                  <o:LockedField>false</o:LockedField>
                </o:OLEObject>
              </w:objec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式中：L——噪声源叠加A声级，dB（A）；</w:t>
            </w:r>
          </w:p>
          <w:p>
            <w:pPr>
              <w:spacing w:line="360" w:lineRule="auto"/>
              <w:ind w:firstLine="420"/>
              <w:textAlignment w:val="center"/>
              <w:rPr>
                <w:rFonts w:hint="default" w:ascii="Times New Roman" w:hAnsi="Times New Roman" w:cs="Times New Roman"/>
                <w:color w:val="auto"/>
              </w:rPr>
            </w:pPr>
            <w:r>
              <w:rPr>
                <w:rFonts w:hint="default" w:ascii="Times New Roman" w:hAnsi="Times New Roman" w:cs="Times New Roman"/>
                <w:color w:val="auto"/>
              </w:rPr>
              <w:t xml:space="preserve">     pi——每台设备最大A声级，dB（A）；</w:t>
            </w:r>
          </w:p>
          <w:p>
            <w:pPr>
              <w:pStyle w:val="67"/>
              <w:ind w:firstLine="480"/>
              <w:rPr>
                <w:rFonts w:hint="default" w:ascii="Times New Roman" w:hAnsi="Times New Roman" w:cs="Times New Roman"/>
                <w:color w:val="auto"/>
              </w:rPr>
            </w:pPr>
            <w:r>
              <w:rPr>
                <w:rFonts w:hint="default" w:ascii="Times New Roman" w:hAnsi="Times New Roman" w:cs="Times New Roman"/>
                <w:color w:val="auto"/>
              </w:rPr>
              <w:t xml:space="preserve">      n——设备总台数。</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本项目对建设后噪声对厂界噪声贡献值及厂界叠加值详见表4.</w:t>
            </w:r>
            <w:r>
              <w:rPr>
                <w:rFonts w:hint="eastAsia" w:cs="Times New Roman"/>
                <w:color w:val="auto"/>
                <w:lang w:val="en-US" w:eastAsia="zh-CN"/>
              </w:rPr>
              <w:t>4</w:t>
            </w:r>
            <w:r>
              <w:rPr>
                <w:rFonts w:hint="default" w:ascii="Times New Roman" w:hAnsi="Times New Roman" w:cs="Times New Roman"/>
                <w:color w:val="auto"/>
              </w:rPr>
              <w:t>-</w:t>
            </w:r>
            <w:r>
              <w:rPr>
                <w:rFonts w:hint="default" w:ascii="Times New Roman" w:hAnsi="Times New Roman" w:cs="Times New Roman"/>
                <w:color w:val="auto"/>
                <w:lang w:val="en-US" w:eastAsia="zh-CN"/>
              </w:rPr>
              <w:t>1</w:t>
            </w:r>
            <w:r>
              <w:rPr>
                <w:rFonts w:hint="default" w:ascii="Times New Roman" w:hAnsi="Times New Roman" w:cs="Times New Roman"/>
                <w:color w:val="auto"/>
              </w:rPr>
              <w:t>。</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4</w:t>
            </w:r>
            <w:r>
              <w:rPr>
                <w:rFonts w:hint="default" w:ascii="Times New Roman" w:hAnsi="Times New Roman" w:cs="Times New Roman"/>
                <w:b/>
                <w:bCs/>
                <w:color w:val="auto"/>
                <w:lang w:val="en-US" w:eastAsia="zh-CN"/>
              </w:rPr>
              <w:t xml:space="preserve">-1 </w:t>
            </w:r>
            <w:r>
              <w:rPr>
                <w:rFonts w:hint="default" w:ascii="Times New Roman" w:hAnsi="Times New Roman" w:cs="Times New Roman"/>
                <w:b/>
                <w:bCs/>
                <w:color w:val="auto"/>
              </w:rPr>
              <w:t>厂界贡献值噪声计算 单位：dB（A）</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49"/>
              <w:gridCol w:w="1700"/>
              <w:gridCol w:w="891"/>
              <w:gridCol w:w="1045"/>
              <w:gridCol w:w="14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2" w:type="pct"/>
                  <w:vMerge w:val="restar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名称</w:t>
                  </w:r>
                </w:p>
              </w:tc>
              <w:tc>
                <w:tcPr>
                  <w:tcW w:w="1145" w:type="pct"/>
                  <w:vMerge w:val="restar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厂界最大贡献值</w:t>
                  </w:r>
                </w:p>
              </w:tc>
              <w:tc>
                <w:tcPr>
                  <w:tcW w:w="1304" w:type="pct"/>
                  <w:gridSpan w:val="2"/>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执行标准</w:t>
                  </w:r>
                </w:p>
              </w:tc>
              <w:tc>
                <w:tcPr>
                  <w:tcW w:w="967" w:type="pct"/>
                  <w:vMerge w:val="restar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2" w:type="pct"/>
                  <w:vMerge w:val="continue"/>
                  <w:noWrap w:val="0"/>
                  <w:vAlign w:val="center"/>
                </w:tcPr>
                <w:p>
                  <w:pPr>
                    <w:pStyle w:val="32"/>
                    <w:rPr>
                      <w:rFonts w:hint="default" w:ascii="Times New Roman" w:hAnsi="Times New Roman" w:cs="Times New Roman"/>
                      <w:b w:val="0"/>
                      <w:bCs w:val="0"/>
                      <w:color w:val="auto"/>
                      <w:sz w:val="21"/>
                      <w:szCs w:val="21"/>
                    </w:rPr>
                  </w:pPr>
                </w:p>
              </w:tc>
              <w:tc>
                <w:tcPr>
                  <w:tcW w:w="1145" w:type="pct"/>
                  <w:vMerge w:val="continue"/>
                  <w:noWrap w:val="0"/>
                  <w:vAlign w:val="center"/>
                </w:tcPr>
                <w:p>
                  <w:pPr>
                    <w:pStyle w:val="32"/>
                    <w:rPr>
                      <w:rFonts w:hint="default" w:ascii="Times New Roman" w:hAnsi="Times New Roman" w:cs="Times New Roman"/>
                      <w:b w:val="0"/>
                      <w:bCs w:val="0"/>
                      <w:color w:val="auto"/>
                      <w:sz w:val="21"/>
                      <w:szCs w:val="21"/>
                    </w:rPr>
                  </w:pPr>
                </w:p>
              </w:tc>
              <w:tc>
                <w:tcPr>
                  <w:tcW w:w="600"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昼</w:t>
                  </w:r>
                </w:p>
              </w:tc>
              <w:tc>
                <w:tcPr>
                  <w:tcW w:w="704"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夜</w:t>
                  </w:r>
                </w:p>
              </w:tc>
              <w:tc>
                <w:tcPr>
                  <w:tcW w:w="967" w:type="pct"/>
                  <w:vMerge w:val="continue"/>
                  <w:noWrap w:val="0"/>
                  <w:vAlign w:val="center"/>
                </w:tcPr>
                <w:p>
                  <w:pPr>
                    <w:pStyle w:val="32"/>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2"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东侧厂界外1m</w:t>
                  </w:r>
                </w:p>
              </w:tc>
              <w:tc>
                <w:tcPr>
                  <w:tcW w:w="1145" w:type="pct"/>
                  <w:noWrap w:val="0"/>
                  <w:vAlign w:val="center"/>
                </w:tcPr>
                <w:p>
                  <w:pPr>
                    <w:pStyle w:val="72"/>
                    <w:spacing w:line="240" w:lineRule="auto"/>
                    <w:ind w:firstLine="0" w:firstLineChars="0"/>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rPr>
                    <w:t>40.9</w:t>
                  </w:r>
                </w:p>
              </w:tc>
              <w:tc>
                <w:tcPr>
                  <w:tcW w:w="600"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60</w:t>
                  </w:r>
                </w:p>
              </w:tc>
              <w:tc>
                <w:tcPr>
                  <w:tcW w:w="704"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50</w:t>
                  </w:r>
                </w:p>
              </w:tc>
              <w:tc>
                <w:tcPr>
                  <w:tcW w:w="967"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2"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南</w:t>
                  </w:r>
                  <w:r>
                    <w:rPr>
                      <w:rFonts w:hint="default" w:ascii="Times New Roman" w:hAnsi="Times New Roman" w:cs="Times New Roman"/>
                      <w:b w:val="0"/>
                      <w:bCs w:val="0"/>
                      <w:color w:val="auto"/>
                      <w:sz w:val="21"/>
                      <w:szCs w:val="21"/>
                    </w:rPr>
                    <w:t>侧厂界外1m</w:t>
                  </w:r>
                </w:p>
              </w:tc>
              <w:tc>
                <w:tcPr>
                  <w:tcW w:w="1145" w:type="pct"/>
                  <w:noWrap w:val="0"/>
                  <w:vAlign w:val="center"/>
                </w:tcPr>
                <w:p>
                  <w:pPr>
                    <w:pStyle w:val="72"/>
                    <w:spacing w:line="240" w:lineRule="auto"/>
                    <w:ind w:firstLine="0" w:firstLineChars="0"/>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rPr>
                    <w:t>48.5</w:t>
                  </w:r>
                </w:p>
              </w:tc>
              <w:tc>
                <w:tcPr>
                  <w:tcW w:w="600"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60</w:t>
                  </w:r>
                </w:p>
              </w:tc>
              <w:tc>
                <w:tcPr>
                  <w:tcW w:w="704"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50</w:t>
                  </w:r>
                </w:p>
              </w:tc>
              <w:tc>
                <w:tcPr>
                  <w:tcW w:w="967"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2"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西</w:t>
                  </w:r>
                  <w:r>
                    <w:rPr>
                      <w:rFonts w:hint="default" w:ascii="Times New Roman" w:hAnsi="Times New Roman" w:cs="Times New Roman"/>
                      <w:b w:val="0"/>
                      <w:bCs w:val="0"/>
                      <w:color w:val="auto"/>
                      <w:sz w:val="21"/>
                      <w:szCs w:val="21"/>
                    </w:rPr>
                    <w:t>侧厂界外1m</w:t>
                  </w:r>
                </w:p>
              </w:tc>
              <w:tc>
                <w:tcPr>
                  <w:tcW w:w="1145" w:type="pct"/>
                  <w:noWrap w:val="0"/>
                  <w:vAlign w:val="center"/>
                </w:tcPr>
                <w:p>
                  <w:pPr>
                    <w:pStyle w:val="72"/>
                    <w:spacing w:line="240" w:lineRule="auto"/>
                    <w:ind w:firstLine="0" w:firstLineChars="0"/>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4</w:t>
                  </w:r>
                  <w:r>
                    <w:rPr>
                      <w:rFonts w:hint="default" w:ascii="Times New Roman" w:hAnsi="Times New Roman" w:cs="Times New Roman"/>
                      <w:b w:val="0"/>
                      <w:bCs w:val="0"/>
                      <w:color w:val="auto"/>
                      <w:sz w:val="21"/>
                      <w:szCs w:val="21"/>
                    </w:rPr>
                    <w:t>9.5</w:t>
                  </w:r>
                </w:p>
              </w:tc>
              <w:tc>
                <w:tcPr>
                  <w:tcW w:w="600"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70</w:t>
                  </w:r>
                </w:p>
              </w:tc>
              <w:tc>
                <w:tcPr>
                  <w:tcW w:w="704" w:type="pct"/>
                  <w:noWrap w:val="0"/>
                  <w:vAlign w:val="center"/>
                </w:tcPr>
                <w:p>
                  <w:pPr>
                    <w:pStyle w:val="32"/>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rPr>
                    <w:t>5</w:t>
                  </w:r>
                  <w:r>
                    <w:rPr>
                      <w:rFonts w:hint="default" w:ascii="Times New Roman" w:hAnsi="Times New Roman" w:cs="Times New Roman"/>
                      <w:b w:val="0"/>
                      <w:bCs w:val="0"/>
                      <w:color w:val="auto"/>
                      <w:sz w:val="21"/>
                      <w:szCs w:val="21"/>
                      <w:lang w:val="en-US" w:eastAsia="zh-CN"/>
                    </w:rPr>
                    <w:t>0</w:t>
                  </w:r>
                </w:p>
              </w:tc>
              <w:tc>
                <w:tcPr>
                  <w:tcW w:w="967"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2"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北侧厂界外1m</w:t>
                  </w:r>
                </w:p>
              </w:tc>
              <w:tc>
                <w:tcPr>
                  <w:tcW w:w="1145" w:type="pct"/>
                  <w:noWrap w:val="0"/>
                  <w:vAlign w:val="center"/>
                </w:tcPr>
                <w:p>
                  <w:pPr>
                    <w:pStyle w:val="72"/>
                    <w:spacing w:line="240" w:lineRule="auto"/>
                    <w:ind w:firstLine="0" w:firstLineChars="0"/>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39</w:t>
                  </w:r>
                  <w:r>
                    <w:rPr>
                      <w:rFonts w:hint="default" w:ascii="Times New Roman" w:hAnsi="Times New Roman" w:cs="Times New Roman"/>
                      <w:b w:val="0"/>
                      <w:bCs w:val="0"/>
                      <w:color w:val="auto"/>
                      <w:sz w:val="21"/>
                      <w:szCs w:val="21"/>
                    </w:rPr>
                    <w:t>.4</w:t>
                  </w:r>
                </w:p>
              </w:tc>
              <w:tc>
                <w:tcPr>
                  <w:tcW w:w="600"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70</w:t>
                  </w:r>
                </w:p>
              </w:tc>
              <w:tc>
                <w:tcPr>
                  <w:tcW w:w="704"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55</w:t>
                  </w:r>
                </w:p>
              </w:tc>
              <w:tc>
                <w:tcPr>
                  <w:tcW w:w="967" w:type="pct"/>
                  <w:noWrap w:val="0"/>
                  <w:vAlign w:val="center"/>
                </w:tcPr>
                <w:p>
                  <w:pPr>
                    <w:pStyle w:val="32"/>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达标</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根据表</w:t>
            </w:r>
            <w:r>
              <w:rPr>
                <w:rFonts w:hint="default" w:ascii="Times New Roman" w:hAnsi="Times New Roman" w:cs="Times New Roman"/>
                <w:color w:val="auto"/>
                <w:lang w:val="en-US" w:eastAsia="zh-CN"/>
              </w:rPr>
              <w:t>4.3-1</w:t>
            </w:r>
            <w:r>
              <w:rPr>
                <w:rFonts w:hint="default" w:ascii="Times New Roman" w:hAnsi="Times New Roman" w:cs="Times New Roman"/>
                <w:color w:val="auto"/>
              </w:rPr>
              <w:t>预测结果可知，本项目采取有效的降噪措施后厂界满足《声环境质量标准》（GB3096-2008）2类标准及4a类标准。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因此，本次项目噪声对周边环境影响较小。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（3）外环境噪声影响分析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根据现场查勘，并收集区域未来规划，本项目所在区域附近主要为居民区，无大型工业。受外环境影响主要来自周边道路汽车噪声影响。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随着道路交通量的增加，远期对住院楼的噪声影响增大。建设单位应根据《民用建筑隔声设计规范》（GB50118-2010）对医院病房、医护人员休息室、门诊室、手术室及听力测听室的允许噪声级要求从总平面布置上考虑建筑物的隔声作用，对住院楼等进行墙体及窗户隔声。</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在采取上述措施后可有效降低外环境对本项目的影响。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（4）设备噪声对本项目影响分析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设备噪声对本项目的影响主要体现在柴油发电机、中央空调等设备的结构传声。设备运行时，振动和低频噪音由于其通透力很强，随着墙体和天花板等围护结构将结构噪声上传，有可能对垂直上下方及周边各功能区产生振动影响和低频噪声影响，会使病房内的病人受到不同程度影响，影响其正常的休闲和睡眠。</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中央空调、柴油发电机等设备振动和噪声呈低频特性，其声波波长长，可通过墙体、天花板管道等结构噪声传递，会使病人和医护人员受到不同程度影响，影响其正常的工作、休息和睡眠。</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对于楼内发电机房、水泵、中央空调等造成的结构传声，可以在安装设备的时候加上减振措施；对于空气传声，采用安装通风隔声窗等措施来改善。因此在设计施工时，应重点对此防范：切实做好综合隔振降噪措施，要求设备运行时，确保噪声满足《建筑环境通用规范》（GB-55016-2021）及《民用建筑隔声设计规范》（GB50118-2010）标准要求。</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4</w:t>
            </w:r>
            <w:r>
              <w:rPr>
                <w:rFonts w:hint="default" w:ascii="Times New Roman" w:hAnsi="Times New Roman" w:cs="Times New Roman"/>
                <w:color w:val="auto"/>
                <w:lang w:val="en-US" w:eastAsia="zh-CN"/>
              </w:rPr>
              <w:t>.2</w:t>
            </w:r>
            <w:r>
              <w:rPr>
                <w:rFonts w:hint="default" w:ascii="Times New Roman" w:hAnsi="Times New Roman" w:cs="Times New Roman"/>
                <w:color w:val="auto"/>
              </w:rPr>
              <w:t>措施可行性分析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（1）从声源上降噪</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根据工程分析，本项目的主要噪声源是泵、空调外机等。为了确保厂界环境噪声符合《工业企业厂界环境噪声排放标准》（GB12348-2008），建设单位应采取如下措施：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尽量选用低噪声设备；在噪声级较高的设备上加装隔音装置，以减少噪声的辐射；对震动性较强的设备应安装减震垫。如风机应采用减震基底，连接处采用柔性接头。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（2）从传播途径上降噪</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总平面布置中主要噪声源布置在厂区中间，远离厂界。</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①利用建筑物、构筑物及绿化带阻隔声波的传播，使噪声最大限度地随距离自然衰减。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②加强设备维护，确保设备处于良好的运转状态，杜绝因设备不正常运转时产生的高噪声现象。</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③设备设计中的防噪措施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在废气处理装置布置、设计等方面应注意防震、防冲击，以减轻噪声对环境的影响。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在采取上述措施后。工程厂界噪声预测值可满足《工业企业厂界环境噪声排放标准》（GB12348-2008）中的2类。本项目的噪声污染防治措施是可行的。</w:t>
            </w:r>
          </w:p>
          <w:p>
            <w:pPr>
              <w:pStyle w:val="3"/>
              <w:numPr>
                <w:ilvl w:val="1"/>
                <w:numId w:val="0"/>
              </w:numPr>
              <w:bidi w:val="0"/>
              <w:ind w:leftChars="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5</w:t>
            </w:r>
            <w:r>
              <w:rPr>
                <w:rFonts w:hint="default" w:ascii="Times New Roman" w:hAnsi="Times New Roman" w:cs="Times New Roman"/>
                <w:color w:val="auto"/>
              </w:rPr>
              <w:t>固体废物</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5</w:t>
            </w:r>
            <w:r>
              <w:rPr>
                <w:rFonts w:hint="default" w:ascii="Times New Roman" w:hAnsi="Times New Roman" w:cs="Times New Roman"/>
                <w:color w:val="auto"/>
                <w:lang w:val="en-US" w:eastAsia="zh-CN"/>
              </w:rPr>
              <w:t>.1</w:t>
            </w:r>
            <w:r>
              <w:rPr>
                <w:rFonts w:hint="default" w:ascii="Times New Roman" w:hAnsi="Times New Roman" w:cs="Times New Roman"/>
                <w:color w:val="auto"/>
              </w:rPr>
              <w:t>污染源强分析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本项目产生的固体废物主要为生活垃圾、餐厨垃圾、医疗废物、污水站污泥。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（1）一般固废废物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①生活垃圾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项目新增生活垃圾来源于医务人员、后勤人员、门诊病人、住院病人。生活垃圾产生量详见表4.</w:t>
            </w:r>
            <w:r>
              <w:rPr>
                <w:rFonts w:hint="eastAsia" w:cs="Times New Roman"/>
                <w:color w:val="auto"/>
                <w:lang w:val="en-US" w:eastAsia="zh-CN"/>
              </w:rPr>
              <w:t>5</w:t>
            </w:r>
            <w:r>
              <w:rPr>
                <w:rFonts w:hint="default" w:ascii="Times New Roman" w:hAnsi="Times New Roman" w:cs="Times New Roman"/>
                <w:color w:val="auto"/>
              </w:rPr>
              <w:t>-1。</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5</w:t>
            </w:r>
            <w:r>
              <w:rPr>
                <w:rFonts w:hint="default" w:ascii="Times New Roman" w:hAnsi="Times New Roman" w:cs="Times New Roman"/>
                <w:b/>
                <w:bCs/>
                <w:color w:val="auto"/>
                <w:lang w:val="en-US" w:eastAsia="zh-CN"/>
              </w:rPr>
              <w:t xml:space="preserve">-1 </w:t>
            </w:r>
            <w:r>
              <w:rPr>
                <w:rFonts w:hint="default" w:ascii="Times New Roman" w:hAnsi="Times New Roman" w:cs="Times New Roman"/>
                <w:b/>
                <w:bCs/>
                <w:color w:val="auto"/>
              </w:rPr>
              <w:t>生活垃圾产生量一览表</w:t>
            </w:r>
          </w:p>
          <w:tbl>
            <w:tblPr>
              <w:tblStyle w:val="2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217"/>
              <w:gridCol w:w="1961"/>
              <w:gridCol w:w="1317"/>
              <w:gridCol w:w="1081"/>
              <w:gridCol w:w="12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1"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序号</w:t>
                  </w:r>
                </w:p>
              </w:tc>
              <w:tc>
                <w:tcPr>
                  <w:tcW w:w="820"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类别</w:t>
                  </w:r>
                </w:p>
              </w:tc>
              <w:tc>
                <w:tcPr>
                  <w:tcW w:w="1321"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产污系数Kg/人·d</w:t>
                  </w:r>
                </w:p>
              </w:tc>
              <w:tc>
                <w:tcPr>
                  <w:tcW w:w="886"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人数（人）</w:t>
                  </w:r>
                </w:p>
              </w:tc>
              <w:tc>
                <w:tcPr>
                  <w:tcW w:w="728"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产生量t/d</w:t>
                  </w:r>
                </w:p>
              </w:tc>
              <w:tc>
                <w:tcPr>
                  <w:tcW w:w="811"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1" w:type="pct"/>
                  <w:noWrap w:val="0"/>
                  <w:vAlign w:val="center"/>
                </w:tcPr>
                <w:p>
                  <w:pPr>
                    <w:pStyle w:val="32"/>
                    <w:rPr>
                      <w:rFonts w:hint="default" w:ascii="Times New Roman" w:hAnsi="Times New Roman" w:eastAsia="宋体" w:cs="Times New Roman"/>
                      <w:b w:val="0"/>
                      <w:bCs w:val="0"/>
                      <w:color w:val="auto"/>
                      <w:sz w:val="21"/>
                      <w:szCs w:val="32"/>
                      <w:lang w:eastAsia="zh-CN"/>
                    </w:rPr>
                  </w:pPr>
                  <w:r>
                    <w:rPr>
                      <w:rFonts w:hint="default" w:ascii="Times New Roman" w:hAnsi="Times New Roman" w:cs="Times New Roman"/>
                      <w:b w:val="0"/>
                      <w:bCs w:val="0"/>
                      <w:color w:val="auto"/>
                      <w:sz w:val="21"/>
                      <w:szCs w:val="32"/>
                      <w:lang w:val="en-US" w:eastAsia="zh-CN"/>
                    </w:rPr>
                    <w:t>1</w:t>
                  </w:r>
                </w:p>
              </w:tc>
              <w:tc>
                <w:tcPr>
                  <w:tcW w:w="820"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医务人员</w:t>
                  </w:r>
                </w:p>
              </w:tc>
              <w:tc>
                <w:tcPr>
                  <w:tcW w:w="1321"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0.5</w:t>
                  </w:r>
                </w:p>
              </w:tc>
              <w:tc>
                <w:tcPr>
                  <w:tcW w:w="886" w:type="pct"/>
                  <w:noWrap w:val="0"/>
                  <w:vAlign w:val="center"/>
                </w:tcPr>
                <w:p>
                  <w:pPr>
                    <w:pStyle w:val="32"/>
                    <w:rPr>
                      <w:rFonts w:hint="default" w:ascii="Times New Roman" w:hAnsi="Times New Roman" w:eastAsia="宋体" w:cs="Times New Roman"/>
                      <w:b w:val="0"/>
                      <w:bCs w:val="0"/>
                      <w:color w:val="auto"/>
                      <w:sz w:val="21"/>
                      <w:szCs w:val="32"/>
                      <w:lang w:val="en-US" w:eastAsia="zh-CN"/>
                    </w:rPr>
                  </w:pPr>
                  <w:r>
                    <w:rPr>
                      <w:rFonts w:hint="default" w:ascii="Times New Roman" w:hAnsi="Times New Roman" w:cs="Times New Roman"/>
                      <w:b w:val="0"/>
                      <w:bCs w:val="0"/>
                      <w:color w:val="auto"/>
                      <w:sz w:val="21"/>
                      <w:szCs w:val="32"/>
                      <w:lang w:val="en-US" w:eastAsia="zh-CN"/>
                    </w:rPr>
                    <w:t>100</w:t>
                  </w:r>
                </w:p>
              </w:tc>
              <w:tc>
                <w:tcPr>
                  <w:tcW w:w="728"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0.05</w:t>
                  </w:r>
                </w:p>
              </w:tc>
              <w:tc>
                <w:tcPr>
                  <w:tcW w:w="811"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18.25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1" w:type="pct"/>
                  <w:noWrap w:val="0"/>
                  <w:vAlign w:val="center"/>
                </w:tcPr>
                <w:p>
                  <w:pPr>
                    <w:pStyle w:val="32"/>
                    <w:rPr>
                      <w:rFonts w:hint="default" w:ascii="Times New Roman" w:hAnsi="Times New Roman" w:eastAsia="宋体" w:cs="Times New Roman"/>
                      <w:b w:val="0"/>
                      <w:bCs w:val="0"/>
                      <w:color w:val="auto"/>
                      <w:sz w:val="21"/>
                      <w:szCs w:val="32"/>
                      <w:lang w:eastAsia="zh-CN"/>
                    </w:rPr>
                  </w:pPr>
                  <w:r>
                    <w:rPr>
                      <w:rFonts w:hint="default" w:ascii="Times New Roman" w:hAnsi="Times New Roman" w:cs="Times New Roman"/>
                      <w:b w:val="0"/>
                      <w:bCs w:val="0"/>
                      <w:color w:val="auto"/>
                      <w:sz w:val="21"/>
                      <w:szCs w:val="32"/>
                      <w:lang w:val="en-US" w:eastAsia="zh-CN"/>
                    </w:rPr>
                    <w:t>2</w:t>
                  </w:r>
                </w:p>
              </w:tc>
              <w:tc>
                <w:tcPr>
                  <w:tcW w:w="820"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后勤人员</w:t>
                  </w:r>
                </w:p>
              </w:tc>
              <w:tc>
                <w:tcPr>
                  <w:tcW w:w="1321"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0.5</w:t>
                  </w:r>
                </w:p>
              </w:tc>
              <w:tc>
                <w:tcPr>
                  <w:tcW w:w="886" w:type="pct"/>
                  <w:noWrap w:val="0"/>
                  <w:vAlign w:val="center"/>
                </w:tcPr>
                <w:p>
                  <w:pPr>
                    <w:pStyle w:val="32"/>
                    <w:rPr>
                      <w:rFonts w:hint="default" w:ascii="Times New Roman" w:hAnsi="Times New Roman" w:eastAsia="宋体" w:cs="Times New Roman"/>
                      <w:b w:val="0"/>
                      <w:bCs w:val="0"/>
                      <w:color w:val="auto"/>
                      <w:sz w:val="21"/>
                      <w:szCs w:val="32"/>
                      <w:lang w:val="en-US" w:eastAsia="zh-CN"/>
                    </w:rPr>
                  </w:pPr>
                  <w:r>
                    <w:rPr>
                      <w:rFonts w:hint="default" w:ascii="Times New Roman" w:hAnsi="Times New Roman" w:cs="Times New Roman"/>
                      <w:b w:val="0"/>
                      <w:bCs w:val="0"/>
                      <w:color w:val="auto"/>
                      <w:sz w:val="21"/>
                      <w:szCs w:val="32"/>
                      <w:lang w:val="en-US" w:eastAsia="zh-CN"/>
                    </w:rPr>
                    <w:t>50</w:t>
                  </w:r>
                </w:p>
              </w:tc>
              <w:tc>
                <w:tcPr>
                  <w:tcW w:w="728"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0.025</w:t>
                  </w:r>
                </w:p>
              </w:tc>
              <w:tc>
                <w:tcPr>
                  <w:tcW w:w="811"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9.125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1" w:type="pct"/>
                  <w:noWrap w:val="0"/>
                  <w:vAlign w:val="center"/>
                </w:tcPr>
                <w:p>
                  <w:pPr>
                    <w:pStyle w:val="32"/>
                    <w:rPr>
                      <w:rFonts w:hint="default" w:ascii="Times New Roman" w:hAnsi="Times New Roman" w:eastAsia="宋体" w:cs="Times New Roman"/>
                      <w:b w:val="0"/>
                      <w:bCs w:val="0"/>
                      <w:color w:val="auto"/>
                      <w:sz w:val="21"/>
                      <w:szCs w:val="32"/>
                      <w:lang w:eastAsia="zh-CN"/>
                    </w:rPr>
                  </w:pPr>
                  <w:r>
                    <w:rPr>
                      <w:rFonts w:hint="default" w:ascii="Times New Roman" w:hAnsi="Times New Roman" w:cs="Times New Roman"/>
                      <w:b w:val="0"/>
                      <w:bCs w:val="0"/>
                      <w:color w:val="auto"/>
                      <w:sz w:val="21"/>
                      <w:szCs w:val="32"/>
                      <w:lang w:val="en-US" w:eastAsia="zh-CN"/>
                    </w:rPr>
                    <w:t>3</w:t>
                  </w:r>
                </w:p>
              </w:tc>
              <w:tc>
                <w:tcPr>
                  <w:tcW w:w="820"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门诊病人</w:t>
                  </w:r>
                </w:p>
              </w:tc>
              <w:tc>
                <w:tcPr>
                  <w:tcW w:w="1321"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0.1</w:t>
                  </w:r>
                </w:p>
              </w:tc>
              <w:tc>
                <w:tcPr>
                  <w:tcW w:w="886" w:type="pct"/>
                  <w:noWrap w:val="0"/>
                  <w:vAlign w:val="center"/>
                </w:tcPr>
                <w:p>
                  <w:pPr>
                    <w:pStyle w:val="32"/>
                    <w:rPr>
                      <w:rFonts w:hint="default" w:ascii="Times New Roman" w:hAnsi="Times New Roman" w:eastAsia="宋体" w:cs="Times New Roman"/>
                      <w:b w:val="0"/>
                      <w:bCs w:val="0"/>
                      <w:color w:val="auto"/>
                      <w:sz w:val="21"/>
                      <w:szCs w:val="32"/>
                      <w:lang w:val="en-US" w:eastAsia="zh-CN"/>
                    </w:rPr>
                  </w:pPr>
                  <w:r>
                    <w:rPr>
                      <w:rFonts w:hint="default" w:ascii="Times New Roman" w:hAnsi="Times New Roman" w:cs="Times New Roman"/>
                      <w:b w:val="0"/>
                      <w:bCs w:val="0"/>
                      <w:color w:val="auto"/>
                      <w:sz w:val="21"/>
                      <w:szCs w:val="32"/>
                      <w:lang w:val="en-US" w:eastAsia="zh-CN"/>
                    </w:rPr>
                    <w:t>50</w:t>
                  </w:r>
                </w:p>
              </w:tc>
              <w:tc>
                <w:tcPr>
                  <w:tcW w:w="728"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0.005</w:t>
                  </w:r>
                </w:p>
              </w:tc>
              <w:tc>
                <w:tcPr>
                  <w:tcW w:w="811"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1.825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1" w:type="pct"/>
                  <w:noWrap w:val="0"/>
                  <w:vAlign w:val="center"/>
                </w:tcPr>
                <w:p>
                  <w:pPr>
                    <w:pStyle w:val="32"/>
                    <w:rPr>
                      <w:rFonts w:hint="default" w:ascii="Times New Roman" w:hAnsi="Times New Roman" w:eastAsia="宋体" w:cs="Times New Roman"/>
                      <w:b w:val="0"/>
                      <w:bCs w:val="0"/>
                      <w:color w:val="auto"/>
                      <w:sz w:val="21"/>
                      <w:szCs w:val="32"/>
                      <w:lang w:eastAsia="zh-CN"/>
                    </w:rPr>
                  </w:pPr>
                  <w:r>
                    <w:rPr>
                      <w:rFonts w:hint="default" w:ascii="Times New Roman" w:hAnsi="Times New Roman" w:cs="Times New Roman"/>
                      <w:b w:val="0"/>
                      <w:bCs w:val="0"/>
                      <w:color w:val="auto"/>
                      <w:sz w:val="21"/>
                      <w:szCs w:val="32"/>
                      <w:lang w:val="en-US" w:eastAsia="zh-CN"/>
                    </w:rPr>
                    <w:t>4</w:t>
                  </w:r>
                </w:p>
              </w:tc>
              <w:tc>
                <w:tcPr>
                  <w:tcW w:w="820" w:type="pct"/>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住院病人</w:t>
                  </w:r>
                </w:p>
              </w:tc>
              <w:tc>
                <w:tcPr>
                  <w:tcW w:w="1321" w:type="pct"/>
                  <w:noWrap w:val="0"/>
                  <w:vAlign w:val="center"/>
                </w:tcPr>
                <w:p>
                  <w:pPr>
                    <w:pStyle w:val="32"/>
                    <w:rPr>
                      <w:rFonts w:hint="default" w:ascii="Times New Roman" w:hAnsi="Times New Roman" w:eastAsia="宋体" w:cs="Times New Roman"/>
                      <w:b w:val="0"/>
                      <w:bCs w:val="0"/>
                      <w:color w:val="auto"/>
                      <w:sz w:val="21"/>
                      <w:szCs w:val="32"/>
                      <w:lang w:val="en-US" w:eastAsia="zh-CN"/>
                    </w:rPr>
                  </w:pPr>
                  <w:r>
                    <w:rPr>
                      <w:rFonts w:hint="default" w:ascii="Times New Roman" w:hAnsi="Times New Roman" w:cs="Times New Roman"/>
                      <w:b w:val="0"/>
                      <w:bCs w:val="0"/>
                      <w:color w:val="auto"/>
                      <w:sz w:val="21"/>
                      <w:szCs w:val="32"/>
                      <w:lang w:val="en-US" w:eastAsia="zh-CN"/>
                    </w:rPr>
                    <w:t>99</w:t>
                  </w:r>
                </w:p>
              </w:tc>
              <w:tc>
                <w:tcPr>
                  <w:tcW w:w="886" w:type="pct"/>
                  <w:noWrap w:val="0"/>
                  <w:vAlign w:val="center"/>
                </w:tcPr>
                <w:p>
                  <w:pPr>
                    <w:pStyle w:val="32"/>
                    <w:rPr>
                      <w:rFonts w:hint="default" w:ascii="Times New Roman" w:hAnsi="Times New Roman" w:eastAsia="宋体" w:cs="Times New Roman"/>
                      <w:b w:val="0"/>
                      <w:bCs w:val="0"/>
                      <w:color w:val="auto"/>
                      <w:sz w:val="21"/>
                      <w:szCs w:val="32"/>
                      <w:lang w:val="en-US" w:eastAsia="zh-CN"/>
                    </w:rPr>
                  </w:pPr>
                  <w:r>
                    <w:rPr>
                      <w:rFonts w:hint="default" w:ascii="Times New Roman" w:hAnsi="Times New Roman" w:cs="Times New Roman"/>
                      <w:b w:val="0"/>
                      <w:bCs w:val="0"/>
                      <w:color w:val="auto"/>
                      <w:sz w:val="21"/>
                      <w:szCs w:val="32"/>
                      <w:lang w:val="en-US" w:eastAsia="zh-CN"/>
                    </w:rPr>
                    <w:t>99</w:t>
                  </w:r>
                </w:p>
              </w:tc>
              <w:tc>
                <w:tcPr>
                  <w:tcW w:w="728"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0.99</w:t>
                  </w:r>
                </w:p>
              </w:tc>
              <w:tc>
                <w:tcPr>
                  <w:tcW w:w="811"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36.135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59" w:type="pct"/>
                  <w:gridSpan w:val="4"/>
                  <w:noWrap w:val="0"/>
                  <w:vAlign w:val="center"/>
                </w:tcPr>
                <w:p>
                  <w:pPr>
                    <w:pStyle w:val="32"/>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合计</w:t>
                  </w:r>
                </w:p>
              </w:tc>
              <w:tc>
                <w:tcPr>
                  <w:tcW w:w="728"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1.07</w:t>
                  </w:r>
                </w:p>
              </w:tc>
              <w:tc>
                <w:tcPr>
                  <w:tcW w:w="811" w:type="pct"/>
                  <w:noWrap w:val="0"/>
                  <w:vAlign w:val="center"/>
                </w:tcPr>
                <w:p>
                  <w:pPr>
                    <w:widowControl/>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65.335</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②餐饮垃圾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项目新增用餐人数</w:t>
            </w:r>
            <w:r>
              <w:rPr>
                <w:rFonts w:hint="default" w:ascii="Times New Roman" w:hAnsi="Times New Roman" w:cs="Times New Roman"/>
                <w:color w:val="auto"/>
                <w:lang w:val="en-US" w:eastAsia="zh-CN"/>
              </w:rPr>
              <w:t>3</w:t>
            </w:r>
            <w:r>
              <w:rPr>
                <w:rFonts w:hint="default" w:ascii="Times New Roman" w:hAnsi="Times New Roman" w:cs="Times New Roman"/>
                <w:color w:val="auto"/>
              </w:rPr>
              <w:t>00人/d，根据《餐厨垃圾处理技术规范》（CJJ184-2012）人均垃圾日产生量为0.1kg/人·次，产生的食物残渣约0.</w:t>
            </w:r>
            <w:r>
              <w:rPr>
                <w:rFonts w:hint="default" w:ascii="Times New Roman" w:hAnsi="Times New Roman" w:cs="Times New Roman"/>
                <w:color w:val="auto"/>
                <w:lang w:val="en-US" w:eastAsia="zh-CN"/>
              </w:rPr>
              <w:t>03</w:t>
            </w:r>
            <w:r>
              <w:rPr>
                <w:rFonts w:hint="default" w:ascii="Times New Roman" w:hAnsi="Times New Roman" w:cs="Times New Roman"/>
                <w:color w:val="auto"/>
              </w:rPr>
              <w:t>t/d（合计</w:t>
            </w:r>
            <w:r>
              <w:rPr>
                <w:rFonts w:hint="default" w:ascii="Times New Roman" w:hAnsi="Times New Roman" w:cs="Times New Roman"/>
                <w:color w:val="auto"/>
                <w:lang w:val="en-US" w:eastAsia="zh-CN"/>
              </w:rPr>
              <w:t>10.95</w:t>
            </w:r>
            <w:r>
              <w:rPr>
                <w:rFonts w:hint="default" w:ascii="Times New Roman" w:hAnsi="Times New Roman" w:cs="Times New Roman"/>
                <w:color w:val="auto"/>
              </w:rPr>
              <w:t>t/a），食堂的餐余垃圾应交由专门的单位（个人）集中清运、处理。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③未被污染输液瓶（袋）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项目产生的未被污染输液瓶（袋）对照《医疗机构未被污染输液瓶（袋） 管理模式现状调研与分析》（陈亚男，刘菁，徐燕，陈志，朱利文；DOI: 10.16803/j.cnki.issn.1004－6216.2019.06.006）中统计结果系数，二级医院未被污染输液瓶（袋）产生系数为0.040kg/（床·d），则项目未被污染输液瓶（袋）产生量为</w:t>
            </w:r>
            <w:r>
              <w:rPr>
                <w:rFonts w:hint="default" w:ascii="Times New Roman" w:hAnsi="Times New Roman" w:cs="Times New Roman"/>
                <w:color w:val="auto"/>
                <w:lang w:val="en-US" w:eastAsia="zh-CN"/>
              </w:rPr>
              <w:t>1.4454</w:t>
            </w:r>
            <w:r>
              <w:rPr>
                <w:rFonts w:hint="default" w:ascii="Times New Roman" w:hAnsi="Times New Roman" w:cs="Times New Roman"/>
                <w:color w:val="auto"/>
              </w:rPr>
              <w:t>t/a。</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卫生部办公厅关于对医院输液容器处理问题的复函》（卫办医函【2004】338号）及卫生部、国家环保总局2001年1月颁布的《关于印发（医疗废物分类目录）的通知》（卫医发【2003】287号），对于各类玻璃（一次性塑料）输液瓶（袋）、青霉素以及头孢类抗生素的废弃瓶，未被病人血液、体液、排泄物污染的，不属于感染性废物，不必按医疗废物要求处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疗机构应分类回收，与再生资源回收单位做好交接、登记和统计工作，实现可回收物的可追溯。再生资源回收单位向再生资源利用单位提供输液瓶（袋）类可回收物时，应当说明来源并做好交接登记，确保可追溯。再生资源利用单位利用这类可回收物时不得用于原用途，用于其他用途时不应危害人体健康。</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（2）危险废物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①医疗废物及污水站污泥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医疗废物分类目录》（卫医发〔2003〕287号），医疗废物一般可分为感染性废物、病理性废物、损伤性废物、药物性废物、化学性废物等。其来源广泛、成分复杂，包括化学试剂、过期药品、一次性医疗器具、手术产生的病理废物、废弃含汞血压计、含汞温度计等；往往带有大量病毒、细菌，具有较高的感染性。其中医院临床废物已列入我国危险废物名录（编号HW01），必须安全处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医疗固体废物产生量参考《医院固体废物排放系数和产生量的测算》（文章编号：1004-695X（2003）03-0031-02卓里欣，叶旭红）中“表1各类医院固体废物的平均占比”（详见表4.</w:t>
            </w:r>
            <w:r>
              <w:rPr>
                <w:rFonts w:hint="default" w:ascii="Times New Roman" w:hAnsi="Times New Roman" w:cs="Times New Roman"/>
                <w:color w:val="auto"/>
                <w:lang w:val="en-US" w:eastAsia="zh-CN"/>
              </w:rPr>
              <w:t>4</w:t>
            </w:r>
            <w:r>
              <w:rPr>
                <w:rFonts w:hint="default" w:ascii="Times New Roman" w:hAnsi="Times New Roman" w:cs="Times New Roman"/>
                <w:color w:val="auto"/>
              </w:rPr>
              <w:t>-2）及“表2各级医院病床数和固体废物产生量相关统计结果</w:t>
            </w:r>
            <w:r>
              <w:rPr>
                <w:rFonts w:hint="default" w:ascii="Times New Roman" w:hAnsi="Times New Roman" w:cs="Times New Roman"/>
                <w:color w:val="auto"/>
                <w:lang w:val="en-US" w:eastAsia="zh-CN"/>
              </w:rPr>
              <w:t>市</w:t>
            </w:r>
            <w:r>
              <w:rPr>
                <w:rFonts w:hint="default" w:ascii="Times New Roman" w:hAnsi="Times New Roman" w:cs="Times New Roman"/>
                <w:color w:val="auto"/>
              </w:rPr>
              <w:t>级固体废物产生量系数</w:t>
            </w:r>
            <w:r>
              <w:rPr>
                <w:rFonts w:hint="default" w:ascii="Times New Roman" w:hAnsi="Times New Roman" w:cs="Times New Roman"/>
                <w:color w:val="auto"/>
                <w:lang w:val="en-US" w:eastAsia="zh-CN"/>
              </w:rPr>
              <w:t>169.8</w:t>
            </w:r>
            <w:r>
              <w:rPr>
                <w:rFonts w:hint="default" w:ascii="Times New Roman" w:hAnsi="Times New Roman" w:cs="Times New Roman"/>
                <w:color w:val="auto"/>
              </w:rPr>
              <w:t>kg/床·年”。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新增床位</w:t>
            </w:r>
            <w:r>
              <w:rPr>
                <w:rFonts w:hint="default" w:ascii="Times New Roman" w:hAnsi="Times New Roman" w:cs="Times New Roman"/>
                <w:color w:val="auto"/>
                <w:lang w:val="en-US" w:eastAsia="zh-CN"/>
              </w:rPr>
              <w:t>99</w:t>
            </w:r>
            <w:r>
              <w:rPr>
                <w:rFonts w:hint="default" w:ascii="Times New Roman" w:hAnsi="Times New Roman" w:cs="Times New Roman"/>
                <w:color w:val="auto"/>
              </w:rPr>
              <w:t>个，则固体废物产生量按</w:t>
            </w:r>
            <w:r>
              <w:rPr>
                <w:rFonts w:hint="default" w:ascii="Times New Roman" w:hAnsi="Times New Roman" w:cs="Times New Roman"/>
                <w:color w:val="auto"/>
                <w:lang w:val="en-US" w:eastAsia="zh-CN"/>
              </w:rPr>
              <w:t>169.8</w:t>
            </w:r>
            <w:r>
              <w:rPr>
                <w:rFonts w:hint="default" w:ascii="Times New Roman" w:hAnsi="Times New Roman" w:cs="Times New Roman"/>
                <w:color w:val="auto"/>
              </w:rPr>
              <w:t>kg/床·年计，则本次</w:t>
            </w:r>
            <w:r>
              <w:rPr>
                <w:rFonts w:hint="default" w:ascii="Times New Roman" w:hAnsi="Times New Roman" w:cs="Times New Roman"/>
                <w:color w:val="auto"/>
                <w:lang w:val="en-US" w:eastAsia="zh-CN"/>
              </w:rPr>
              <w:t>医疗</w:t>
            </w:r>
            <w:r>
              <w:rPr>
                <w:rFonts w:hint="default" w:ascii="Times New Roman" w:hAnsi="Times New Roman" w:cs="Times New Roman"/>
                <w:color w:val="auto"/>
              </w:rPr>
              <w:t>固体废物产生量为</w:t>
            </w:r>
            <w:r>
              <w:rPr>
                <w:rFonts w:hint="default" w:ascii="Times New Roman" w:hAnsi="Times New Roman" w:cs="Times New Roman"/>
                <w:color w:val="auto"/>
                <w:lang w:val="en-US" w:eastAsia="zh-CN"/>
              </w:rPr>
              <w:t>16.81</w:t>
            </w:r>
            <w:r>
              <w:rPr>
                <w:rFonts w:hint="default" w:ascii="Times New Roman" w:hAnsi="Times New Roman" w:cs="Times New Roman"/>
                <w:color w:val="auto"/>
              </w:rPr>
              <w:t>t/a。</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则固体废物产生量详见表4.</w:t>
            </w:r>
            <w:r>
              <w:rPr>
                <w:rFonts w:hint="eastAsia" w:cs="Times New Roman"/>
                <w:color w:val="auto"/>
                <w:lang w:val="en-US" w:eastAsia="zh-CN"/>
              </w:rPr>
              <w:t>5</w:t>
            </w:r>
            <w:r>
              <w:rPr>
                <w:rFonts w:hint="default" w:ascii="Times New Roman" w:hAnsi="Times New Roman" w:cs="Times New Roman"/>
                <w:color w:val="auto"/>
              </w:rPr>
              <w:t>-2。</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5</w:t>
            </w:r>
            <w:r>
              <w:rPr>
                <w:rFonts w:hint="default" w:ascii="Times New Roman" w:hAnsi="Times New Roman" w:cs="Times New Roman"/>
                <w:b/>
                <w:bCs/>
                <w:color w:val="auto"/>
                <w:lang w:val="en-US" w:eastAsia="zh-CN"/>
              </w:rPr>
              <w:t xml:space="preserve">-2 </w:t>
            </w:r>
            <w:r>
              <w:rPr>
                <w:rFonts w:hint="default" w:ascii="Times New Roman" w:hAnsi="Times New Roman" w:cs="Times New Roman"/>
                <w:b/>
                <w:bCs/>
                <w:color w:val="auto"/>
              </w:rPr>
              <w:t>各类医院固体废物的平均占比</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3923"/>
              <w:gridCol w:w="23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序号</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医院固废的种类</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所占比例%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1</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手术、包扎残余物</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27.3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2</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一次性医疗用品</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26.1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3</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生物培养、动物试验残余物</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4</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化验检查残余物</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5</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传染性废物</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18.3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6</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医疗单位废水处理污泥</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7</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废药物、药品</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5"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8</w:t>
                  </w:r>
                </w:p>
              </w:tc>
              <w:tc>
                <w:tcPr>
                  <w:tcW w:w="264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敷料</w:t>
                  </w:r>
                </w:p>
              </w:tc>
              <w:tc>
                <w:tcPr>
                  <w:tcW w:w="1602" w:type="pct"/>
                  <w:noWrap w:val="0"/>
                  <w:vAlign w:val="center"/>
                </w:tcPr>
                <w:p>
                  <w:pPr>
                    <w:pStyle w:val="3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9.2</w:t>
                  </w:r>
                </w:p>
              </w:tc>
            </w:tr>
          </w:tbl>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5</w:t>
            </w:r>
            <w:r>
              <w:rPr>
                <w:rFonts w:hint="default" w:ascii="Times New Roman" w:hAnsi="Times New Roman" w:cs="Times New Roman"/>
                <w:b/>
                <w:bCs/>
                <w:color w:val="auto"/>
                <w:lang w:val="en-US" w:eastAsia="zh-CN"/>
              </w:rPr>
              <w:t xml:space="preserve">-3 </w:t>
            </w:r>
            <w:r>
              <w:rPr>
                <w:rFonts w:hint="default" w:ascii="Times New Roman" w:hAnsi="Times New Roman" w:cs="Times New Roman"/>
                <w:b/>
                <w:bCs/>
                <w:color w:val="auto"/>
              </w:rPr>
              <w:t>固体废物产生量一览表</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1996"/>
              <w:gridCol w:w="1404"/>
              <w:gridCol w:w="2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序号</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医院固废的种类</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所占比例%</w:t>
                  </w:r>
                </w:p>
              </w:tc>
              <w:tc>
                <w:tcPr>
                  <w:tcW w:w="192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1</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手术、包扎残余物</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27.3</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4.59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2</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一次性医疗用品</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26.1</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4.39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3</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生物培养、动物试验残余物</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0.8</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4</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化验检查残余物</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9.8</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5</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传染性废物</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18.3</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3.08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6</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医疗单位废水处理污泥</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8.4</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7</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废药物、药品</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0.1</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8</w:t>
                  </w:r>
                </w:p>
              </w:tc>
              <w:tc>
                <w:tcPr>
                  <w:tcW w:w="1344"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敷料</w:t>
                  </w:r>
                </w:p>
              </w:tc>
              <w:tc>
                <w:tcPr>
                  <w:tcW w:w="945" w:type="pct"/>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cs="Times New Roman"/>
                      <w:b w:val="0"/>
                      <w:bCs w:val="0"/>
                      <w:color w:val="auto"/>
                      <w:sz w:val="21"/>
                      <w:szCs w:val="32"/>
                    </w:rPr>
                  </w:pPr>
                  <w:r>
                    <w:rPr>
                      <w:rFonts w:hint="default" w:ascii="Times New Roman" w:hAnsi="Times New Roman" w:cs="Times New Roman"/>
                      <w:b w:val="0"/>
                      <w:bCs w:val="0"/>
                      <w:color w:val="auto"/>
                      <w:sz w:val="21"/>
                      <w:szCs w:val="32"/>
                    </w:rPr>
                    <w:t>9.2</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default" w:ascii="Times New Roman" w:hAnsi="Times New Roman" w:eastAsia="宋体" w:cs="Times New Roman"/>
                      <w:b w:val="0"/>
                      <w:bCs w:val="0"/>
                      <w:color w:val="auto"/>
                      <w:kern w:val="2"/>
                      <w:sz w:val="21"/>
                      <w:szCs w:val="32"/>
                      <w:lang w:val="en-US" w:eastAsia="zh-CN" w:bidi="ar-SA"/>
                    </w:rPr>
                    <w:t>1.55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5" w:type="pct"/>
                  <w:gridSpan w:val="3"/>
                  <w:noWrap w:val="0"/>
                  <w:vAlign w:val="center"/>
                </w:tcPr>
                <w:p>
                  <w:pPr>
                    <w:pStyle w:val="32"/>
                    <w:keepNext w:val="0"/>
                    <w:keepLines w:val="0"/>
                    <w:pageBreakBefore w:val="0"/>
                    <w:kinsoku/>
                    <w:wordWrap/>
                    <w:overflowPunct/>
                    <w:topLinePunct w:val="0"/>
                    <w:autoSpaceDE/>
                    <w:autoSpaceDN/>
                    <w:bidi w:val="0"/>
                    <w:adjustRightInd/>
                    <w:snapToGrid/>
                    <w:spacing w:line="240" w:lineRule="auto"/>
                    <w:rPr>
                      <w:rFonts w:hint="eastAsia" w:ascii="Times New Roman" w:hAnsi="Times New Roman" w:eastAsia="新宋体" w:cs="Times New Roman"/>
                      <w:b w:val="0"/>
                      <w:bCs w:val="0"/>
                      <w:color w:val="auto"/>
                      <w:sz w:val="21"/>
                      <w:szCs w:val="32"/>
                      <w:lang w:val="en-US" w:eastAsia="zh-CN"/>
                    </w:rPr>
                  </w:pPr>
                  <w:r>
                    <w:rPr>
                      <w:rFonts w:hint="eastAsia" w:ascii="Times New Roman" w:cs="Times New Roman"/>
                      <w:b w:val="0"/>
                      <w:bCs w:val="0"/>
                      <w:color w:val="auto"/>
                      <w:sz w:val="21"/>
                      <w:szCs w:val="32"/>
                      <w:lang w:val="en-US" w:eastAsia="zh-CN"/>
                    </w:rPr>
                    <w:t>合计</w:t>
                  </w:r>
                </w:p>
              </w:tc>
              <w:tc>
                <w:tcPr>
                  <w:tcW w:w="192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32"/>
                      <w:lang w:val="en-US" w:eastAsia="zh-CN" w:bidi="ar-SA"/>
                    </w:rPr>
                  </w:pPr>
                  <w:r>
                    <w:rPr>
                      <w:rFonts w:hint="eastAsia" w:cs="Times New Roman"/>
                      <w:b w:val="0"/>
                      <w:bCs w:val="0"/>
                      <w:color w:val="auto"/>
                      <w:kern w:val="2"/>
                      <w:sz w:val="21"/>
                      <w:szCs w:val="32"/>
                      <w:lang w:val="en-US" w:eastAsia="zh-CN" w:bidi="ar-SA"/>
                    </w:rPr>
                    <w:t>16.81</w:t>
                  </w:r>
                </w:p>
              </w:tc>
            </w:tr>
          </w:tbl>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5</w:t>
            </w:r>
            <w:r>
              <w:rPr>
                <w:rFonts w:hint="default" w:ascii="Times New Roman" w:hAnsi="Times New Roman" w:cs="Times New Roman"/>
                <w:b/>
                <w:bCs/>
                <w:color w:val="auto"/>
                <w:lang w:val="en-US" w:eastAsia="zh-CN"/>
              </w:rPr>
              <w:t xml:space="preserve">-4 </w:t>
            </w:r>
            <w:r>
              <w:rPr>
                <w:rFonts w:hint="default" w:ascii="Times New Roman" w:hAnsi="Times New Roman" w:cs="Times New Roman"/>
                <w:b/>
                <w:bCs/>
                <w:color w:val="auto"/>
              </w:rPr>
              <w:t>危险废物汇总表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9"/>
              <w:gridCol w:w="703"/>
              <w:gridCol w:w="1478"/>
              <w:gridCol w:w="724"/>
              <w:gridCol w:w="727"/>
              <w:gridCol w:w="392"/>
              <w:gridCol w:w="573"/>
              <w:gridCol w:w="758"/>
              <w:gridCol w:w="369"/>
              <w:gridCol w:w="724"/>
              <w:gridCol w:w="6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序号</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危险废物</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危险编号</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产生量（t/a）</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产生工序及装置</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形态</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主要成分</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有害成分</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产废周期</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危险特性</w:t>
                  </w:r>
                </w:p>
              </w:tc>
              <w:tc>
                <w:tcPr>
                  <w:tcW w:w="40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1</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手术、包扎残余物</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HW01:841-002-01</w:t>
                  </w:r>
                </w:p>
              </w:tc>
              <w:tc>
                <w:tcPr>
                  <w:tcW w:w="48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kern w:val="2"/>
                      <w:sz w:val="21"/>
                      <w:szCs w:val="32"/>
                      <w:lang w:val="en-US" w:eastAsia="zh-CN" w:bidi="ar-SA"/>
                    </w:rPr>
                    <w:t>4.59</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诊疗、手术</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固</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病理性废物</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切除的组织等</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每日</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In</w:t>
                  </w:r>
                </w:p>
              </w:tc>
              <w:tc>
                <w:tcPr>
                  <w:tcW w:w="400" w:type="pct"/>
                  <w:vMerge w:val="restar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密封桶分类包装，分区存放在医疗垃圾间，定期委托资质单位处理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2</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一次性医疗用品</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HW01:841-005-01</w:t>
                  </w:r>
                </w:p>
              </w:tc>
              <w:tc>
                <w:tcPr>
                  <w:tcW w:w="48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kern w:val="2"/>
                      <w:sz w:val="21"/>
                      <w:szCs w:val="32"/>
                      <w:lang w:val="en-US" w:eastAsia="zh-CN" w:bidi="ar-SA"/>
                    </w:rPr>
                    <w:t>4.39</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诊疗、手术</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固</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损伤性废物</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针头、输血管</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每日</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In</w:t>
                  </w:r>
                </w:p>
              </w:tc>
              <w:tc>
                <w:tcPr>
                  <w:tcW w:w="400" w:type="pct"/>
                  <w:vMerge w:val="continue"/>
                  <w:noWrap w:val="0"/>
                  <w:vAlign w:val="center"/>
                </w:tcPr>
                <w:p>
                  <w:pPr>
                    <w:pStyle w:val="32"/>
                    <w:rPr>
                      <w:rFonts w:hint="default" w:ascii="Times New Roman" w:hAnsi="Times New Roman" w:cs="Times New Roman"/>
                      <w:b w:val="0"/>
                      <w:bCs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3</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生物培养残余物</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HW01:841-003-01</w:t>
                  </w:r>
                </w:p>
              </w:tc>
              <w:tc>
                <w:tcPr>
                  <w:tcW w:w="48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kern w:val="2"/>
                      <w:sz w:val="21"/>
                      <w:szCs w:val="32"/>
                      <w:lang w:val="en-US" w:eastAsia="zh-CN" w:bidi="ar-SA"/>
                    </w:rPr>
                    <w:t>0.13</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化验</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固</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感染性废物</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病菌、病毒</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每日</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In</w:t>
                  </w:r>
                </w:p>
              </w:tc>
              <w:tc>
                <w:tcPr>
                  <w:tcW w:w="400" w:type="pct"/>
                  <w:vMerge w:val="continue"/>
                  <w:noWrap w:val="0"/>
                  <w:vAlign w:val="center"/>
                </w:tcPr>
                <w:p>
                  <w:pPr>
                    <w:pStyle w:val="32"/>
                    <w:rPr>
                      <w:rFonts w:hint="default" w:ascii="Times New Roman" w:hAnsi="Times New Roman" w:cs="Times New Roman"/>
                      <w:b w:val="0"/>
                      <w:bCs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4</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化验检查残余物</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HW01:841-004-01</w:t>
                  </w:r>
                </w:p>
              </w:tc>
              <w:tc>
                <w:tcPr>
                  <w:tcW w:w="48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kern w:val="2"/>
                      <w:sz w:val="21"/>
                      <w:szCs w:val="32"/>
                      <w:lang w:val="en-US" w:eastAsia="zh-CN" w:bidi="ar-SA"/>
                    </w:rPr>
                    <w:t>1.65</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化验</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固</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化学性废物</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酸、碱、重金属等</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每日</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T/C/I/R</w:t>
                  </w:r>
                </w:p>
              </w:tc>
              <w:tc>
                <w:tcPr>
                  <w:tcW w:w="400" w:type="pct"/>
                  <w:vMerge w:val="continue"/>
                  <w:noWrap w:val="0"/>
                  <w:vAlign w:val="center"/>
                </w:tcPr>
                <w:p>
                  <w:pPr>
                    <w:pStyle w:val="32"/>
                    <w:rPr>
                      <w:rFonts w:hint="default" w:ascii="Times New Roman" w:hAnsi="Times New Roman" w:cs="Times New Roman"/>
                      <w:b w:val="0"/>
                      <w:bCs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5</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传染性废物</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HW01:841-003-01</w:t>
                  </w:r>
                </w:p>
              </w:tc>
              <w:tc>
                <w:tcPr>
                  <w:tcW w:w="48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kern w:val="2"/>
                      <w:sz w:val="21"/>
                      <w:szCs w:val="32"/>
                      <w:lang w:val="en-US" w:eastAsia="zh-CN" w:bidi="ar-SA"/>
                    </w:rPr>
                    <w:t>3.08</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诊疗、手术</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固</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感染性废物</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病菌、病毒</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每日</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In</w:t>
                  </w:r>
                </w:p>
              </w:tc>
              <w:tc>
                <w:tcPr>
                  <w:tcW w:w="400" w:type="pct"/>
                  <w:vMerge w:val="continue"/>
                  <w:noWrap w:val="0"/>
                  <w:vAlign w:val="center"/>
                </w:tcPr>
                <w:p>
                  <w:pPr>
                    <w:pStyle w:val="32"/>
                    <w:rPr>
                      <w:rFonts w:hint="default" w:ascii="Times New Roman" w:hAnsi="Times New Roman" w:cs="Times New Roman"/>
                      <w:b w:val="0"/>
                      <w:bCs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2"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6</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废药物、药品</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HW01:841-005-01</w:t>
                  </w:r>
                </w:p>
              </w:tc>
              <w:tc>
                <w:tcPr>
                  <w:tcW w:w="488" w:type="pct"/>
                  <w:noWrap w:val="0"/>
                  <w:vAlign w:val="center"/>
                </w:tcPr>
                <w:p>
                  <w:pPr>
                    <w:keepNext w:val="0"/>
                    <w:keepLines w:val="0"/>
                    <w:widowControl/>
                    <w:suppressLineNumbers w:val="0"/>
                    <w:jc w:val="center"/>
                    <w:textAlignment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kern w:val="2"/>
                      <w:sz w:val="21"/>
                      <w:szCs w:val="32"/>
                      <w:lang w:val="en-US" w:eastAsia="zh-CN" w:bidi="ar-SA"/>
                    </w:rPr>
                    <w:t>0.02</w:t>
                  </w:r>
                  <w:r>
                    <w:rPr>
                      <w:rFonts w:hint="default" w:ascii="Times New Roman" w:hAnsi="Times New Roman" w:eastAsia="宋体" w:cs="Times New Roman"/>
                      <w:b w:val="0"/>
                      <w:bCs w:val="0"/>
                      <w:i w:val="0"/>
                      <w:iCs w:val="0"/>
                      <w:color w:val="auto"/>
                      <w:kern w:val="0"/>
                      <w:sz w:val="21"/>
                      <w:szCs w:val="21"/>
                      <w:u w:val="none"/>
                      <w:lang w:val="en-US" w:eastAsia="zh-CN" w:bidi="ar"/>
                    </w:rPr>
                    <w:t xml:space="preserve"> </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药房</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固</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药物性废物</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过期、淘汰、变质或被污染的废弃药品</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每日</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In</w:t>
                  </w:r>
                </w:p>
              </w:tc>
              <w:tc>
                <w:tcPr>
                  <w:tcW w:w="400" w:type="pct"/>
                  <w:vMerge w:val="continue"/>
                  <w:noWrap w:val="0"/>
                  <w:vAlign w:val="center"/>
                </w:tcPr>
                <w:p>
                  <w:pPr>
                    <w:pStyle w:val="32"/>
                    <w:rPr>
                      <w:rFonts w:hint="default" w:ascii="Times New Roman" w:hAnsi="Times New Roman" w:cs="Times New Roman"/>
                      <w:b w:val="0"/>
                      <w:bCs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7</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敷料</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HW01:841-003-01</w:t>
                  </w:r>
                </w:p>
              </w:tc>
              <w:tc>
                <w:tcPr>
                  <w:tcW w:w="488" w:type="pct"/>
                  <w:noWrap w:val="0"/>
                  <w:vAlign w:val="center"/>
                </w:tcPr>
                <w:p>
                  <w:pPr>
                    <w:keepNext w:val="0"/>
                    <w:keepLines w:val="0"/>
                    <w:widowControl/>
                    <w:suppressLineNumbers w:val="0"/>
                    <w:jc w:val="center"/>
                    <w:textAlignment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kern w:val="2"/>
                      <w:sz w:val="21"/>
                      <w:szCs w:val="32"/>
                      <w:lang w:val="en-US" w:eastAsia="zh-CN" w:bidi="ar-SA"/>
                    </w:rPr>
                    <w:t>1.55</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诊疗、手术</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固</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感染性废物</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含菌纱布等</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每日</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In</w:t>
                  </w:r>
                </w:p>
              </w:tc>
              <w:tc>
                <w:tcPr>
                  <w:tcW w:w="400" w:type="pct"/>
                  <w:vMerge w:val="continue"/>
                  <w:noWrap w:val="0"/>
                  <w:vAlign w:val="center"/>
                </w:tcPr>
                <w:p>
                  <w:pPr>
                    <w:pStyle w:val="32"/>
                    <w:rPr>
                      <w:rFonts w:hint="default" w:ascii="Times New Roman" w:hAnsi="Times New Roman" w:cs="Times New Roman"/>
                      <w:b w:val="0"/>
                      <w:bCs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5" w:hRule="atLeast"/>
                <w:jc w:val="center"/>
              </w:trPr>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8</w:t>
                  </w:r>
                </w:p>
              </w:tc>
              <w:tc>
                <w:tcPr>
                  <w:tcW w:w="47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医疗单位废水处理污泥</w:t>
                  </w:r>
                </w:p>
              </w:tc>
              <w:tc>
                <w:tcPr>
                  <w:tcW w:w="99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HW01:841-003-01</w:t>
                  </w:r>
                </w:p>
              </w:tc>
              <w:tc>
                <w:tcPr>
                  <w:tcW w:w="488" w:type="pct"/>
                  <w:noWrap w:val="0"/>
                  <w:vAlign w:val="center"/>
                </w:tcPr>
                <w:p>
                  <w:pPr>
                    <w:keepNext w:val="0"/>
                    <w:keepLines w:val="0"/>
                    <w:widowControl/>
                    <w:suppressLineNumbers w:val="0"/>
                    <w:jc w:val="center"/>
                    <w:textAlignment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kern w:val="2"/>
                      <w:sz w:val="21"/>
                      <w:szCs w:val="32"/>
                      <w:lang w:val="en-US" w:eastAsia="zh-CN" w:bidi="ar-SA"/>
                    </w:rPr>
                    <w:t>1.41</w:t>
                  </w:r>
                </w:p>
              </w:tc>
              <w:tc>
                <w:tcPr>
                  <w:tcW w:w="49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污水处理</w:t>
                  </w:r>
                </w:p>
              </w:tc>
              <w:tc>
                <w:tcPr>
                  <w:tcW w:w="264"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固</w:t>
                  </w:r>
                </w:p>
              </w:tc>
              <w:tc>
                <w:tcPr>
                  <w:tcW w:w="38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感染性废物</w:t>
                  </w:r>
                </w:p>
              </w:tc>
              <w:tc>
                <w:tcPr>
                  <w:tcW w:w="511"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病菌、病毒</w:t>
                  </w:r>
                </w:p>
              </w:tc>
              <w:tc>
                <w:tcPr>
                  <w:tcW w:w="249"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每日</w:t>
                  </w:r>
                </w:p>
              </w:tc>
              <w:tc>
                <w:tcPr>
                  <w:tcW w:w="48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In</w:t>
                  </w:r>
                </w:p>
              </w:tc>
              <w:tc>
                <w:tcPr>
                  <w:tcW w:w="40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定期由资质单位直接清运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1"/>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注*：I：易燃性T：毒性R：反应性In：感染性C：腐蚀性</w:t>
                  </w:r>
                </w:p>
              </w:tc>
            </w:tr>
          </w:tbl>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5</w:t>
            </w:r>
            <w:r>
              <w:rPr>
                <w:rFonts w:hint="default" w:ascii="Times New Roman" w:hAnsi="Times New Roman" w:cs="Times New Roman"/>
                <w:b/>
                <w:bCs/>
                <w:color w:val="auto"/>
                <w:lang w:val="en-US" w:eastAsia="zh-CN"/>
              </w:rPr>
              <w:t xml:space="preserve">-5 </w:t>
            </w:r>
            <w:r>
              <w:rPr>
                <w:rFonts w:hint="default" w:ascii="Times New Roman" w:hAnsi="Times New Roman" w:cs="Times New Roman"/>
                <w:b/>
                <w:bCs/>
                <w:color w:val="auto"/>
              </w:rPr>
              <w:t>本项目危险废物暂存间基本情况</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3"/>
              <w:gridCol w:w="587"/>
              <w:gridCol w:w="1048"/>
              <w:gridCol w:w="2544"/>
              <w:gridCol w:w="585"/>
              <w:gridCol w:w="675"/>
              <w:gridCol w:w="575"/>
              <w:gridCol w:w="595"/>
              <w:gridCol w:w="4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4"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序号</w:t>
                  </w:r>
                </w:p>
              </w:tc>
              <w:tc>
                <w:tcPr>
                  <w:tcW w:w="395"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危险废物名称</w:t>
                  </w:r>
                </w:p>
              </w:tc>
              <w:tc>
                <w:tcPr>
                  <w:tcW w:w="705"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危险废物类别</w:t>
                  </w:r>
                </w:p>
              </w:tc>
              <w:tc>
                <w:tcPr>
                  <w:tcW w:w="1713"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危险废物代码</w:t>
                  </w:r>
                </w:p>
              </w:tc>
              <w:tc>
                <w:tcPr>
                  <w:tcW w:w="393"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位置</w:t>
                  </w:r>
                </w:p>
              </w:tc>
              <w:tc>
                <w:tcPr>
                  <w:tcW w:w="454"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占地面积</w:t>
                  </w:r>
                </w:p>
              </w:tc>
              <w:tc>
                <w:tcPr>
                  <w:tcW w:w="387"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贮存方式</w:t>
                  </w:r>
                </w:p>
              </w:tc>
              <w:tc>
                <w:tcPr>
                  <w:tcW w:w="400"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贮存</w:t>
                  </w:r>
                </w:p>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能力（t）</w:t>
                  </w:r>
                </w:p>
              </w:tc>
              <w:tc>
                <w:tcPr>
                  <w:tcW w:w="305"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贮存</w:t>
                  </w:r>
                </w:p>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244"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1</w:t>
                  </w:r>
                </w:p>
              </w:tc>
              <w:tc>
                <w:tcPr>
                  <w:tcW w:w="395"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医疗废物</w:t>
                  </w:r>
                </w:p>
              </w:tc>
              <w:tc>
                <w:tcPr>
                  <w:tcW w:w="705"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HW01</w:t>
                  </w:r>
                </w:p>
              </w:tc>
              <w:tc>
                <w:tcPr>
                  <w:tcW w:w="1713" w:type="pct"/>
                  <w:noWrap w:val="0"/>
                  <w:vAlign w:val="center"/>
                </w:tcPr>
                <w:p>
                  <w:pPr>
                    <w:pStyle w:val="58"/>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841-001-01/841-002-01/841-003-01/841-004-01</w:t>
                  </w:r>
                </w:p>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841-005-01</w:t>
                  </w:r>
                </w:p>
              </w:tc>
              <w:tc>
                <w:tcPr>
                  <w:tcW w:w="393"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医疗垃圾室</w:t>
                  </w:r>
                </w:p>
              </w:tc>
              <w:tc>
                <w:tcPr>
                  <w:tcW w:w="454"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lang w:val="en-US" w:eastAsia="zh-CN"/>
                    </w:rPr>
                    <w:t>20</w:t>
                  </w:r>
                  <w:r>
                    <w:rPr>
                      <w:rFonts w:hint="default" w:ascii="Times New Roman" w:hAnsi="Times New Roman" w:cs="Times New Roman"/>
                      <w:b w:val="0"/>
                      <w:bCs w:val="0"/>
                      <w:color w:val="auto"/>
                      <w:sz w:val="18"/>
                      <w:szCs w:val="18"/>
                    </w:rPr>
                    <w:t>m</w:t>
                  </w:r>
                  <w:r>
                    <w:rPr>
                      <w:rFonts w:hint="default" w:ascii="Times New Roman" w:hAnsi="Times New Roman" w:cs="Times New Roman"/>
                      <w:b w:val="0"/>
                      <w:bCs w:val="0"/>
                      <w:color w:val="auto"/>
                      <w:sz w:val="18"/>
                      <w:szCs w:val="18"/>
                      <w:vertAlign w:val="superscript"/>
                    </w:rPr>
                    <w:t>2</w:t>
                  </w:r>
                </w:p>
              </w:tc>
              <w:tc>
                <w:tcPr>
                  <w:tcW w:w="387"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桶装</w:t>
                  </w:r>
                </w:p>
              </w:tc>
              <w:tc>
                <w:tcPr>
                  <w:tcW w:w="400"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2t</w:t>
                  </w:r>
                </w:p>
              </w:tc>
              <w:tc>
                <w:tcPr>
                  <w:tcW w:w="305" w:type="pct"/>
                  <w:noWrap w:val="0"/>
                  <w:vAlign w:val="center"/>
                </w:tcPr>
                <w:p>
                  <w:pPr>
                    <w:pStyle w:val="32"/>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2天</w:t>
                  </w:r>
                </w:p>
              </w:tc>
            </w:tr>
          </w:tbl>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4.4.2</w:t>
            </w:r>
            <w:r>
              <w:rPr>
                <w:rFonts w:hint="default" w:ascii="Times New Roman" w:hAnsi="Times New Roman" w:cs="Times New Roman"/>
                <w:color w:val="auto"/>
              </w:rPr>
              <w:t>措施可行性分析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（1）生活垃圾、餐饮垃圾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职工产生的生活垃圾、餐饮垃圾经分类收集，委托环卫部门统一外运处置，不会对环境造成不良影响。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（2）医疗废物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①医疗垃圾室可行性分析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项目拟于项目</w:t>
            </w:r>
            <w:r>
              <w:rPr>
                <w:rFonts w:hint="eastAsia" w:cs="Times New Roman"/>
                <w:color w:val="auto"/>
                <w:lang w:val="en-US" w:eastAsia="zh-CN"/>
              </w:rPr>
              <w:t>2#1F</w:t>
            </w:r>
            <w:r>
              <w:rPr>
                <w:rFonts w:hint="default" w:ascii="Times New Roman" w:hAnsi="Times New Roman" w:cs="Times New Roman"/>
                <w:color w:val="auto"/>
              </w:rPr>
              <w:t>内设医疗垃圾室</w:t>
            </w:r>
            <w:r>
              <w:rPr>
                <w:rFonts w:hint="default" w:ascii="Times New Roman" w:hAnsi="Times New Roman" w:cs="Times New Roman"/>
                <w:color w:val="auto"/>
                <w:lang w:val="en-US" w:eastAsia="zh-CN"/>
              </w:rPr>
              <w:t>20</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。堆存高度按1m计，可暂存最大医疗废物量约</w:t>
            </w:r>
            <w:r>
              <w:rPr>
                <w:rFonts w:hint="default" w:ascii="Times New Roman" w:hAnsi="Times New Roman" w:cs="Times New Roman"/>
                <w:color w:val="auto"/>
                <w:lang w:val="en-US" w:eastAsia="zh-CN"/>
              </w:rPr>
              <w:t>20</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，现状工程日产生医疗废物约合0.0</w:t>
            </w:r>
            <w:r>
              <w:rPr>
                <w:rFonts w:hint="default" w:ascii="Times New Roman" w:hAnsi="Times New Roman" w:cs="Times New Roman"/>
                <w:color w:val="auto"/>
                <w:lang w:val="en-US" w:eastAsia="zh-CN"/>
              </w:rPr>
              <w:t>46</w:t>
            </w:r>
            <w:r>
              <w:rPr>
                <w:rFonts w:hint="default" w:ascii="Times New Roman" w:hAnsi="Times New Roman" w:cs="Times New Roman"/>
                <w:color w:val="auto"/>
              </w:rPr>
              <w:t>t/d，最大贮存量约0.</w:t>
            </w:r>
            <w:r>
              <w:rPr>
                <w:rFonts w:hint="default" w:ascii="Times New Roman" w:hAnsi="Times New Roman" w:cs="Times New Roman"/>
                <w:color w:val="auto"/>
                <w:lang w:val="en-US" w:eastAsia="zh-CN"/>
              </w:rPr>
              <w:t>0939</w:t>
            </w:r>
            <w:r>
              <w:rPr>
                <w:rFonts w:hint="default" w:ascii="Times New Roman" w:hAnsi="Times New Roman" w:cs="Times New Roman"/>
                <w:color w:val="auto"/>
              </w:rPr>
              <w:t>t/周期。两天1运。医疗垃圾室可满足需求。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②医疗废物管理要求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1）各类医疗废物的分类管理办法：按照《医疗废物分类目录》中的分类方法对本院产生的医疗废物进行分类收集，然后严格按照《医疗卫生机构医疗废物管理办法》对各类废物采取不同的处置措施。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其中，检验科废水含重金属、病原体等应单独预处理由第三方有处置资质单位进行清运处置。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医疗废物收集：根据医疗废物的类别，将医疗废物分置于符合《医疗废物专用包装物、容器的标准和警示标识的规定》（环发〔2003〕188号）的包装物或者容器内（包装袋、利器盒和周转箱（桶））；在盛装医疗废物前，应当对医疗废物包装物或者容器进行认真检查，确保无破损、渗漏和其它缺陷。</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3）医疗废物的贮存和运送：</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院内北侧角落单独设置医疗垃圾收集暂存间，废物袋（箱）在外送处理前，均集中存放在医疗垃圾临时贮存间，要求医疗废物暂时贮存的时间不得超过2天，尽量做到日产日清，临床废物必须当日消毒，消毒后装入容器。</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医院的化学性医疗废物应单独收集，并单独存放，并委托有资质机构单独处置。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4）医疗卫生机构建立的医疗废物暂时贮存设施、设备应当达到以下要求：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1.远离医疗区、人员活动区，方便医疗废物运送人员及运送工具、车辆的出入；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2.有严密的封闭措施，设专（兼）职人员管理，防止非工作人员接触医疗废物；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3.有防鼠、防蚊蝇、防蟑螂的安全措施；防止渗漏和雨水冲刷；易于清洁和消毒；避免阳光直射；</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4.设有明显的医疗废物警示标识和“禁止吸烟、饮食”的警示标识。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5.暂时贮存病理性废物，应当具备低温贮存或者防腐条件。</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对于感染性废料和锐利废物，其贮存地应有“生物危险”标志和进入管理限制，且应位于产生废物地点附近。同时感染性废物和锐利废物的贮存应满足以下要求：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1.保证包装内容物不暴露于空气和受潮；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2.保存温度及时间应使保存物无腐败发生，必要时，可用低温保存，以防微生物生长和产生异味</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3.贮存地及包装应确保内容物不成为鼠类或其他生物的食物来源；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4.贮存地不得对公众开放。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5.医疗废物转交出去后，应当对暂时贮存地点、设施及时进行清洁和消毒处理。对于医疗固体废物，禁止将其在非收集、非暂时贮存地点倾倒、堆放；禁止将医疗废物混入其它废物和生活垃圾；禁止在内部运送过程中丢弃医疗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（3）污水站污泥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污水处理站污泥属危险废物，应按危险废物进行处理和处置。污泥清淘前应进行监测，达到综合医疗机构污泥控制标准：粪大肠菌群数≤100（MPN/g），蛔虫卵死亡率&gt;95（%）。污泥在投加次氯酸钠杀菌消毒后，由具有处置资质单位定期清运处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综上所述，固体废物采取的措施有效可行。</w:t>
            </w:r>
          </w:p>
          <w:p>
            <w:pPr>
              <w:pStyle w:val="3"/>
              <w:numPr>
                <w:ilvl w:val="1"/>
                <w:numId w:val="0"/>
              </w:numPr>
              <w:bidi w:val="0"/>
              <w:ind w:leftChars="0"/>
              <w:rPr>
                <w:rFonts w:hint="default" w:ascii="Times New Roman" w:hAnsi="Times New Roman" w:cs="Times New Roman"/>
                <w:color w:val="auto"/>
              </w:rPr>
            </w:pPr>
            <w:r>
              <w:rPr>
                <w:rFonts w:hint="default" w:ascii="Times New Roman" w:hAnsi="Times New Roman" w:cs="Times New Roman"/>
                <w:color w:val="auto"/>
              </w:rPr>
              <w:t>4.</w:t>
            </w:r>
            <w:r>
              <w:rPr>
                <w:rFonts w:hint="eastAsia" w:cs="Times New Roman"/>
                <w:color w:val="auto"/>
                <w:lang w:val="en-US" w:eastAsia="zh-CN"/>
              </w:rPr>
              <w:t>6</w:t>
            </w:r>
            <w:r>
              <w:rPr>
                <w:rFonts w:hint="default" w:ascii="Times New Roman" w:hAnsi="Times New Roman" w:cs="Times New Roman"/>
                <w:color w:val="auto"/>
              </w:rPr>
              <w:t>环境风险评价</w:t>
            </w:r>
          </w:p>
          <w:p>
            <w:pPr>
              <w:pStyle w:val="4"/>
              <w:bidi w:val="0"/>
              <w:rPr>
                <w:rFonts w:hint="default" w:ascii="Times New Roman" w:hAnsi="Times New Roman" w:cs="Times New Roman"/>
                <w:color w:val="auto"/>
              </w:rPr>
            </w:pPr>
            <w:r>
              <w:rPr>
                <w:rFonts w:hint="default" w:ascii="Times New Roman" w:hAnsi="Times New Roman" w:cs="Times New Roman"/>
                <w:color w:val="auto"/>
              </w:rPr>
              <w:t>4.</w:t>
            </w:r>
            <w:r>
              <w:rPr>
                <w:rFonts w:hint="eastAsia" w:cs="Times New Roman"/>
                <w:color w:val="auto"/>
                <w:lang w:val="en-US" w:eastAsia="zh-CN"/>
              </w:rPr>
              <w:t>6</w:t>
            </w:r>
            <w:r>
              <w:rPr>
                <w:rFonts w:hint="default" w:ascii="Times New Roman" w:hAnsi="Times New Roman" w:cs="Times New Roman"/>
                <w:color w:val="auto"/>
              </w:rPr>
              <w:t>.1风险源调查</w:t>
            </w:r>
          </w:p>
          <w:p>
            <w:pPr>
              <w:widowControl/>
              <w:ind w:firstLine="480"/>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项目为精神病防治专院，</w:t>
            </w:r>
            <w:r>
              <w:rPr>
                <w:rFonts w:hint="default" w:ascii="Times New Roman" w:hAnsi="Times New Roman" w:cs="Times New Roman"/>
                <w:color w:val="auto"/>
              </w:rPr>
              <w:t>院区涉及的危险化学品主要为乙醇、污水处理过程中使用的氯酸钠、盐酸、二氧化氯及区内储备少量柴油</w:t>
            </w:r>
            <w:r>
              <w:rPr>
                <w:rFonts w:hint="default" w:ascii="Times New Roman" w:hAnsi="Times New Roman" w:cs="Times New Roman"/>
                <w:color w:val="auto"/>
                <w:kern w:val="0"/>
                <w:szCs w:val="21"/>
              </w:rPr>
              <w:t>。根据本项目的特点，将污水处理站、医疗废物暂存间、备用发电机房柴油储存间等定为危险单元。</w:t>
            </w:r>
          </w:p>
          <w:p>
            <w:pPr>
              <w:widowControl/>
              <w:ind w:firstLine="480"/>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本项目产生的危险废物主要为医疗废物，医疗废物经收集后进行分类，用专用的容器进行收集暂存，大部分为固态或是有密闭容器盛装。根据《建设项目环境风险评价技术导则》（HJ169-2018）对项目营运过程中可能使用的原料和产品涉及的危险化学品进行识别，院区涉及的危险化学品主要为乙醇、污水处理过程中使用的氯酸钠、盐酸、二氧化氯及区内储备少量柴油。</w:t>
            </w:r>
          </w:p>
          <w:p>
            <w:pPr>
              <w:widowControl/>
              <w:ind w:firstLine="480"/>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（2）环境风险物质的理化性质、毒性指标</w:t>
            </w:r>
          </w:p>
          <w:p>
            <w:pPr>
              <w:widowControl/>
              <w:ind w:firstLine="480"/>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项目生产所用主要物料特性及危害见</w:t>
            </w:r>
            <w:r>
              <w:rPr>
                <w:rFonts w:hint="default" w:ascii="Times New Roman" w:hAnsi="Times New Roman" w:cs="Times New Roman"/>
                <w:color w:val="auto"/>
                <w:kern w:val="0"/>
                <w:szCs w:val="21"/>
                <w:lang w:val="en-US" w:eastAsia="zh-CN"/>
              </w:rPr>
              <w:t>4.</w:t>
            </w:r>
            <w:r>
              <w:rPr>
                <w:rFonts w:hint="eastAsia" w:cs="Times New Roman"/>
                <w:color w:val="auto"/>
                <w:kern w:val="0"/>
                <w:szCs w:val="21"/>
                <w:lang w:val="en-US" w:eastAsia="zh-CN"/>
              </w:rPr>
              <w:t>6</w:t>
            </w:r>
            <w:r>
              <w:rPr>
                <w:rFonts w:hint="default" w:ascii="Times New Roman" w:hAnsi="Times New Roman" w:cs="Times New Roman"/>
                <w:color w:val="auto"/>
                <w:kern w:val="0"/>
                <w:szCs w:val="21"/>
              </w:rPr>
              <w:t>-1~表</w:t>
            </w:r>
            <w:r>
              <w:rPr>
                <w:rFonts w:hint="default" w:ascii="Times New Roman" w:hAnsi="Times New Roman" w:cs="Times New Roman"/>
                <w:color w:val="auto"/>
                <w:kern w:val="0"/>
                <w:szCs w:val="21"/>
                <w:lang w:val="en-US" w:eastAsia="zh-CN"/>
              </w:rPr>
              <w:t>4.</w:t>
            </w:r>
            <w:r>
              <w:rPr>
                <w:rFonts w:hint="eastAsia" w:cs="Times New Roman"/>
                <w:color w:val="auto"/>
                <w:kern w:val="0"/>
                <w:szCs w:val="21"/>
                <w:lang w:val="en-US" w:eastAsia="zh-CN"/>
              </w:rPr>
              <w:t>6</w:t>
            </w:r>
            <w:r>
              <w:rPr>
                <w:rFonts w:hint="default" w:ascii="Times New Roman" w:hAnsi="Times New Roman" w:cs="Times New Roman"/>
                <w:color w:val="auto"/>
                <w:kern w:val="0"/>
                <w:szCs w:val="21"/>
                <w:lang w:val="en-US" w:eastAsia="zh-CN"/>
              </w:rPr>
              <w:t>-5</w:t>
            </w:r>
            <w:r>
              <w:rPr>
                <w:rFonts w:hint="default" w:ascii="Times New Roman" w:hAnsi="Times New Roman" w:cs="Times New Roman"/>
                <w:color w:val="auto"/>
                <w:kern w:val="0"/>
                <w:szCs w:val="21"/>
              </w:rPr>
              <w:t>。</w:t>
            </w:r>
          </w:p>
          <w:p>
            <w:pPr>
              <w:ind w:firstLine="0" w:firstLineChars="0"/>
              <w:jc w:val="center"/>
              <w:rPr>
                <w:rFonts w:hint="default" w:ascii="Times New Roman" w:hAnsi="Times New Roman" w:cs="Times New Roman"/>
                <w:color w:val="auto"/>
              </w:rPr>
            </w:pPr>
            <w:r>
              <w:rPr>
                <w:rFonts w:hint="default" w:ascii="Times New Roman" w:hAnsi="Times New Roman" w:cs="Times New Roman"/>
                <w:b/>
                <w:bCs/>
                <w:color w:val="auto"/>
                <w:szCs w:val="22"/>
              </w:rPr>
              <w:t>表</w:t>
            </w:r>
            <w:r>
              <w:rPr>
                <w:rFonts w:hint="default" w:ascii="Times New Roman" w:hAnsi="Times New Roman" w:cs="Times New Roman"/>
                <w:b/>
                <w:bCs/>
                <w:color w:val="auto"/>
                <w:szCs w:val="22"/>
                <w:lang w:val="en-US" w:eastAsia="zh-CN"/>
              </w:rPr>
              <w:t>4.</w:t>
            </w:r>
            <w:r>
              <w:rPr>
                <w:rFonts w:hint="eastAsia" w:cs="Times New Roman"/>
                <w:b/>
                <w:bCs/>
                <w:color w:val="auto"/>
                <w:szCs w:val="22"/>
                <w:lang w:val="en-US" w:eastAsia="zh-CN"/>
              </w:rPr>
              <w:t>6</w:t>
            </w:r>
            <w:r>
              <w:rPr>
                <w:rFonts w:hint="default" w:ascii="Times New Roman" w:hAnsi="Times New Roman" w:cs="Times New Roman"/>
                <w:b/>
                <w:bCs/>
                <w:color w:val="auto"/>
                <w:szCs w:val="22"/>
                <w:lang w:val="en-US" w:eastAsia="zh-CN"/>
              </w:rPr>
              <w:t>-1</w:t>
            </w:r>
            <w:r>
              <w:rPr>
                <w:rFonts w:hint="default" w:ascii="Times New Roman" w:hAnsi="Times New Roman" w:cs="Times New Roman"/>
                <w:b/>
                <w:bCs/>
                <w:color w:val="auto"/>
                <w:szCs w:val="22"/>
              </w:rPr>
              <w:t xml:space="preserve"> 氯酸钠特性及危害一览表</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Layout w:type="fixed"/>
              <w:tblCellMar>
                <w:top w:w="0" w:type="dxa"/>
                <w:left w:w="108" w:type="dxa"/>
                <w:bottom w:w="0" w:type="dxa"/>
                <w:right w:w="108" w:type="dxa"/>
              </w:tblCellMar>
            </w:tblPr>
            <w:tblGrid>
              <w:gridCol w:w="679"/>
              <w:gridCol w:w="4041"/>
              <w:gridCol w:w="2704"/>
            </w:tblGrid>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noWrap w:val="0"/>
                  <w:vAlign w:val="top"/>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标识</w:t>
                  </w:r>
                </w:p>
              </w:tc>
              <w:tc>
                <w:tcPr>
                  <w:tcW w:w="2721" w:type="pct"/>
                  <w:noWrap w:val="0"/>
                  <w:vAlign w:val="top"/>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中文名：氯酸钠、氯酸碱、白药钠分子式：NaClO</w:t>
                  </w:r>
                  <w:r>
                    <w:rPr>
                      <w:rFonts w:hint="default" w:ascii="Times New Roman" w:hAnsi="Times New Roman" w:cs="Times New Roman"/>
                      <w:color w:val="auto"/>
                      <w:szCs w:val="21"/>
                      <w:vertAlign w:val="subscript"/>
                    </w:rPr>
                    <w:t>3</w:t>
                  </w:r>
                </w:p>
              </w:tc>
              <w:tc>
                <w:tcPr>
                  <w:tcW w:w="1821" w:type="pct"/>
                  <w:noWrap w:val="0"/>
                  <w:vAlign w:val="top"/>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英文名：Sodium chlorate</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restar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理化 性质</w:t>
                  </w:r>
                </w:p>
              </w:tc>
              <w:tc>
                <w:tcPr>
                  <w:tcW w:w="272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性状：白色或微黄色等轴晶体。</w:t>
                  </w:r>
                </w:p>
              </w:tc>
              <w:tc>
                <w:tcPr>
                  <w:tcW w:w="182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溶解性：易溶于水、微溶于乙醇。</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center"/>
                </w:tcPr>
                <w:p>
                  <w:pPr>
                    <w:pStyle w:val="17"/>
                    <w:rPr>
                      <w:rFonts w:hint="default" w:ascii="Times New Roman" w:hAnsi="Times New Roman" w:cs="Times New Roman"/>
                      <w:color w:val="auto"/>
                      <w:szCs w:val="21"/>
                    </w:rPr>
                  </w:pPr>
                </w:p>
              </w:tc>
              <w:tc>
                <w:tcPr>
                  <w:tcW w:w="272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熔点（℃）：248~261</w:t>
                  </w:r>
                  <w:r>
                    <w:rPr>
                      <w:rFonts w:hint="default" w:ascii="Times New Roman" w:hAnsi="Times New Roman" w:cs="Times New Roman"/>
                      <w:color w:val="auto"/>
                      <w:szCs w:val="21"/>
                    </w:rPr>
                    <w:tab/>
                  </w:r>
                  <w:r>
                    <w:rPr>
                      <w:rFonts w:hint="default" w:ascii="Times New Roman" w:hAnsi="Times New Roman" w:cs="Times New Roman"/>
                      <w:color w:val="auto"/>
                      <w:szCs w:val="21"/>
                    </w:rPr>
                    <w:t>沸点（℃）：300 分解</w:t>
                  </w:r>
                </w:p>
              </w:tc>
              <w:tc>
                <w:tcPr>
                  <w:tcW w:w="182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密度（g/cm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）：2.49</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center"/>
                </w:tcPr>
                <w:p>
                  <w:pPr>
                    <w:pStyle w:val="17"/>
                    <w:rPr>
                      <w:rFonts w:hint="default" w:ascii="Times New Roman" w:hAnsi="Times New Roman" w:cs="Times New Roman"/>
                      <w:color w:val="auto"/>
                      <w:szCs w:val="21"/>
                    </w:rPr>
                  </w:pPr>
                </w:p>
              </w:tc>
              <w:tc>
                <w:tcPr>
                  <w:tcW w:w="272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饱和蒸气压（KPa）：——</w:t>
                  </w:r>
                </w:p>
              </w:tc>
              <w:tc>
                <w:tcPr>
                  <w:tcW w:w="1821" w:type="pct"/>
                  <w:noWrap w:val="0"/>
                  <w:vAlign w:val="center"/>
                </w:tcPr>
                <w:p>
                  <w:pPr>
                    <w:pStyle w:val="17"/>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restar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燃爆 性</w:t>
                  </w:r>
                </w:p>
              </w:tc>
              <w:tc>
                <w:tcPr>
                  <w:tcW w:w="2721" w:type="pct"/>
                  <w:noWrap w:val="0"/>
                  <w:vAlign w:val="top"/>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燃烧性：助燃</w:t>
                  </w:r>
                </w:p>
              </w:tc>
              <w:tc>
                <w:tcPr>
                  <w:tcW w:w="1821" w:type="pct"/>
                  <w:noWrap w:val="0"/>
                  <w:vAlign w:val="top"/>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稳定性：稳定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top"/>
                </w:tcPr>
                <w:p>
                  <w:pPr>
                    <w:pStyle w:val="17"/>
                    <w:rPr>
                      <w:rFonts w:hint="default" w:ascii="Times New Roman" w:hAnsi="Times New Roman" w:cs="Times New Roman"/>
                      <w:color w:val="auto"/>
                      <w:szCs w:val="21"/>
                    </w:rPr>
                  </w:pPr>
                </w:p>
              </w:tc>
              <w:tc>
                <w:tcPr>
                  <w:tcW w:w="2721" w:type="pct"/>
                  <w:noWrap w:val="0"/>
                  <w:vAlign w:val="top"/>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闪点（℃）：——</w:t>
                  </w:r>
                </w:p>
              </w:tc>
              <w:tc>
                <w:tcPr>
                  <w:tcW w:w="1821" w:type="pct"/>
                  <w:noWrap w:val="0"/>
                  <w:vAlign w:val="top"/>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聚合危害：——</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top"/>
                </w:tcPr>
                <w:p>
                  <w:pPr>
                    <w:pStyle w:val="17"/>
                    <w:rPr>
                      <w:rFonts w:hint="default" w:ascii="Times New Roman" w:hAnsi="Times New Roman" w:cs="Times New Roman"/>
                      <w:color w:val="auto"/>
                      <w:szCs w:val="21"/>
                    </w:rPr>
                  </w:pPr>
                </w:p>
              </w:tc>
              <w:tc>
                <w:tcPr>
                  <w:tcW w:w="272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最大爆炸压力（MPa）：——</w:t>
                  </w:r>
                </w:p>
              </w:tc>
              <w:tc>
                <w:tcPr>
                  <w:tcW w:w="182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燃烧（分解）产物：氧气、氯化物、氯化钠</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top"/>
                </w:tcPr>
                <w:p>
                  <w:pPr>
                    <w:pStyle w:val="17"/>
                    <w:rPr>
                      <w:rFonts w:hint="default" w:ascii="Times New Roman" w:hAnsi="Times New Roman" w:cs="Times New Roman"/>
                      <w:color w:val="auto"/>
                      <w:szCs w:val="21"/>
                    </w:rPr>
                  </w:pPr>
                </w:p>
              </w:tc>
              <w:tc>
                <w:tcPr>
                  <w:tcW w:w="4542"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危险特性：在中性或弱碱性溶液中氧化力非常低，但在酸性溶液中或有诱导氧化剂和催化剂(如</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http://baike.baidu.com/view/4360.htm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硫酸铜</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)存在时，则是</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http://baike.baidu.com/view/799466.htm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强氧化</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剂。与酸类(如硫酸)作用放出</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http://baike.baidu.com/view/4814.htm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二氧</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化氯，有强氧化性。与硫、 磷和有机物混合或受撞击，易引起燃烧和爆炸。易潮解。</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restar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毒性 及健 康危 害</w:t>
                  </w:r>
                </w:p>
              </w:tc>
              <w:tc>
                <w:tcPr>
                  <w:tcW w:w="4542"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接触限值：对皮肤和黏膜有局部刺激作用</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center"/>
                </w:tcPr>
                <w:p>
                  <w:pPr>
                    <w:pStyle w:val="17"/>
                    <w:rPr>
                      <w:rFonts w:hint="default" w:ascii="Times New Roman" w:hAnsi="Times New Roman" w:cs="Times New Roman"/>
                      <w:color w:val="auto"/>
                      <w:szCs w:val="21"/>
                    </w:rPr>
                  </w:pPr>
                </w:p>
              </w:tc>
              <w:tc>
                <w:tcPr>
                  <w:tcW w:w="4542"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急性毒性：LD50 1200mg/kg（大鼠经口）</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center"/>
                </w:tcPr>
                <w:p>
                  <w:pPr>
                    <w:pStyle w:val="17"/>
                    <w:rPr>
                      <w:rFonts w:hint="default" w:ascii="Times New Roman" w:hAnsi="Times New Roman" w:cs="Times New Roman"/>
                      <w:color w:val="auto"/>
                      <w:szCs w:val="21"/>
                    </w:rPr>
                  </w:pPr>
                </w:p>
              </w:tc>
              <w:tc>
                <w:tcPr>
                  <w:tcW w:w="4542"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侵入途径：吸入、食入、经皮吸收</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center"/>
                </w:tcPr>
                <w:p>
                  <w:pPr>
                    <w:pStyle w:val="17"/>
                    <w:rPr>
                      <w:rFonts w:hint="default" w:ascii="Times New Roman" w:hAnsi="Times New Roman" w:cs="Times New Roman"/>
                      <w:color w:val="auto"/>
                      <w:szCs w:val="21"/>
                    </w:rPr>
                  </w:pPr>
                </w:p>
              </w:tc>
              <w:tc>
                <w:tcPr>
                  <w:tcW w:w="4542"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健康危害：本品粉尘对呼吸道、眼及皮肤有刺激性。口服急性中毒，表现为高铁血红蛋白血症，肠胃炎，肝肾损伤，甚至发生窒息。</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57" w:type="pct"/>
                  <w:vMerge w:val="continue"/>
                  <w:noWrap w:val="0"/>
                  <w:vAlign w:val="center"/>
                </w:tcPr>
                <w:p>
                  <w:pPr>
                    <w:pStyle w:val="17"/>
                    <w:rPr>
                      <w:rFonts w:hint="default" w:ascii="Times New Roman" w:hAnsi="Times New Roman" w:cs="Times New Roman"/>
                      <w:color w:val="auto"/>
                      <w:szCs w:val="21"/>
                    </w:rPr>
                  </w:pPr>
                </w:p>
              </w:tc>
              <w:tc>
                <w:tcPr>
                  <w:tcW w:w="4542"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职业危害程度分级：——</w:t>
                  </w:r>
                </w:p>
              </w:tc>
            </w:tr>
          </w:tbl>
          <w:p>
            <w:pPr>
              <w:ind w:firstLine="0" w:firstLineChars="0"/>
              <w:jc w:val="center"/>
              <w:rPr>
                <w:rFonts w:hint="default" w:ascii="Times New Roman" w:hAnsi="Times New Roman" w:cs="Times New Roman"/>
                <w:b/>
                <w:bCs/>
                <w:color w:val="auto"/>
                <w:szCs w:val="22"/>
              </w:rPr>
            </w:pPr>
            <w:r>
              <w:rPr>
                <w:rFonts w:hint="default" w:ascii="Times New Roman" w:hAnsi="Times New Roman" w:cs="Times New Roman"/>
                <w:b/>
                <w:bCs/>
                <w:color w:val="auto"/>
                <w:szCs w:val="22"/>
              </w:rPr>
              <w:t>表</w:t>
            </w:r>
            <w:r>
              <w:rPr>
                <w:rFonts w:hint="default" w:ascii="Times New Roman" w:hAnsi="Times New Roman" w:cs="Times New Roman"/>
                <w:b/>
                <w:bCs/>
                <w:color w:val="auto"/>
                <w:szCs w:val="22"/>
                <w:lang w:val="en-US" w:eastAsia="zh-CN"/>
              </w:rPr>
              <w:t>4.</w:t>
            </w:r>
            <w:r>
              <w:rPr>
                <w:rFonts w:hint="eastAsia" w:cs="Times New Roman"/>
                <w:b/>
                <w:bCs/>
                <w:color w:val="auto"/>
                <w:szCs w:val="22"/>
                <w:lang w:val="en-US" w:eastAsia="zh-CN"/>
              </w:rPr>
              <w:t>6</w:t>
            </w:r>
            <w:r>
              <w:rPr>
                <w:rFonts w:hint="default" w:ascii="Times New Roman" w:hAnsi="Times New Roman" w:cs="Times New Roman"/>
                <w:b/>
                <w:bCs/>
                <w:color w:val="auto"/>
                <w:szCs w:val="22"/>
              </w:rPr>
              <w:t>-2 盐酸特性及危害一览表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98"/>
              <w:gridCol w:w="3962"/>
              <w:gridCol w:w="2862"/>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标识</w:t>
                  </w:r>
                </w:p>
              </w:tc>
              <w:tc>
                <w:tcPr>
                  <w:tcW w:w="2669"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中文名：盐酸，氢氯酸分子式：HCL</w:t>
                  </w:r>
                </w:p>
              </w:tc>
              <w:tc>
                <w:tcPr>
                  <w:tcW w:w="1926"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英文名：Hydrochloric acid</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restar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理化 性质</w:t>
                  </w:r>
                </w:p>
              </w:tc>
              <w:tc>
                <w:tcPr>
                  <w:tcW w:w="2669"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性状：无色或微黄色发烟液体，有刺鼻的酸味。</w:t>
                  </w:r>
                </w:p>
              </w:tc>
              <w:tc>
                <w:tcPr>
                  <w:tcW w:w="1926"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溶解性：与水混溶，溶于碱液。</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2669"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熔点（℃）：-114.8（纯）沸点（℃）：108.6（20%）</w:t>
                  </w:r>
                </w:p>
              </w:tc>
              <w:tc>
                <w:tcPr>
                  <w:tcW w:w="1926"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相对密度（水=1）：1.20</w:t>
                  </w:r>
                  <w:r>
                    <w:rPr>
                      <w:rFonts w:hint="default" w:ascii="Times New Roman" w:hAnsi="Times New Roman" w:cs="Times New Roman"/>
                      <w:color w:val="auto"/>
                      <w:szCs w:val="21"/>
                    </w:rPr>
                    <w:tab/>
                  </w:r>
                </w:p>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相对密度（空气=1）：1.26</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2669"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饱和蒸气压（KPa）：30.66（21℃）</w:t>
                  </w:r>
                </w:p>
              </w:tc>
              <w:tc>
                <w:tcPr>
                  <w:tcW w:w="1926" w:type="pct"/>
                  <w:noWrap w:val="0"/>
                  <w:vAlign w:val="center"/>
                </w:tcPr>
                <w:p>
                  <w:pPr>
                    <w:pStyle w:val="17"/>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restar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燃爆 性</w:t>
                  </w:r>
                </w:p>
              </w:tc>
              <w:tc>
                <w:tcPr>
                  <w:tcW w:w="2669"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燃烧性：不燃</w:t>
                  </w:r>
                </w:p>
              </w:tc>
              <w:tc>
                <w:tcPr>
                  <w:tcW w:w="1926"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稳定性：稳定</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2669"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闪点（℃）：——引燃温度（℃）：——</w:t>
                  </w:r>
                </w:p>
              </w:tc>
              <w:tc>
                <w:tcPr>
                  <w:tcW w:w="1926"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聚合危害：不聚合</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2669"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最大爆炸压力（MPa）：——</w:t>
                  </w:r>
                </w:p>
              </w:tc>
              <w:tc>
                <w:tcPr>
                  <w:tcW w:w="1926"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燃烧（分解）产物：氯化氢</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4596"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危险特性：能与一些活性金属粉末发生反应，放出氢气。遇氰化物、硫化物能分别产生剧毒的氰化氢、氯化氢气体。与碱发生中和反应，并放出大量的热。具有较强的腐蚀性。</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restar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毒性 及健 康危 害</w:t>
                  </w:r>
                </w:p>
              </w:tc>
              <w:tc>
                <w:tcPr>
                  <w:tcW w:w="4596" w:type="pct"/>
                  <w:gridSpan w:val="2"/>
                  <w:noWrap w:val="0"/>
                  <w:vAlign w:val="center"/>
                </w:tcPr>
                <w:p>
                  <w:pPr>
                    <w:pStyle w:val="17"/>
                    <w:jc w:val="left"/>
                    <w:rPr>
                      <w:rFonts w:hint="default" w:ascii="Times New Roman" w:hAnsi="Times New Roman" w:cs="Times New Roman"/>
                      <w:color w:val="auto"/>
                      <w:szCs w:val="21"/>
                    </w:rPr>
                  </w:pPr>
                  <w:r>
                    <w:rPr>
                      <w:rFonts w:hint="default" w:ascii="Times New Roman" w:hAnsi="Times New Roman" w:cs="Times New Roman"/>
                      <w:color w:val="auto"/>
                      <w:szCs w:val="21"/>
                    </w:rPr>
                    <w:t>接触限值：中国 MAC（mg/m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）15</w:t>
                  </w:r>
                </w:p>
                <w:p>
                  <w:pPr>
                    <w:pStyle w:val="17"/>
                    <w:jc w:val="left"/>
                    <w:rPr>
                      <w:rFonts w:hint="default" w:ascii="Times New Roman" w:hAnsi="Times New Roman" w:cs="Times New Roman"/>
                      <w:color w:val="auto"/>
                      <w:szCs w:val="21"/>
                    </w:rPr>
                  </w:pPr>
                  <w:r>
                    <w:rPr>
                      <w:rFonts w:hint="default" w:ascii="Times New Roman" w:hAnsi="Times New Roman" w:cs="Times New Roman"/>
                      <w:color w:val="auto"/>
                      <w:szCs w:val="21"/>
                    </w:rPr>
                    <w:t>前苏联 MAC（mg/m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）未制定</w:t>
                  </w:r>
                </w:p>
                <w:p>
                  <w:pPr>
                    <w:pStyle w:val="17"/>
                    <w:jc w:val="left"/>
                    <w:rPr>
                      <w:rFonts w:hint="default" w:ascii="Times New Roman" w:hAnsi="Times New Roman" w:cs="Times New Roman"/>
                      <w:color w:val="auto"/>
                      <w:szCs w:val="21"/>
                    </w:rPr>
                  </w:pPr>
                  <w:r>
                    <w:rPr>
                      <w:rFonts w:hint="default" w:ascii="Times New Roman" w:hAnsi="Times New Roman" w:cs="Times New Roman"/>
                      <w:color w:val="auto"/>
                      <w:szCs w:val="21"/>
                    </w:rPr>
                    <w:t>美国 TLV-TMA OSHA5ppm 7.5mg/m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[上限值]</w:t>
                  </w:r>
                  <w:r>
                    <w:rPr>
                      <w:rFonts w:hint="default" w:ascii="Times New Roman" w:hAnsi="Times New Roman" w:cs="Times New Roman"/>
                      <w:color w:val="auto"/>
                      <w:szCs w:val="21"/>
                    </w:rPr>
                    <w:tab/>
                  </w:r>
                  <w:r>
                    <w:rPr>
                      <w:rFonts w:hint="default" w:ascii="Times New Roman" w:hAnsi="Times New Roman" w:cs="Times New Roman"/>
                      <w:color w:val="auto"/>
                      <w:szCs w:val="21"/>
                    </w:rPr>
                    <w:t>ACGIH5ppm 7.5mg/m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[上限值]</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4596"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急性毒性：LD50 900mg/kg（兔口径）；LC50 3124ppm,1 小时（大鼠吸入）</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4596" w:type="pct"/>
                  <w:gridSpan w:val="2"/>
                  <w:noWrap w:val="0"/>
                  <w:vAlign w:val="center"/>
                </w:tcPr>
                <w:p>
                  <w:pPr>
                    <w:pStyle w:val="17"/>
                    <w:jc w:val="left"/>
                    <w:rPr>
                      <w:rFonts w:hint="default" w:ascii="Times New Roman" w:hAnsi="Times New Roman" w:cs="Times New Roman"/>
                      <w:color w:val="auto"/>
                      <w:szCs w:val="21"/>
                    </w:rPr>
                  </w:pPr>
                  <w:r>
                    <w:rPr>
                      <w:rFonts w:hint="default" w:ascii="Times New Roman" w:hAnsi="Times New Roman" w:cs="Times New Roman"/>
                      <w:color w:val="auto"/>
                      <w:szCs w:val="21"/>
                    </w:rPr>
                    <w:t>侵入途径：吸入、食入</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4596" w:type="pct"/>
                  <w:gridSpan w:val="2"/>
                  <w:noWrap w:val="0"/>
                  <w:vAlign w:val="center"/>
                </w:tcPr>
                <w:p>
                  <w:pPr>
                    <w:pStyle w:val="17"/>
                    <w:jc w:val="left"/>
                    <w:rPr>
                      <w:rFonts w:hint="default" w:ascii="Times New Roman" w:hAnsi="Times New Roman" w:cs="Times New Roman"/>
                      <w:color w:val="auto"/>
                      <w:szCs w:val="21"/>
                    </w:rPr>
                  </w:pPr>
                  <w:r>
                    <w:rPr>
                      <w:rFonts w:hint="default" w:ascii="Times New Roman" w:hAnsi="Times New Roman" w:cs="Times New Roman"/>
                      <w:color w:val="auto"/>
                      <w:szCs w:val="21"/>
                    </w:rPr>
                    <w:t>健康危害：接触其蒸汽或烟雾，可引起急性中毒，出现眼结膜炎，鼻及口腔粘膜有灼烧感，牙龈出血，气管炎等。误服可引起消化道灼伤、溃疡形成，有可能引起胃穿孔、腹膜炎等。 眼和皮肤接触可致灼伤。慢性影响：长期接触，可引起慢性鼻炎、慢性支气管炎、牙齿酸蚀 症及皮肤损害。</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trPr>
              <w:tc>
                <w:tcPr>
                  <w:tcW w:w="403" w:type="pct"/>
                  <w:vMerge w:val="continue"/>
                  <w:noWrap w:val="0"/>
                  <w:vAlign w:val="center"/>
                </w:tcPr>
                <w:p>
                  <w:pPr>
                    <w:pStyle w:val="17"/>
                    <w:rPr>
                      <w:rFonts w:hint="default" w:ascii="Times New Roman" w:hAnsi="Times New Roman" w:cs="Times New Roman"/>
                      <w:color w:val="auto"/>
                      <w:szCs w:val="21"/>
                    </w:rPr>
                  </w:pPr>
                </w:p>
              </w:tc>
              <w:tc>
                <w:tcPr>
                  <w:tcW w:w="4596"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职业危害程度分级：高度危害（Ⅱ级）</w:t>
                  </w:r>
                </w:p>
              </w:tc>
            </w:tr>
          </w:tbl>
          <w:p>
            <w:pPr>
              <w:ind w:firstLine="0" w:firstLineChars="0"/>
              <w:jc w:val="center"/>
              <w:rPr>
                <w:rFonts w:hint="default" w:ascii="Times New Roman" w:hAnsi="Times New Roman" w:cs="Times New Roman"/>
                <w:color w:val="auto"/>
                <w:lang w:val="zh-CN"/>
              </w:rPr>
            </w:pPr>
            <w:r>
              <w:rPr>
                <w:rFonts w:hint="default" w:ascii="Times New Roman" w:hAnsi="Times New Roman" w:cs="Times New Roman"/>
                <w:b/>
                <w:bCs/>
                <w:color w:val="auto"/>
                <w:szCs w:val="22"/>
                <w:lang w:val="zh-CN"/>
              </w:rPr>
              <w:t>表</w:t>
            </w:r>
            <w:r>
              <w:rPr>
                <w:rFonts w:hint="default" w:ascii="Times New Roman" w:hAnsi="Times New Roman" w:cs="Times New Roman"/>
                <w:b/>
                <w:bCs/>
                <w:color w:val="auto"/>
                <w:szCs w:val="22"/>
                <w:lang w:val="en-US" w:eastAsia="zh-CN"/>
              </w:rPr>
              <w:t>4.</w:t>
            </w:r>
            <w:r>
              <w:rPr>
                <w:rFonts w:hint="eastAsia" w:cs="Times New Roman"/>
                <w:b/>
                <w:bCs/>
                <w:color w:val="auto"/>
                <w:szCs w:val="22"/>
                <w:lang w:val="en-US" w:eastAsia="zh-CN"/>
              </w:rPr>
              <w:t>6</w:t>
            </w:r>
            <w:r>
              <w:rPr>
                <w:rFonts w:hint="default" w:ascii="Times New Roman" w:hAnsi="Times New Roman" w:cs="Times New Roman"/>
                <w:b/>
                <w:bCs/>
                <w:color w:val="auto"/>
                <w:szCs w:val="22"/>
                <w:lang w:val="zh-CN"/>
              </w:rPr>
              <w:t>-3</w:t>
            </w:r>
            <w:r>
              <w:rPr>
                <w:rFonts w:hint="default" w:ascii="Times New Roman" w:hAnsi="Times New Roman" w:cs="Times New Roman"/>
                <w:b/>
                <w:bCs/>
                <w:color w:val="auto"/>
                <w:szCs w:val="22"/>
              </w:rPr>
              <w:t xml:space="preserve"> </w:t>
            </w:r>
            <w:r>
              <w:rPr>
                <w:rFonts w:hint="default" w:ascii="Times New Roman" w:hAnsi="Times New Roman" w:cs="Times New Roman"/>
                <w:b/>
                <w:bCs/>
                <w:color w:val="auto"/>
                <w:szCs w:val="22"/>
                <w:lang w:val="zh-CN"/>
              </w:rPr>
              <w:t>二氧化氯特性及危害一览表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Layout w:type="fixed"/>
              <w:tblCellMar>
                <w:top w:w="0" w:type="dxa"/>
                <w:left w:w="108" w:type="dxa"/>
                <w:bottom w:w="0" w:type="dxa"/>
                <w:right w:w="108" w:type="dxa"/>
              </w:tblCellMar>
            </w:tblPr>
            <w:tblGrid>
              <w:gridCol w:w="719"/>
              <w:gridCol w:w="3737"/>
              <w:gridCol w:w="2966"/>
            </w:tblGrid>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标识</w:t>
                  </w:r>
                </w:p>
              </w:tc>
              <w:tc>
                <w:tcPr>
                  <w:tcW w:w="251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中文名：二氧化氯分子式：ClO</w:t>
                  </w:r>
                  <w:r>
                    <w:rPr>
                      <w:rFonts w:hint="default" w:ascii="Times New Roman" w:hAnsi="Times New Roman" w:cs="Times New Roman"/>
                      <w:color w:val="auto"/>
                      <w:szCs w:val="21"/>
                      <w:vertAlign w:val="subscript"/>
                    </w:rPr>
                    <w:t>2</w:t>
                  </w:r>
                </w:p>
              </w:tc>
              <w:tc>
                <w:tcPr>
                  <w:tcW w:w="199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英文名：Chlorine Dioxide</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restar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理化</w:t>
                  </w:r>
                </w:p>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性质</w:t>
                  </w:r>
                </w:p>
              </w:tc>
              <w:tc>
                <w:tcPr>
                  <w:tcW w:w="251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性状：黄红色有强烈刺激性臭味气体。</w:t>
                  </w:r>
                </w:p>
              </w:tc>
              <w:tc>
                <w:tcPr>
                  <w:tcW w:w="199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溶解性：极易溶于水</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251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熔点（℃）：-59.5 沸点（℃）：11</w:t>
                  </w:r>
                </w:p>
              </w:tc>
              <w:tc>
                <w:tcPr>
                  <w:tcW w:w="199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相对密度（水=1）：3.09；</w:t>
                  </w:r>
                </w:p>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相对蒸气密度（空气=1）：2.3</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251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饱和蒸气压（KPa）：——</w:t>
                  </w:r>
                </w:p>
              </w:tc>
              <w:tc>
                <w:tcPr>
                  <w:tcW w:w="1997" w:type="pct"/>
                  <w:noWrap w:val="0"/>
                  <w:vAlign w:val="center"/>
                </w:tcPr>
                <w:p>
                  <w:pPr>
                    <w:pStyle w:val="17"/>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restar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燃爆 性及 消防</w:t>
                  </w:r>
                </w:p>
              </w:tc>
              <w:tc>
                <w:tcPr>
                  <w:tcW w:w="251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燃烧性：本品不燃，可助燃</w:t>
                  </w:r>
                </w:p>
              </w:tc>
              <w:tc>
                <w:tcPr>
                  <w:tcW w:w="199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稳定性：稳定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251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闪点（℃）：——</w:t>
                  </w:r>
                </w:p>
              </w:tc>
              <w:tc>
                <w:tcPr>
                  <w:tcW w:w="199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爆炸下限%（V/V）：溶液浓度大于 10%或空气浓度大于 10%易发生低水平爆炸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251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最大爆炸压力（MPa）：——</w:t>
                  </w:r>
                </w:p>
              </w:tc>
              <w:tc>
                <w:tcPr>
                  <w:tcW w:w="1997"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燃烧（分解）产物：氯化氢</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4515"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危险特性：二氧化氯具有强</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http://baike.baidu.com/view/266525.htm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氧化性</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，空气中、溶液中的体积</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http://baike.baidu.com/view/63062.htm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浓度</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超过 10%便有爆炸性，但其水溶液却是十分安全的。它能与许多化学物质发生爆炸性反应，对受热、震动、撞击、摩 擦相当敏感，极易分解发生爆炸。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restart"/>
                  <w:noWrap w:val="0"/>
                  <w:vAlign w:val="center"/>
                </w:tcPr>
                <w:p>
                  <w:pPr>
                    <w:pStyle w:val="17"/>
                    <w:rPr>
                      <w:rFonts w:hint="default" w:ascii="Times New Roman" w:hAnsi="Times New Roman" w:cs="Times New Roman"/>
                      <w:color w:val="auto"/>
                      <w:szCs w:val="21"/>
                    </w:rPr>
                  </w:pPr>
                </w:p>
                <w:p>
                  <w:pPr>
                    <w:pStyle w:val="17"/>
                    <w:rPr>
                      <w:rFonts w:hint="default" w:ascii="Times New Roman" w:hAnsi="Times New Roman" w:cs="Times New Roman"/>
                      <w:color w:val="auto"/>
                      <w:szCs w:val="21"/>
                    </w:rPr>
                  </w:pPr>
                </w:p>
                <w:p>
                  <w:pPr>
                    <w:pStyle w:val="17"/>
                    <w:rPr>
                      <w:rFonts w:hint="default" w:ascii="Times New Roman" w:hAnsi="Times New Roman" w:cs="Times New Roman"/>
                      <w:color w:val="auto"/>
                      <w:szCs w:val="21"/>
                    </w:rPr>
                  </w:pPr>
                </w:p>
                <w:p>
                  <w:pPr>
                    <w:pStyle w:val="17"/>
                    <w:rPr>
                      <w:rFonts w:hint="default" w:ascii="Times New Roman" w:hAnsi="Times New Roman" w:cs="Times New Roman"/>
                      <w:color w:val="auto"/>
                      <w:szCs w:val="21"/>
                    </w:rPr>
                  </w:pPr>
                </w:p>
                <w:p>
                  <w:pPr>
                    <w:pStyle w:val="17"/>
                    <w:rPr>
                      <w:rFonts w:hint="default" w:ascii="Times New Roman" w:hAnsi="Times New Roman" w:cs="Times New Roman"/>
                      <w:color w:val="auto"/>
                      <w:szCs w:val="21"/>
                    </w:rPr>
                  </w:pPr>
                </w:p>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毒性 及健 康危 害</w:t>
                  </w:r>
                </w:p>
              </w:tc>
              <w:tc>
                <w:tcPr>
                  <w:tcW w:w="4515" w:type="pct"/>
                  <w:gridSpan w:val="2"/>
                  <w:noWrap w:val="0"/>
                  <w:vAlign w:val="center"/>
                </w:tcPr>
                <w:p>
                  <w:pPr>
                    <w:pStyle w:val="17"/>
                    <w:jc w:val="both"/>
                    <w:rPr>
                      <w:rFonts w:hint="default" w:ascii="Times New Roman" w:hAnsi="Times New Roman" w:cs="Times New Roman"/>
                      <w:color w:val="auto"/>
                      <w:szCs w:val="21"/>
                    </w:rPr>
                  </w:pPr>
                  <w:r>
                    <w:rPr>
                      <w:rFonts w:hint="default" w:ascii="Times New Roman" w:hAnsi="Times New Roman" w:cs="Times New Roman"/>
                      <w:color w:val="auto"/>
                      <w:szCs w:val="21"/>
                    </w:rPr>
                    <w:t>接触限值：中国 MAC（mg/m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）未制定</w:t>
                  </w:r>
                </w:p>
                <w:p>
                  <w:pPr>
                    <w:pStyle w:val="17"/>
                    <w:jc w:val="both"/>
                    <w:rPr>
                      <w:rFonts w:hint="default" w:ascii="Times New Roman" w:hAnsi="Times New Roman" w:cs="Times New Roman"/>
                      <w:color w:val="auto"/>
                      <w:szCs w:val="21"/>
                    </w:rPr>
                  </w:pPr>
                  <w:r>
                    <w:rPr>
                      <w:rFonts w:hint="default" w:ascii="Times New Roman" w:hAnsi="Times New Roman" w:cs="Times New Roman"/>
                      <w:color w:val="auto"/>
                      <w:szCs w:val="21"/>
                    </w:rPr>
                    <w:t>前苏联 MAC（mg/m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）未制定</w:t>
                  </w:r>
                </w:p>
                <w:p>
                  <w:pPr>
                    <w:pStyle w:val="17"/>
                    <w:jc w:val="both"/>
                    <w:rPr>
                      <w:rFonts w:hint="default" w:ascii="Times New Roman" w:hAnsi="Times New Roman" w:cs="Times New Roman"/>
                      <w:color w:val="auto"/>
                      <w:szCs w:val="21"/>
                    </w:rPr>
                  </w:pPr>
                  <w:r>
                    <w:rPr>
                      <w:rFonts w:hint="default" w:ascii="Times New Roman" w:hAnsi="Times New Roman" w:cs="Times New Roman"/>
                      <w:color w:val="auto"/>
                      <w:szCs w:val="21"/>
                    </w:rPr>
                    <w:t>美国 TLVTN :ACGIH0.1ppm 0.28mg/m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ab/>
                  </w:r>
                  <w:r>
                    <w:rPr>
                      <w:rFonts w:hint="default" w:ascii="Times New Roman" w:hAnsi="Times New Roman" w:cs="Times New Roman"/>
                      <w:color w:val="auto"/>
                      <w:szCs w:val="21"/>
                    </w:rPr>
                    <w:t>TLVWN :ACGIH 0.3ppm 0.38mg/m</w:t>
                  </w:r>
                  <w:r>
                    <w:rPr>
                      <w:rFonts w:hint="default" w:ascii="Times New Roman" w:hAnsi="Times New Roman" w:cs="Times New Roman"/>
                      <w:color w:val="auto"/>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4515"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急性毒性：LD50 1432mg/kg（小鼠经口）（固体8%）；LD50 5000mg/kg（小鼠经口）（液体2%）；LC50 5000mg/kg（小鼠经口）（固体8%溶5倍）；LC50 10000 mg/kg（小鼠经口）（液体2%）。</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4515"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侵入途径：皮肤、眼睛接触；食用；吸入</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4515"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健康危害：具有强烈刺激性，接触后主要引起眼和呼吸道刺激，吸入高浓度可发生肺水肿，能致死，对呼吸道产生严重损伤，高浓度的本品</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http://baike.baidu.com/view/10082.htm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气体</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，可能对皮肤有刺激性。皮肤接触或摄 入本品的高浓度</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http://baike.baidu.com/view/57905.htm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溶液</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，可能引起强烈刺激和腐蚀，长期接触可导致</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http://baike.baidu.com/view/110229.htm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慢性支气管炎</w:t>
                  </w:r>
                  <w:r>
                    <w:rPr>
                      <w:rFonts w:hint="default" w:ascii="Times New Roman" w:hAnsi="Times New Roman" w:cs="Times New Roman"/>
                      <w:color w:val="auto"/>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cantSplit/>
                <w:trHeight w:val="397" w:hRule="atLeast"/>
              </w:trPr>
              <w:tc>
                <w:tcPr>
                  <w:tcW w:w="484" w:type="pct"/>
                  <w:vMerge w:val="continue"/>
                  <w:noWrap w:val="0"/>
                  <w:vAlign w:val="center"/>
                </w:tcPr>
                <w:p>
                  <w:pPr>
                    <w:pStyle w:val="17"/>
                    <w:rPr>
                      <w:rFonts w:hint="default" w:ascii="Times New Roman" w:hAnsi="Times New Roman" w:cs="Times New Roman"/>
                      <w:color w:val="auto"/>
                      <w:szCs w:val="21"/>
                    </w:rPr>
                  </w:pPr>
                </w:p>
              </w:tc>
              <w:tc>
                <w:tcPr>
                  <w:tcW w:w="4515" w:type="pct"/>
                  <w:gridSpan w:val="2"/>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职业危害程度分级：——</w:t>
                  </w:r>
                </w:p>
              </w:tc>
            </w:tr>
          </w:tbl>
          <w:p>
            <w:pPr>
              <w:keepNext/>
              <w:keepLines/>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6</w:t>
            </w:r>
            <w:r>
              <w:rPr>
                <w:rFonts w:hint="default" w:ascii="Times New Roman" w:hAnsi="Times New Roman" w:cs="Times New Roman"/>
                <w:b/>
                <w:bCs/>
                <w:color w:val="auto"/>
              </w:rPr>
              <w:t>-4  乙醇理化性质及危险特性一览表</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1"/>
              <w:gridCol w:w="1364"/>
              <w:gridCol w:w="689"/>
              <w:gridCol w:w="1031"/>
              <w:gridCol w:w="211"/>
              <w:gridCol w:w="1070"/>
              <w:gridCol w:w="269"/>
              <w:gridCol w:w="22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restar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标识</w:t>
                  </w:r>
                </w:p>
              </w:tc>
              <w:tc>
                <w:tcPr>
                  <w:tcW w:w="2938" w:type="pct"/>
                  <w:gridSpan w:val="5"/>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乙醇[无水]；无水酒精</w:t>
                  </w:r>
                </w:p>
              </w:tc>
              <w:tc>
                <w:tcPr>
                  <w:tcW w:w="1689" w:type="pct"/>
                  <w:gridSpan w:val="2"/>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危险货物编号：32061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2938" w:type="pct"/>
                  <w:gridSpan w:val="5"/>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英文名：ethyl alcohol；ethanol</w:t>
                  </w:r>
                </w:p>
              </w:tc>
              <w:tc>
                <w:tcPr>
                  <w:tcW w:w="1689" w:type="pct"/>
                  <w:gridSpan w:val="2"/>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UN编号：1170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1382" w:type="pct"/>
                  <w:gridSpan w:val="2"/>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分子式：C</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O</w:t>
                  </w:r>
                </w:p>
              </w:tc>
              <w:tc>
                <w:tcPr>
                  <w:tcW w:w="1556" w:type="pct"/>
                  <w:gridSpan w:val="3"/>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分子量：46.07</w:t>
                  </w:r>
                </w:p>
              </w:tc>
              <w:tc>
                <w:tcPr>
                  <w:tcW w:w="1689" w:type="pct"/>
                  <w:gridSpan w:val="2"/>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CAS号：64-17-5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restar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理化特性</w:t>
                  </w:r>
                </w:p>
              </w:tc>
              <w:tc>
                <w:tcPr>
                  <w:tcW w:w="1382" w:type="pct"/>
                  <w:gridSpan w:val="2"/>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外观与形状</w:t>
                  </w:r>
                </w:p>
              </w:tc>
              <w:tc>
                <w:tcPr>
                  <w:tcW w:w="3245" w:type="pct"/>
                  <w:gridSpan w:val="5"/>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无色液体，有酒香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2218" w:type="pct"/>
                  <w:gridSpan w:val="4"/>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熔点（℃）：-114.1</w:t>
                  </w:r>
                </w:p>
              </w:tc>
              <w:tc>
                <w:tcPr>
                  <w:tcW w:w="2409" w:type="pct"/>
                  <w:gridSpan w:val="3"/>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饱和蒸气压（kPa）：5.33/19℃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2218" w:type="pct"/>
                  <w:gridSpan w:val="4"/>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沸点（℃）：79.3</w:t>
                  </w:r>
                </w:p>
              </w:tc>
              <w:tc>
                <w:tcPr>
                  <w:tcW w:w="2409" w:type="pct"/>
                  <w:gridSpan w:val="3"/>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相对密度：0.79（水=1）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溶解性</w:t>
                  </w:r>
                </w:p>
              </w:tc>
              <w:tc>
                <w:tcPr>
                  <w:tcW w:w="3709" w:type="pct"/>
                  <w:gridSpan w:val="6"/>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与水混溶，可混溶于醚、氯仿、甘油等多数有机溶剂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侵入途径</w:t>
                  </w:r>
                </w:p>
              </w:tc>
              <w:tc>
                <w:tcPr>
                  <w:tcW w:w="3709" w:type="pct"/>
                  <w:gridSpan w:val="6"/>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吸入、食入、经皮吸收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毒性</w:t>
                  </w:r>
                </w:p>
              </w:tc>
              <w:tc>
                <w:tcPr>
                  <w:tcW w:w="3709" w:type="pct"/>
                  <w:gridSpan w:val="6"/>
                  <w:noWrap w:val="0"/>
                  <w:vAlign w:val="center"/>
                </w:tcPr>
                <w:p>
                  <w:pPr>
                    <w:spacing w:line="240" w:lineRule="auto"/>
                    <w:ind w:firstLine="0" w:firstLineChars="0"/>
                    <w:jc w:val="left"/>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lang w:val="zh-CN"/>
                    </w:rPr>
                    <w:t>：7060mg/kg（兔经口）；7340mg/kg（兔经皮）；</w:t>
                  </w:r>
                </w:p>
                <w:p>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zh-CN"/>
                    </w:rPr>
                    <w:t>LC</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lang w:val="zh-CN"/>
                    </w:rPr>
                    <w:t>：37620mg/m</w:t>
                  </w:r>
                  <w:r>
                    <w:rPr>
                      <w:rFonts w:hint="default" w:ascii="Times New Roman" w:hAnsi="Times New Roman" w:cs="Times New Roman"/>
                      <w:color w:val="auto"/>
                      <w:sz w:val="21"/>
                      <w:szCs w:val="21"/>
                      <w:vertAlign w:val="superscript"/>
                      <w:lang w:val="zh-CN"/>
                    </w:rPr>
                    <w:t>2</w:t>
                  </w:r>
                  <w:r>
                    <w:rPr>
                      <w:rFonts w:hint="default" w:ascii="Times New Roman" w:hAnsi="Times New Roman" w:cs="Times New Roman"/>
                      <w:color w:val="auto"/>
                      <w:sz w:val="21"/>
                      <w:szCs w:val="21"/>
                      <w:lang w:val="zh-CN"/>
                    </w:rPr>
                    <w:t>，10小时（大鼠吸入）；人吸入4.3mg/L?0分钟，头面部发热，四肢发京，头痛；人吸入2.6mg/L×9分钟，头痛，无后作用。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健康危害</w:t>
                  </w:r>
                </w:p>
              </w:tc>
              <w:tc>
                <w:tcPr>
                  <w:tcW w:w="3709" w:type="pct"/>
                  <w:gridSpan w:val="6"/>
                  <w:noWrap w:val="0"/>
                  <w:vAlign w:val="center"/>
                </w:tcPr>
                <w:p>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zh-CN"/>
                    </w:rPr>
                    <w:t>本品为中枢神经系统抑制剂。首先引起兴奋，随后抑制。急性中毒：急性中毒多发生于口服。一般可分为兴奋、催眠、麻醉、室息四阶段。患者进入第三或第四阶段，出现意识丧失、瞳孔扩大、呼吸不规律、休克、心力循环衰竭及呼吸停止。慢性影响：在生产中长期接触高浓度本品可引起鼻、眼、粘膜刺激症状，以及头痛、头晕、疲乏、易激动、震颜、恶心等。长期酗酒可引起多发性神经病、慢性胃炎、脂肪肝、肝硬化、心肌损害及器质性精神病等。皮肤长期接触可引起干燥、脱屑、皲裂和皮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急救</w:t>
                  </w:r>
                </w:p>
              </w:tc>
              <w:tc>
                <w:tcPr>
                  <w:tcW w:w="3709" w:type="pct"/>
                  <w:gridSpan w:val="6"/>
                  <w:noWrap w:val="0"/>
                  <w:vAlign w:val="center"/>
                </w:tcPr>
                <w:p>
                  <w:pPr>
                    <w:spacing w:line="240" w:lineRule="auto"/>
                    <w:ind w:firstLine="0" w:firstLineChars="0"/>
                    <w:jc w:val="left"/>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皮肤接触：脱去被污染的衣着，用流动清水冲洗。</w:t>
                  </w:r>
                </w:p>
                <w:p>
                  <w:pPr>
                    <w:spacing w:line="240" w:lineRule="auto"/>
                    <w:ind w:firstLine="0" w:firstLineChars="0"/>
                    <w:jc w:val="left"/>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眼睛接触：提起眼睑，用流动清水或生理盐水冲洗。就医。</w:t>
                  </w:r>
                </w:p>
                <w:p>
                  <w:pPr>
                    <w:spacing w:line="240" w:lineRule="auto"/>
                    <w:ind w:firstLine="0" w:firstLineChars="0"/>
                    <w:jc w:val="left"/>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吸入：迅速脱离现场至空气新鲜处。就医。</w:t>
                  </w:r>
                </w:p>
                <w:p>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zh-CN"/>
                    </w:rPr>
                    <w:t>食入：饮足量温水，催吐，就医。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restar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燃烧爆炸危险性</w:t>
                  </w:r>
                </w:p>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储运注意事项</w:t>
                  </w:r>
                </w:p>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泄漏处置</w:t>
                  </w: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燃烧性</w:t>
                  </w:r>
                </w:p>
              </w:tc>
              <w:tc>
                <w:tcPr>
                  <w:tcW w:w="1158" w:type="pct"/>
                  <w:gridSpan w:val="2"/>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易燃</w:t>
                  </w:r>
                </w:p>
              </w:tc>
              <w:tc>
                <w:tcPr>
                  <w:tcW w:w="1043" w:type="pct"/>
                  <w:gridSpan w:val="3"/>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燃烧分解物</w:t>
                  </w:r>
                </w:p>
              </w:tc>
              <w:tc>
                <w:tcPr>
                  <w:tcW w:w="150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一氧化碳、二氧化碳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2" w:hRule="atLeas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闪点（℃）</w:t>
                  </w:r>
                </w:p>
              </w:tc>
              <w:tc>
                <w:tcPr>
                  <w:tcW w:w="1158" w:type="pct"/>
                  <w:gridSpan w:val="2"/>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1043" w:type="pct"/>
                  <w:gridSpan w:val="3"/>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自燃温度（℃）</w:t>
                  </w:r>
                </w:p>
              </w:tc>
              <w:tc>
                <w:tcPr>
                  <w:tcW w:w="150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爆炸下限（V%）</w:t>
                  </w:r>
                </w:p>
              </w:tc>
              <w:tc>
                <w:tcPr>
                  <w:tcW w:w="1158" w:type="pct"/>
                  <w:gridSpan w:val="2"/>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363</w:t>
                  </w:r>
                </w:p>
              </w:tc>
              <w:tc>
                <w:tcPr>
                  <w:tcW w:w="1043" w:type="pct"/>
                  <w:gridSpan w:val="3"/>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爆炸上限（V%）</w:t>
                  </w:r>
                </w:p>
              </w:tc>
              <w:tc>
                <w:tcPr>
                  <w:tcW w:w="150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危险特性</w:t>
                  </w:r>
                </w:p>
              </w:tc>
              <w:tc>
                <w:tcPr>
                  <w:tcW w:w="3709" w:type="pct"/>
                  <w:gridSpan w:val="6"/>
                  <w:noWrap w:val="0"/>
                  <w:vAlign w:val="center"/>
                </w:tcPr>
                <w:p>
                  <w:pPr>
                    <w:spacing w:line="240" w:lineRule="auto"/>
                    <w:ind w:firstLine="0" w:firstLineChars="0"/>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易燃</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zh-CN"/>
                    </w:rPr>
                    <w:t>其蒸气与空气可形成爆炸性混合物。遇明火、高热能引起燃烧爆炸。与氧化剂接触发生化学反应或引起燃烧。在火场中，受热的容器有爆炸危险。</w:t>
                  </w:r>
                </w:p>
                <w:p>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zh-CN"/>
                    </w:rPr>
                    <w:t>其蒸气比空气重，能在较低处扩散到相当远的地方，遇明火会引着回燃。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禁忌物</w:t>
                  </w:r>
                </w:p>
              </w:tc>
              <w:tc>
                <w:tcPr>
                  <w:tcW w:w="3709" w:type="pct"/>
                  <w:gridSpan w:val="6"/>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强氧化剂、酸类、酸酐、碱金属、胺类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灭火方法</w:t>
                  </w:r>
                </w:p>
              </w:tc>
              <w:tc>
                <w:tcPr>
                  <w:tcW w:w="3709" w:type="pct"/>
                  <w:gridSpan w:val="6"/>
                  <w:noWrap w:val="0"/>
                  <w:vAlign w:val="center"/>
                </w:tcPr>
                <w:p>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尽可能将容器从火场移至空旷处。喷水保持火场容器冷却，直至灭火结束。灭火剂：抗溶性泡沫、干粉、二氧化碳、砂土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71" w:type="pct"/>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rPr>
                  </w:pPr>
                </w:p>
              </w:tc>
              <w:tc>
                <w:tcPr>
                  <w:tcW w:w="918" w:type="pct"/>
                  <w:noWrap w:val="0"/>
                  <w:vAlign w:val="center"/>
                </w:tcPr>
                <w:p>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储运条件与泄漏处理</w:t>
                  </w:r>
                </w:p>
              </w:tc>
              <w:tc>
                <w:tcPr>
                  <w:tcW w:w="3709" w:type="pct"/>
                  <w:gridSpan w:val="6"/>
                  <w:noWrap w:val="0"/>
                  <w:vAlign w:val="center"/>
                </w:tcPr>
                <w:p>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zh-CN"/>
                    </w:rPr>
                    <w:t>储运条件：储存于阴凉、通风的仓间内，远离火种、热源。防止阳光直射；保持容器密封。应与氧化剂、酸类、碱金属、胺类等分开存放，切忌混储。灌装时应注意流速（不越过3m/s），且有接地装置，防止静电积聚。本品铁路运输时限使用钢制企业自备罐车装运，装运前需报有关部门批准。运输时所用的槽（罐）车应有接地链，槽内可设孔隔板以减少震荡产生静电。严禁与氧化剂、酸类、碱金属、胺类、食用化学品等混装混运。装运该物品的车辆排气管必须配备阻火装置，禁止使用易产生火花的机械设备和工具装卸。泄漏处理：迅速撤离泄漏污染区人员至安全区，并进行隔离，严格限制出入。切断火源。建议应急处理人员戴自给正压式呼吸器，穿消防防护服。不要直接接触泄漏物。尽可能切断泄漏源，防止进入下水道、排洪沟等限制性空间。小量泄漏：用砂土或其它不燃材料吸附或吸收。也可以用大量水冲洗，洗液稀释后放入废水系统。大量泄漏：构筑围堤或挖坑收容；用泡沫覆盖，降低蒸气灾害。用防爆泵转移至槽车或专用收集器内。回收或运至废物处理场所处置。</w:t>
                  </w:r>
                </w:p>
              </w:tc>
            </w:tr>
          </w:tbl>
          <w:p>
            <w:pPr>
              <w:keepNext/>
              <w:keepLines/>
              <w:ind w:firstLine="482"/>
              <w:jc w:val="center"/>
              <w:rPr>
                <w:rFonts w:hint="default" w:ascii="Times New Roman" w:hAnsi="Times New Roman" w:cs="Times New Roman"/>
                <w:b/>
                <w:color w:val="auto"/>
              </w:rPr>
            </w:pPr>
            <w:r>
              <w:rPr>
                <w:rFonts w:hint="default" w:ascii="Times New Roman" w:hAnsi="Times New Roman" w:cs="Times New Roman"/>
                <w:b/>
                <w:color w:val="auto"/>
              </w:rPr>
              <w:t>表</w:t>
            </w:r>
            <w:r>
              <w:rPr>
                <w:rFonts w:hint="default" w:ascii="Times New Roman" w:hAnsi="Times New Roman" w:cs="Times New Roman"/>
                <w:b/>
                <w:color w:val="auto"/>
                <w:lang w:val="en-US" w:eastAsia="zh-CN"/>
              </w:rPr>
              <w:t>4.</w:t>
            </w:r>
            <w:r>
              <w:rPr>
                <w:rFonts w:hint="eastAsia" w:cs="Times New Roman"/>
                <w:b/>
                <w:color w:val="auto"/>
                <w:lang w:val="en-US" w:eastAsia="zh-CN"/>
              </w:rPr>
              <w:t>6</w:t>
            </w:r>
            <w:r>
              <w:rPr>
                <w:rFonts w:hint="default" w:ascii="Times New Roman" w:hAnsi="Times New Roman" w:cs="Times New Roman"/>
                <w:b/>
                <w:color w:val="auto"/>
              </w:rPr>
              <w:t>-5  柴油理化性质及危险特性</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166"/>
              <w:gridCol w:w="851"/>
              <w:gridCol w:w="301"/>
              <w:gridCol w:w="199"/>
              <w:gridCol w:w="420"/>
              <w:gridCol w:w="870"/>
              <w:gridCol w:w="22"/>
              <w:gridCol w:w="31"/>
              <w:gridCol w:w="12"/>
              <w:gridCol w:w="1561"/>
              <w:gridCol w:w="13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restar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标识</w:t>
                  </w:r>
                </w:p>
              </w:tc>
              <w:tc>
                <w:tcPr>
                  <w:tcW w:w="2600" w:type="pct"/>
                  <w:gridSpan w:val="8"/>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中文名：柴油</w:t>
                  </w:r>
                </w:p>
              </w:tc>
              <w:tc>
                <w:tcPr>
                  <w:tcW w:w="2000"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危险货物编号：1525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2600" w:type="pct"/>
                  <w:gridSpan w:val="8"/>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英文名：diesel oil</w:t>
                  </w:r>
                </w:p>
              </w:tc>
              <w:tc>
                <w:tcPr>
                  <w:tcW w:w="2000"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UN编号：1500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restar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理化性质</w:t>
                  </w: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外观与性状</w:t>
                  </w:r>
                </w:p>
              </w:tc>
              <w:tc>
                <w:tcPr>
                  <w:tcW w:w="3814" w:type="pct"/>
                  <w:gridSpan w:val="10"/>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稍有粘性的棕色液体。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熔点（℃）</w:t>
                  </w:r>
                </w:p>
              </w:tc>
              <w:tc>
                <w:tcPr>
                  <w:tcW w:w="776" w:type="pct"/>
                  <w:gridSpan w:val="2"/>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＜29.56</w:t>
                  </w:r>
                </w:p>
              </w:tc>
              <w:tc>
                <w:tcPr>
                  <w:tcW w:w="1047" w:type="pct"/>
                  <w:gridSpan w:val="6"/>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相对密度(水=1)</w:t>
                  </w:r>
                </w:p>
              </w:tc>
              <w:tc>
                <w:tcPr>
                  <w:tcW w:w="1990" w:type="pct"/>
                  <w:gridSpan w:val="2"/>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沸点（℃）</w:t>
                  </w:r>
                </w:p>
              </w:tc>
              <w:tc>
                <w:tcPr>
                  <w:tcW w:w="776" w:type="pct"/>
                  <w:gridSpan w:val="2"/>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180～370</w:t>
                  </w:r>
                </w:p>
              </w:tc>
              <w:tc>
                <w:tcPr>
                  <w:tcW w:w="1047" w:type="pct"/>
                  <w:gridSpan w:val="6"/>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饱和蒸气压（kPa）</w:t>
                  </w:r>
                </w:p>
              </w:tc>
              <w:tc>
                <w:tcPr>
                  <w:tcW w:w="1990" w:type="pct"/>
                  <w:gridSpan w:val="2"/>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trPr>
              <w:tc>
                <w:tcPr>
                  <w:tcW w:w="399" w:type="pct"/>
                  <w:vMerge w:val="restar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健康危害</w:t>
                  </w: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侵入途径</w:t>
                  </w:r>
                </w:p>
              </w:tc>
              <w:tc>
                <w:tcPr>
                  <w:tcW w:w="3814" w:type="pct"/>
                  <w:gridSpan w:val="10"/>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吸入、食入、经皮吸收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毒性</w:t>
                  </w:r>
                </w:p>
              </w:tc>
              <w:tc>
                <w:tcPr>
                  <w:tcW w:w="3814" w:type="pct"/>
                  <w:gridSpan w:val="10"/>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健康危害</w:t>
                  </w:r>
                </w:p>
              </w:tc>
              <w:tc>
                <w:tcPr>
                  <w:tcW w:w="3814" w:type="pct"/>
                  <w:gridSpan w:val="10"/>
                  <w:shd w:val="clear" w:color="auto" w:fill="auto"/>
                  <w:noWrap w:val="0"/>
                  <w:vAlign w:val="center"/>
                </w:tcPr>
                <w:p>
                  <w:pPr>
                    <w:autoSpaceDE w:val="0"/>
                    <w:autoSpaceDN w:val="0"/>
                    <w:adjustRightInd w:val="0"/>
                    <w:spacing w:line="240" w:lineRule="auto"/>
                    <w:ind w:firstLine="0" w:firstLineChars="0"/>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皮肤接触柴油可引起接触性皮炎、油性座疮；吸入可引起吸入性肺炎，能经胎盘进入胎儿血中。柴油废气可引起眼、鼻刺激症状、头昏及头痛。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急救方法</w:t>
                  </w:r>
                </w:p>
              </w:tc>
              <w:tc>
                <w:tcPr>
                  <w:tcW w:w="3814" w:type="pct"/>
                  <w:gridSpan w:val="10"/>
                  <w:shd w:val="clear" w:color="auto" w:fill="auto"/>
                  <w:noWrap w:val="0"/>
                  <w:vAlign w:val="center"/>
                </w:tcPr>
                <w:p>
                  <w:pPr>
                    <w:autoSpaceDE w:val="0"/>
                    <w:autoSpaceDN w:val="0"/>
                    <w:adjustRightInd w:val="0"/>
                    <w:spacing w:line="240" w:lineRule="auto"/>
                    <w:ind w:firstLine="0" w:firstLineChars="0"/>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皮肤接触：脱去被污染的衣着，用肥皂水和清水彻底冲洗皮肤。眼睛接触：提起眼睑，用流动清水或生理盐水彻底冲洗就医。吸入：迅速脱离现场至空气新鲜处。保持呼吸道通畅。如呼吸困难，给输氧。如呼吸停止，立即进行人工呼吸。就医。食入：尽快彻底洗胃。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trPr>
              <w:tc>
                <w:tcPr>
                  <w:tcW w:w="399" w:type="pct"/>
                  <w:vMerge w:val="restar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燃烧爆炸危险性</w:t>
                  </w: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燃烧性</w:t>
                  </w:r>
                </w:p>
              </w:tc>
              <w:tc>
                <w:tcPr>
                  <w:tcW w:w="910"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可燃</w:t>
                  </w:r>
                </w:p>
              </w:tc>
              <w:tc>
                <w:tcPr>
                  <w:tcW w:w="884"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燃烧分解物</w:t>
                  </w:r>
                </w:p>
              </w:tc>
              <w:tc>
                <w:tcPr>
                  <w:tcW w:w="2020" w:type="pct"/>
                  <w:gridSpan w:val="4"/>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一氧化碳、二氧化碳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闪点(℃)</w:t>
                  </w:r>
                </w:p>
              </w:tc>
              <w:tc>
                <w:tcPr>
                  <w:tcW w:w="910"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≥55</w:t>
                  </w:r>
                </w:p>
              </w:tc>
              <w:tc>
                <w:tcPr>
                  <w:tcW w:w="884"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爆炸上限%（v%）：</w:t>
                  </w:r>
                </w:p>
              </w:tc>
              <w:tc>
                <w:tcPr>
                  <w:tcW w:w="2020" w:type="pct"/>
                  <w:gridSpan w:val="4"/>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引燃温度(℃)</w:t>
                  </w:r>
                </w:p>
              </w:tc>
              <w:tc>
                <w:tcPr>
                  <w:tcW w:w="910"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350～380</w:t>
                  </w:r>
                </w:p>
              </w:tc>
              <w:tc>
                <w:tcPr>
                  <w:tcW w:w="884"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爆炸下限%（v%）：</w:t>
                  </w:r>
                </w:p>
              </w:tc>
              <w:tc>
                <w:tcPr>
                  <w:tcW w:w="2020" w:type="pct"/>
                  <w:gridSpan w:val="4"/>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危险特性</w:t>
                  </w:r>
                </w:p>
              </w:tc>
              <w:tc>
                <w:tcPr>
                  <w:tcW w:w="3814" w:type="pct"/>
                  <w:gridSpan w:val="10"/>
                  <w:shd w:val="clear" w:color="auto" w:fill="auto"/>
                  <w:noWrap w:val="0"/>
                  <w:vAlign w:val="center"/>
                </w:tcPr>
                <w:p>
                  <w:pPr>
                    <w:autoSpaceDE w:val="0"/>
                    <w:autoSpaceDN w:val="0"/>
                    <w:adjustRightInd w:val="0"/>
                    <w:spacing w:line="240" w:lineRule="auto"/>
                    <w:ind w:firstLine="0" w:firstLineChars="0"/>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遇明火、高热或与氧化剂接触有可能引起燃烧爆炸的危险。若遇高热，容器内压增大，有开裂和爆炸的危险。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储运条件与泄漏处理</w:t>
                  </w:r>
                </w:p>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3814" w:type="pct"/>
                  <w:gridSpan w:val="10"/>
                  <w:shd w:val="clear" w:color="auto" w:fill="auto"/>
                  <w:noWrap w:val="0"/>
                  <w:vAlign w:val="center"/>
                </w:tcPr>
                <w:p>
                  <w:pPr>
                    <w:autoSpaceDE w:val="0"/>
                    <w:autoSpaceDN w:val="0"/>
                    <w:adjustRightInd w:val="0"/>
                    <w:spacing w:line="240" w:lineRule="auto"/>
                    <w:ind w:firstLine="0" w:firstLineChars="0"/>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储运条件：储存于阴凉、通风的库房。远离火种、热源。应与氧化剂、卤素分开存放，切忌混储。公路运输时要按规定路线行驶。泄漏处理：迅速撤离泄漏污染区人员至安全区，并进行隔离，严格限制出入。切断火源。建议应急处理人员戴自给正压式呼吸器，穿一般作业工作服。尽可能切断泄漏源。防止流入下水道、排洪沟等限制性空间。小量泄漏：用活性炭或其它惰性材料吸收。大量泄漏：构筑围堤或挖坑收容。用泵转移至槽车或专用收集器内，回收或运至废物处理场所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建规火险分级</w:t>
                  </w:r>
                </w:p>
              </w:tc>
              <w:tc>
                <w:tcPr>
                  <w:tcW w:w="573"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乙</w:t>
                  </w:r>
                </w:p>
              </w:tc>
              <w:tc>
                <w:tcPr>
                  <w:tcW w:w="620" w:type="pct"/>
                  <w:gridSpan w:val="3"/>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稳定性</w:t>
                  </w:r>
                </w:p>
              </w:tc>
              <w:tc>
                <w:tcPr>
                  <w:tcW w:w="586"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稳定</w:t>
                  </w:r>
                </w:p>
              </w:tc>
              <w:tc>
                <w:tcPr>
                  <w:tcW w:w="1095" w:type="pct"/>
                  <w:gridSpan w:val="4"/>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聚合危害</w:t>
                  </w:r>
                </w:p>
              </w:tc>
              <w:tc>
                <w:tcPr>
                  <w:tcW w:w="938"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不出现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禁忌物</w:t>
                  </w:r>
                </w:p>
              </w:tc>
              <w:tc>
                <w:tcPr>
                  <w:tcW w:w="3814" w:type="pct"/>
                  <w:gridSpan w:val="10"/>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强氧化剂、卤素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99" w:type="pct"/>
                  <w:vMerge w:val="continue"/>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p>
              </w:tc>
              <w:tc>
                <w:tcPr>
                  <w:tcW w:w="785" w:type="pct"/>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灭火方法</w:t>
                  </w:r>
                </w:p>
              </w:tc>
              <w:tc>
                <w:tcPr>
                  <w:tcW w:w="3814" w:type="pct"/>
                  <w:gridSpan w:val="10"/>
                  <w:shd w:val="clear" w:color="auto" w:fill="auto"/>
                  <w:noWrap w:val="0"/>
                  <w:vAlign w:val="center"/>
                </w:tcPr>
                <w:p>
                  <w:pPr>
                    <w:autoSpaceDE w:val="0"/>
                    <w:autoSpaceDN w:val="0"/>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color w:val="auto"/>
                      <w:kern w:val="0"/>
                      <w:sz w:val="21"/>
                      <w:szCs w:val="21"/>
                    </w:rPr>
                    <w:t>用泡沫、二氧化碳、干粉灭火、用水灭火无效。</w:t>
                  </w:r>
                </w:p>
              </w:tc>
            </w:tr>
          </w:tbl>
          <w:p>
            <w:pPr>
              <w:keepNext/>
              <w:keepLines/>
              <w:ind w:firstLine="480"/>
              <w:rPr>
                <w:rFonts w:hint="default" w:ascii="Times New Roman" w:hAnsi="Times New Roman" w:cs="Times New Roman"/>
                <w:color w:val="auto"/>
              </w:rPr>
            </w:pPr>
            <w:r>
              <w:rPr>
                <w:rFonts w:hint="default" w:ascii="Times New Roman" w:hAnsi="Times New Roman" w:cs="Times New Roman"/>
                <w:color w:val="auto"/>
              </w:rPr>
              <w:t>（3）风险潜势初判</w:t>
            </w:r>
          </w:p>
          <w:p>
            <w:pPr>
              <w:pStyle w:val="73"/>
              <w:ind w:firstLine="480"/>
              <w:rPr>
                <w:rFonts w:hint="default" w:ascii="Times New Roman" w:hAnsi="Times New Roman" w:cs="Times New Roman"/>
                <w:i/>
                <w:color w:val="auto"/>
                <w:szCs w:val="24"/>
              </w:rPr>
            </w:pPr>
            <w:r>
              <w:rPr>
                <w:rFonts w:hint="default" w:ascii="Times New Roman" w:hAnsi="Times New Roman" w:cs="Times New Roman"/>
                <w:color w:val="auto"/>
              </w:rPr>
              <w:t>根据《危险化学品重大危险源辩识》（GB18218-2009）和《建设项目环境风险评价技术导则》（HJ169-2018）的有关规定，当存在多种</w:t>
            </w:r>
            <w:r>
              <w:rPr>
                <w:rFonts w:hint="default" w:ascii="Times New Roman" w:hAnsi="Times New Roman" w:cs="Times New Roman"/>
                <w:color w:val="auto"/>
                <w:szCs w:val="24"/>
              </w:rPr>
              <w:t>危险物质时，则按下式计算物质总量与其临界量比值（</w:t>
            </w:r>
            <w:r>
              <w:rPr>
                <w:rFonts w:hint="default" w:ascii="Times New Roman" w:hAnsi="Times New Roman" w:cs="Times New Roman"/>
                <w:i/>
                <w:color w:val="auto"/>
                <w:szCs w:val="24"/>
              </w:rPr>
              <w:t>Q</w:t>
            </w:r>
            <w:r>
              <w:rPr>
                <w:rFonts w:hint="default" w:ascii="Times New Roman" w:hAnsi="Times New Roman" w:cs="Times New Roman"/>
                <w:color w:val="auto"/>
                <w:szCs w:val="24"/>
              </w:rPr>
              <w:t>）：</w:t>
            </w:r>
            <w:r>
              <w:rPr>
                <w:rFonts w:hint="default" w:ascii="Times New Roman" w:hAnsi="Times New Roman" w:cs="Times New Roman"/>
                <w:i/>
                <w:color w:val="auto"/>
                <w:szCs w:val="24"/>
              </w:rPr>
              <w:t>Q=q</w:t>
            </w:r>
            <w:r>
              <w:rPr>
                <w:rFonts w:hint="default" w:ascii="Times New Roman" w:hAnsi="Times New Roman" w:cs="Times New Roman"/>
                <w:i/>
                <w:color w:val="auto"/>
                <w:szCs w:val="24"/>
                <w:vertAlign w:val="subscript"/>
              </w:rPr>
              <w:t>1</w:t>
            </w:r>
            <w:r>
              <w:rPr>
                <w:rFonts w:hint="default" w:ascii="Times New Roman" w:hAnsi="Times New Roman" w:cs="Times New Roman"/>
                <w:i/>
                <w:color w:val="auto"/>
                <w:szCs w:val="24"/>
              </w:rPr>
              <w:t>/Q</w:t>
            </w:r>
            <w:r>
              <w:rPr>
                <w:rFonts w:hint="default" w:ascii="Times New Roman" w:hAnsi="Times New Roman" w:cs="Times New Roman"/>
                <w:i/>
                <w:color w:val="auto"/>
                <w:szCs w:val="24"/>
                <w:vertAlign w:val="subscript"/>
              </w:rPr>
              <w:t>1</w:t>
            </w:r>
            <w:r>
              <w:rPr>
                <w:rFonts w:hint="default" w:ascii="Times New Roman" w:hAnsi="Times New Roman" w:cs="Times New Roman"/>
                <w:i/>
                <w:color w:val="auto"/>
                <w:szCs w:val="24"/>
              </w:rPr>
              <w:t>+q</w:t>
            </w:r>
            <w:r>
              <w:rPr>
                <w:rFonts w:hint="default" w:ascii="Times New Roman" w:hAnsi="Times New Roman" w:cs="Times New Roman"/>
                <w:i/>
                <w:color w:val="auto"/>
                <w:szCs w:val="24"/>
                <w:vertAlign w:val="subscript"/>
              </w:rPr>
              <w:t>2</w:t>
            </w:r>
            <w:r>
              <w:rPr>
                <w:rFonts w:hint="default" w:ascii="Times New Roman" w:hAnsi="Times New Roman" w:cs="Times New Roman"/>
                <w:i/>
                <w:color w:val="auto"/>
                <w:szCs w:val="24"/>
              </w:rPr>
              <w:t>/Q</w:t>
            </w:r>
            <w:r>
              <w:rPr>
                <w:rFonts w:hint="default" w:ascii="Times New Roman" w:hAnsi="Times New Roman" w:cs="Times New Roman"/>
                <w:i/>
                <w:color w:val="auto"/>
                <w:szCs w:val="24"/>
                <w:vertAlign w:val="subscript"/>
              </w:rPr>
              <w:t>2</w:t>
            </w:r>
            <w:r>
              <w:rPr>
                <w:rFonts w:hint="default" w:ascii="Times New Roman" w:hAnsi="Times New Roman" w:cs="Times New Roman"/>
                <w:i/>
                <w:color w:val="auto"/>
                <w:szCs w:val="24"/>
              </w:rPr>
              <w:t>+</w:t>
            </w:r>
            <w:r>
              <w:rPr>
                <w:rFonts w:hint="default" w:ascii="Times New Roman" w:hAnsi="Times New Roman" w:cs="Times New Roman"/>
                <w:i/>
                <w:color w:val="auto"/>
                <w:szCs w:val="24"/>
              </w:rPr>
              <w:tab/>
            </w:r>
            <w:r>
              <w:rPr>
                <w:rFonts w:hint="default" w:ascii="Times New Roman" w:hAnsi="Times New Roman" w:cs="Times New Roman"/>
                <w:i/>
                <w:color w:val="auto"/>
                <w:szCs w:val="24"/>
              </w:rPr>
              <w:t>……q</w:t>
            </w:r>
            <w:r>
              <w:rPr>
                <w:rFonts w:hint="default" w:ascii="Times New Roman" w:hAnsi="Times New Roman" w:cs="Times New Roman"/>
                <w:i/>
                <w:color w:val="auto"/>
                <w:szCs w:val="24"/>
                <w:vertAlign w:val="subscript"/>
              </w:rPr>
              <w:t>n</w:t>
            </w:r>
            <w:r>
              <w:rPr>
                <w:rFonts w:hint="default" w:ascii="Times New Roman" w:hAnsi="Times New Roman" w:cs="Times New Roman"/>
                <w:i/>
                <w:color w:val="auto"/>
                <w:szCs w:val="24"/>
              </w:rPr>
              <w:t>/Q</w:t>
            </w:r>
            <w:r>
              <w:rPr>
                <w:rFonts w:hint="default" w:ascii="Times New Roman" w:hAnsi="Times New Roman" w:cs="Times New Roman"/>
                <w:i/>
                <w:color w:val="auto"/>
                <w:szCs w:val="24"/>
                <w:vertAlign w:val="subscript"/>
              </w:rPr>
              <w:t>n</w:t>
            </w:r>
          </w:p>
          <w:p>
            <w:pPr>
              <w:pStyle w:val="73"/>
              <w:ind w:firstLine="480"/>
              <w:rPr>
                <w:rFonts w:hint="default" w:ascii="Times New Roman" w:hAnsi="Times New Roman" w:cs="Times New Roman"/>
                <w:color w:val="auto"/>
                <w:szCs w:val="24"/>
              </w:rPr>
            </w:pPr>
            <w:r>
              <w:rPr>
                <w:rFonts w:hint="default" w:ascii="Times New Roman" w:hAnsi="Times New Roman" w:cs="Times New Roman"/>
                <w:color w:val="auto"/>
                <w:szCs w:val="24"/>
              </w:rPr>
              <w:t>式中：</w:t>
            </w:r>
            <w:r>
              <w:rPr>
                <w:rFonts w:hint="default" w:ascii="Times New Roman" w:hAnsi="Times New Roman" w:cs="Times New Roman"/>
                <w:i/>
                <w:color w:val="auto"/>
                <w:szCs w:val="24"/>
              </w:rPr>
              <w:t>q</w:t>
            </w:r>
            <w:r>
              <w:rPr>
                <w:rFonts w:hint="default" w:ascii="Times New Roman" w:hAnsi="Times New Roman" w:cs="Times New Roman"/>
                <w:color w:val="auto"/>
                <w:szCs w:val="24"/>
              </w:rPr>
              <w:t>——每种危险物质的最大存在总量，t；</w:t>
            </w:r>
          </w:p>
          <w:p>
            <w:pPr>
              <w:pStyle w:val="73"/>
              <w:ind w:firstLine="1200" w:firstLineChars="500"/>
              <w:rPr>
                <w:rFonts w:hint="default" w:ascii="Times New Roman" w:hAnsi="Times New Roman" w:cs="Times New Roman"/>
                <w:color w:val="auto"/>
                <w:szCs w:val="24"/>
              </w:rPr>
            </w:pPr>
            <w:r>
              <w:rPr>
                <w:rFonts w:hint="default" w:ascii="Times New Roman" w:hAnsi="Times New Roman" w:cs="Times New Roman"/>
                <w:i/>
                <w:color w:val="auto"/>
                <w:szCs w:val="24"/>
              </w:rPr>
              <w:t>Q</w:t>
            </w:r>
            <w:r>
              <w:rPr>
                <w:rFonts w:hint="default" w:ascii="Times New Roman" w:hAnsi="Times New Roman" w:cs="Times New Roman"/>
                <w:color w:val="auto"/>
                <w:szCs w:val="24"/>
              </w:rPr>
              <w:t>——每种危险物质的临界量，t。</w:t>
            </w:r>
          </w:p>
          <w:p>
            <w:pPr>
              <w:pStyle w:val="73"/>
              <w:ind w:firstLine="480"/>
              <w:rPr>
                <w:rFonts w:hint="default" w:ascii="Times New Roman" w:hAnsi="Times New Roman" w:cs="Times New Roman"/>
                <w:color w:val="auto"/>
                <w:szCs w:val="24"/>
              </w:rPr>
            </w:pPr>
            <w:r>
              <w:rPr>
                <w:rFonts w:hint="default" w:ascii="Times New Roman" w:hAnsi="Times New Roman" w:cs="Times New Roman"/>
                <w:color w:val="auto"/>
                <w:szCs w:val="24"/>
              </w:rPr>
              <w:t>当</w:t>
            </w:r>
            <w:r>
              <w:rPr>
                <w:rFonts w:hint="default" w:ascii="Times New Roman" w:hAnsi="Times New Roman" w:cs="Times New Roman"/>
                <w:i/>
                <w:color w:val="auto"/>
                <w:szCs w:val="24"/>
              </w:rPr>
              <w:t>Q</w:t>
            </w:r>
            <w:r>
              <w:rPr>
                <w:rFonts w:hint="default" w:ascii="Times New Roman" w:hAnsi="Times New Roman" w:cs="Times New Roman"/>
                <w:color w:val="auto"/>
                <w:szCs w:val="24"/>
              </w:rPr>
              <w:t>＜1时，该项目环境风险潜势为I。</w:t>
            </w:r>
          </w:p>
          <w:p>
            <w:pPr>
              <w:pStyle w:val="73"/>
              <w:ind w:firstLine="480"/>
              <w:rPr>
                <w:rFonts w:hint="default" w:ascii="Times New Roman" w:hAnsi="Times New Roman" w:cs="Times New Roman"/>
                <w:color w:val="auto"/>
                <w:szCs w:val="24"/>
              </w:rPr>
            </w:pPr>
            <w:r>
              <w:rPr>
                <w:rFonts w:hint="default" w:ascii="Times New Roman" w:hAnsi="Times New Roman" w:cs="Times New Roman"/>
                <w:color w:val="auto"/>
                <w:szCs w:val="24"/>
              </w:rPr>
              <w:t>当</w:t>
            </w:r>
            <w:r>
              <w:rPr>
                <w:rFonts w:hint="default" w:ascii="Times New Roman" w:hAnsi="Times New Roman" w:cs="Times New Roman"/>
                <w:i/>
                <w:color w:val="auto"/>
                <w:szCs w:val="24"/>
              </w:rPr>
              <w:t>Q</w:t>
            </w:r>
            <w:r>
              <w:rPr>
                <w:rFonts w:hint="default" w:ascii="Times New Roman" w:hAnsi="Times New Roman" w:cs="Times New Roman"/>
                <w:color w:val="auto"/>
                <w:szCs w:val="24"/>
              </w:rPr>
              <w:t>≥1时，将</w:t>
            </w:r>
            <w:r>
              <w:rPr>
                <w:rFonts w:hint="default" w:ascii="Times New Roman" w:hAnsi="Times New Roman" w:cs="Times New Roman"/>
                <w:i/>
                <w:color w:val="auto"/>
                <w:szCs w:val="24"/>
              </w:rPr>
              <w:t>Q</w:t>
            </w:r>
            <w:r>
              <w:rPr>
                <w:rFonts w:hint="default" w:ascii="Times New Roman" w:hAnsi="Times New Roman" w:cs="Times New Roman"/>
                <w:color w:val="auto"/>
                <w:szCs w:val="24"/>
              </w:rPr>
              <w:t>值划分为：（1）1≤</w:t>
            </w:r>
            <w:r>
              <w:rPr>
                <w:rFonts w:hint="default" w:ascii="Times New Roman" w:hAnsi="Times New Roman" w:cs="Times New Roman"/>
                <w:i/>
                <w:color w:val="auto"/>
                <w:szCs w:val="24"/>
              </w:rPr>
              <w:t>Q</w:t>
            </w:r>
            <w:r>
              <w:rPr>
                <w:rFonts w:hint="default" w:ascii="Times New Roman" w:hAnsi="Times New Roman" w:cs="Times New Roman"/>
                <w:color w:val="auto"/>
                <w:szCs w:val="24"/>
              </w:rPr>
              <w:t>&lt;10；（2）10≤</w:t>
            </w:r>
            <w:r>
              <w:rPr>
                <w:rFonts w:hint="default" w:ascii="Times New Roman" w:hAnsi="Times New Roman" w:cs="Times New Roman"/>
                <w:i/>
                <w:color w:val="auto"/>
                <w:szCs w:val="24"/>
              </w:rPr>
              <w:t>Q</w:t>
            </w:r>
            <w:r>
              <w:rPr>
                <w:rFonts w:hint="default" w:ascii="Times New Roman" w:hAnsi="Times New Roman" w:cs="Times New Roman"/>
                <w:color w:val="auto"/>
                <w:szCs w:val="24"/>
              </w:rPr>
              <w:t>&lt;100；（3）</w:t>
            </w:r>
            <w:r>
              <w:rPr>
                <w:rFonts w:hint="default" w:ascii="Times New Roman" w:hAnsi="Times New Roman" w:cs="Times New Roman"/>
                <w:i/>
                <w:color w:val="auto"/>
                <w:szCs w:val="24"/>
              </w:rPr>
              <w:t>Q</w:t>
            </w:r>
            <w:r>
              <w:rPr>
                <w:rFonts w:hint="default" w:ascii="Times New Roman" w:hAnsi="Times New Roman" w:cs="Times New Roman"/>
                <w:color w:val="auto"/>
                <w:szCs w:val="24"/>
              </w:rPr>
              <w:t>≥100，分别以</w:t>
            </w:r>
            <w:r>
              <w:rPr>
                <w:rFonts w:hint="default" w:ascii="Times New Roman" w:hAnsi="Times New Roman" w:cs="Times New Roman"/>
                <w:i/>
                <w:color w:val="auto"/>
                <w:szCs w:val="24"/>
              </w:rPr>
              <w:t>Q</w:t>
            </w:r>
            <w:r>
              <w:rPr>
                <w:rFonts w:hint="default" w:ascii="Times New Roman" w:hAnsi="Times New Roman" w:cs="Times New Roman"/>
                <w:i/>
                <w:color w:val="auto"/>
                <w:szCs w:val="24"/>
                <w:vertAlign w:val="subscript"/>
              </w:rPr>
              <w:t>1</w:t>
            </w:r>
            <w:r>
              <w:rPr>
                <w:rFonts w:hint="default" w:ascii="Times New Roman" w:hAnsi="Times New Roman" w:cs="Times New Roman"/>
                <w:color w:val="auto"/>
                <w:szCs w:val="24"/>
              </w:rPr>
              <w:t>、</w:t>
            </w:r>
            <w:r>
              <w:rPr>
                <w:rFonts w:hint="default" w:ascii="Times New Roman" w:hAnsi="Times New Roman" w:cs="Times New Roman"/>
                <w:i/>
                <w:color w:val="auto"/>
                <w:szCs w:val="24"/>
              </w:rPr>
              <w:t>Q</w:t>
            </w:r>
            <w:r>
              <w:rPr>
                <w:rFonts w:hint="default" w:ascii="Times New Roman" w:hAnsi="Times New Roman" w:cs="Times New Roman"/>
                <w:i/>
                <w:color w:val="auto"/>
                <w:szCs w:val="24"/>
                <w:vertAlign w:val="subscript"/>
              </w:rPr>
              <w:t>2</w:t>
            </w:r>
            <w:r>
              <w:rPr>
                <w:rFonts w:hint="default" w:ascii="Times New Roman" w:hAnsi="Times New Roman" w:cs="Times New Roman"/>
                <w:color w:val="auto"/>
                <w:szCs w:val="24"/>
              </w:rPr>
              <w:t>和</w:t>
            </w:r>
            <w:r>
              <w:rPr>
                <w:rFonts w:hint="default" w:ascii="Times New Roman" w:hAnsi="Times New Roman" w:cs="Times New Roman"/>
                <w:i/>
                <w:color w:val="auto"/>
                <w:szCs w:val="24"/>
              </w:rPr>
              <w:t>Q</w:t>
            </w:r>
            <w:r>
              <w:rPr>
                <w:rFonts w:hint="default" w:ascii="Times New Roman" w:hAnsi="Times New Roman" w:cs="Times New Roman"/>
                <w:i/>
                <w:color w:val="auto"/>
                <w:szCs w:val="24"/>
                <w:vertAlign w:val="subscript"/>
              </w:rPr>
              <w:t>3</w:t>
            </w:r>
            <w:r>
              <w:rPr>
                <w:rFonts w:hint="default" w:ascii="Times New Roman" w:hAnsi="Times New Roman" w:cs="Times New Roman"/>
                <w:color w:val="auto"/>
                <w:szCs w:val="24"/>
              </w:rPr>
              <w:t>表示。</w:t>
            </w:r>
          </w:p>
          <w:p>
            <w:pPr>
              <w:ind w:firstLine="480"/>
              <w:rPr>
                <w:rFonts w:hint="default" w:ascii="Times New Roman" w:hAnsi="Times New Roman" w:cs="Times New Roman"/>
                <w:color w:val="auto"/>
              </w:rPr>
            </w:pPr>
            <w:r>
              <w:rPr>
                <w:rFonts w:hint="default" w:ascii="Times New Roman" w:hAnsi="Times New Roman" w:cs="Times New Roman"/>
                <w:color w:val="auto"/>
                <w:lang w:val="zh-CN"/>
              </w:rPr>
              <w:t>本项目危险物质数量和临界量比值具体见</w:t>
            </w: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rPr>
              <w:t>-6。</w:t>
            </w:r>
          </w:p>
          <w:p>
            <w:pPr>
              <w:ind w:firstLine="480"/>
              <w:rPr>
                <w:rFonts w:hint="default" w:ascii="Times New Roman" w:hAnsi="Times New Roman" w:cs="Times New Roman"/>
                <w:color w:val="auto"/>
              </w:rPr>
            </w:pPr>
          </w:p>
          <w:p>
            <w:pPr>
              <w:pStyle w:val="73"/>
              <w:ind w:firstLine="482"/>
              <w:jc w:val="center"/>
              <w:rPr>
                <w:rFonts w:hint="default" w:ascii="Times New Roman" w:hAnsi="Times New Roman" w:cs="Times New Roman"/>
                <w:color w:val="auto"/>
              </w:rPr>
            </w:pPr>
            <w:r>
              <w:rPr>
                <w:rFonts w:hint="default" w:ascii="Times New Roman" w:hAnsi="Times New Roman" w:cs="Times New Roman"/>
                <w:b/>
                <w:color w:val="auto"/>
              </w:rPr>
              <w:t>表</w:t>
            </w:r>
            <w:r>
              <w:rPr>
                <w:rFonts w:hint="default" w:ascii="Times New Roman" w:hAnsi="Times New Roman" w:cs="Times New Roman"/>
                <w:b/>
                <w:color w:val="auto"/>
                <w:lang w:val="en-US" w:eastAsia="zh-CN"/>
              </w:rPr>
              <w:t>4.</w:t>
            </w:r>
            <w:r>
              <w:rPr>
                <w:rFonts w:hint="eastAsia" w:ascii="Times New Roman" w:hAnsi="Times New Roman" w:cs="Times New Roman"/>
                <w:b/>
                <w:color w:val="auto"/>
                <w:lang w:val="en-US" w:eastAsia="zh-CN"/>
              </w:rPr>
              <w:t>6</w:t>
            </w:r>
            <w:r>
              <w:rPr>
                <w:rFonts w:hint="default" w:ascii="Times New Roman" w:hAnsi="Times New Roman" w:cs="Times New Roman"/>
                <w:b/>
                <w:color w:val="auto"/>
              </w:rPr>
              <w:t>-6  项目涉及主要物质储量及临界量一览表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8"/>
              <w:gridCol w:w="1005"/>
              <w:gridCol w:w="2245"/>
              <w:gridCol w:w="1292"/>
              <w:gridCol w:w="1369"/>
              <w:gridCol w:w="9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96" w:type="pct"/>
                  <w:noWrap w:val="0"/>
                  <w:vAlign w:val="center"/>
                </w:tcPr>
                <w:p>
                  <w:pPr>
                    <w:pStyle w:val="17"/>
                    <w:rPr>
                      <w:rFonts w:hint="default" w:ascii="Times New Roman" w:hAnsi="Times New Roman" w:cs="Times New Roman"/>
                      <w:b w:val="0"/>
                      <w:bCs w:val="0"/>
                      <w:color w:val="auto"/>
                    </w:rPr>
                  </w:pPr>
                  <w:r>
                    <w:rPr>
                      <w:rFonts w:hint="default" w:ascii="Times New Roman" w:hAnsi="Times New Roman" w:cs="Times New Roman"/>
                      <w:b w:val="0"/>
                      <w:bCs w:val="0"/>
                      <w:color w:val="auto"/>
                    </w:rPr>
                    <w:t>序号</w:t>
                  </w:r>
                </w:p>
              </w:tc>
              <w:tc>
                <w:tcPr>
                  <w:tcW w:w="677" w:type="pct"/>
                  <w:noWrap w:val="0"/>
                  <w:vAlign w:val="center"/>
                </w:tcPr>
                <w:p>
                  <w:pPr>
                    <w:pStyle w:val="17"/>
                    <w:rPr>
                      <w:rFonts w:hint="default" w:ascii="Times New Roman" w:hAnsi="Times New Roman" w:cs="Times New Roman"/>
                      <w:b w:val="0"/>
                      <w:bCs w:val="0"/>
                      <w:color w:val="auto"/>
                    </w:rPr>
                  </w:pPr>
                  <w:r>
                    <w:rPr>
                      <w:rFonts w:hint="default" w:ascii="Times New Roman" w:hAnsi="Times New Roman" w:cs="Times New Roman"/>
                      <w:b w:val="0"/>
                      <w:bCs w:val="0"/>
                      <w:color w:val="auto"/>
                    </w:rPr>
                    <w:t>危险物质名称</w:t>
                  </w:r>
                </w:p>
              </w:tc>
              <w:tc>
                <w:tcPr>
                  <w:tcW w:w="1512" w:type="pct"/>
                  <w:noWrap w:val="0"/>
                  <w:vAlign w:val="center"/>
                </w:tcPr>
                <w:p>
                  <w:pPr>
                    <w:pStyle w:val="17"/>
                    <w:rPr>
                      <w:rFonts w:hint="default" w:ascii="Times New Roman" w:hAnsi="Times New Roman" w:cs="Times New Roman"/>
                      <w:b w:val="0"/>
                      <w:bCs w:val="0"/>
                      <w:color w:val="auto"/>
                    </w:rPr>
                  </w:pPr>
                  <w:r>
                    <w:rPr>
                      <w:rFonts w:hint="default" w:ascii="Times New Roman" w:hAnsi="Times New Roman" w:cs="Times New Roman"/>
                      <w:b w:val="0"/>
                      <w:bCs w:val="0"/>
                      <w:color w:val="auto"/>
                    </w:rPr>
                    <w:t>存放情况</w:t>
                  </w:r>
                </w:p>
              </w:tc>
              <w:tc>
                <w:tcPr>
                  <w:tcW w:w="870" w:type="pct"/>
                  <w:noWrap w:val="0"/>
                  <w:vAlign w:val="center"/>
                </w:tcPr>
                <w:p>
                  <w:pPr>
                    <w:pStyle w:val="17"/>
                    <w:rPr>
                      <w:rFonts w:hint="default" w:ascii="Times New Roman" w:hAnsi="Times New Roman" w:cs="Times New Roman"/>
                      <w:b w:val="0"/>
                      <w:bCs w:val="0"/>
                      <w:color w:val="auto"/>
                    </w:rPr>
                  </w:pPr>
                  <w:r>
                    <w:rPr>
                      <w:rFonts w:hint="default" w:ascii="Times New Roman" w:hAnsi="Times New Roman" w:cs="Times New Roman"/>
                      <w:b w:val="0"/>
                      <w:bCs w:val="0"/>
                      <w:color w:val="auto"/>
                    </w:rPr>
                    <w:t>最大储存量(t)</w:t>
                  </w:r>
                </w:p>
              </w:tc>
              <w:tc>
                <w:tcPr>
                  <w:tcW w:w="921" w:type="pct"/>
                  <w:noWrap w:val="0"/>
                  <w:vAlign w:val="center"/>
                </w:tcPr>
                <w:p>
                  <w:pPr>
                    <w:pStyle w:val="17"/>
                    <w:rPr>
                      <w:rFonts w:hint="default" w:ascii="Times New Roman" w:hAnsi="Times New Roman" w:cs="Times New Roman"/>
                      <w:b w:val="0"/>
                      <w:bCs w:val="0"/>
                      <w:color w:val="auto"/>
                    </w:rPr>
                  </w:pPr>
                  <w:r>
                    <w:rPr>
                      <w:rFonts w:hint="default" w:ascii="Times New Roman" w:hAnsi="Times New Roman" w:cs="Times New Roman"/>
                      <w:b w:val="0"/>
                      <w:bCs w:val="0"/>
                      <w:color w:val="auto"/>
                    </w:rPr>
                    <w:t>临界量（</w:t>
                  </w:r>
                  <w:r>
                    <w:rPr>
                      <w:rFonts w:hint="default" w:ascii="Times New Roman" w:hAnsi="Times New Roman" w:cs="Times New Roman"/>
                      <w:b w:val="0"/>
                      <w:bCs w:val="0"/>
                      <w:i/>
                      <w:color w:val="auto"/>
                    </w:rPr>
                    <w:t>Q</w:t>
                  </w:r>
                  <w:r>
                    <w:rPr>
                      <w:rFonts w:hint="default" w:ascii="Times New Roman" w:hAnsi="Times New Roman" w:cs="Times New Roman"/>
                      <w:b w:val="0"/>
                      <w:bCs w:val="0"/>
                      <w:i/>
                      <w:color w:val="auto"/>
                      <w:vertAlign w:val="subscript"/>
                    </w:rPr>
                    <w:t>i</w:t>
                  </w:r>
                  <w:r>
                    <w:rPr>
                      <w:rFonts w:hint="default" w:ascii="Times New Roman" w:hAnsi="Times New Roman" w:cs="Times New Roman"/>
                      <w:b w:val="0"/>
                      <w:bCs w:val="0"/>
                      <w:color w:val="auto"/>
                    </w:rPr>
                    <w:t>）(t)</w:t>
                  </w:r>
                </w:p>
              </w:tc>
              <w:tc>
                <w:tcPr>
                  <w:tcW w:w="622" w:type="pct"/>
                  <w:noWrap w:val="0"/>
                  <w:vAlign w:val="center"/>
                </w:tcPr>
                <w:p>
                  <w:pPr>
                    <w:pStyle w:val="17"/>
                    <w:rPr>
                      <w:rFonts w:hint="default" w:ascii="Times New Roman" w:hAnsi="Times New Roman" w:cs="Times New Roman"/>
                      <w:b w:val="0"/>
                      <w:bCs w:val="0"/>
                      <w:color w:val="auto"/>
                    </w:rPr>
                  </w:pPr>
                  <w:r>
                    <w:rPr>
                      <w:rFonts w:hint="default" w:ascii="Times New Roman" w:hAnsi="Times New Roman" w:cs="Times New Roman"/>
                      <w:b w:val="0"/>
                      <w:bCs w:val="0"/>
                      <w:i/>
                      <w:color w:val="auto"/>
                    </w:rPr>
                    <w:t>q</w:t>
                  </w:r>
                  <w:r>
                    <w:rPr>
                      <w:rFonts w:hint="default" w:ascii="Times New Roman" w:hAnsi="Times New Roman" w:cs="Times New Roman"/>
                      <w:b w:val="0"/>
                      <w:bCs w:val="0"/>
                      <w:i/>
                      <w:color w:val="auto"/>
                      <w:vertAlign w:val="subscript"/>
                    </w:rPr>
                    <w:t>i</w:t>
                  </w:r>
                  <w:r>
                    <w:rPr>
                      <w:rFonts w:hint="default" w:ascii="Times New Roman" w:hAnsi="Times New Roman" w:cs="Times New Roman"/>
                      <w:b w:val="0"/>
                      <w:bCs w:val="0"/>
                      <w:color w:val="auto"/>
                    </w:rPr>
                    <w:t>/</w:t>
                  </w:r>
                  <w:r>
                    <w:rPr>
                      <w:rFonts w:hint="default" w:ascii="Times New Roman" w:hAnsi="Times New Roman" w:cs="Times New Roman"/>
                      <w:b w:val="0"/>
                      <w:bCs w:val="0"/>
                      <w:i/>
                      <w:color w:val="auto"/>
                    </w:rPr>
                    <w:t>Q</w:t>
                  </w:r>
                  <w:r>
                    <w:rPr>
                      <w:rFonts w:hint="default" w:ascii="Times New Roman" w:hAnsi="Times New Roman" w:cs="Times New Roman"/>
                      <w:b w:val="0"/>
                      <w:bCs w:val="0"/>
                      <w:i/>
                      <w:color w:val="auto"/>
                      <w:vertAlign w:val="subscript"/>
                    </w:rPr>
                    <w: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1</w:t>
                  </w:r>
                </w:p>
              </w:tc>
              <w:tc>
                <w:tcPr>
                  <w:tcW w:w="677"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乙醇</w:t>
                  </w:r>
                </w:p>
              </w:tc>
              <w:tc>
                <w:tcPr>
                  <w:tcW w:w="151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综合楼储药间内，桶装，25kg/桶，20桶</w:t>
                  </w:r>
                </w:p>
              </w:tc>
              <w:tc>
                <w:tcPr>
                  <w:tcW w:w="870"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0.5</w:t>
                  </w:r>
                </w:p>
              </w:tc>
              <w:tc>
                <w:tcPr>
                  <w:tcW w:w="921"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szCs w:val="21"/>
                    </w:rPr>
                    <w:t>500</w:t>
                  </w:r>
                </w:p>
              </w:tc>
              <w:tc>
                <w:tcPr>
                  <w:tcW w:w="62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2</w:t>
                  </w:r>
                </w:p>
              </w:tc>
              <w:tc>
                <w:tcPr>
                  <w:tcW w:w="677"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盐酸</w:t>
                  </w:r>
                </w:p>
              </w:tc>
              <w:tc>
                <w:tcPr>
                  <w:tcW w:w="151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污水站储药间内，桶装，25kg/桶，20桶</w:t>
                  </w:r>
                </w:p>
              </w:tc>
              <w:tc>
                <w:tcPr>
                  <w:tcW w:w="870"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0.5</w:t>
                  </w:r>
                </w:p>
              </w:tc>
              <w:tc>
                <w:tcPr>
                  <w:tcW w:w="921"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7.5</w:t>
                  </w:r>
                </w:p>
              </w:tc>
              <w:tc>
                <w:tcPr>
                  <w:tcW w:w="62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0.067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3</w:t>
                  </w:r>
                </w:p>
              </w:tc>
              <w:tc>
                <w:tcPr>
                  <w:tcW w:w="677"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氯酸钠</w:t>
                  </w:r>
                </w:p>
              </w:tc>
              <w:tc>
                <w:tcPr>
                  <w:tcW w:w="151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污水站储药间内，袋装，25kg/袋，20袋</w:t>
                  </w:r>
                </w:p>
              </w:tc>
              <w:tc>
                <w:tcPr>
                  <w:tcW w:w="870"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0.5</w:t>
                  </w:r>
                </w:p>
              </w:tc>
              <w:tc>
                <w:tcPr>
                  <w:tcW w:w="921"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100</w:t>
                  </w:r>
                </w:p>
              </w:tc>
              <w:tc>
                <w:tcPr>
                  <w:tcW w:w="62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4</w:t>
                  </w:r>
                </w:p>
              </w:tc>
              <w:tc>
                <w:tcPr>
                  <w:tcW w:w="677"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二氧化氯</w:t>
                  </w:r>
                </w:p>
              </w:tc>
              <w:tc>
                <w:tcPr>
                  <w:tcW w:w="151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污水站加药间内，二氧化氯发生器反应生产</w:t>
                  </w:r>
                </w:p>
              </w:tc>
              <w:tc>
                <w:tcPr>
                  <w:tcW w:w="870"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w:t>
                  </w:r>
                </w:p>
              </w:tc>
              <w:tc>
                <w:tcPr>
                  <w:tcW w:w="921"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0.5</w:t>
                  </w:r>
                </w:p>
              </w:tc>
              <w:tc>
                <w:tcPr>
                  <w:tcW w:w="62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5</w:t>
                  </w:r>
                </w:p>
              </w:tc>
              <w:tc>
                <w:tcPr>
                  <w:tcW w:w="677"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柴油</w:t>
                  </w:r>
                </w:p>
              </w:tc>
              <w:tc>
                <w:tcPr>
                  <w:tcW w:w="151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柴油发电机储油间内，桶装，0.5t。</w:t>
                  </w:r>
                </w:p>
              </w:tc>
              <w:tc>
                <w:tcPr>
                  <w:tcW w:w="870"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0.2</w:t>
                  </w:r>
                </w:p>
              </w:tc>
              <w:tc>
                <w:tcPr>
                  <w:tcW w:w="921"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2500</w:t>
                  </w:r>
                </w:p>
              </w:tc>
              <w:tc>
                <w:tcPr>
                  <w:tcW w:w="62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0.00008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77" w:type="pct"/>
                  <w:gridSpan w:val="5"/>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合计Q</w:t>
                  </w:r>
                </w:p>
              </w:tc>
              <w:tc>
                <w:tcPr>
                  <w:tcW w:w="622" w:type="pct"/>
                  <w:noWrap w:val="0"/>
                  <w:vAlign w:val="center"/>
                </w:tcPr>
                <w:p>
                  <w:pPr>
                    <w:pStyle w:val="17"/>
                    <w:rPr>
                      <w:rFonts w:hint="default" w:ascii="Times New Roman" w:hAnsi="Times New Roman" w:cs="Times New Roman"/>
                      <w:color w:val="auto"/>
                    </w:rPr>
                  </w:pPr>
                  <w:r>
                    <w:rPr>
                      <w:rFonts w:hint="default" w:ascii="Times New Roman" w:hAnsi="Times New Roman" w:cs="Times New Roman"/>
                      <w:color w:val="auto"/>
                    </w:rPr>
                    <w:t>0.07308</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根据上表，项目Q值为0.07308，小于1，企业不构成重大危险源。根据《建设项目环境风险评价技术导则》（HJ169-2018）规定，当Q＜1 时，该项目环境风险潜势为Ⅰ。</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）环境风险评价等级</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根据《建设项目环境风险评价技术导则》（HJ169－2018）的要求，环境风险评价工作的等级判别见4.</w:t>
            </w:r>
            <w:r>
              <w:rPr>
                <w:rFonts w:hint="eastAsia" w:cs="Times New Roman"/>
                <w:color w:val="auto"/>
                <w:lang w:val="en-US" w:eastAsia="zh-CN"/>
              </w:rPr>
              <w:t>6</w:t>
            </w:r>
            <w:r>
              <w:rPr>
                <w:rFonts w:hint="default" w:ascii="Times New Roman" w:hAnsi="Times New Roman" w:cs="Times New Roman"/>
                <w:color w:val="auto"/>
              </w:rPr>
              <w:t>-</w:t>
            </w:r>
            <w:r>
              <w:rPr>
                <w:rFonts w:hint="default" w:ascii="Times New Roman" w:hAnsi="Times New Roman" w:cs="Times New Roman"/>
                <w:color w:val="auto"/>
                <w:lang w:val="en-US" w:eastAsia="zh-CN"/>
              </w:rPr>
              <w:t>7</w:t>
            </w:r>
            <w:r>
              <w:rPr>
                <w:rFonts w:hint="default" w:ascii="Times New Roman" w:hAnsi="Times New Roman" w:cs="Times New Roman"/>
                <w:color w:val="auto"/>
              </w:rPr>
              <w:t>。</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6</w:t>
            </w:r>
            <w:r>
              <w:rPr>
                <w:rFonts w:hint="default" w:ascii="Times New Roman" w:hAnsi="Times New Roman" w:cs="Times New Roman"/>
                <w:b/>
                <w:bCs/>
                <w:color w:val="auto"/>
                <w:lang w:val="en-US" w:eastAsia="zh-CN"/>
              </w:rPr>
              <w:t xml:space="preserve">-7 </w:t>
            </w:r>
            <w:r>
              <w:rPr>
                <w:rFonts w:hint="default" w:ascii="Times New Roman" w:hAnsi="Times New Roman" w:cs="Times New Roman"/>
                <w:b/>
                <w:bCs/>
                <w:color w:val="auto"/>
              </w:rPr>
              <w:t>评价工作等级划分</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285"/>
              <w:gridCol w:w="1345"/>
              <w:gridCol w:w="1643"/>
              <w:gridCol w:w="1793"/>
              <w:gridCol w:w="13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86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环境风险潜势</w:t>
                  </w:r>
                </w:p>
              </w:tc>
              <w:tc>
                <w:tcPr>
                  <w:tcW w:w="90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Ⅳ、Ⅳ+</w:t>
                  </w:r>
                </w:p>
              </w:tc>
              <w:tc>
                <w:tcPr>
                  <w:tcW w:w="1107"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Ⅲ</w:t>
                  </w:r>
                </w:p>
              </w:tc>
              <w:tc>
                <w:tcPr>
                  <w:tcW w:w="120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Ⅰ</w:t>
                  </w:r>
                </w:p>
              </w:tc>
              <w:tc>
                <w:tcPr>
                  <w:tcW w:w="91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53" w:hRule="atLeast"/>
                <w:jc w:val="center"/>
              </w:trPr>
              <w:tc>
                <w:tcPr>
                  <w:tcW w:w="86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评价工作等级</w:t>
                  </w:r>
                </w:p>
              </w:tc>
              <w:tc>
                <w:tcPr>
                  <w:tcW w:w="906"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一</w:t>
                  </w:r>
                </w:p>
              </w:tc>
              <w:tc>
                <w:tcPr>
                  <w:tcW w:w="1107"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二</w:t>
                  </w:r>
                </w:p>
              </w:tc>
              <w:tc>
                <w:tcPr>
                  <w:tcW w:w="1208"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rPr>
                    <w:t>三</w:t>
                  </w:r>
                </w:p>
              </w:tc>
              <w:tc>
                <w:tcPr>
                  <w:tcW w:w="910" w:type="pct"/>
                  <w:noWrap w:val="0"/>
                  <w:vAlign w:val="center"/>
                </w:tcPr>
                <w:p>
                  <w:pPr>
                    <w:pStyle w:val="32"/>
                    <w:rPr>
                      <w:rFonts w:hint="default" w:ascii="Times New Roman" w:hAnsi="Times New Roman" w:cs="Times New Roman"/>
                      <w:b w:val="0"/>
                      <w:bCs w:val="0"/>
                      <w:color w:val="auto"/>
                    </w:rPr>
                  </w:pPr>
                  <w:r>
                    <w:rPr>
                      <w:rFonts w:hint="default" w:ascii="Times New Roman" w:hAnsi="Times New Roman" w:cs="Times New Roman"/>
                      <w:b w:val="0"/>
                      <w:bCs w:val="0"/>
                      <w:color w:val="auto"/>
                      <w:shd w:val="clear" w:color="FFFFFF" w:fill="D9D9D9"/>
                    </w:rPr>
                    <w:t>简单分析a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53" w:hRule="atLeast"/>
                <w:jc w:val="center"/>
              </w:trPr>
              <w:tc>
                <w:tcPr>
                  <w:tcW w:w="5000" w:type="pct"/>
                  <w:gridSpan w:val="5"/>
                  <w:noWrap w:val="0"/>
                  <w:vAlign w:val="center"/>
                </w:tcPr>
                <w:p>
                  <w:pPr>
                    <w:pStyle w:val="32"/>
                    <w:jc w:val="left"/>
                    <w:rPr>
                      <w:rFonts w:hint="default" w:ascii="Times New Roman" w:hAnsi="Times New Roman" w:cs="Times New Roman"/>
                      <w:b w:val="0"/>
                      <w:bCs w:val="0"/>
                      <w:color w:val="auto"/>
                    </w:rPr>
                  </w:pPr>
                  <w:r>
                    <w:rPr>
                      <w:rFonts w:hint="default" w:ascii="Times New Roman" w:hAnsi="Times New Roman" w:cs="Times New Roman"/>
                      <w:b w:val="0"/>
                      <w:bCs w:val="0"/>
                      <w:color w:val="auto"/>
                    </w:rPr>
                    <w:t>a是相对于详细评价工作内容而言，在描述危险物质、环境影响途径、环境危害后果、风险防范措施等方面给出定性的说明。见附录A</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根据《建设项目环境风险评价技术导则》（HJ169-2018）表4.10-3评价工作等级划分，本项目属于简单分析，因此，本次评价对危险物质、环境影响途径、环境危害后果、风险防范措施等方面给出定性的说明。</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4.5.2</w:t>
            </w:r>
            <w:r>
              <w:rPr>
                <w:rFonts w:hint="default" w:ascii="Times New Roman" w:hAnsi="Times New Roman" w:cs="Times New Roman"/>
                <w:color w:val="auto"/>
              </w:rPr>
              <w:t>建设项目环境风险简单分析</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4.5.2.1</w:t>
            </w:r>
            <w:r>
              <w:rPr>
                <w:rFonts w:hint="default" w:ascii="Times New Roman" w:hAnsi="Times New Roman" w:cs="Times New Roman"/>
                <w:color w:val="auto"/>
              </w:rPr>
              <w:t>致病微生物环境风险分析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致病性微生物产生传播的风险因素有：</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（1）由于通风系统的过滤和杀菌设备失效，或检验科生物安全柜杀菌设施失效，使病毒的气溶胶发生泄漏；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（2）医疗废水处理设施在事故工况下，污水消毒达不到要求时，含病毒的污水排放；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（3）医疗废物在收集、贮存、运送过程中操作不当，导致菌毒泄漏外环境。致病微生物直接传播进入人体发生疾病的途径主要有三种：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①血液、体液传播（如艾滋病、乙型肝炎、EB 病毒等）；</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②消化道传播（甲型/戊型肝炎、幽门螺旋菌、霍乱弧菌、沙门菌属等）；</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③呼吸道传播（非典型性肺炎、肺结核、流感、炭疽和麻疹等）。</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血液、体液、消化道传播的传染病的主要特征是指接触除与病人的接触和医疗操作感染外，因医院环境污染而造成的影响，其主要表现在医疗废物泄漏到环境中，发生与人接触的事件；医院污水收集处理系统不完善，带菌毒的污水进入外环境等。</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呼吸道传播的传染病是因为病毒、细菌本身悬浮在空气中，或衣服在尘埃上悬浮于空气中，进入人的呼吸系统，病毒、微生物空气传播污染范围大，难于防护，易引起人群和社会恐慌。但能导致疾病的传播主要是近距离的飞沫传播。</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由于医院方面与众多病患及家属的高频接触，日常医疗过程中会接触到带有致病性微生物的病人，医院血液、体液、消化道传播的主要特征是接触传染；呼吸道传播是因为病毒、细菌本身悬浮在空气中，或依附在尘埃上悬浮于空气中，进入人的呼吸系统，病毒、微生物空气传播污染范围大，存在交叉感染的风险，但在一般情况下，通过接触患者而感染到疾病的机会并不高。</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本项目为精神病专科防治医院，不设感染门诊、感染病房，一般情况下项目区内不会接触到传染病人，不会产生感染。</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.2.2</w:t>
            </w:r>
            <w:r>
              <w:rPr>
                <w:rFonts w:hint="default" w:ascii="Times New Roman" w:hAnsi="Times New Roman" w:cs="Times New Roman"/>
                <w:color w:val="auto"/>
              </w:rPr>
              <w:t>项目医疗废水事故排放风险分析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（1）项目医疗废水处理过程中的事故因素</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医疗废水处理过程中的事故因素主要是操作不当或处理设施失灵、管道破裂、泵设备损坏或失效等，废水不能达标而直接排放。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（2）废水事故排放引起的风险影响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医院运行过程中产生的污水主要有：医疗废水（包含门诊、病房、手术室等科室一般医疗废水以及检验科等特殊废水）、医务人员和患者排放的生活污水，项目产生的医疗废水和生活污水经收集后</w:t>
            </w:r>
            <w:r>
              <w:rPr>
                <w:rFonts w:hint="eastAsia" w:ascii="Times New Roman" w:hAnsi="Times New Roman" w:cs="Times New Roman"/>
                <w:color w:val="auto"/>
                <w:lang w:val="en-US" w:eastAsia="zh-CN"/>
              </w:rPr>
              <w:t>依托于厂区</w:t>
            </w:r>
            <w:r>
              <w:rPr>
                <w:rFonts w:hint="default" w:ascii="Times New Roman" w:hAnsi="Times New Roman" w:cs="Times New Roman"/>
                <w:color w:val="auto"/>
              </w:rPr>
              <w:t>化粪池进行预处理后再与餐饮废水汇合一并进入医院污水处理站处理达标后综合利用不外排。</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院污水处理站因操作不当或处理设施失灵、管道破裂等，导致废水污染物不能达标而直接排放至环境。医院污水沾染病人的血、尿、便，或受到粪便、传染性细菌和病毒等病原性微生物污染，具有传染性，可以诱发疾病或造成伤害；含有酸、碱、悬浮固体、BOD</w:t>
            </w:r>
            <w:r>
              <w:rPr>
                <w:rFonts w:hint="default" w:ascii="Times New Roman" w:hAnsi="Times New Roman" w:cs="Times New Roman"/>
                <w:color w:val="auto"/>
                <w:vertAlign w:val="subscript"/>
              </w:rPr>
              <w:t>5</w:t>
            </w:r>
            <w:r>
              <w:rPr>
                <w:rFonts w:hint="default" w:ascii="Times New Roman" w:hAnsi="Times New Roman" w:cs="Times New Roman"/>
                <w:color w:val="auto"/>
              </w:rPr>
              <w:t>、COD 和动植物油等有毒、有害物质和多种致病菌、病毒和寄生虫卵，它们在环境中具有一定的适应力，有的甚至在污水中存活较长，危害性较大；具有空间污染、急性传染和潜伏性传染等特征，不经有效处理会成为一条疫病扩散的重要途径和严重污染环境，危害人体健康并对环境有长远影响，排放的废水将会导致环境污染事故。</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.2.3</w:t>
            </w:r>
            <w:r>
              <w:rPr>
                <w:rFonts w:hint="default" w:ascii="Times New Roman" w:hAnsi="Times New Roman" w:cs="Times New Roman"/>
                <w:color w:val="auto"/>
              </w:rPr>
              <w:t>医疗固废在收集、贮存、运送过程中的风险分析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疗垃圾中可能存在传染性病菌、病毒、化学污染物等有害物质，由于医疗垃圾具有空间污染、急性传染和潜伏性污染等特征，其病毒、病菌的危害性是普通生活垃圾的几十、几百甚至上千倍，且基本没有回收再利用的价值。在国外，医疗垃圾被视为“顶级危险”和“致命杀手”。 据检测，医疗垃圾中存在着大量的病菌、病毒等，如乙肝表面抗原阳性率在未经浓缩的样品中为7.42%，医疗垃圾的阳性率则高达8.9%。有关资料证实，医疗垃圾引起的交叉感染占社会交叉感染率的20%。在我国，也早已将其列为头号危险废物，且我国明文规定，医疗垃圾必须采用“焚烧法”处理，以确保杀菌和避免环境污染。</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医疗垃圾残留及衍生的大量病菌是十分有害有毒的物质，如果不经分类收集等有效处理的话，很容易引起各种疾病的传播和蔓延。</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此外，医疗垃圾暂存间还存在渗漏风险。</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.2.4</w:t>
            </w:r>
            <w:r>
              <w:rPr>
                <w:rFonts w:hint="default" w:ascii="Times New Roman" w:hAnsi="Times New Roman" w:cs="Times New Roman"/>
                <w:color w:val="auto"/>
              </w:rPr>
              <w:t>二氧化氯泄漏风险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二氧化氯气体是一种强氧化物质，对热、震动、撞击和摩擦相当敏感，极易分解发生爆炸。二氧化氯遇有机物或还原性物质会发生剧烈反应，甚至爆炸。</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项目二氧化氯可能存在的风险情况为：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①二氧化氯制备风险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本项目采用氯酸钠与浓盐酸反应法制备二氧化氯，产物为氯气及二氧化氯气体混合物，若温度过高或发生震动，容易分解发生爆炸，对发生器周围人生安全及环境卫生造成危害。</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②二氧化氯输送过程风险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二氧化氯及氯气混合气体在管道输送过程时，在阀门管线泄漏、泵设备故障、操作失误、仪表、电器失灵等情况下发生泄漏，二者均为有毒气体，危及污水站附近工作人员及附近就诊病人的健康安全。其中尤以阀门损坏泄露最为严重，泄露量最大，危害最严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③二氧化氯发生器故障风险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当二氧化氯发生器使用过程发生故障，如泄漏、堵塞等情况时，由于发生器中所盛二氧化氯与氯气混合气体具有毒性、易爆性。一旦故障发生，高浓度有毒混合气体进入环境空气，对人员及环境将造成严重影响。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本项目医院污水处理站采用二氧化氯作为消毒剂，使用量少。尽管如此，医院仍应根据实际情况采取防护措施，加强设备的管理和人员的培训，同时应制定应急方案，保证周边居住环境不受影响。</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.2.5</w:t>
            </w:r>
            <w:r>
              <w:rPr>
                <w:rFonts w:hint="default" w:ascii="Times New Roman" w:hAnsi="Times New Roman" w:cs="Times New Roman"/>
                <w:color w:val="auto"/>
              </w:rPr>
              <w:t>医用气体风险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（1）医用气体的基本种类及用途</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本项目医用气体种类主要为氧气、负压吸引、压缩空气及二氧化碳等气体。</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（2）医用气体存在的风险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A、医用气体的混淆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医用气体的专用性，规定了医用气体的不可互换性。由于错误地连接了供气管道，或者采用了可互换的终端接口，或者没有清晰的气体专用标记等，可能导致重大医疗事故。</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B、医用气体品质的控制</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管道供气的距离较长，气体要通过不同的调节装置。医用气体中混入任何粉尘或水汽，对病人都是极其有害的。</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C、医用气体的泄露</w:t>
            </w:r>
            <w:r>
              <w:rPr>
                <w:rFonts w:hint="default" w:ascii="Times New Roman" w:hAnsi="Times New Roman" w:cs="Times New Roman"/>
                <w:color w:val="auto"/>
              </w:rPr>
              <w:tab/>
            </w:r>
            <w:r>
              <w:rPr>
                <w:rFonts w:hint="default" w:ascii="Times New Roman" w:hAnsi="Times New Roman" w:cs="Times New Roman"/>
                <w:color w:val="auto"/>
              </w:rPr>
              <w:tab/>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医用气体的特殊性（高压、助燃、易燃），凸现了其安全供应和安全使用的重要。医用供应装置的密封性，将直接影响医用气体的泄漏量。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过量的泄露，会导致供气的缺乏，同时也会造成交叉污染。如果医用供应装置中的易燃或助燃气体大量泄露，就有可能引起火灾。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D、过压释放的失效</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医用气源均是压缩气源。一旦气压过高，并不受控制，会损坏连接该气体的医疗器械，甚至会对病人造成气压性创伤。因此，医用供应装置必须为每种医用压缩气体配备过压释放阀。</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E、医用气体供应的中断</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医用供应装置作为医用气源供给的载体，直接与麻醉机、呼吸机、等医疗器械连接。供应的中断或流量不足，会引起麻醉机或呼吸机等医疗器械的工作混乱，从而危及病人生命。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F、电火花的风险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医用供应装置的某些电器元件，在正常状态或单一故障状态下，会产生火花。这对于氧化性的医用气体，是非常危险的，可能引起爆炸。</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.2.6</w:t>
            </w:r>
            <w:r>
              <w:rPr>
                <w:rFonts w:hint="default" w:ascii="Times New Roman" w:hAnsi="Times New Roman" w:cs="Times New Roman"/>
                <w:color w:val="auto"/>
              </w:rPr>
              <w:t xml:space="preserve">放射性废物风险事故影响分析 </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X线的照射量率与管电压和管电流有关，一般管电流增加照射量率也将增加。但是，当采用较大管电流时，开机时间将缩短至零点零几秒，因此，总照射量不会有明显的增加。X射线装置受开机和关机控制，关机时没有射线发出。在意外情况下，工作人员或病人家属在防护门关闭前尚未撤离，X射线装置运行可能产生误照射；因此，放射工作人员必须严格按照X射线装置操作程序进行治疗，防止事故照射的发生，避免工作人员和公众接受不必要的辐射照射。</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.3</w:t>
            </w:r>
            <w:r>
              <w:rPr>
                <w:rFonts w:hint="default" w:ascii="Times New Roman" w:hAnsi="Times New Roman" w:cs="Times New Roman"/>
                <w:color w:val="auto"/>
              </w:rPr>
              <w:t>风险防范措施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为避免风险事故，尤其是避免风险事故发生后对环境造成严重的污染，建设单位应树立并强化环境风险意识，增加对环境风险的防范措施，并使这些措施在实际工作中得到落实。为进一步减少事故的发生，减缓该项目运营过程中对环境的潜在威胁，建设单位应采取综合防范措施，并从技术、工艺、管理等方面对以下几方面予以重视：</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.3.1</w:t>
            </w:r>
            <w:r>
              <w:rPr>
                <w:rFonts w:hint="default" w:ascii="Times New Roman" w:hAnsi="Times New Roman" w:cs="Times New Roman"/>
                <w:color w:val="auto"/>
              </w:rPr>
              <w:t>废水排放防范措施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建设单位应设置医疗污水事故池，设置配套的事故废水管网、切换阀和监控等。发生医疗废水事故性排放的情况时，通过废水管网将事故废水导入事故池内。待污水处理设施修复正常运行时，再将事故池中的医疗污水泵入污水处理站进行处理；根据《医院污水处理工程技术规范指南》（HJ2029-2013），非传染病医院污水处理工程应急事故池容积不应小于日排放量的30%，项目废水日排放量约为</w:t>
            </w:r>
            <w:r>
              <w:rPr>
                <w:rFonts w:hint="default" w:ascii="Times New Roman" w:hAnsi="Times New Roman" w:cs="Times New Roman"/>
                <w:color w:val="auto"/>
                <w:lang w:val="en-US" w:eastAsia="zh-CN"/>
              </w:rPr>
              <w:t>58.842</w:t>
            </w:r>
            <w:r>
              <w:rPr>
                <w:rFonts w:hint="default" w:ascii="Times New Roman" w:hAnsi="Times New Roman" w:cs="Times New Roman"/>
                <w:color w:val="auto"/>
              </w:rPr>
              <w:t>t，故项目应设置一座容积不小于</w:t>
            </w:r>
            <w:r>
              <w:rPr>
                <w:rFonts w:hint="default" w:ascii="Times New Roman" w:hAnsi="Times New Roman" w:cs="Times New Roman"/>
                <w:color w:val="auto"/>
                <w:lang w:val="en-US" w:eastAsia="zh-CN"/>
              </w:rPr>
              <w:t>30</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的应急事故池。</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③处理后出水指标要按照环境管理工作制度的要求，定期、定时进行监测，以保证污水达标排放。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因此要求建设单位定期检修排污管网，加强废水处理设施的管理，及时发现解决存在问题，确保废水设施正常运行，避免医疗废水事故排放对周围环境造成影响。</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.3.2</w:t>
            </w:r>
            <w:r>
              <w:rPr>
                <w:rFonts w:hint="default" w:ascii="Times New Roman" w:hAnsi="Times New Roman" w:cs="Times New Roman"/>
                <w:color w:val="auto"/>
              </w:rPr>
              <w:t>医疗固废的防范措施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项目建成运营后，产生</w:t>
            </w:r>
            <w:r>
              <w:rPr>
                <w:rFonts w:hint="default" w:ascii="Times New Roman" w:hAnsi="Times New Roman" w:cs="Times New Roman"/>
                <w:color w:val="auto"/>
                <w:lang w:eastAsia="zh-CN"/>
              </w:rPr>
              <w:t>的</w:t>
            </w:r>
            <w:r>
              <w:rPr>
                <w:rFonts w:hint="default" w:ascii="Times New Roman" w:hAnsi="Times New Roman" w:cs="Times New Roman"/>
                <w:color w:val="auto"/>
              </w:rPr>
              <w:t>医疗垃圾必须经科学地分类收集、贮存运送后交由有资质单位处理，按照国家有关危险废物运输管理规定，定期清运，集中处置。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鉴于医疗垃圾的极大危害性，该项目在收集、贮存、运送医疗垃圾的过程中存在着一定的风险。为保证项目产生的医疗垃圾得到有效处置，使其风险减少到最小程度，而不会对周围环境造成不良影响，应具体采取如下的措施进行防范。</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（1）应对项目产生的医疗垃圾进行科学的分类收集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科学的分类是消除污染、无害化处置的保证，要采用专用容器，明确各类废弃物标识，分类包装，分类堆放，并本着及时、方便、安全、快捷的原则，进行收集。感染性废物、病理性废物、损伤性废物、药物性废物及化学性废物是不能混合收集；放入包装物或者容器内的感染性废物、病理性废物、损伤性废物不得取出。当盛装的医疗废物达到包装物或者容器的3/4时，应当使用有效的封口方式，使包装物或者容器的封口紧实、严密。对于盛装医疗废物的塑料包装袋应当符合下列规格：</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黄色—700×550mm塑料袋：感染性废物；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红色—700×550mm塑料袋：传染性废物；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绿色—400×300mm塑料袋：损伤性废物；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红色—400×300mm塑料袋：：传染性损伤性废物。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 xml:space="preserve">而盛装医疗废物的外包装纸箱应符合下列要求： </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印有红色“传染性废物”—600×400×500mm纸箱；</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印有绿色“损伤性废物”—400×200×300mm纸箱；</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印有红色“传染性损伤性废物”—600×400×500mm纸箱。</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产生的医疗废物中病原体的培养基、标本和菌种、毒种保存液等高危险废物，由检验科、病理科等产生单位首先在产生地点进行压力蒸汽灭菌或者化学消毒处理，然后按感染性废物收集处理；化学性废物中批量的废化学试剂、废消毒剂应当由药剂科交由专门机构处置；批量的含有汞的体温计、血压计等医疗器具报废时，应当由设备科交由专门机构处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对感染性废物必须采取安全、有效、经济的隔离和处理方法。操作感染性或任何有潜在危害的废物时，必须穿戴手套和防护服。对有多种成份混和的医学废料，应按危害等级较高者处理。感染性废物应分类丢入垃圾袋，还必须由专业人员严格区分感染性和非感染性废物，一旦分开后，感染性废物必须加以隔离。根据有关规定，所有收集感染性废物的容器都应有“生物危害”标志。有液体的感染性废料时，应确保容器无泄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所有锐利物都必须单独存放，并统一按医学废物处理。收集锐利物日包装容器必须使用硬质、防漏、防刺破材料。针或刀应保存在有明显标记、防泄漏、防刺破的容器内。处理含有锐利物品的感染性废料时应使用防刺破手套。</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另外，有害化学废物不能与一般废物、无害化学废物或感染性废物相混合。稀释通常不能使有害化学废物的毒性减低。有害化学废物在产生后应分别收集、运输、贮存和处理；必需混合时，应注意不兼容性。为保证有害废料在产生、堆集和保存期间不发生意外、泄漏、破损等，应采取必要的控制措施，如：通风措施、相对封闭及隔离系统、安全措施、防火措施和安全通道。在化学废料的产生、处理、堆集和保存期间，对其包装及标签要求如下：根据废物种类使用废物容器、使用“有害废物”的标签或标记、在任何时候都确保废物容器的密闭性。采用有皱的包装材料包装易碎的玻璃和塑料制品，在包装中同时加入吸附性材料。</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（2）医疗垃圾的贮存和运送</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该项目应当建立医疗废物暂时贮存设施、设备，不得露天存放医疗废物；医疗废物暂存间需采取防渗措施，并设置废液泄漏事故收集池；医疗废物暂时贮存的时间不得超过2天，应得到及时、有效地处理。因为在医疗废物储存过程中，会有恶臭产生。恶臭强度和垃圾中有机物腐烂程度有很大关系，其中主要污染物为硫化氢、三甲胺、甲硫醇以及氨等。臭味有害于人体健康，恶臭对人的大脑皮层是一种恶性刺激，长期呆在恶臭环境里，会使人产生恶心、头晕、疲劳、食欲不振等症状。恶臭环境还会使某些疾病恶化。</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按规范建设医疗废物储存间。医疗卫生机构建立的医疗废物暂时贮存设施、设备应当达到以下要求：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①暂时贮存场所须分办公室、医疗废物贮存间、车辆存放间；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②设有明显的医疗废物警示标识和“禁止吸烟、饮食”的警示标识；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③远离医疗区、食品加工区、人员活动区和生活垃圾存放场所，方便医疗废物运送人员及运送工具、车辆的出入；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④有严密的封闭措施，设专（兼）职人员管理，防止非工作人员接触医疗废物；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⑤防止渗漏和雨水冲刷，产生的废水应采用管道直接排入院内的医疗废水消毒处理系统；</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 xml:space="preserve">⑥有防鼠、防蚊蝇、防蟑螂的安全措施；易于清洁和消毒；避免阳光直射； </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⑦暂时贮存病理性废物，应当具备低温贮存或者防腐条件。</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对于感染性废料和锐利废物，其贮存地应有“生物危险”标志和进入管理限制，且应位于产生废物地点附近。同时感染性废物和锐利废物的贮存应满足以下要求：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①保证包装内容物不暴露于空气和受潮；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②保存温度及时间应使保存物无腐败发生，必要时，可用低温保存，以防微生物生长和产生异味；</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③贮存地及包装应确保内容物不成为鼠类或其他生物的食物来源；</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④贮存地不得对公众开放。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医疗废物转交出去后，应当对暂时贮存地点、设施及时进行清洁和消毒处理。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对于医疗固体废物，禁止将其在非收集、非暂时贮存地点倾倒、堆放；禁止将医疗废物混入其它废物和生活垃圾；禁止在内部运送过程中丢弃医疗废物。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由于本项目只处理本医院区域范围内的医疗废物，而且日处理量不大，且运输时间很短，医疗垃圾随到随处理，因此，无需大型车辆运输，医疗垃圾妥善收集、封存后，用小推车运输即可。垃圾清运车卸完垃圾后，直接进入消毒间，进行喷淋消毒。</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.3.3</w:t>
            </w:r>
            <w:r>
              <w:rPr>
                <w:rFonts w:hint="default" w:ascii="Times New Roman" w:hAnsi="Times New Roman" w:cs="Times New Roman"/>
                <w:color w:val="auto"/>
              </w:rPr>
              <w:t>二氧化氯泄露防范措施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（1）设计上采取的环境风险事故防范措施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①严格划分污水站生产危险区域，根据二氧化氯制备特点，在保证安全、卫生的原则下进行平面布置，并考虑风向因素、安全防护距离。根据发生器间的爆炸和火灾危险等级，选用相应的防爆电器设备。</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②建筑物和构筑物按不同的防火等级和生产特点进行设计，二氧化氯制备发生器间采用封闭式建筑，并设置机械引风设施，加强通风排气，以防有害气体聚集。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③根据二氧化氯的性质，对其所使用的设备、管道等设置相应的防火、防爆、防毒、监测、报警等安全设施。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④二氧化氯制备发生器间在设计时，应按地震烈度VI度考虑，并充分考虑地震发生的安全措施。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⑤在消毒池设置二氧化氯自动监测报警系统，当浓度超过设计的预警浓度时，控制室的警报系统自动报警，以便使操作人员能及时查找原因，采取补救措施，防止发生事故。</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（2）运行和管理方面的风险事故防范措施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①二氧化氯制备间配备有防毒口罩、面具、眼镜、防护服、防护靴及防护手套等个人防护用具，在有可能接触的场所就近设置水龙头、安全淋浴和洗眼器，以便灼烧时能及时自救。</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②严格执行二氧化氯制备设备的维护保养，定期对制备设备、输送管道、仪表、阀门、安全装置等进行检查和校验。</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③二氧化氯投放采用先进的自动化系统，有效控制生产过程，当发生事故时能及时反馈信息、及时停车，减少因事故造成的消毒气体泄漏。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④严格执行操作规程，坚守岗位，密切注视消毒投药的工艺参数变化，发现异常应及时报告，并采取行之有效的措施。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zh-CN"/>
              </w:rPr>
            </w:pPr>
            <w:r>
              <w:rPr>
                <w:rFonts w:hint="default" w:ascii="Times New Roman" w:hAnsi="Times New Roman" w:cs="Times New Roman"/>
                <w:color w:val="auto"/>
                <w:lang w:val="zh-CN"/>
              </w:rPr>
              <w:t>⑤操作中加强巡回检查，对出现的泄露，及时发现立即清除，暂时不能清除的要采取有效的应急措施，以免扩大或发生灾难性的事故。</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.3.4</w:t>
            </w:r>
            <w:r>
              <w:rPr>
                <w:rFonts w:hint="default" w:ascii="Times New Roman" w:hAnsi="Times New Roman" w:cs="Times New Roman"/>
                <w:color w:val="auto"/>
              </w:rPr>
              <w:t>危险化学品（盐酸、氯酸钠）泄露防范措施</w:t>
            </w:r>
          </w:p>
          <w:p>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严格按照《危险化学品安全管理条例》要求进行管理。化学品的储存必须遵守《常用化学危险品贮存通则》(GB 15603-1995)。</w:t>
            </w:r>
          </w:p>
          <w:p>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贮存化学危险品设备和建筑物等应做建筑防腐，应符合《工业建筑防腐设计规范》。注意防潮和雨淋。</w:t>
            </w:r>
          </w:p>
          <w:p>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分装和搬运作业要注意个人防护。搬运时要轻装轻卸，防止包装及容器损坏，雨天不宜运输。</w:t>
            </w:r>
          </w:p>
          <w:p>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定期对危化品储存等处进行巡检，盐酸储存等处设置围堰，防止外泄。</w:t>
            </w:r>
          </w:p>
          <w:p>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污水处理设施构筑物、管道应完善防腐防渗措施。</w:t>
            </w:r>
          </w:p>
          <w:p>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厂区内配备消防沙、防毒面具等应急物资。</w:t>
            </w:r>
          </w:p>
          <w:p>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.3.5</w:t>
            </w:r>
            <w:r>
              <w:rPr>
                <w:rFonts w:hint="default" w:ascii="Times New Roman" w:hAnsi="Times New Roman" w:cs="Times New Roman"/>
                <w:color w:val="auto"/>
              </w:rPr>
              <w:t>医用气体风险防范措施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①医用气体应有清晰的气体专用标记，特别是可互换的终端接口应标记清晰。</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②对医用气体供应装置进行过滤盒清洗，以确保气体质量。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③定期检查医用气体供应装置、管道的密闭性，以确保易燃气体不泄露，以免引起火灾。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④每种医用气体要求配有备用的辅助气源，当主气源发生故障或需要维修保养时，辅助气源应该立即工作，以保证医用气体的供应不中断。</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⑤在医用气体供应装置中，电、气必须分隔开来；可能产生火花的电器元件，应当距医用气体、麻醉气体净化系统及液体的终端至少0.2m，以免可能产生的电火花引起爆炸事故。</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为预防事故风险，项目采取风险事故应急设施见表</w:t>
            </w:r>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rPr>
              <w:t>-1。</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6</w:t>
            </w:r>
            <w:r>
              <w:rPr>
                <w:rFonts w:hint="default" w:ascii="Times New Roman" w:hAnsi="Times New Roman" w:cs="Times New Roman"/>
                <w:b/>
                <w:bCs/>
                <w:color w:val="auto"/>
              </w:rPr>
              <w:t>-1 本项目风险事故应急设施一览表</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0"/>
              <w:gridCol w:w="1697"/>
              <w:gridCol w:w="50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trPr>
              <w:tc>
                <w:tcPr>
                  <w:tcW w:w="431" w:type="pct"/>
                  <w:noWrap w:val="0"/>
                  <w:vAlign w:val="center"/>
                </w:tcPr>
                <w:p>
                  <w:pPr>
                    <w:pStyle w:val="17"/>
                    <w:rPr>
                      <w:rFonts w:hint="default" w:ascii="Times New Roman" w:hAnsi="Times New Roman" w:cs="Times New Roman"/>
                      <w:b/>
                      <w:bCs/>
                      <w:color w:val="auto"/>
                      <w:szCs w:val="21"/>
                    </w:rPr>
                  </w:pPr>
                  <w:r>
                    <w:rPr>
                      <w:rFonts w:hint="default" w:ascii="Times New Roman" w:hAnsi="Times New Roman" w:cs="Times New Roman"/>
                      <w:b/>
                      <w:bCs/>
                      <w:color w:val="auto"/>
                      <w:szCs w:val="21"/>
                    </w:rPr>
                    <w:t>序号</w:t>
                  </w:r>
                </w:p>
              </w:tc>
              <w:tc>
                <w:tcPr>
                  <w:tcW w:w="1143" w:type="pct"/>
                  <w:noWrap w:val="0"/>
                  <w:vAlign w:val="center"/>
                </w:tcPr>
                <w:p>
                  <w:pPr>
                    <w:pStyle w:val="17"/>
                    <w:rPr>
                      <w:rFonts w:hint="default" w:ascii="Times New Roman" w:hAnsi="Times New Roman" w:cs="Times New Roman"/>
                      <w:b/>
                      <w:bCs/>
                      <w:color w:val="auto"/>
                      <w:szCs w:val="21"/>
                    </w:rPr>
                  </w:pPr>
                  <w:r>
                    <w:rPr>
                      <w:rFonts w:hint="default" w:ascii="Times New Roman" w:hAnsi="Times New Roman" w:cs="Times New Roman"/>
                      <w:b/>
                      <w:bCs/>
                      <w:color w:val="auto"/>
                      <w:szCs w:val="21"/>
                    </w:rPr>
                    <w:t>名称</w:t>
                  </w:r>
                </w:p>
              </w:tc>
              <w:tc>
                <w:tcPr>
                  <w:tcW w:w="3424" w:type="pct"/>
                  <w:noWrap w:val="0"/>
                  <w:vAlign w:val="center"/>
                </w:tcPr>
                <w:p>
                  <w:pPr>
                    <w:pStyle w:val="17"/>
                    <w:rPr>
                      <w:rFonts w:hint="default" w:ascii="Times New Roman" w:hAnsi="Times New Roman" w:cs="Times New Roman"/>
                      <w:b/>
                      <w:bCs/>
                      <w:color w:val="auto"/>
                      <w:szCs w:val="21"/>
                    </w:rPr>
                  </w:pPr>
                  <w:r>
                    <w:rPr>
                      <w:rFonts w:hint="default" w:ascii="Times New Roman" w:hAnsi="Times New Roman" w:cs="Times New Roman"/>
                      <w:b/>
                      <w:bCs/>
                      <w:color w:val="auto"/>
                      <w:szCs w:val="21"/>
                    </w:rPr>
                    <w:t>措施内容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143"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应急事故池</w:t>
                  </w:r>
                </w:p>
              </w:tc>
              <w:tc>
                <w:tcPr>
                  <w:tcW w:w="3424"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评价建议建设单位应建设应急事故池并配套相应的管网和切换止回阀等，应急事故池总容积不小于</w:t>
                  </w:r>
                  <w:r>
                    <w:rPr>
                      <w:rFonts w:hint="default" w:ascii="Times New Roman" w:hAnsi="Times New Roman" w:cs="Times New Roman"/>
                      <w:color w:val="auto"/>
                      <w:szCs w:val="21"/>
                      <w:lang w:val="en-US" w:eastAsia="zh-CN"/>
                    </w:rPr>
                    <w:t>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1143"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消防水池</w:t>
                  </w:r>
                </w:p>
              </w:tc>
              <w:tc>
                <w:tcPr>
                  <w:tcW w:w="3424"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位于地下室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trPr>
              <w:tc>
                <w:tcPr>
                  <w:tcW w:w="43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1143"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消防器材</w:t>
                  </w:r>
                </w:p>
              </w:tc>
              <w:tc>
                <w:tcPr>
                  <w:tcW w:w="3424"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院区内配备灭火器若干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1143"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危险化学品分区</w:t>
                  </w:r>
                </w:p>
              </w:tc>
              <w:tc>
                <w:tcPr>
                  <w:tcW w:w="3424"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对项目涉及的危险化学品进行分区堆存。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trPr>
              <w:tc>
                <w:tcPr>
                  <w:tcW w:w="43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1143"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设置安全警示标志</w:t>
                  </w:r>
                </w:p>
              </w:tc>
              <w:tc>
                <w:tcPr>
                  <w:tcW w:w="3424"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对医疗废物暂存间、危险化学品库、液氧罐区、污水站制氯间、化学品储存间等设置安全警示标志。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1143"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防渗、防腐</w:t>
                  </w:r>
                </w:p>
              </w:tc>
              <w:tc>
                <w:tcPr>
                  <w:tcW w:w="3424"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对污水站各污水处理系统、医疗废物暂存间进行防渗、防腐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7</w:t>
                  </w:r>
                </w:p>
              </w:tc>
              <w:tc>
                <w:tcPr>
                  <w:tcW w:w="1143"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人员培训</w:t>
                  </w:r>
                </w:p>
              </w:tc>
              <w:tc>
                <w:tcPr>
                  <w:tcW w:w="3424" w:type="pct"/>
                  <w:noWrap w:val="0"/>
                  <w:vAlign w:val="center"/>
                </w:tcPr>
                <w:p>
                  <w:pPr>
                    <w:pStyle w:val="17"/>
                    <w:rPr>
                      <w:rFonts w:hint="default" w:ascii="Times New Roman" w:hAnsi="Times New Roman" w:cs="Times New Roman"/>
                      <w:color w:val="auto"/>
                      <w:szCs w:val="21"/>
                    </w:rPr>
                  </w:pPr>
                  <w:r>
                    <w:rPr>
                      <w:rFonts w:hint="default" w:ascii="Times New Roman" w:hAnsi="Times New Roman" w:cs="Times New Roman"/>
                      <w:color w:val="auto"/>
                      <w:szCs w:val="21"/>
                    </w:rPr>
                    <w:t>对工作人员进行安全教育培训、事故应急演练</w:t>
                  </w:r>
                </w:p>
              </w:tc>
            </w:tr>
          </w:tbl>
          <w:p>
            <w:pPr>
              <w:pStyle w:val="3"/>
              <w:numPr>
                <w:ilvl w:val="1"/>
                <w:numId w:val="0"/>
              </w:numPr>
              <w:bidi w:val="0"/>
              <w:ind w:leftChars="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7</w:t>
            </w:r>
            <w:r>
              <w:rPr>
                <w:rFonts w:hint="default" w:ascii="Times New Roman" w:hAnsi="Times New Roman" w:cs="Times New Roman"/>
                <w:color w:val="auto"/>
              </w:rPr>
              <w:t>环境监测</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7</w:t>
            </w:r>
            <w:r>
              <w:rPr>
                <w:rFonts w:hint="default" w:ascii="Times New Roman" w:hAnsi="Times New Roman" w:cs="Times New Roman"/>
                <w:color w:val="auto"/>
                <w:lang w:val="en-US" w:eastAsia="zh-CN"/>
              </w:rPr>
              <w:t>.1</w:t>
            </w:r>
            <w:r>
              <w:rPr>
                <w:rFonts w:hint="default" w:ascii="Times New Roman" w:hAnsi="Times New Roman" w:cs="Times New Roman"/>
                <w:color w:val="auto"/>
              </w:rPr>
              <w:t>环境监测机构</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建设单位环保部门负责监测任务计划的安排，委托有资质的单位承担环境监测工作。主要任务是对环保设施的运行效果进行监测，并根据排污情况，对受其影响的环境敏感目标进行监测分析。</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7</w:t>
            </w:r>
            <w:r>
              <w:rPr>
                <w:rFonts w:hint="default" w:ascii="Times New Roman" w:hAnsi="Times New Roman" w:cs="Times New Roman"/>
                <w:color w:val="auto"/>
                <w:lang w:val="en-US" w:eastAsia="zh-CN"/>
              </w:rPr>
              <w:t>.2</w:t>
            </w:r>
            <w:r>
              <w:rPr>
                <w:rFonts w:hint="default" w:ascii="Times New Roman" w:hAnsi="Times New Roman" w:cs="Times New Roman"/>
                <w:color w:val="auto"/>
              </w:rPr>
              <w:t>环境监测内容与管理计划</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为切实控制本次工程环保设施的有效运行和污染物达标排放，建设单位要按照《排污单位自行监测技术指南 总则》（HJ819-2017）、《排污许可证申请与核发技术规范 医疗机构》（HJ1105-2020）的要求制定环境监测计划，包括监测点位、监测指标、监测频次等，当发生污染事故时，应增加监测频次，按照应急监测要求进行监测。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本项目主要监测内容见表4.</w:t>
            </w:r>
            <w:r>
              <w:rPr>
                <w:rFonts w:hint="eastAsia" w:cs="Times New Roman"/>
                <w:color w:val="auto"/>
                <w:lang w:val="en-US" w:eastAsia="zh-CN"/>
              </w:rPr>
              <w:t>7</w:t>
            </w:r>
            <w:r>
              <w:rPr>
                <w:rFonts w:hint="default" w:ascii="Times New Roman" w:hAnsi="Times New Roman" w:cs="Times New Roman"/>
                <w:color w:val="auto"/>
              </w:rPr>
              <w:t>-1。</w:t>
            </w: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default" w:ascii="Times New Roman" w:hAnsi="Times New Roman" w:cs="Times New Roman"/>
                <w:b/>
                <w:bCs/>
                <w:color w:val="auto"/>
                <w:lang w:val="en-US" w:eastAsia="zh-CN"/>
              </w:rPr>
              <w:t>4.</w:t>
            </w:r>
            <w:r>
              <w:rPr>
                <w:rFonts w:hint="eastAsia" w:cs="Times New Roman"/>
                <w:b/>
                <w:bCs/>
                <w:color w:val="auto"/>
                <w:lang w:val="en-US" w:eastAsia="zh-CN"/>
              </w:rPr>
              <w:t>7</w:t>
            </w:r>
            <w:r>
              <w:rPr>
                <w:rFonts w:hint="default" w:ascii="Times New Roman" w:hAnsi="Times New Roman" w:cs="Times New Roman"/>
                <w:b/>
                <w:bCs/>
                <w:color w:val="auto"/>
                <w:lang w:val="en-US" w:eastAsia="zh-CN"/>
              </w:rPr>
              <w:t xml:space="preserve">-1 </w:t>
            </w:r>
            <w:r>
              <w:rPr>
                <w:rFonts w:hint="default" w:ascii="Times New Roman" w:hAnsi="Times New Roman" w:cs="Times New Roman"/>
                <w:b/>
                <w:bCs/>
                <w:color w:val="auto"/>
              </w:rPr>
              <w:t>环境监测计划一览表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74"/>
              <w:gridCol w:w="1143"/>
              <w:gridCol w:w="1495"/>
              <w:gridCol w:w="1178"/>
              <w:gridCol w:w="28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1"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污染源名称</w:t>
                  </w:r>
                </w:p>
              </w:tc>
              <w:tc>
                <w:tcPr>
                  <w:tcW w:w="770"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监测位置</w:t>
                  </w: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监测项目</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监测频次</w:t>
                  </w:r>
                </w:p>
              </w:tc>
              <w:tc>
                <w:tcPr>
                  <w:tcW w:w="1906"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1" w:type="pct"/>
                  <w:vMerge w:val="restar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废水</w:t>
                  </w:r>
                </w:p>
              </w:tc>
              <w:tc>
                <w:tcPr>
                  <w:tcW w:w="770" w:type="pct"/>
                  <w:vMerge w:val="restar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自建污水处理设施出口（DW001）</w:t>
                  </w: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流量</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自动监测</w:t>
                  </w:r>
                </w:p>
              </w:tc>
              <w:tc>
                <w:tcPr>
                  <w:tcW w:w="1906" w:type="pct"/>
                  <w:vMerge w:val="restar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《医疗机构水污染物排放标准》（GB18466-2005）表2中的预处理标准，氨氮指标参照执行《污水排入城镇下水道水质标准》（GB/T31962-2015）表1中B级标准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1"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770"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粪大肠菌群数</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1月/次</w:t>
                  </w:r>
                </w:p>
              </w:tc>
              <w:tc>
                <w:tcPr>
                  <w:tcW w:w="1906"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21"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770"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pH</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1次/12h</w:t>
                  </w:r>
                </w:p>
              </w:tc>
              <w:tc>
                <w:tcPr>
                  <w:tcW w:w="1906"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1"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770"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BOD</w:t>
                  </w:r>
                  <w:r>
                    <w:rPr>
                      <w:rFonts w:hint="default" w:ascii="Times New Roman" w:hAnsi="Times New Roman" w:cs="Times New Roman"/>
                      <w:b w:val="0"/>
                      <w:bCs w:val="0"/>
                      <w:color w:val="auto"/>
                      <w:sz w:val="21"/>
                      <w:szCs w:val="21"/>
                      <w:vertAlign w:val="subscript"/>
                    </w:rPr>
                    <w:t>5</w:t>
                  </w:r>
                  <w:r>
                    <w:rPr>
                      <w:rFonts w:hint="default" w:ascii="Times New Roman" w:hAnsi="Times New Roman" w:cs="Times New Roman"/>
                      <w:b w:val="0"/>
                      <w:bCs w:val="0"/>
                      <w:color w:val="auto"/>
                      <w:sz w:val="21"/>
                      <w:szCs w:val="21"/>
                    </w:rPr>
                    <w:t>、挥发酚、动植物油、石油类</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1次/季</w:t>
                  </w:r>
                </w:p>
              </w:tc>
              <w:tc>
                <w:tcPr>
                  <w:tcW w:w="1906"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21"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770"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COD、SS</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1次/周</w:t>
                  </w:r>
                </w:p>
              </w:tc>
              <w:tc>
                <w:tcPr>
                  <w:tcW w:w="1906"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1"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770"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肠道致病菌（志贺氏菌）</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1次/半年</w:t>
                  </w:r>
                </w:p>
              </w:tc>
              <w:tc>
                <w:tcPr>
                  <w:tcW w:w="1906"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21"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770"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NH</w:t>
                  </w:r>
                  <w:r>
                    <w:rPr>
                      <w:rFonts w:hint="default" w:ascii="Times New Roman" w:hAnsi="Times New Roman" w:cs="Times New Roman"/>
                      <w:b w:val="0"/>
                      <w:bCs w:val="0"/>
                      <w:color w:val="auto"/>
                      <w:sz w:val="21"/>
                      <w:szCs w:val="21"/>
                      <w:vertAlign w:val="subscript"/>
                    </w:rPr>
                    <w:t>3</w:t>
                  </w:r>
                  <w:r>
                    <w:rPr>
                      <w:rFonts w:hint="default" w:ascii="Times New Roman" w:hAnsi="Times New Roman" w:cs="Times New Roman"/>
                      <w:b w:val="0"/>
                      <w:bCs w:val="0"/>
                      <w:color w:val="auto"/>
                      <w:sz w:val="21"/>
                      <w:szCs w:val="21"/>
                    </w:rPr>
                    <w:t>-N</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1次/季</w:t>
                  </w:r>
                </w:p>
              </w:tc>
              <w:tc>
                <w:tcPr>
                  <w:tcW w:w="1906"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1"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噪声</w:t>
                  </w:r>
                </w:p>
              </w:tc>
              <w:tc>
                <w:tcPr>
                  <w:tcW w:w="770"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厂界4个点</w:t>
                  </w: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昼夜L</w:t>
                  </w:r>
                  <w:r>
                    <w:rPr>
                      <w:rFonts w:hint="default" w:ascii="Times New Roman" w:hAnsi="Times New Roman" w:cs="Times New Roman"/>
                      <w:b w:val="0"/>
                      <w:bCs w:val="0"/>
                      <w:color w:val="auto"/>
                      <w:sz w:val="21"/>
                      <w:szCs w:val="21"/>
                      <w:vertAlign w:val="subscript"/>
                    </w:rPr>
                    <w:t>Aeq</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1次/季度</w:t>
                  </w:r>
                </w:p>
              </w:tc>
              <w:tc>
                <w:tcPr>
                  <w:tcW w:w="1906"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东、</w:t>
                  </w:r>
                  <w:r>
                    <w:rPr>
                      <w:rFonts w:hint="default" w:ascii="Times New Roman" w:hAnsi="Times New Roman" w:cs="Times New Roman"/>
                      <w:b w:val="0"/>
                      <w:bCs w:val="0"/>
                      <w:color w:val="auto"/>
                      <w:sz w:val="21"/>
                      <w:szCs w:val="21"/>
                    </w:rPr>
                    <w:t>南</w:t>
                  </w:r>
                  <w:r>
                    <w:rPr>
                      <w:rFonts w:hint="default" w:ascii="Times New Roman" w:hAnsi="Times New Roman" w:cs="Times New Roman"/>
                      <w:b w:val="0"/>
                      <w:bCs w:val="0"/>
                      <w:color w:val="auto"/>
                      <w:sz w:val="21"/>
                      <w:szCs w:val="21"/>
                      <w:lang w:eastAsia="zh-CN"/>
                    </w:rPr>
                    <w:t>、西</w:t>
                  </w:r>
                  <w:r>
                    <w:rPr>
                      <w:rFonts w:hint="default" w:ascii="Times New Roman" w:hAnsi="Times New Roman" w:cs="Times New Roman"/>
                      <w:b w:val="0"/>
                      <w:bCs w:val="0"/>
                      <w:color w:val="auto"/>
                      <w:sz w:val="21"/>
                      <w:szCs w:val="21"/>
                    </w:rPr>
                    <w:t>侧厂界执行《工业企业厂界环境噪声排放标准》（GBl2348-2008）2类标准：昼间≤60dB（A）、夜间≤50dB（A），</w:t>
                  </w:r>
                </w:p>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北侧厂界执行《工业企业厂界环境噪声排放标准》（GB12348-2008）的4a类标准，昼间≤70dB（A）、夜间≤55dB（A）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21" w:type="pct"/>
                  <w:vMerge w:val="restar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废气</w:t>
                  </w:r>
                </w:p>
              </w:tc>
              <w:tc>
                <w:tcPr>
                  <w:tcW w:w="770" w:type="pct"/>
                  <w:noWrap w:val="0"/>
                  <w:vAlign w:val="center"/>
                </w:tcPr>
                <w:p>
                  <w:pPr>
                    <w:pStyle w:val="69"/>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场界上风向和下风向</w:t>
                  </w:r>
                </w:p>
              </w:tc>
              <w:tc>
                <w:tcPr>
                  <w:tcW w:w="1007" w:type="pct"/>
                  <w:noWrap w:val="0"/>
                  <w:vAlign w:val="center"/>
                </w:tcPr>
                <w:p>
                  <w:pPr>
                    <w:pStyle w:val="69"/>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NH</w:t>
                  </w:r>
                  <w:r>
                    <w:rPr>
                      <w:rFonts w:hint="default" w:ascii="Times New Roman" w:hAnsi="Times New Roman" w:cs="Times New Roman"/>
                      <w:b w:val="0"/>
                      <w:bCs w:val="0"/>
                      <w:color w:val="auto"/>
                      <w:sz w:val="21"/>
                      <w:szCs w:val="21"/>
                      <w:vertAlign w:val="subscript"/>
                    </w:rPr>
                    <w:t>3</w:t>
                  </w:r>
                  <w:r>
                    <w:rPr>
                      <w:rFonts w:hint="default" w:ascii="Times New Roman" w:hAnsi="Times New Roman" w:cs="Times New Roman"/>
                      <w:b w:val="0"/>
                      <w:bCs w:val="0"/>
                      <w:color w:val="auto"/>
                      <w:sz w:val="21"/>
                      <w:szCs w:val="21"/>
                    </w:rPr>
                    <w:t>、H</w:t>
                  </w:r>
                  <w:r>
                    <w:rPr>
                      <w:rFonts w:hint="default" w:ascii="Times New Roman" w:hAnsi="Times New Roman" w:cs="Times New Roman"/>
                      <w:b w:val="0"/>
                      <w:bCs w:val="0"/>
                      <w:color w:val="auto"/>
                      <w:sz w:val="21"/>
                      <w:szCs w:val="21"/>
                      <w:vertAlign w:val="subscript"/>
                    </w:rPr>
                    <w:t>2</w:t>
                  </w:r>
                  <w:r>
                    <w:rPr>
                      <w:rFonts w:hint="default" w:ascii="Times New Roman" w:hAnsi="Times New Roman" w:cs="Times New Roman"/>
                      <w:b w:val="0"/>
                      <w:bCs w:val="0"/>
                      <w:color w:val="auto"/>
                      <w:sz w:val="21"/>
                      <w:szCs w:val="21"/>
                    </w:rPr>
                    <w:t>S、臭气浓度</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1次/季</w:t>
                  </w:r>
                </w:p>
              </w:tc>
              <w:tc>
                <w:tcPr>
                  <w:tcW w:w="1906"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医疗机构水污染物排放标准（GB18466-2005）中“表3污水处理站周边大气污染物最高允许浓度”-排气筒高度</w:t>
                  </w:r>
                  <w:r>
                    <w:rPr>
                      <w:rFonts w:hint="default" w:ascii="Times New Roman" w:hAnsi="Times New Roman" w:cs="Times New Roman"/>
                      <w:b w:val="0"/>
                      <w:bCs w:val="0"/>
                      <w:color w:val="auto"/>
                      <w:sz w:val="21"/>
                      <w:szCs w:val="21"/>
                      <w:lang w:val="en-US" w:eastAsia="zh-CN"/>
                    </w:rPr>
                    <w:t>60</w:t>
                  </w:r>
                  <w:r>
                    <w:rPr>
                      <w:rFonts w:hint="default" w:ascii="Times New Roman" w:hAnsi="Times New Roman" w:cs="Times New Roman"/>
                      <w:b w:val="0"/>
                      <w:bCs w:val="0"/>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1" w:type="pct"/>
                  <w:vMerge w:val="continue"/>
                  <w:noWrap w:val="0"/>
                  <w:vAlign w:val="center"/>
                </w:tcPr>
                <w:p>
                  <w:pPr>
                    <w:pStyle w:val="32"/>
                    <w:spacing w:line="240" w:lineRule="auto"/>
                    <w:rPr>
                      <w:rFonts w:hint="default" w:ascii="Times New Roman" w:hAnsi="Times New Roman" w:cs="Times New Roman"/>
                      <w:b w:val="0"/>
                      <w:bCs w:val="0"/>
                      <w:color w:val="auto"/>
                      <w:sz w:val="21"/>
                      <w:szCs w:val="21"/>
                    </w:rPr>
                  </w:pPr>
                </w:p>
              </w:tc>
              <w:tc>
                <w:tcPr>
                  <w:tcW w:w="770"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排气筒</w:t>
                  </w:r>
                </w:p>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DA00</w:t>
                  </w:r>
                  <w:r>
                    <w:rPr>
                      <w:rFonts w:hint="default" w:ascii="Times New Roman" w:hAnsi="Times New Roman" w:cs="Times New Roman"/>
                      <w:b w:val="0"/>
                      <w:bCs w:val="0"/>
                      <w:color w:val="auto"/>
                      <w:sz w:val="21"/>
                      <w:szCs w:val="21"/>
                      <w:lang w:val="en-US" w:eastAsia="zh-CN"/>
                    </w:rPr>
                    <w:t>1</w:t>
                  </w:r>
                  <w:r>
                    <w:rPr>
                      <w:rFonts w:hint="default" w:ascii="Times New Roman" w:hAnsi="Times New Roman" w:cs="Times New Roman"/>
                      <w:b w:val="0"/>
                      <w:bCs w:val="0"/>
                      <w:color w:val="auto"/>
                      <w:sz w:val="21"/>
                      <w:szCs w:val="21"/>
                    </w:rPr>
                    <w:t>出口（食堂）</w:t>
                  </w:r>
                </w:p>
              </w:tc>
              <w:tc>
                <w:tcPr>
                  <w:tcW w:w="1007"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油烟</w:t>
                  </w:r>
                </w:p>
              </w:tc>
              <w:tc>
                <w:tcPr>
                  <w:tcW w:w="793"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1次/年</w:t>
                  </w:r>
                </w:p>
              </w:tc>
              <w:tc>
                <w:tcPr>
                  <w:tcW w:w="1906" w:type="pct"/>
                  <w:noWrap w:val="0"/>
                  <w:vAlign w:val="center"/>
                </w:tcPr>
                <w:p>
                  <w:pPr>
                    <w:pStyle w:val="32"/>
                    <w:spacing w:line="240" w:lineRule="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《饮食业油烟排放标准（试行）》（GB18483-2001）大型饮食行业排放标准的要求</w:t>
                  </w:r>
                </w:p>
              </w:tc>
            </w:tr>
          </w:tbl>
          <w:p>
            <w:pPr>
              <w:pStyle w:val="3"/>
              <w:numPr>
                <w:ilvl w:val="1"/>
                <w:numId w:val="0"/>
              </w:numPr>
              <w:bidi w:val="0"/>
              <w:ind w:leftChars="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8</w:t>
            </w:r>
            <w:r>
              <w:rPr>
                <w:rFonts w:hint="default" w:ascii="Times New Roman" w:hAnsi="Times New Roman" w:cs="Times New Roman"/>
                <w:color w:val="auto"/>
              </w:rPr>
              <w:t>环保投资估算及经济损益分析</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8</w:t>
            </w:r>
            <w:r>
              <w:rPr>
                <w:rFonts w:hint="default" w:ascii="Times New Roman" w:hAnsi="Times New Roman" w:cs="Times New Roman"/>
                <w:color w:val="auto"/>
                <w:lang w:val="en-US" w:eastAsia="zh-CN"/>
              </w:rPr>
              <w:t>.1</w:t>
            </w:r>
            <w:r>
              <w:rPr>
                <w:rFonts w:hint="default" w:ascii="Times New Roman" w:hAnsi="Times New Roman" w:cs="Times New Roman"/>
                <w:color w:val="auto"/>
              </w:rPr>
              <w:t>环保设施投资估算</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s="Times New Roman"/>
                <w:color w:val="auto"/>
                <w:lang w:eastAsia="zh-CN"/>
              </w:rPr>
            </w:pPr>
            <w:r>
              <w:rPr>
                <w:rFonts w:hint="default" w:ascii="Times New Roman" w:hAnsi="Times New Roman" w:cs="Times New Roman"/>
                <w:color w:val="auto"/>
              </w:rPr>
              <w:t>本工程的环保投资包括废气、废水处理设施、降噪设施和厂区绿化等，工程需要的环保投资约</w:t>
            </w:r>
            <w:r>
              <w:rPr>
                <w:rFonts w:hint="default" w:ascii="Times New Roman" w:hAnsi="Times New Roman" w:cs="Times New Roman"/>
                <w:color w:val="auto"/>
                <w:lang w:val="en-US" w:eastAsia="zh-CN"/>
              </w:rPr>
              <w:t>208</w:t>
            </w:r>
            <w:r>
              <w:rPr>
                <w:rFonts w:hint="default" w:ascii="Times New Roman" w:hAnsi="Times New Roman" w:cs="Times New Roman"/>
                <w:color w:val="auto"/>
              </w:rPr>
              <w:t>万元，占项目总投资的</w:t>
            </w:r>
            <w:r>
              <w:rPr>
                <w:rFonts w:hint="default" w:ascii="Times New Roman" w:hAnsi="Times New Roman" w:cs="Times New Roman"/>
                <w:color w:val="auto"/>
                <w:lang w:val="en-US" w:eastAsia="zh-CN"/>
              </w:rPr>
              <w:t>3.47</w:t>
            </w:r>
            <w:r>
              <w:rPr>
                <w:rFonts w:hint="default" w:ascii="Times New Roman" w:hAnsi="Times New Roman" w:cs="Times New Roman"/>
                <w:color w:val="auto"/>
              </w:rPr>
              <w:t>%。环保投资及运行费用详见表4.</w:t>
            </w:r>
            <w:r>
              <w:rPr>
                <w:rFonts w:hint="eastAsia" w:cs="Times New Roman"/>
                <w:color w:val="auto"/>
                <w:lang w:val="en-US" w:eastAsia="zh-CN"/>
              </w:rPr>
              <w:t>8</w:t>
            </w:r>
            <w:r>
              <w:rPr>
                <w:rFonts w:hint="default" w:ascii="Times New Roman" w:hAnsi="Times New Roman" w:cs="Times New Roman"/>
                <w:color w:val="auto"/>
              </w:rPr>
              <w:t>-1</w:t>
            </w:r>
            <w:r>
              <w:rPr>
                <w:rFonts w:hint="eastAsia" w:cs="Times New Roman"/>
                <w:color w:val="auto"/>
                <w:lang w:eastAsia="zh-CN"/>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s="Times New Roman"/>
                <w:color w:val="auto"/>
                <w:lang w:eastAsia="zh-CN"/>
              </w:rPr>
            </w:pPr>
          </w:p>
          <w:p>
            <w:pPr>
              <w:bidi w:val="0"/>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表4.</w:t>
            </w:r>
            <w:r>
              <w:rPr>
                <w:rFonts w:hint="eastAsia" w:cs="Times New Roman"/>
                <w:b/>
                <w:bCs/>
                <w:color w:val="auto"/>
                <w:lang w:val="en-US" w:eastAsia="zh-CN"/>
              </w:rPr>
              <w:t>8</w:t>
            </w:r>
            <w:r>
              <w:rPr>
                <w:rFonts w:hint="default" w:ascii="Times New Roman" w:hAnsi="Times New Roman" w:cs="Times New Roman"/>
                <w:b/>
                <w:bCs/>
                <w:color w:val="auto"/>
                <w:lang w:val="en-US" w:eastAsia="zh-CN"/>
              </w:rPr>
              <w:t>-1 运营</w:t>
            </w:r>
            <w:r>
              <w:rPr>
                <w:rFonts w:hint="default" w:ascii="Times New Roman" w:hAnsi="Times New Roman" w:cs="Times New Roman"/>
                <w:b/>
                <w:bCs/>
                <w:color w:val="auto"/>
              </w:rPr>
              <w:t>期环保投资一览表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698"/>
              <w:gridCol w:w="1122"/>
              <w:gridCol w:w="4078"/>
              <w:gridCol w:w="1524"/>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851" w:type="dxa"/>
                  <w:noWrap w:val="0"/>
                  <w:vAlign w:val="center"/>
                </w:tcPr>
                <w:p>
                  <w:pPr>
                    <w:pStyle w:val="23"/>
                    <w:ind w:firstLine="0" w:firstLineChars="0"/>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时段</w:t>
                  </w:r>
                </w:p>
              </w:tc>
              <w:tc>
                <w:tcPr>
                  <w:tcW w:w="1370" w:type="dxa"/>
                  <w:noWrap w:val="0"/>
                  <w:vAlign w:val="center"/>
                </w:tcPr>
                <w:p>
                  <w:pPr>
                    <w:pStyle w:val="23"/>
                    <w:ind w:firstLine="0" w:firstLineChars="0"/>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名称</w:t>
                  </w:r>
                </w:p>
              </w:tc>
              <w:tc>
                <w:tcPr>
                  <w:tcW w:w="4976" w:type="dxa"/>
                  <w:noWrap w:val="0"/>
                  <w:vAlign w:val="center"/>
                </w:tcPr>
                <w:p>
                  <w:pPr>
                    <w:pStyle w:val="23"/>
                    <w:ind w:firstLine="0" w:firstLineChars="0"/>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环保措施内容</w:t>
                  </w:r>
                </w:p>
              </w:tc>
              <w:tc>
                <w:tcPr>
                  <w:tcW w:w="1859" w:type="dxa"/>
                  <w:noWrap w:val="0"/>
                  <w:vAlign w:val="center"/>
                </w:tcPr>
                <w:p>
                  <w:pPr>
                    <w:pStyle w:val="23"/>
                    <w:ind w:firstLine="0" w:firstLineChars="0"/>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470" w:type="pct"/>
                  <w:vMerge w:val="restar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运营期</w:t>
                  </w:r>
                </w:p>
              </w:tc>
              <w:tc>
                <w:tcPr>
                  <w:tcW w:w="75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废水</w:t>
                  </w:r>
                </w:p>
              </w:tc>
              <w:tc>
                <w:tcPr>
                  <w:tcW w:w="2745" w:type="pct"/>
                  <w:noWrap w:val="0"/>
                  <w:vAlign w:val="center"/>
                </w:tcPr>
                <w:p>
                  <w:pPr>
                    <w:pStyle w:val="23"/>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拟建一套地埋式污水处理站、化粪池、消毒池、隔油池</w:t>
                  </w:r>
                </w:p>
              </w:tc>
              <w:tc>
                <w:tcPr>
                  <w:tcW w:w="1026" w:type="pct"/>
                  <w:noWrap w:val="0"/>
                  <w:vAlign w:val="center"/>
                </w:tcPr>
                <w:p>
                  <w:pPr>
                    <w:pStyle w:val="23"/>
                    <w:rPr>
                      <w:rFonts w:hint="default" w:ascii="Times New Roman" w:hAnsi="Times New Roman" w:cs="Times New Roman" w:eastAsiaTheme="minorEastAsia"/>
                      <w:b w:val="0"/>
                      <w:bCs/>
                      <w:color w:val="auto"/>
                      <w:szCs w:val="21"/>
                      <w:lang w:val="en-US" w:eastAsia="zh-CN"/>
                    </w:rPr>
                  </w:pPr>
                  <w:r>
                    <w:rPr>
                      <w:rFonts w:hint="default" w:ascii="Times New Roman" w:hAnsi="Times New Roman" w:cs="Times New Roman"/>
                      <w:b w:val="0"/>
                      <w:bCs/>
                      <w:color w:val="auto"/>
                      <w:szCs w:val="21"/>
                    </w:rPr>
                    <w:t>1</w:t>
                  </w:r>
                  <w:r>
                    <w:rPr>
                      <w:rFonts w:hint="default" w:ascii="Times New Roman" w:hAnsi="Times New Roman" w:cs="Times New Roman"/>
                      <w:b w:val="0"/>
                      <w:bCs/>
                      <w:color w:val="auto"/>
                      <w:szCs w:val="21"/>
                      <w:lang w:val="en-US" w:eastAsia="zh-CN"/>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470" w:type="pct"/>
                  <w:vMerge w:val="continue"/>
                  <w:noWrap w:val="0"/>
                  <w:vAlign w:val="center"/>
                </w:tcPr>
                <w:p>
                  <w:pPr>
                    <w:pStyle w:val="23"/>
                    <w:rPr>
                      <w:rFonts w:hint="default" w:ascii="Times New Roman" w:hAnsi="Times New Roman" w:cs="Times New Roman"/>
                      <w:b w:val="0"/>
                      <w:bCs/>
                      <w:color w:val="auto"/>
                      <w:szCs w:val="21"/>
                    </w:rPr>
                  </w:pPr>
                </w:p>
              </w:tc>
              <w:tc>
                <w:tcPr>
                  <w:tcW w:w="75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废气</w:t>
                  </w:r>
                </w:p>
              </w:tc>
              <w:tc>
                <w:tcPr>
                  <w:tcW w:w="2745" w:type="pct"/>
                  <w:noWrap w:val="0"/>
                  <w:vAlign w:val="center"/>
                </w:tcPr>
                <w:p>
                  <w:pPr>
                    <w:pStyle w:val="23"/>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①污水处理站</w:t>
                  </w:r>
                  <w:r>
                    <w:rPr>
                      <w:rFonts w:hint="default" w:ascii="Times New Roman" w:hAnsi="Times New Roman" w:cs="Times New Roman"/>
                      <w:b w:val="0"/>
                      <w:bCs/>
                      <w:color w:val="auto"/>
                      <w:szCs w:val="21"/>
                      <w:lang w:val="en-US" w:eastAsia="zh-CN"/>
                    </w:rPr>
                    <w:t>定期喷洒除臭剂</w:t>
                  </w:r>
                  <w:r>
                    <w:rPr>
                      <w:rFonts w:hint="default" w:ascii="Times New Roman" w:hAnsi="Times New Roman" w:cs="Times New Roman"/>
                      <w:b w:val="0"/>
                      <w:bCs/>
                      <w:color w:val="auto"/>
                      <w:szCs w:val="21"/>
                    </w:rPr>
                    <w:t>；</w:t>
                  </w:r>
                </w:p>
                <w:p>
                  <w:pPr>
                    <w:pStyle w:val="23"/>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②地下车库、检验科及柴油发电机等设通风排气系统；</w:t>
                  </w:r>
                </w:p>
                <w:p>
                  <w:pPr>
                    <w:pStyle w:val="23"/>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③食堂油烟经油烟净化器处理后由排气筒进行排放。</w:t>
                  </w:r>
                </w:p>
              </w:tc>
              <w:tc>
                <w:tcPr>
                  <w:tcW w:w="102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470" w:type="pct"/>
                  <w:vMerge w:val="continue"/>
                  <w:noWrap w:val="0"/>
                  <w:vAlign w:val="center"/>
                </w:tcPr>
                <w:p>
                  <w:pPr>
                    <w:pStyle w:val="23"/>
                    <w:rPr>
                      <w:rFonts w:hint="default" w:ascii="Times New Roman" w:hAnsi="Times New Roman" w:cs="Times New Roman"/>
                      <w:b w:val="0"/>
                      <w:bCs/>
                      <w:color w:val="auto"/>
                      <w:szCs w:val="21"/>
                    </w:rPr>
                  </w:pPr>
                </w:p>
              </w:tc>
              <w:tc>
                <w:tcPr>
                  <w:tcW w:w="75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噪声</w:t>
                  </w:r>
                </w:p>
              </w:tc>
              <w:tc>
                <w:tcPr>
                  <w:tcW w:w="2745" w:type="pct"/>
                  <w:noWrap w:val="0"/>
                  <w:vAlign w:val="center"/>
                </w:tcPr>
                <w:p>
                  <w:pPr>
                    <w:pStyle w:val="75"/>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①各设备房设置隔声门；</w:t>
                  </w:r>
                </w:p>
                <w:p>
                  <w:pPr>
                    <w:pStyle w:val="75"/>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kern w:val="28"/>
                      <w:sz w:val="21"/>
                      <w:szCs w:val="21"/>
                    </w:rPr>
                    <w:t>②</w:t>
                  </w:r>
                  <w:r>
                    <w:rPr>
                      <w:rFonts w:hint="default" w:ascii="Times New Roman" w:hAnsi="Times New Roman" w:eastAsia="宋体" w:cs="Times New Roman"/>
                      <w:b w:val="0"/>
                      <w:bCs/>
                      <w:color w:val="auto"/>
                      <w:sz w:val="21"/>
                      <w:szCs w:val="21"/>
                    </w:rPr>
                    <w:t>水泵等设备安装减振垫、消声器；</w:t>
                  </w:r>
                </w:p>
                <w:p>
                  <w:pPr>
                    <w:pStyle w:val="75"/>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kern w:val="28"/>
                      <w:sz w:val="21"/>
                      <w:szCs w:val="21"/>
                    </w:rPr>
                    <w:t>③空调外机采取隔声、减振等措施；</w:t>
                  </w:r>
                </w:p>
              </w:tc>
              <w:tc>
                <w:tcPr>
                  <w:tcW w:w="102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PrEx>
              <w:trPr>
                <w:cantSplit/>
                <w:trHeight w:val="397" w:hRule="atLeast"/>
                <w:jc w:val="center"/>
              </w:trPr>
              <w:tc>
                <w:tcPr>
                  <w:tcW w:w="470" w:type="pct"/>
                  <w:vMerge w:val="continue"/>
                  <w:noWrap w:val="0"/>
                  <w:vAlign w:val="center"/>
                </w:tcPr>
                <w:p>
                  <w:pPr>
                    <w:pStyle w:val="23"/>
                    <w:rPr>
                      <w:rFonts w:hint="default" w:ascii="Times New Roman" w:hAnsi="Times New Roman" w:cs="Times New Roman"/>
                      <w:b w:val="0"/>
                      <w:bCs/>
                      <w:color w:val="auto"/>
                      <w:szCs w:val="21"/>
                    </w:rPr>
                  </w:pPr>
                </w:p>
              </w:tc>
              <w:tc>
                <w:tcPr>
                  <w:tcW w:w="756" w:type="pct"/>
                  <w:vMerge w:val="restar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固废</w:t>
                  </w:r>
                </w:p>
              </w:tc>
              <w:tc>
                <w:tcPr>
                  <w:tcW w:w="2745" w:type="pct"/>
                  <w:noWrap w:val="0"/>
                  <w:vAlign w:val="center"/>
                </w:tcPr>
                <w:p>
                  <w:pPr>
                    <w:pStyle w:val="75"/>
                    <w:jc w:val="center"/>
                    <w:rPr>
                      <w:rFonts w:hint="default" w:ascii="Times New Roman" w:hAnsi="Times New Roman" w:eastAsia="宋体" w:cs="Times New Roman"/>
                      <w:b w:val="0"/>
                      <w:bCs/>
                      <w:color w:val="auto"/>
                      <w:kern w:val="28"/>
                      <w:sz w:val="21"/>
                      <w:szCs w:val="21"/>
                    </w:rPr>
                  </w:pPr>
                  <w:r>
                    <w:rPr>
                      <w:rFonts w:hint="default" w:ascii="Times New Roman" w:hAnsi="Times New Roman" w:eastAsia="宋体" w:cs="Times New Roman"/>
                      <w:b w:val="0"/>
                      <w:bCs/>
                      <w:color w:val="auto"/>
                      <w:sz w:val="21"/>
                      <w:szCs w:val="21"/>
                    </w:rPr>
                    <w:t>①</w:t>
                  </w:r>
                  <w:r>
                    <w:rPr>
                      <w:rFonts w:hint="default" w:ascii="Times New Roman" w:hAnsi="Times New Roman" w:eastAsia="宋体" w:cs="Times New Roman"/>
                      <w:b w:val="0"/>
                      <w:bCs/>
                      <w:color w:val="auto"/>
                      <w:kern w:val="28"/>
                      <w:sz w:val="21"/>
                      <w:szCs w:val="21"/>
                    </w:rPr>
                    <w:t>医疗废物、特殊废液配备临时暂存容器和临时贮存场所，委托有资质单位处理；</w:t>
                  </w:r>
                </w:p>
                <w:p>
                  <w:pPr>
                    <w:pStyle w:val="23"/>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②污水处理站污泥消毒后，委托有资质单位处理。</w:t>
                  </w:r>
                </w:p>
              </w:tc>
              <w:tc>
                <w:tcPr>
                  <w:tcW w:w="1026" w:type="pct"/>
                  <w:vMerge w:val="restart"/>
                  <w:noWrap w:val="0"/>
                  <w:vAlign w:val="center"/>
                </w:tcPr>
                <w:p>
                  <w:pPr>
                    <w:pStyle w:val="23"/>
                    <w:rPr>
                      <w:rFonts w:hint="default" w:ascii="Times New Roman" w:hAnsi="Times New Roman" w:cs="Times New Roman" w:eastAsiaTheme="minorEastAsia"/>
                      <w:b w:val="0"/>
                      <w:bCs/>
                      <w:color w:val="auto"/>
                      <w:szCs w:val="21"/>
                      <w:lang w:val="en-US" w:eastAsia="zh-CN"/>
                    </w:rPr>
                  </w:pPr>
                  <w:r>
                    <w:rPr>
                      <w:rFonts w:hint="default" w:ascii="Times New Roman" w:hAnsi="Times New Roman" w:cs="Times New Roman"/>
                      <w:b w:val="0"/>
                      <w:bCs/>
                      <w:color w:val="auto"/>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470" w:type="pct"/>
                  <w:vMerge w:val="continue"/>
                  <w:noWrap w:val="0"/>
                  <w:vAlign w:val="center"/>
                </w:tcPr>
                <w:p>
                  <w:pPr>
                    <w:pStyle w:val="23"/>
                    <w:rPr>
                      <w:rFonts w:hint="default" w:ascii="Times New Roman" w:hAnsi="Times New Roman" w:cs="Times New Roman"/>
                      <w:b w:val="0"/>
                      <w:bCs/>
                      <w:color w:val="auto"/>
                      <w:szCs w:val="21"/>
                    </w:rPr>
                  </w:pPr>
                </w:p>
              </w:tc>
              <w:tc>
                <w:tcPr>
                  <w:tcW w:w="756" w:type="pct"/>
                  <w:vMerge w:val="continue"/>
                  <w:noWrap w:val="0"/>
                  <w:vAlign w:val="center"/>
                </w:tcPr>
                <w:p>
                  <w:pPr>
                    <w:pStyle w:val="23"/>
                    <w:rPr>
                      <w:rFonts w:hint="default" w:ascii="Times New Roman" w:hAnsi="Times New Roman" w:cs="Times New Roman"/>
                      <w:b w:val="0"/>
                      <w:bCs/>
                      <w:color w:val="auto"/>
                      <w:szCs w:val="21"/>
                    </w:rPr>
                  </w:pPr>
                </w:p>
              </w:tc>
              <w:tc>
                <w:tcPr>
                  <w:tcW w:w="2745" w:type="pct"/>
                  <w:noWrap w:val="0"/>
                  <w:vAlign w:val="center"/>
                </w:tcPr>
                <w:p>
                  <w:pPr>
                    <w:pStyle w:val="75"/>
                    <w:jc w:val="center"/>
                    <w:rPr>
                      <w:rFonts w:hint="default" w:ascii="Times New Roman" w:hAnsi="Times New Roman" w:eastAsia="宋体" w:cs="Times New Roman"/>
                      <w:b w:val="0"/>
                      <w:bCs/>
                      <w:color w:val="auto"/>
                      <w:kern w:val="28"/>
                      <w:sz w:val="21"/>
                      <w:szCs w:val="21"/>
                    </w:rPr>
                  </w:pPr>
                  <w:r>
                    <w:rPr>
                      <w:rFonts w:hint="default" w:ascii="Times New Roman" w:hAnsi="Times New Roman" w:eastAsia="宋体" w:cs="Times New Roman"/>
                      <w:b w:val="0"/>
                      <w:bCs/>
                      <w:color w:val="auto"/>
                      <w:kern w:val="28"/>
                      <w:sz w:val="21"/>
                      <w:szCs w:val="21"/>
                    </w:rPr>
                    <w:t>生活垃圾设垃圾筒分类收集；委托环卫部门每日清运处置。</w:t>
                  </w:r>
                </w:p>
              </w:tc>
              <w:tc>
                <w:tcPr>
                  <w:tcW w:w="1026" w:type="pct"/>
                  <w:vMerge w:val="continue"/>
                  <w:noWrap w:val="0"/>
                  <w:vAlign w:val="center"/>
                </w:tcPr>
                <w:p>
                  <w:pPr>
                    <w:pStyle w:val="23"/>
                    <w:rPr>
                      <w:rFonts w:hint="default" w:ascii="Times New Roman" w:hAnsi="Times New Roman" w:cs="Times New Roman"/>
                      <w:b w:val="0"/>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470" w:type="pct"/>
                  <w:vMerge w:val="continue"/>
                  <w:noWrap w:val="0"/>
                  <w:vAlign w:val="center"/>
                </w:tcPr>
                <w:p>
                  <w:pPr>
                    <w:pStyle w:val="23"/>
                    <w:rPr>
                      <w:rFonts w:hint="default" w:ascii="Times New Roman" w:hAnsi="Times New Roman" w:cs="Times New Roman"/>
                      <w:b w:val="0"/>
                      <w:bCs/>
                      <w:color w:val="auto"/>
                      <w:szCs w:val="21"/>
                    </w:rPr>
                  </w:pPr>
                </w:p>
              </w:tc>
              <w:tc>
                <w:tcPr>
                  <w:tcW w:w="75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放射性防护</w:t>
                  </w:r>
                </w:p>
              </w:tc>
              <w:tc>
                <w:tcPr>
                  <w:tcW w:w="2745" w:type="pct"/>
                  <w:noWrap w:val="0"/>
                  <w:vAlign w:val="center"/>
                </w:tcPr>
                <w:p>
                  <w:pPr>
                    <w:pStyle w:val="75"/>
                    <w:jc w:val="center"/>
                    <w:rPr>
                      <w:rFonts w:hint="default" w:ascii="Times New Roman" w:hAnsi="Times New Roman" w:eastAsia="宋体" w:cs="Times New Roman"/>
                      <w:b w:val="0"/>
                      <w:bCs/>
                      <w:color w:val="auto"/>
                      <w:kern w:val="28"/>
                      <w:sz w:val="21"/>
                      <w:szCs w:val="21"/>
                    </w:rPr>
                  </w:pPr>
                  <w:r>
                    <w:rPr>
                      <w:rFonts w:hint="default" w:ascii="Times New Roman" w:hAnsi="Times New Roman" w:eastAsia="宋体" w:cs="Times New Roman"/>
                      <w:b w:val="0"/>
                      <w:bCs/>
                      <w:color w:val="auto"/>
                      <w:kern w:val="28"/>
                      <w:sz w:val="21"/>
                      <w:szCs w:val="21"/>
                    </w:rPr>
                    <w:t>放射机房采用辐射屏蔽措施，并设置工作指示灯，张贴注意辐射的警告标志</w:t>
                  </w:r>
                </w:p>
              </w:tc>
              <w:tc>
                <w:tcPr>
                  <w:tcW w:w="102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470" w:type="pct"/>
                  <w:vMerge w:val="continue"/>
                  <w:noWrap w:val="0"/>
                  <w:vAlign w:val="center"/>
                </w:tcPr>
                <w:p>
                  <w:pPr>
                    <w:pStyle w:val="23"/>
                    <w:rPr>
                      <w:rFonts w:hint="default" w:ascii="Times New Roman" w:hAnsi="Times New Roman" w:cs="Times New Roman"/>
                      <w:b w:val="0"/>
                      <w:bCs/>
                      <w:color w:val="auto"/>
                      <w:szCs w:val="21"/>
                    </w:rPr>
                  </w:pPr>
                </w:p>
              </w:tc>
              <w:tc>
                <w:tcPr>
                  <w:tcW w:w="75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绿化</w:t>
                  </w:r>
                </w:p>
              </w:tc>
              <w:tc>
                <w:tcPr>
                  <w:tcW w:w="2745" w:type="pct"/>
                  <w:noWrap w:val="0"/>
                  <w:vAlign w:val="center"/>
                </w:tcPr>
                <w:p>
                  <w:pPr>
                    <w:pStyle w:val="75"/>
                    <w:jc w:val="center"/>
                    <w:rPr>
                      <w:rFonts w:hint="default" w:ascii="Times New Roman" w:hAnsi="Times New Roman" w:eastAsia="宋体" w:cs="Times New Roman"/>
                      <w:b w:val="0"/>
                      <w:bCs/>
                      <w:color w:val="auto"/>
                      <w:kern w:val="28"/>
                      <w:sz w:val="21"/>
                      <w:szCs w:val="21"/>
                    </w:rPr>
                  </w:pPr>
                  <w:r>
                    <w:rPr>
                      <w:rFonts w:hint="default" w:ascii="Times New Roman" w:hAnsi="Times New Roman" w:eastAsia="宋体" w:cs="Times New Roman"/>
                      <w:b w:val="0"/>
                      <w:bCs/>
                      <w:color w:val="auto"/>
                      <w:kern w:val="28"/>
                      <w:sz w:val="21"/>
                      <w:szCs w:val="21"/>
                    </w:rPr>
                    <w:t>搞好院区绿化，净化空气，美化环境</w:t>
                  </w:r>
                </w:p>
              </w:tc>
              <w:tc>
                <w:tcPr>
                  <w:tcW w:w="1026" w:type="pct"/>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3973" w:type="pct"/>
                  <w:gridSpan w:val="3"/>
                  <w:noWrap w:val="0"/>
                  <w:vAlign w:val="center"/>
                </w:tcPr>
                <w:p>
                  <w:pPr>
                    <w:pStyle w:val="23"/>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合计</w:t>
                  </w:r>
                </w:p>
              </w:tc>
              <w:tc>
                <w:tcPr>
                  <w:tcW w:w="1026" w:type="pct"/>
                  <w:noWrap w:val="0"/>
                  <w:vAlign w:val="center"/>
                </w:tcPr>
                <w:p>
                  <w:pPr>
                    <w:pStyle w:val="23"/>
                    <w:rPr>
                      <w:rFonts w:hint="default" w:ascii="Times New Roman" w:hAnsi="Times New Roman" w:cs="Times New Roman" w:eastAsiaTheme="minorEastAsia"/>
                      <w:b w:val="0"/>
                      <w:bCs/>
                      <w:color w:val="auto"/>
                      <w:szCs w:val="21"/>
                      <w:lang w:val="en-US" w:eastAsia="zh-CN"/>
                    </w:rPr>
                  </w:pPr>
                  <w:r>
                    <w:rPr>
                      <w:rFonts w:hint="default" w:ascii="Times New Roman" w:hAnsi="Times New Roman" w:cs="Times New Roman"/>
                      <w:b w:val="0"/>
                      <w:bCs/>
                      <w:color w:val="auto"/>
                      <w:szCs w:val="21"/>
                      <w:lang w:val="en-US" w:eastAsia="zh-CN"/>
                    </w:rPr>
                    <w:t>208</w:t>
                  </w:r>
                </w:p>
              </w:tc>
            </w:tr>
          </w:tbl>
          <w:p>
            <w:pPr>
              <w:pStyle w:val="4"/>
              <w:tabs>
                <w:tab w:val="left" w:pos="0"/>
              </w:tabs>
              <w:spacing w:before="48" w:after="48"/>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eastAsia" w:cs="Times New Roman"/>
                <w:color w:val="auto"/>
                <w:lang w:val="en-US" w:eastAsia="zh-CN"/>
              </w:rPr>
              <w:t>8</w:t>
            </w:r>
            <w:r>
              <w:rPr>
                <w:rFonts w:hint="default" w:ascii="Times New Roman" w:hAnsi="Times New Roman" w:cs="Times New Roman"/>
                <w:color w:val="auto"/>
                <w:lang w:val="en-US" w:eastAsia="zh-CN"/>
              </w:rPr>
              <w:t>.2</w:t>
            </w:r>
            <w:r>
              <w:rPr>
                <w:rFonts w:hint="default" w:ascii="Times New Roman" w:hAnsi="Times New Roman" w:cs="Times New Roman"/>
                <w:color w:val="auto"/>
              </w:rPr>
              <w:t>环保投资效益分析</w:t>
            </w:r>
          </w:p>
          <w:p>
            <w:pPr>
              <w:adjustRightInd w:val="0"/>
              <w:spacing w:line="360" w:lineRule="auto"/>
              <w:ind w:firstLine="480" w:firstLineChars="200"/>
              <w:rPr>
                <w:rFonts w:hint="default" w:ascii="Times New Roman" w:hAnsi="Times New Roman" w:cs="Times New Roman"/>
                <w:color w:val="auto"/>
                <w:szCs w:val="22"/>
              </w:rPr>
            </w:pPr>
            <w:r>
              <w:rPr>
                <w:rFonts w:hint="default" w:ascii="Times New Roman" w:hAnsi="Times New Roman" w:cs="Times New Roman"/>
                <w:color w:val="auto"/>
                <w:szCs w:val="22"/>
              </w:rPr>
              <w:t>本次环保工程投资估算约为</w:t>
            </w:r>
            <w:r>
              <w:rPr>
                <w:rFonts w:hint="default" w:ascii="Times New Roman" w:hAnsi="Times New Roman" w:cs="Times New Roman"/>
                <w:color w:val="auto"/>
                <w:szCs w:val="22"/>
                <w:lang w:val="en-US" w:eastAsia="zh-CN"/>
              </w:rPr>
              <w:t>208</w:t>
            </w:r>
            <w:r>
              <w:rPr>
                <w:rFonts w:hint="default" w:ascii="Times New Roman" w:hAnsi="Times New Roman" w:cs="Times New Roman"/>
                <w:color w:val="auto"/>
                <w:szCs w:val="22"/>
              </w:rPr>
              <w:t>万元，占总投资额</w:t>
            </w:r>
            <w:r>
              <w:rPr>
                <w:rFonts w:hint="default" w:ascii="Times New Roman" w:hAnsi="Times New Roman" w:cs="Times New Roman"/>
                <w:color w:val="auto"/>
                <w:szCs w:val="21"/>
                <w:lang w:val="en-US" w:eastAsia="zh-CN"/>
              </w:rPr>
              <w:t>6000万元</w:t>
            </w:r>
            <w:r>
              <w:rPr>
                <w:rFonts w:hint="default" w:ascii="Times New Roman" w:hAnsi="Times New Roman" w:cs="Times New Roman"/>
                <w:color w:val="auto"/>
                <w:szCs w:val="22"/>
              </w:rPr>
              <w:t>的</w:t>
            </w:r>
            <w:r>
              <w:rPr>
                <w:rFonts w:hint="default" w:ascii="Times New Roman" w:hAnsi="Times New Roman" w:cs="Times New Roman"/>
                <w:color w:val="auto"/>
                <w:szCs w:val="22"/>
                <w:lang w:val="en-US" w:eastAsia="zh-CN"/>
              </w:rPr>
              <w:t>3.47</w:t>
            </w:r>
            <w:r>
              <w:rPr>
                <w:rFonts w:hint="default" w:ascii="Times New Roman" w:hAnsi="Times New Roman" w:cs="Times New Roman"/>
                <w:color w:val="auto"/>
                <w:szCs w:val="22"/>
              </w:rPr>
              <w:t>%。本次环保投资可使企业做到各种污染物达标排放，将环境污染降到最低，以促进环境资源的可持续发展；减少项目生产对周围环境的影响，提高劳动生产效率，具有明显的经济效益和环境效益。具体表现在：</w:t>
            </w:r>
          </w:p>
          <w:p>
            <w:pPr>
              <w:adjustRightInd w:val="0"/>
              <w:spacing w:line="360" w:lineRule="auto"/>
              <w:ind w:firstLine="480" w:firstLineChars="200"/>
              <w:rPr>
                <w:rFonts w:hint="default" w:ascii="Times New Roman" w:hAnsi="Times New Roman" w:cs="Times New Roman"/>
                <w:color w:val="auto"/>
                <w:szCs w:val="22"/>
              </w:rPr>
            </w:pPr>
            <w:r>
              <w:rPr>
                <w:rFonts w:hint="default" w:ascii="Times New Roman" w:hAnsi="Times New Roman" w:cs="Times New Roman"/>
                <w:color w:val="auto"/>
                <w:szCs w:val="22"/>
              </w:rPr>
              <w:t>（1）废气处理措施的建设可使废气污染物达标排放，可减轻对工作环境及周围大气环境质量。</w:t>
            </w:r>
          </w:p>
          <w:p>
            <w:pPr>
              <w:adjustRightInd w:val="0"/>
              <w:spacing w:line="360" w:lineRule="auto"/>
              <w:ind w:firstLine="480" w:firstLineChars="200"/>
              <w:rPr>
                <w:rFonts w:hint="default" w:ascii="Times New Roman" w:hAnsi="Times New Roman" w:cs="Times New Roman"/>
                <w:color w:val="auto"/>
                <w:szCs w:val="22"/>
              </w:rPr>
            </w:pPr>
            <w:r>
              <w:rPr>
                <w:rFonts w:hint="default" w:ascii="Times New Roman" w:hAnsi="Times New Roman" w:cs="Times New Roman"/>
                <w:color w:val="auto"/>
                <w:szCs w:val="22"/>
              </w:rPr>
              <w:t>（2）噪声治理措施的建设，可使车间工作环境及周围声环境质量得到改善。</w:t>
            </w:r>
          </w:p>
          <w:p>
            <w:pPr>
              <w:adjustRightInd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Cs w:val="22"/>
              </w:rPr>
              <w:t>（3）固体废物经妥善处理处置，可减轻其对环境卫生、景观的影响，有利于进一步处理。环境管理与监测计划</w:t>
            </w:r>
            <w:r>
              <w:rPr>
                <w:rFonts w:hint="default" w:ascii="Times New Roman" w:hAnsi="Times New Roman" w:cs="Times New Roman"/>
                <w:color w:val="auto"/>
              </w:rPr>
              <w:t>。</w:t>
            </w:r>
          </w:p>
          <w:p>
            <w:pPr>
              <w:rPr>
                <w:rFonts w:hint="default" w:ascii="Times New Roman" w:hAnsi="Times New Roman" w:cs="Times New Roman"/>
                <w:color w:val="auto"/>
              </w:rPr>
            </w:pPr>
          </w:p>
        </w:tc>
      </w:tr>
    </w:tbl>
    <w:p>
      <w:pPr>
        <w:pStyle w:val="2"/>
        <w:bidi w:val="0"/>
        <w:jc w:val="center"/>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jc w:val="center"/>
        <w:rPr>
          <w:color w:val="auto"/>
        </w:rPr>
      </w:pPr>
      <w:r>
        <w:rPr>
          <w:color w:val="auto"/>
        </w:rPr>
        <w:t>五、</w:t>
      </w:r>
      <w:bookmarkStart w:id="46" w:name="_Hlk54167917"/>
      <w:r>
        <w:rPr>
          <w:color w:val="auto"/>
        </w:rPr>
        <w:t>环境保护措施监督检查清单</w:t>
      </w:r>
      <w:bookmarkEnd w:id="43"/>
      <w:bookmarkEnd w:id="44"/>
      <w:bookmarkEnd w:id="45"/>
      <w:bookmarkEnd w:id="46"/>
    </w:p>
    <w:tbl>
      <w:tblPr>
        <w:tblStyle w:val="26"/>
        <w:tblW w:w="92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42"/>
        <w:gridCol w:w="1170"/>
        <w:gridCol w:w="1372"/>
        <w:gridCol w:w="1722"/>
        <w:gridCol w:w="34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tcBorders>
              <w:tl2br w:val="single" w:color="auto" w:sz="4" w:space="0"/>
            </w:tcBorders>
            <w:noWrap w:val="0"/>
            <w:vAlign w:val="top"/>
          </w:tcPr>
          <w:p>
            <w:pPr>
              <w:adjustRightInd w:val="0"/>
              <w:snapToGrid w:val="0"/>
              <w:spacing w:line="240" w:lineRule="auto"/>
              <w:ind w:firstLine="632" w:firstLineChars="300"/>
              <w:rPr>
                <w:b/>
                <w:bCs/>
                <w:color w:val="auto"/>
                <w:sz w:val="21"/>
                <w:szCs w:val="21"/>
              </w:rPr>
            </w:pPr>
            <w:r>
              <w:rPr>
                <w:b/>
                <w:bCs/>
                <w:color w:val="auto"/>
                <w:sz w:val="21"/>
                <w:szCs w:val="21"/>
              </w:rPr>
              <w:t>内容</w:t>
            </w:r>
          </w:p>
          <w:p>
            <w:pPr>
              <w:adjustRightInd w:val="0"/>
              <w:snapToGrid w:val="0"/>
              <w:spacing w:line="240" w:lineRule="auto"/>
              <w:rPr>
                <w:b/>
                <w:bCs/>
                <w:color w:val="auto"/>
                <w:sz w:val="21"/>
                <w:szCs w:val="21"/>
              </w:rPr>
            </w:pPr>
          </w:p>
          <w:p>
            <w:pPr>
              <w:adjustRightInd w:val="0"/>
              <w:snapToGrid w:val="0"/>
              <w:spacing w:line="240" w:lineRule="auto"/>
              <w:rPr>
                <w:b/>
                <w:bCs/>
                <w:color w:val="auto"/>
                <w:sz w:val="21"/>
                <w:szCs w:val="21"/>
              </w:rPr>
            </w:pPr>
            <w:r>
              <w:rPr>
                <w:b/>
                <w:bCs/>
                <w:color w:val="auto"/>
                <w:sz w:val="21"/>
                <w:szCs w:val="21"/>
              </w:rPr>
              <w:t>要素</w:t>
            </w:r>
          </w:p>
        </w:tc>
        <w:tc>
          <w:tcPr>
            <w:tcW w:w="1170" w:type="dxa"/>
            <w:noWrap w:val="0"/>
            <w:vAlign w:val="center"/>
          </w:tcPr>
          <w:p>
            <w:pPr>
              <w:adjustRightInd w:val="0"/>
              <w:snapToGrid w:val="0"/>
              <w:spacing w:line="240" w:lineRule="auto"/>
              <w:jc w:val="center"/>
              <w:rPr>
                <w:b/>
                <w:bCs/>
                <w:color w:val="auto"/>
                <w:sz w:val="21"/>
                <w:szCs w:val="21"/>
              </w:rPr>
            </w:pPr>
            <w:r>
              <w:rPr>
                <w:b/>
                <w:bCs/>
                <w:color w:val="auto"/>
                <w:sz w:val="21"/>
                <w:szCs w:val="21"/>
              </w:rPr>
              <w:t>排放口（编号、</w:t>
            </w:r>
          </w:p>
          <w:p>
            <w:pPr>
              <w:adjustRightInd w:val="0"/>
              <w:snapToGrid w:val="0"/>
              <w:spacing w:line="240" w:lineRule="auto"/>
              <w:jc w:val="center"/>
              <w:rPr>
                <w:b/>
                <w:bCs/>
                <w:color w:val="auto"/>
                <w:sz w:val="21"/>
                <w:szCs w:val="21"/>
              </w:rPr>
            </w:pPr>
            <w:r>
              <w:rPr>
                <w:b/>
                <w:bCs/>
                <w:color w:val="auto"/>
                <w:sz w:val="21"/>
                <w:szCs w:val="21"/>
              </w:rPr>
              <w:t>名称）/污染源</w:t>
            </w:r>
          </w:p>
        </w:tc>
        <w:tc>
          <w:tcPr>
            <w:tcW w:w="1372" w:type="dxa"/>
            <w:noWrap w:val="0"/>
            <w:vAlign w:val="center"/>
          </w:tcPr>
          <w:p>
            <w:pPr>
              <w:adjustRightInd w:val="0"/>
              <w:snapToGrid w:val="0"/>
              <w:spacing w:line="240" w:lineRule="auto"/>
              <w:jc w:val="center"/>
              <w:rPr>
                <w:b/>
                <w:bCs/>
                <w:color w:val="auto"/>
                <w:sz w:val="21"/>
                <w:szCs w:val="21"/>
              </w:rPr>
            </w:pPr>
            <w:r>
              <w:rPr>
                <w:b/>
                <w:bCs/>
                <w:color w:val="auto"/>
                <w:sz w:val="21"/>
                <w:szCs w:val="21"/>
              </w:rPr>
              <w:t>污染物项目</w:t>
            </w:r>
          </w:p>
        </w:tc>
        <w:tc>
          <w:tcPr>
            <w:tcW w:w="1722" w:type="dxa"/>
            <w:noWrap w:val="0"/>
            <w:vAlign w:val="center"/>
          </w:tcPr>
          <w:p>
            <w:pPr>
              <w:adjustRightInd w:val="0"/>
              <w:snapToGrid w:val="0"/>
              <w:spacing w:line="240" w:lineRule="auto"/>
              <w:jc w:val="center"/>
              <w:rPr>
                <w:b/>
                <w:bCs/>
                <w:color w:val="auto"/>
                <w:sz w:val="21"/>
                <w:szCs w:val="21"/>
              </w:rPr>
            </w:pPr>
            <w:r>
              <w:rPr>
                <w:b/>
                <w:bCs/>
                <w:color w:val="auto"/>
                <w:sz w:val="21"/>
                <w:szCs w:val="21"/>
              </w:rPr>
              <w:t>环境保护措施</w:t>
            </w:r>
          </w:p>
        </w:tc>
        <w:tc>
          <w:tcPr>
            <w:tcW w:w="3475" w:type="dxa"/>
            <w:noWrap w:val="0"/>
            <w:vAlign w:val="center"/>
          </w:tcPr>
          <w:p>
            <w:pPr>
              <w:adjustRightInd w:val="0"/>
              <w:snapToGrid w:val="0"/>
              <w:spacing w:line="240" w:lineRule="auto"/>
              <w:jc w:val="center"/>
              <w:rPr>
                <w:b/>
                <w:bCs/>
                <w:color w:val="auto"/>
                <w:sz w:val="21"/>
                <w:szCs w:val="21"/>
              </w:rPr>
            </w:pPr>
            <w:r>
              <w:rPr>
                <w:b/>
                <w:bCs/>
                <w:color w:val="auto"/>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vMerge w:val="restart"/>
            <w:noWrap w:val="0"/>
            <w:vAlign w:val="center"/>
          </w:tcPr>
          <w:p>
            <w:pPr>
              <w:adjustRightInd w:val="0"/>
              <w:snapToGrid w:val="0"/>
              <w:spacing w:line="240" w:lineRule="auto"/>
              <w:jc w:val="both"/>
              <w:rPr>
                <w:rFonts w:hint="default" w:eastAsiaTheme="minorEastAsia"/>
                <w:color w:val="auto"/>
                <w:sz w:val="21"/>
                <w:szCs w:val="21"/>
                <w:lang w:val="en-US" w:eastAsia="zh-CN"/>
              </w:rPr>
            </w:pPr>
            <w:r>
              <w:rPr>
                <w:rFonts w:hint="eastAsia"/>
                <w:color w:val="auto"/>
                <w:sz w:val="21"/>
                <w:szCs w:val="21"/>
                <w:lang w:val="en-US" w:eastAsia="zh-CN"/>
              </w:rPr>
              <w:t>大气环境</w:t>
            </w:r>
          </w:p>
        </w:tc>
        <w:tc>
          <w:tcPr>
            <w:tcW w:w="1170" w:type="dxa"/>
            <w:noWrap w:val="0"/>
            <w:vAlign w:val="center"/>
          </w:tcPr>
          <w:p>
            <w:pPr>
              <w:adjustRightInd w:val="0"/>
              <w:snapToGrid w:val="0"/>
              <w:spacing w:line="240" w:lineRule="auto"/>
              <w:jc w:val="center"/>
              <w:rPr>
                <w:color w:val="auto"/>
                <w:sz w:val="21"/>
                <w:szCs w:val="21"/>
              </w:rPr>
            </w:pPr>
            <w:r>
              <w:rPr>
                <w:color w:val="auto"/>
                <w:sz w:val="21"/>
                <w:szCs w:val="21"/>
              </w:rPr>
              <w:t>食堂油烟排气筒（DA00</w:t>
            </w:r>
            <w:r>
              <w:rPr>
                <w:rFonts w:hint="eastAsia"/>
                <w:color w:val="auto"/>
                <w:sz w:val="21"/>
                <w:szCs w:val="21"/>
                <w:lang w:val="en-US" w:eastAsia="zh-CN"/>
              </w:rPr>
              <w:t>1</w:t>
            </w:r>
            <w:r>
              <w:rPr>
                <w:color w:val="auto"/>
                <w:sz w:val="21"/>
                <w:szCs w:val="21"/>
              </w:rPr>
              <w:t>排气筒）</w:t>
            </w:r>
          </w:p>
        </w:tc>
        <w:tc>
          <w:tcPr>
            <w:tcW w:w="1372" w:type="dxa"/>
            <w:noWrap w:val="0"/>
            <w:vAlign w:val="center"/>
          </w:tcPr>
          <w:p>
            <w:pPr>
              <w:adjustRightInd w:val="0"/>
              <w:snapToGrid w:val="0"/>
              <w:spacing w:line="240" w:lineRule="auto"/>
              <w:jc w:val="center"/>
              <w:rPr>
                <w:color w:val="auto"/>
                <w:sz w:val="21"/>
                <w:szCs w:val="21"/>
              </w:rPr>
            </w:pPr>
            <w:r>
              <w:rPr>
                <w:color w:val="auto"/>
                <w:sz w:val="21"/>
                <w:szCs w:val="21"/>
              </w:rPr>
              <w:t>油烟</w:t>
            </w:r>
          </w:p>
        </w:tc>
        <w:tc>
          <w:tcPr>
            <w:tcW w:w="1722" w:type="dxa"/>
            <w:noWrap w:val="0"/>
            <w:vAlign w:val="center"/>
          </w:tcPr>
          <w:p>
            <w:pPr>
              <w:adjustRightInd w:val="0"/>
              <w:snapToGrid w:val="0"/>
              <w:spacing w:line="240" w:lineRule="auto"/>
              <w:jc w:val="center"/>
              <w:rPr>
                <w:color w:val="auto"/>
                <w:sz w:val="21"/>
                <w:szCs w:val="21"/>
              </w:rPr>
            </w:pPr>
            <w:r>
              <w:rPr>
                <w:color w:val="auto"/>
                <w:sz w:val="21"/>
                <w:szCs w:val="21"/>
              </w:rPr>
              <w:t>食堂油烟经油烟净化器（TA002）处理后</w:t>
            </w:r>
            <w:r>
              <w:rPr>
                <w:rFonts w:hint="eastAsia"/>
                <w:color w:val="auto"/>
                <w:sz w:val="21"/>
                <w:szCs w:val="21"/>
                <w:lang w:val="en-US" w:eastAsia="zh-CN"/>
              </w:rPr>
              <w:t>通过</w:t>
            </w:r>
            <w:r>
              <w:rPr>
                <w:color w:val="auto"/>
                <w:sz w:val="21"/>
                <w:szCs w:val="21"/>
              </w:rPr>
              <w:t>排气筒排放</w:t>
            </w:r>
          </w:p>
        </w:tc>
        <w:tc>
          <w:tcPr>
            <w:tcW w:w="3475" w:type="dxa"/>
            <w:noWrap w:val="0"/>
            <w:vAlign w:val="center"/>
          </w:tcPr>
          <w:p>
            <w:pPr>
              <w:adjustRightInd w:val="0"/>
              <w:snapToGrid w:val="0"/>
              <w:spacing w:line="240" w:lineRule="auto"/>
              <w:jc w:val="center"/>
              <w:rPr>
                <w:rFonts w:hint="eastAsia" w:eastAsia="宋体"/>
                <w:color w:val="auto"/>
                <w:sz w:val="21"/>
                <w:szCs w:val="21"/>
                <w:vertAlign w:val="baseline"/>
                <w:lang w:eastAsia="zh-CN"/>
              </w:rPr>
            </w:pPr>
            <w:r>
              <w:rPr>
                <w:color w:val="auto"/>
                <w:sz w:val="21"/>
                <w:szCs w:val="21"/>
              </w:rPr>
              <w:t>《饮食业油烟排放标准（试行）》（GB18483-2001）小型饮食行业排放标准；最高允许排放浓度2mg/m</w:t>
            </w:r>
            <w:r>
              <w:rPr>
                <w:color w:val="auto"/>
                <w:sz w:val="21"/>
                <w:szCs w:val="21"/>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vMerge w:val="continue"/>
            <w:noWrap w:val="0"/>
            <w:vAlign w:val="center"/>
          </w:tcPr>
          <w:p>
            <w:pPr>
              <w:adjustRightInd w:val="0"/>
              <w:snapToGrid w:val="0"/>
              <w:spacing w:line="240" w:lineRule="auto"/>
              <w:jc w:val="both"/>
              <w:rPr>
                <w:rFonts w:hint="eastAsia"/>
                <w:color w:val="auto"/>
                <w:sz w:val="21"/>
                <w:szCs w:val="21"/>
                <w:lang w:val="en-US" w:eastAsia="zh-CN"/>
              </w:rPr>
            </w:pPr>
          </w:p>
        </w:tc>
        <w:tc>
          <w:tcPr>
            <w:tcW w:w="1170" w:type="dxa"/>
            <w:noWrap w:val="0"/>
            <w:vAlign w:val="center"/>
          </w:tcPr>
          <w:p>
            <w:pPr>
              <w:adjustRightInd w:val="0"/>
              <w:snapToGrid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实验室排气筒（DA002排气筒）</w:t>
            </w:r>
          </w:p>
        </w:tc>
        <w:tc>
          <w:tcPr>
            <w:tcW w:w="1372" w:type="dxa"/>
            <w:noWrap w:val="0"/>
            <w:vAlign w:val="center"/>
          </w:tcPr>
          <w:p>
            <w:pPr>
              <w:adjustRightInd w:val="0"/>
              <w:snapToGrid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VOCs</w:t>
            </w:r>
          </w:p>
        </w:tc>
        <w:tc>
          <w:tcPr>
            <w:tcW w:w="1722" w:type="dxa"/>
            <w:noWrap w:val="0"/>
            <w:vAlign w:val="center"/>
          </w:tcPr>
          <w:p>
            <w:pPr>
              <w:adjustRightInd w:val="0"/>
              <w:snapToGrid w:val="0"/>
              <w:spacing w:line="240" w:lineRule="auto"/>
              <w:jc w:val="center"/>
              <w:rPr>
                <w:color w:val="auto"/>
                <w:sz w:val="21"/>
                <w:szCs w:val="21"/>
              </w:rPr>
            </w:pPr>
            <w:r>
              <w:rPr>
                <w:rFonts w:hint="eastAsia" w:cs="Times New Roman"/>
                <w:color w:val="auto"/>
                <w:sz w:val="21"/>
                <w:szCs w:val="21"/>
                <w:lang w:val="en-US" w:eastAsia="zh-CN"/>
              </w:rPr>
              <w:t>经收</w:t>
            </w:r>
            <w:r>
              <w:rPr>
                <w:rFonts w:hint="eastAsia" w:ascii="Times New Roman" w:hAnsi="Times New Roman" w:cs="Times New Roman"/>
                <w:color w:val="auto"/>
                <w:sz w:val="21"/>
                <w:szCs w:val="21"/>
                <w:lang w:val="en-US" w:eastAsia="zh-CN"/>
              </w:rPr>
              <w:t>集后</w:t>
            </w:r>
            <w:r>
              <w:rPr>
                <w:rFonts w:hint="eastAsia" w:cs="Times New Roman"/>
                <w:color w:val="auto"/>
                <w:sz w:val="21"/>
                <w:szCs w:val="21"/>
                <w:lang w:val="en-US" w:eastAsia="zh-CN"/>
              </w:rPr>
              <w:t>通过</w:t>
            </w:r>
            <w:r>
              <w:rPr>
                <w:rFonts w:hint="eastAsia" w:ascii="Times New Roman" w:hAnsi="Times New Roman" w:cs="Times New Roman"/>
                <w:color w:val="auto"/>
                <w:sz w:val="21"/>
                <w:szCs w:val="21"/>
                <w:lang w:val="en-US" w:eastAsia="zh-CN"/>
              </w:rPr>
              <w:t>活性炭吸附处理后高空排放，排放高度20m。</w:t>
            </w:r>
          </w:p>
        </w:tc>
        <w:tc>
          <w:tcPr>
            <w:tcW w:w="3475" w:type="dxa"/>
            <w:noWrap w:val="0"/>
            <w:vAlign w:val="center"/>
          </w:tcPr>
          <w:p>
            <w:pPr>
              <w:adjustRightInd w:val="0"/>
              <w:snapToGrid w:val="0"/>
              <w:spacing w:line="240" w:lineRule="auto"/>
              <w:jc w:val="center"/>
              <w:rPr>
                <w:color w:val="auto"/>
                <w:sz w:val="21"/>
                <w:szCs w:val="21"/>
              </w:rPr>
            </w:pPr>
            <w:r>
              <w:rPr>
                <w:color w:val="auto"/>
                <w:sz w:val="21"/>
                <w:szCs w:val="21"/>
              </w:rPr>
              <w:t>《工业企业挥发性有机物排放控制标准》（DB12524-2014）表2中标准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81" w:hRule="atLeast"/>
          <w:jc w:val="center"/>
        </w:trPr>
        <w:tc>
          <w:tcPr>
            <w:tcW w:w="1542" w:type="dxa"/>
            <w:vMerge w:val="continue"/>
            <w:noWrap w:val="0"/>
            <w:vAlign w:val="center"/>
          </w:tcPr>
          <w:p>
            <w:pPr>
              <w:adjustRightInd w:val="0"/>
              <w:snapToGrid w:val="0"/>
              <w:spacing w:line="240" w:lineRule="auto"/>
              <w:jc w:val="center"/>
              <w:rPr>
                <w:color w:val="auto"/>
                <w:sz w:val="21"/>
                <w:szCs w:val="21"/>
              </w:rPr>
            </w:pPr>
          </w:p>
        </w:tc>
        <w:tc>
          <w:tcPr>
            <w:tcW w:w="1170" w:type="dxa"/>
            <w:noWrap w:val="0"/>
            <w:vAlign w:val="center"/>
          </w:tcPr>
          <w:p>
            <w:pPr>
              <w:adjustRightInd w:val="0"/>
              <w:snapToGrid w:val="0"/>
              <w:spacing w:line="240" w:lineRule="auto"/>
              <w:jc w:val="center"/>
              <w:rPr>
                <w:color w:val="auto"/>
                <w:sz w:val="21"/>
                <w:szCs w:val="21"/>
              </w:rPr>
            </w:pPr>
            <w:r>
              <w:rPr>
                <w:color w:val="auto"/>
                <w:sz w:val="21"/>
                <w:szCs w:val="21"/>
              </w:rPr>
              <w:t>无组织废气</w:t>
            </w:r>
          </w:p>
        </w:tc>
        <w:tc>
          <w:tcPr>
            <w:tcW w:w="1372" w:type="dxa"/>
            <w:noWrap w:val="0"/>
            <w:vAlign w:val="center"/>
          </w:tcPr>
          <w:p>
            <w:pPr>
              <w:adjustRightInd w:val="0"/>
              <w:snapToGrid w:val="0"/>
              <w:spacing w:line="240" w:lineRule="auto"/>
              <w:jc w:val="center"/>
              <w:rPr>
                <w:color w:val="auto"/>
                <w:sz w:val="21"/>
                <w:szCs w:val="21"/>
              </w:rPr>
            </w:pPr>
            <w:r>
              <w:rPr>
                <w:color w:val="auto"/>
                <w:sz w:val="21"/>
                <w:szCs w:val="21"/>
              </w:rPr>
              <w:t>臭气浓度、氨、硫化氢</w:t>
            </w:r>
          </w:p>
        </w:tc>
        <w:tc>
          <w:tcPr>
            <w:tcW w:w="1722" w:type="dxa"/>
            <w:noWrap w:val="0"/>
            <w:vAlign w:val="center"/>
          </w:tcPr>
          <w:p>
            <w:pPr>
              <w:adjustRightInd w:val="0"/>
              <w:snapToGrid w:val="0"/>
              <w:spacing w:line="240" w:lineRule="auto"/>
              <w:jc w:val="center"/>
              <w:rPr>
                <w:color w:val="auto"/>
                <w:sz w:val="21"/>
                <w:szCs w:val="21"/>
              </w:rPr>
            </w:pPr>
            <w:r>
              <w:rPr>
                <w:color w:val="auto"/>
                <w:sz w:val="21"/>
                <w:szCs w:val="21"/>
              </w:rPr>
              <w:t>污水构筑物加强密闭性</w:t>
            </w:r>
          </w:p>
        </w:tc>
        <w:tc>
          <w:tcPr>
            <w:tcW w:w="3475" w:type="dxa"/>
            <w:noWrap w:val="0"/>
            <w:vAlign w:val="center"/>
          </w:tcPr>
          <w:p>
            <w:pPr>
              <w:adjustRightInd w:val="0"/>
              <w:snapToGrid w:val="0"/>
              <w:spacing w:line="240" w:lineRule="auto"/>
              <w:jc w:val="center"/>
              <w:rPr>
                <w:color w:val="auto"/>
                <w:sz w:val="21"/>
                <w:szCs w:val="21"/>
              </w:rPr>
            </w:pPr>
            <w:r>
              <w:rPr>
                <w:color w:val="auto"/>
                <w:sz w:val="21"/>
                <w:szCs w:val="21"/>
              </w:rPr>
              <w:t>污水处理设施旁无组织排放浓度执行《医疗机构水污染物排放标准》（GB18466-2005）表3（硫化氢≤0.03mg/m³、氨≤1mg/m³、臭气浓度≤10（无量纲））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vMerge w:val="restart"/>
            <w:noWrap w:val="0"/>
            <w:vAlign w:val="center"/>
          </w:tcPr>
          <w:p>
            <w:pPr>
              <w:adjustRightInd w:val="0"/>
              <w:snapToGrid w:val="0"/>
              <w:spacing w:line="240" w:lineRule="auto"/>
              <w:jc w:val="center"/>
              <w:rPr>
                <w:color w:val="auto"/>
                <w:sz w:val="21"/>
                <w:szCs w:val="21"/>
              </w:rPr>
            </w:pPr>
            <w:r>
              <w:rPr>
                <w:color w:val="auto"/>
                <w:sz w:val="21"/>
                <w:szCs w:val="21"/>
              </w:rPr>
              <w:t>地表水环境</w:t>
            </w:r>
          </w:p>
        </w:tc>
        <w:tc>
          <w:tcPr>
            <w:tcW w:w="1170" w:type="dxa"/>
            <w:noWrap w:val="0"/>
            <w:vAlign w:val="center"/>
          </w:tcPr>
          <w:p>
            <w:pPr>
              <w:adjustRightInd w:val="0"/>
              <w:snapToGrid w:val="0"/>
              <w:spacing w:line="240" w:lineRule="auto"/>
              <w:jc w:val="center"/>
              <w:rPr>
                <w:color w:val="auto"/>
                <w:sz w:val="21"/>
                <w:szCs w:val="21"/>
              </w:rPr>
            </w:pPr>
            <w:r>
              <w:rPr>
                <w:color w:val="auto"/>
                <w:sz w:val="21"/>
                <w:szCs w:val="21"/>
              </w:rPr>
              <w:t>DW001</w:t>
            </w:r>
          </w:p>
        </w:tc>
        <w:tc>
          <w:tcPr>
            <w:tcW w:w="1372" w:type="dxa"/>
            <w:noWrap w:val="0"/>
            <w:vAlign w:val="center"/>
          </w:tcPr>
          <w:p>
            <w:pPr>
              <w:adjustRightInd w:val="0"/>
              <w:snapToGrid w:val="0"/>
              <w:spacing w:line="240" w:lineRule="auto"/>
              <w:jc w:val="center"/>
              <w:rPr>
                <w:color w:val="auto"/>
                <w:sz w:val="21"/>
                <w:szCs w:val="21"/>
              </w:rPr>
            </w:pPr>
            <w:r>
              <w:rPr>
                <w:color w:val="auto"/>
                <w:sz w:val="21"/>
                <w:szCs w:val="21"/>
              </w:rPr>
              <w:t>CODcr、BOD</w:t>
            </w:r>
            <w:r>
              <w:rPr>
                <w:color w:val="auto"/>
                <w:sz w:val="21"/>
                <w:szCs w:val="21"/>
                <w:vertAlign w:val="subscript"/>
              </w:rPr>
              <w:t>5</w:t>
            </w:r>
            <w:r>
              <w:rPr>
                <w:color w:val="auto"/>
                <w:sz w:val="21"/>
                <w:szCs w:val="21"/>
              </w:rPr>
              <w:t>、SS、NH</w:t>
            </w:r>
            <w:r>
              <w:rPr>
                <w:color w:val="auto"/>
                <w:sz w:val="21"/>
                <w:szCs w:val="21"/>
                <w:vertAlign w:val="subscript"/>
              </w:rPr>
              <w:t>3</w:t>
            </w:r>
            <w:r>
              <w:rPr>
                <w:color w:val="auto"/>
                <w:sz w:val="21"/>
                <w:szCs w:val="21"/>
              </w:rPr>
              <w:t>-N、动植物油、粪大肠菌群落、挥发酚、肠道致病菌、肠道病毒</w:t>
            </w:r>
          </w:p>
          <w:p>
            <w:pPr>
              <w:adjustRightInd w:val="0"/>
              <w:snapToGrid w:val="0"/>
              <w:spacing w:line="240" w:lineRule="auto"/>
              <w:jc w:val="center"/>
              <w:rPr>
                <w:color w:val="auto"/>
                <w:sz w:val="21"/>
                <w:szCs w:val="21"/>
              </w:rPr>
            </w:pPr>
          </w:p>
        </w:tc>
        <w:tc>
          <w:tcPr>
            <w:tcW w:w="1722" w:type="dxa"/>
            <w:noWrap w:val="0"/>
            <w:vAlign w:val="center"/>
          </w:tcPr>
          <w:p>
            <w:pPr>
              <w:adjustRightInd w:val="0"/>
              <w:snapToGrid w:val="0"/>
              <w:spacing w:line="240" w:lineRule="auto"/>
              <w:jc w:val="center"/>
              <w:rPr>
                <w:rFonts w:hint="eastAsia" w:eastAsia="宋体"/>
                <w:color w:val="auto"/>
                <w:sz w:val="21"/>
                <w:szCs w:val="21"/>
                <w:lang w:eastAsia="zh-CN"/>
              </w:rPr>
            </w:pPr>
            <w:r>
              <w:rPr>
                <w:color w:val="auto"/>
                <w:sz w:val="21"/>
                <w:szCs w:val="21"/>
              </w:rPr>
              <w:t>废水经厂区建设污水管网，汇合进入自建污水站（栅格+调节池+缺氧+</w:t>
            </w:r>
            <w:r>
              <w:rPr>
                <w:rFonts w:hint="eastAsia"/>
                <w:color w:val="auto"/>
                <w:sz w:val="21"/>
                <w:szCs w:val="21"/>
                <w:lang w:val="en-US" w:eastAsia="zh-CN"/>
              </w:rPr>
              <w:t>好氧</w:t>
            </w:r>
            <w:r>
              <w:rPr>
                <w:color w:val="auto"/>
                <w:sz w:val="21"/>
                <w:szCs w:val="21"/>
              </w:rPr>
              <w:t>+沉淀+消毒）处理后由项目</w:t>
            </w:r>
            <w:r>
              <w:rPr>
                <w:rFonts w:hint="eastAsia"/>
                <w:color w:val="auto"/>
                <w:sz w:val="21"/>
                <w:szCs w:val="21"/>
                <w:lang w:val="en-US" w:eastAsia="zh-CN"/>
              </w:rPr>
              <w:t>北</w:t>
            </w:r>
            <w:r>
              <w:rPr>
                <w:color w:val="auto"/>
                <w:sz w:val="21"/>
                <w:szCs w:val="21"/>
              </w:rPr>
              <w:t>侧DW001接入市政污水管网进入</w:t>
            </w:r>
            <w:r>
              <w:rPr>
                <w:rFonts w:hint="eastAsia"/>
                <w:color w:val="auto"/>
                <w:sz w:val="21"/>
                <w:szCs w:val="21"/>
                <w:lang w:eastAsia="zh-CN"/>
              </w:rPr>
              <w:t>福清市融元污水处理厂</w:t>
            </w:r>
          </w:p>
        </w:tc>
        <w:tc>
          <w:tcPr>
            <w:tcW w:w="3475" w:type="dxa"/>
            <w:noWrap w:val="0"/>
            <w:vAlign w:val="center"/>
          </w:tcPr>
          <w:p>
            <w:pPr>
              <w:adjustRightInd w:val="0"/>
              <w:snapToGrid w:val="0"/>
              <w:spacing w:line="240" w:lineRule="auto"/>
              <w:jc w:val="center"/>
              <w:rPr>
                <w:color w:val="auto"/>
                <w:sz w:val="21"/>
                <w:szCs w:val="21"/>
              </w:rPr>
            </w:pPr>
            <w:r>
              <w:rPr>
                <w:color w:val="auto"/>
                <w:sz w:val="21"/>
                <w:szCs w:val="21"/>
              </w:rPr>
              <w:t>《医疗机构水污染物排放标准》（GB18466-2005）中表2综合医疗机构和其他医疗机构水污染物排放限值标准中“预处理标准”。</w:t>
            </w:r>
          </w:p>
          <w:p>
            <w:pPr>
              <w:adjustRightInd w:val="0"/>
              <w:snapToGrid w:val="0"/>
              <w:spacing w:line="240" w:lineRule="auto"/>
              <w:jc w:val="center"/>
              <w:rPr>
                <w:color w:val="auto"/>
                <w:sz w:val="21"/>
                <w:szCs w:val="21"/>
              </w:rPr>
            </w:pPr>
            <w:r>
              <w:rPr>
                <w:color w:val="auto"/>
                <w:sz w:val="21"/>
                <w:szCs w:val="21"/>
              </w:rPr>
              <w:t>即：CODcr≤250mg/L；BOD</w:t>
            </w:r>
            <w:r>
              <w:rPr>
                <w:color w:val="auto"/>
                <w:sz w:val="21"/>
                <w:szCs w:val="21"/>
                <w:vertAlign w:val="subscript"/>
              </w:rPr>
              <w:t>5</w:t>
            </w:r>
            <w:r>
              <w:rPr>
                <w:color w:val="auto"/>
                <w:sz w:val="21"/>
                <w:szCs w:val="21"/>
              </w:rPr>
              <w:t>≤100mg/L；</w:t>
            </w:r>
          </w:p>
          <w:p>
            <w:pPr>
              <w:adjustRightInd w:val="0"/>
              <w:snapToGrid w:val="0"/>
              <w:spacing w:line="240" w:lineRule="auto"/>
              <w:jc w:val="center"/>
              <w:rPr>
                <w:color w:val="auto"/>
                <w:sz w:val="21"/>
                <w:szCs w:val="21"/>
              </w:rPr>
            </w:pPr>
            <w:r>
              <w:rPr>
                <w:color w:val="auto"/>
                <w:sz w:val="21"/>
                <w:szCs w:val="21"/>
              </w:rPr>
              <w:t>SS≤60mg/L；</w:t>
            </w:r>
          </w:p>
          <w:p>
            <w:pPr>
              <w:adjustRightInd w:val="0"/>
              <w:snapToGrid w:val="0"/>
              <w:spacing w:line="240" w:lineRule="auto"/>
              <w:jc w:val="center"/>
              <w:rPr>
                <w:color w:val="auto"/>
                <w:sz w:val="21"/>
                <w:szCs w:val="21"/>
              </w:rPr>
            </w:pPr>
            <w:r>
              <w:rPr>
                <w:color w:val="auto"/>
                <w:sz w:val="21"/>
                <w:szCs w:val="21"/>
              </w:rPr>
              <w:t>挥发酚≤1.0mg/L；</w:t>
            </w:r>
          </w:p>
          <w:p>
            <w:pPr>
              <w:adjustRightInd w:val="0"/>
              <w:snapToGrid w:val="0"/>
              <w:spacing w:line="240" w:lineRule="auto"/>
              <w:jc w:val="center"/>
              <w:rPr>
                <w:color w:val="auto"/>
                <w:sz w:val="21"/>
                <w:szCs w:val="21"/>
              </w:rPr>
            </w:pPr>
            <w:r>
              <w:rPr>
                <w:color w:val="auto"/>
                <w:sz w:val="21"/>
                <w:szCs w:val="21"/>
              </w:rPr>
              <w:t>动植物油≤20mg/L；</w:t>
            </w:r>
          </w:p>
          <w:p>
            <w:pPr>
              <w:adjustRightInd w:val="0"/>
              <w:snapToGrid w:val="0"/>
              <w:spacing w:line="240" w:lineRule="auto"/>
              <w:jc w:val="center"/>
              <w:rPr>
                <w:color w:val="auto"/>
                <w:sz w:val="21"/>
                <w:szCs w:val="21"/>
              </w:rPr>
            </w:pPr>
            <w:r>
              <w:rPr>
                <w:color w:val="auto"/>
                <w:sz w:val="21"/>
                <w:szCs w:val="21"/>
              </w:rPr>
              <w:t>粪大肠菌群数≤5000MPN/L；</w:t>
            </w:r>
          </w:p>
          <w:p>
            <w:pPr>
              <w:adjustRightInd w:val="0"/>
              <w:snapToGrid w:val="0"/>
              <w:spacing w:line="240" w:lineRule="auto"/>
              <w:jc w:val="center"/>
              <w:rPr>
                <w:color w:val="auto"/>
                <w:sz w:val="21"/>
                <w:szCs w:val="21"/>
              </w:rPr>
            </w:pPr>
            <w:r>
              <w:rPr>
                <w:color w:val="auto"/>
                <w:sz w:val="21"/>
                <w:szCs w:val="21"/>
              </w:rPr>
              <w:t>肠道致病菌、肠道病毒：未检出</w:t>
            </w:r>
          </w:p>
          <w:p>
            <w:pPr>
              <w:adjustRightInd w:val="0"/>
              <w:snapToGrid w:val="0"/>
              <w:spacing w:line="240" w:lineRule="auto"/>
              <w:jc w:val="center"/>
              <w:rPr>
                <w:color w:val="auto"/>
                <w:sz w:val="21"/>
                <w:szCs w:val="21"/>
              </w:rPr>
            </w:pPr>
            <w:r>
              <w:rPr>
                <w:color w:val="auto"/>
                <w:sz w:val="21"/>
                <w:szCs w:val="21"/>
              </w:rPr>
              <w:t>总余氯≤0.5mg/L。（消毒的工艺控制要求：预处理标准：消毒接触池接触时间≥1h，接触池出口总余氯2～8mg/L）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vMerge w:val="continue"/>
            <w:noWrap w:val="0"/>
            <w:vAlign w:val="center"/>
          </w:tcPr>
          <w:p>
            <w:pPr>
              <w:adjustRightInd w:val="0"/>
              <w:snapToGrid w:val="0"/>
              <w:spacing w:line="240" w:lineRule="auto"/>
              <w:jc w:val="center"/>
              <w:rPr>
                <w:color w:val="auto"/>
                <w:sz w:val="21"/>
                <w:szCs w:val="21"/>
              </w:rPr>
            </w:pPr>
          </w:p>
        </w:tc>
        <w:tc>
          <w:tcPr>
            <w:tcW w:w="1170" w:type="dxa"/>
            <w:noWrap w:val="0"/>
            <w:vAlign w:val="center"/>
          </w:tcPr>
          <w:p>
            <w:pPr>
              <w:adjustRightInd w:val="0"/>
              <w:snapToGrid w:val="0"/>
              <w:spacing w:line="240" w:lineRule="auto"/>
              <w:jc w:val="center"/>
              <w:rPr>
                <w:color w:val="auto"/>
                <w:sz w:val="21"/>
                <w:szCs w:val="21"/>
              </w:rPr>
            </w:pPr>
            <w:r>
              <w:rPr>
                <w:color w:val="auto"/>
                <w:sz w:val="21"/>
                <w:szCs w:val="21"/>
              </w:rPr>
              <w:t>检验科废水</w:t>
            </w:r>
          </w:p>
        </w:tc>
        <w:tc>
          <w:tcPr>
            <w:tcW w:w="1372" w:type="dxa"/>
            <w:noWrap w:val="0"/>
            <w:vAlign w:val="center"/>
          </w:tcPr>
          <w:p>
            <w:pPr>
              <w:adjustRightInd w:val="0"/>
              <w:snapToGrid w:val="0"/>
              <w:spacing w:line="240" w:lineRule="auto"/>
              <w:jc w:val="center"/>
              <w:rPr>
                <w:color w:val="auto"/>
                <w:sz w:val="21"/>
                <w:szCs w:val="21"/>
              </w:rPr>
            </w:pPr>
            <w:r>
              <w:rPr>
                <w:color w:val="auto"/>
                <w:sz w:val="21"/>
                <w:szCs w:val="21"/>
              </w:rPr>
              <w:t>重金属、病菌等</w:t>
            </w:r>
          </w:p>
        </w:tc>
        <w:tc>
          <w:tcPr>
            <w:tcW w:w="1722" w:type="dxa"/>
            <w:noWrap w:val="0"/>
            <w:vAlign w:val="center"/>
          </w:tcPr>
          <w:p>
            <w:pPr>
              <w:adjustRightInd w:val="0"/>
              <w:snapToGrid w:val="0"/>
              <w:spacing w:line="240" w:lineRule="auto"/>
              <w:jc w:val="center"/>
              <w:rPr>
                <w:color w:val="auto"/>
                <w:sz w:val="21"/>
                <w:szCs w:val="21"/>
              </w:rPr>
            </w:pPr>
            <w:r>
              <w:rPr>
                <w:color w:val="auto"/>
                <w:sz w:val="21"/>
                <w:szCs w:val="21"/>
              </w:rPr>
              <w:t>分类收集当医疗废物处置</w:t>
            </w:r>
          </w:p>
        </w:tc>
        <w:tc>
          <w:tcPr>
            <w:tcW w:w="3475" w:type="dxa"/>
            <w:noWrap w:val="0"/>
            <w:vAlign w:val="center"/>
          </w:tcPr>
          <w:p>
            <w:pPr>
              <w:adjustRightInd w:val="0"/>
              <w:snapToGrid w:val="0"/>
              <w:spacing w:line="240" w:lineRule="auto"/>
              <w:jc w:val="center"/>
              <w:rPr>
                <w:color w:val="auto"/>
                <w:sz w:val="21"/>
                <w:szCs w:val="21"/>
              </w:rPr>
            </w:pPr>
            <w:r>
              <w:rPr>
                <w:color w:val="auto"/>
                <w:sz w:val="21"/>
                <w:szCs w:val="21"/>
              </w:rPr>
              <w:t>验收落实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noWrap w:val="0"/>
            <w:vAlign w:val="center"/>
          </w:tcPr>
          <w:p>
            <w:pPr>
              <w:adjustRightInd w:val="0"/>
              <w:snapToGrid w:val="0"/>
              <w:spacing w:line="240" w:lineRule="auto"/>
              <w:jc w:val="center"/>
              <w:rPr>
                <w:color w:val="auto"/>
                <w:sz w:val="21"/>
                <w:szCs w:val="21"/>
              </w:rPr>
            </w:pPr>
            <w:r>
              <w:rPr>
                <w:color w:val="auto"/>
                <w:sz w:val="21"/>
                <w:szCs w:val="21"/>
              </w:rPr>
              <w:t>声环境</w:t>
            </w:r>
          </w:p>
        </w:tc>
        <w:tc>
          <w:tcPr>
            <w:tcW w:w="1170" w:type="dxa"/>
            <w:noWrap w:val="0"/>
            <w:vAlign w:val="center"/>
          </w:tcPr>
          <w:p>
            <w:pPr>
              <w:adjustRightInd w:val="0"/>
              <w:snapToGrid w:val="0"/>
              <w:spacing w:line="240" w:lineRule="auto"/>
              <w:jc w:val="center"/>
              <w:rPr>
                <w:color w:val="auto"/>
                <w:sz w:val="21"/>
                <w:szCs w:val="21"/>
              </w:rPr>
            </w:pPr>
            <w:r>
              <w:rPr>
                <w:color w:val="auto"/>
                <w:sz w:val="21"/>
                <w:szCs w:val="21"/>
              </w:rPr>
              <w:t>生产设施及其辅助设施</w:t>
            </w:r>
          </w:p>
        </w:tc>
        <w:tc>
          <w:tcPr>
            <w:tcW w:w="1372" w:type="dxa"/>
            <w:noWrap w:val="0"/>
            <w:vAlign w:val="center"/>
          </w:tcPr>
          <w:p>
            <w:pPr>
              <w:adjustRightInd w:val="0"/>
              <w:snapToGrid w:val="0"/>
              <w:spacing w:line="240" w:lineRule="auto"/>
              <w:jc w:val="center"/>
              <w:rPr>
                <w:color w:val="auto"/>
                <w:sz w:val="21"/>
                <w:szCs w:val="21"/>
              </w:rPr>
            </w:pPr>
            <w:r>
              <w:rPr>
                <w:color w:val="auto"/>
                <w:sz w:val="21"/>
                <w:szCs w:val="21"/>
              </w:rPr>
              <w:t>噪声</w:t>
            </w:r>
          </w:p>
        </w:tc>
        <w:tc>
          <w:tcPr>
            <w:tcW w:w="1722" w:type="dxa"/>
            <w:noWrap w:val="0"/>
            <w:vAlign w:val="center"/>
          </w:tcPr>
          <w:p>
            <w:pPr>
              <w:adjustRightInd w:val="0"/>
              <w:snapToGrid w:val="0"/>
              <w:spacing w:line="240" w:lineRule="auto"/>
              <w:jc w:val="center"/>
              <w:rPr>
                <w:color w:val="auto"/>
                <w:sz w:val="21"/>
                <w:szCs w:val="21"/>
              </w:rPr>
            </w:pPr>
            <w:r>
              <w:rPr>
                <w:color w:val="auto"/>
                <w:sz w:val="21"/>
                <w:szCs w:val="21"/>
              </w:rPr>
              <w:t>隔声，生产设备减震垫</w:t>
            </w:r>
          </w:p>
        </w:tc>
        <w:tc>
          <w:tcPr>
            <w:tcW w:w="3475" w:type="dxa"/>
            <w:noWrap w:val="0"/>
            <w:vAlign w:val="center"/>
          </w:tcPr>
          <w:p>
            <w:pPr>
              <w:adjustRightInd w:val="0"/>
              <w:snapToGrid w:val="0"/>
              <w:spacing w:line="240" w:lineRule="auto"/>
              <w:jc w:val="center"/>
              <w:rPr>
                <w:rFonts w:hint="eastAsia"/>
                <w:color w:val="auto"/>
                <w:sz w:val="21"/>
                <w:szCs w:val="21"/>
              </w:rPr>
            </w:pPr>
            <w:r>
              <w:rPr>
                <w:rFonts w:hint="eastAsia"/>
                <w:color w:val="auto"/>
                <w:kern w:val="2"/>
                <w:sz w:val="21"/>
                <w:szCs w:val="21"/>
                <w:lang w:val="en-US" w:eastAsia="zh-CN"/>
              </w:rPr>
              <w:t>东，南、西三</w:t>
            </w:r>
            <w:r>
              <w:rPr>
                <w:rFonts w:hint="eastAsia"/>
                <w:color w:val="auto"/>
                <w:sz w:val="21"/>
                <w:szCs w:val="21"/>
              </w:rPr>
              <w:t>侧</w:t>
            </w:r>
            <w:r>
              <w:rPr>
                <w:color w:val="auto"/>
                <w:sz w:val="21"/>
                <w:szCs w:val="21"/>
              </w:rPr>
              <w:t>厂界执行《工业企业厂界环境噪声排放标准》（GBl2348-2008）2类标准：昼间≤60dB（A）、夜间≤50dB（A）</w:t>
            </w:r>
            <w:r>
              <w:rPr>
                <w:rFonts w:hint="eastAsia"/>
                <w:color w:val="auto"/>
                <w:sz w:val="21"/>
                <w:szCs w:val="21"/>
              </w:rPr>
              <w:t>，</w:t>
            </w:r>
          </w:p>
          <w:p>
            <w:pPr>
              <w:pStyle w:val="14"/>
              <w:spacing w:line="240" w:lineRule="auto"/>
              <w:rPr>
                <w:rFonts w:hint="eastAsia"/>
                <w:color w:val="auto"/>
                <w:sz w:val="21"/>
                <w:szCs w:val="21"/>
              </w:rPr>
            </w:pPr>
            <w:r>
              <w:rPr>
                <w:rFonts w:hint="eastAsia"/>
                <w:color w:val="auto"/>
                <w:kern w:val="2"/>
                <w:sz w:val="21"/>
                <w:szCs w:val="21"/>
                <w:lang w:val="en-US" w:eastAsia="zh-CN"/>
              </w:rPr>
              <w:t>北</w:t>
            </w:r>
            <w:r>
              <w:rPr>
                <w:rFonts w:hint="eastAsia"/>
                <w:color w:val="auto"/>
                <w:kern w:val="2"/>
                <w:sz w:val="21"/>
                <w:szCs w:val="21"/>
              </w:rPr>
              <w:t>侧厂界执行《工业企业厂界环境噪声排放标准》（GB12348-2008）的4a类标准，昼间≤70dB（A）、夜间≤55dB（A）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noWrap w:val="0"/>
            <w:vAlign w:val="center"/>
          </w:tcPr>
          <w:p>
            <w:pPr>
              <w:adjustRightInd w:val="0"/>
              <w:snapToGrid w:val="0"/>
              <w:spacing w:line="240" w:lineRule="auto"/>
              <w:jc w:val="center"/>
              <w:rPr>
                <w:color w:val="auto"/>
                <w:sz w:val="21"/>
                <w:szCs w:val="21"/>
              </w:rPr>
            </w:pPr>
            <w:r>
              <w:rPr>
                <w:color w:val="auto"/>
                <w:sz w:val="21"/>
                <w:szCs w:val="21"/>
              </w:rPr>
              <w:t>电磁辐射</w:t>
            </w:r>
          </w:p>
        </w:tc>
        <w:tc>
          <w:tcPr>
            <w:tcW w:w="1170" w:type="dxa"/>
            <w:noWrap w:val="0"/>
            <w:vAlign w:val="center"/>
          </w:tcPr>
          <w:p>
            <w:pPr>
              <w:adjustRightInd w:val="0"/>
              <w:snapToGrid w:val="0"/>
              <w:spacing w:line="240" w:lineRule="auto"/>
              <w:jc w:val="center"/>
              <w:rPr>
                <w:color w:val="auto"/>
                <w:sz w:val="21"/>
                <w:szCs w:val="21"/>
              </w:rPr>
            </w:pPr>
            <w:r>
              <w:rPr>
                <w:color w:val="auto"/>
                <w:sz w:val="21"/>
                <w:szCs w:val="21"/>
              </w:rPr>
              <w:t>/</w:t>
            </w:r>
          </w:p>
        </w:tc>
        <w:tc>
          <w:tcPr>
            <w:tcW w:w="1372" w:type="dxa"/>
            <w:noWrap w:val="0"/>
            <w:vAlign w:val="center"/>
          </w:tcPr>
          <w:p>
            <w:pPr>
              <w:adjustRightInd w:val="0"/>
              <w:snapToGrid w:val="0"/>
              <w:spacing w:line="240" w:lineRule="auto"/>
              <w:jc w:val="center"/>
              <w:rPr>
                <w:color w:val="auto"/>
                <w:sz w:val="21"/>
                <w:szCs w:val="21"/>
              </w:rPr>
            </w:pPr>
            <w:r>
              <w:rPr>
                <w:color w:val="auto"/>
                <w:sz w:val="21"/>
                <w:szCs w:val="21"/>
              </w:rPr>
              <w:t>/</w:t>
            </w:r>
          </w:p>
        </w:tc>
        <w:tc>
          <w:tcPr>
            <w:tcW w:w="1722" w:type="dxa"/>
            <w:noWrap w:val="0"/>
            <w:vAlign w:val="center"/>
          </w:tcPr>
          <w:p>
            <w:pPr>
              <w:adjustRightInd w:val="0"/>
              <w:snapToGrid w:val="0"/>
              <w:spacing w:line="240" w:lineRule="auto"/>
              <w:jc w:val="center"/>
              <w:rPr>
                <w:color w:val="auto"/>
                <w:sz w:val="21"/>
                <w:szCs w:val="21"/>
              </w:rPr>
            </w:pPr>
            <w:r>
              <w:rPr>
                <w:color w:val="auto"/>
                <w:sz w:val="21"/>
                <w:szCs w:val="21"/>
              </w:rPr>
              <w:t>/</w:t>
            </w:r>
          </w:p>
        </w:tc>
        <w:tc>
          <w:tcPr>
            <w:tcW w:w="3475" w:type="dxa"/>
            <w:noWrap w:val="0"/>
            <w:vAlign w:val="center"/>
          </w:tcPr>
          <w:p>
            <w:pPr>
              <w:adjustRightInd w:val="0"/>
              <w:snapToGrid w:val="0"/>
              <w:spacing w:line="240" w:lineRule="auto"/>
              <w:jc w:val="center"/>
              <w:rPr>
                <w:color w:val="auto"/>
                <w:sz w:val="21"/>
                <w:szCs w:val="21"/>
              </w:rPr>
            </w:pPr>
            <w:r>
              <w:rPr>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noWrap w:val="0"/>
            <w:vAlign w:val="center"/>
          </w:tcPr>
          <w:p>
            <w:pPr>
              <w:adjustRightInd w:val="0"/>
              <w:snapToGrid w:val="0"/>
              <w:spacing w:line="240" w:lineRule="auto"/>
              <w:jc w:val="center"/>
              <w:rPr>
                <w:color w:val="auto"/>
                <w:sz w:val="21"/>
                <w:szCs w:val="21"/>
              </w:rPr>
            </w:pPr>
            <w:r>
              <w:rPr>
                <w:color w:val="auto"/>
                <w:sz w:val="21"/>
                <w:szCs w:val="21"/>
              </w:rPr>
              <w:t>固体废物</w:t>
            </w:r>
          </w:p>
        </w:tc>
        <w:tc>
          <w:tcPr>
            <w:tcW w:w="7739" w:type="dxa"/>
            <w:gridSpan w:val="4"/>
            <w:noWrap w:val="0"/>
            <w:vAlign w:val="center"/>
          </w:tcPr>
          <w:p>
            <w:pPr>
              <w:autoSpaceDE w:val="0"/>
              <w:autoSpaceDN w:val="0"/>
              <w:adjustRightInd w:val="0"/>
              <w:spacing w:line="240" w:lineRule="auto"/>
              <w:ind w:firstLine="0" w:firstLineChars="0"/>
              <w:jc w:val="left"/>
              <w:rPr>
                <w:color w:val="auto"/>
                <w:sz w:val="21"/>
                <w:szCs w:val="21"/>
              </w:rPr>
            </w:pPr>
            <w:r>
              <w:rPr>
                <w:rFonts w:hint="eastAsia" w:ascii="宋体" w:hAnsi="宋体" w:cs="宋体"/>
                <w:color w:val="auto"/>
                <w:sz w:val="21"/>
                <w:szCs w:val="21"/>
              </w:rPr>
              <w:t>①</w:t>
            </w:r>
            <w:r>
              <w:rPr>
                <w:color w:val="auto"/>
                <w:sz w:val="21"/>
                <w:szCs w:val="21"/>
              </w:rPr>
              <w:t>污水处理设施污泥定期清掏脱水、消毒后，桶装暂存危废贮存间，与医疗废物一同处置；</w:t>
            </w:r>
          </w:p>
          <w:p>
            <w:pPr>
              <w:autoSpaceDE w:val="0"/>
              <w:autoSpaceDN w:val="0"/>
              <w:adjustRightInd w:val="0"/>
              <w:spacing w:line="240" w:lineRule="auto"/>
              <w:ind w:firstLine="0" w:firstLineChars="0"/>
              <w:jc w:val="left"/>
              <w:rPr>
                <w:color w:val="auto"/>
                <w:sz w:val="21"/>
                <w:szCs w:val="21"/>
              </w:rPr>
            </w:pPr>
            <w:r>
              <w:rPr>
                <w:rFonts w:hint="eastAsia" w:ascii="宋体" w:hAnsi="宋体" w:cs="宋体"/>
                <w:color w:val="auto"/>
                <w:sz w:val="21"/>
                <w:szCs w:val="21"/>
              </w:rPr>
              <w:t>②</w:t>
            </w:r>
            <w:r>
              <w:rPr>
                <w:color w:val="auto"/>
                <w:sz w:val="21"/>
                <w:szCs w:val="21"/>
              </w:rPr>
              <w:t>定点设置分类垃圾桶，生活垃圾委托环卫部门统一清运处理。</w:t>
            </w:r>
          </w:p>
          <w:p>
            <w:pPr>
              <w:adjustRightInd w:val="0"/>
              <w:snapToGrid w:val="0"/>
              <w:spacing w:line="240" w:lineRule="auto"/>
              <w:jc w:val="left"/>
              <w:rPr>
                <w:color w:val="auto"/>
                <w:sz w:val="21"/>
                <w:szCs w:val="21"/>
              </w:rPr>
            </w:pPr>
            <w:r>
              <w:rPr>
                <w:rFonts w:hint="eastAsia" w:ascii="宋体" w:hAnsi="宋体" w:cs="宋体"/>
                <w:color w:val="auto"/>
                <w:sz w:val="21"/>
                <w:szCs w:val="21"/>
              </w:rPr>
              <w:t>③</w:t>
            </w:r>
            <w:r>
              <w:rPr>
                <w:color w:val="auto"/>
                <w:sz w:val="21"/>
                <w:szCs w:val="21"/>
              </w:rPr>
              <w:t>医疗废物、特殊废液、废活性炭等分类收集包装后，暂存在危废贮存间，委托有资质的单位定期进行处置。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noWrap w:val="0"/>
            <w:vAlign w:val="center"/>
          </w:tcPr>
          <w:p>
            <w:pPr>
              <w:adjustRightInd w:val="0"/>
              <w:snapToGrid w:val="0"/>
              <w:spacing w:line="240" w:lineRule="auto"/>
              <w:jc w:val="center"/>
              <w:rPr>
                <w:color w:val="auto"/>
                <w:sz w:val="21"/>
                <w:szCs w:val="21"/>
              </w:rPr>
            </w:pPr>
            <w:r>
              <w:rPr>
                <w:color w:val="auto"/>
                <w:sz w:val="21"/>
                <w:szCs w:val="21"/>
              </w:rPr>
              <w:t>土壤及地下水污染防治措施</w:t>
            </w:r>
          </w:p>
        </w:tc>
        <w:tc>
          <w:tcPr>
            <w:tcW w:w="7739" w:type="dxa"/>
            <w:gridSpan w:val="4"/>
            <w:noWrap w:val="0"/>
            <w:vAlign w:val="center"/>
          </w:tcPr>
          <w:p>
            <w:pPr>
              <w:adjustRightInd w:val="0"/>
              <w:snapToGrid w:val="0"/>
              <w:spacing w:line="240" w:lineRule="auto"/>
              <w:jc w:val="center"/>
              <w:rPr>
                <w:color w:val="auto"/>
                <w:sz w:val="21"/>
                <w:szCs w:val="21"/>
              </w:rPr>
            </w:pPr>
            <w:r>
              <w:rPr>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noWrap w:val="0"/>
            <w:vAlign w:val="center"/>
          </w:tcPr>
          <w:p>
            <w:pPr>
              <w:adjustRightInd w:val="0"/>
              <w:snapToGrid w:val="0"/>
              <w:spacing w:line="240" w:lineRule="auto"/>
              <w:jc w:val="center"/>
              <w:rPr>
                <w:color w:val="auto"/>
                <w:sz w:val="21"/>
                <w:szCs w:val="21"/>
              </w:rPr>
            </w:pPr>
            <w:r>
              <w:rPr>
                <w:color w:val="auto"/>
                <w:sz w:val="21"/>
                <w:szCs w:val="21"/>
              </w:rPr>
              <w:t>生态保护措施</w:t>
            </w:r>
          </w:p>
        </w:tc>
        <w:tc>
          <w:tcPr>
            <w:tcW w:w="7739" w:type="dxa"/>
            <w:gridSpan w:val="4"/>
            <w:noWrap w:val="0"/>
            <w:vAlign w:val="center"/>
          </w:tcPr>
          <w:p>
            <w:pPr>
              <w:adjustRightInd w:val="0"/>
              <w:snapToGrid w:val="0"/>
              <w:spacing w:line="240" w:lineRule="auto"/>
              <w:jc w:val="center"/>
              <w:rPr>
                <w:color w:val="auto"/>
                <w:sz w:val="21"/>
                <w:szCs w:val="21"/>
              </w:rPr>
            </w:pPr>
            <w:r>
              <w:rPr>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noWrap w:val="0"/>
            <w:vAlign w:val="center"/>
          </w:tcPr>
          <w:p>
            <w:pPr>
              <w:adjustRightInd w:val="0"/>
              <w:snapToGrid w:val="0"/>
              <w:spacing w:line="240" w:lineRule="auto"/>
              <w:jc w:val="center"/>
              <w:rPr>
                <w:color w:val="auto"/>
                <w:spacing w:val="-8"/>
                <w:sz w:val="21"/>
                <w:szCs w:val="21"/>
              </w:rPr>
            </w:pPr>
            <w:r>
              <w:rPr>
                <w:color w:val="auto"/>
                <w:spacing w:val="-8"/>
                <w:sz w:val="21"/>
                <w:szCs w:val="21"/>
              </w:rPr>
              <w:t>环境风险</w:t>
            </w:r>
          </w:p>
          <w:p>
            <w:pPr>
              <w:adjustRightInd w:val="0"/>
              <w:snapToGrid w:val="0"/>
              <w:spacing w:line="240" w:lineRule="auto"/>
              <w:jc w:val="center"/>
              <w:rPr>
                <w:color w:val="auto"/>
                <w:spacing w:val="-8"/>
                <w:sz w:val="21"/>
                <w:szCs w:val="21"/>
              </w:rPr>
            </w:pPr>
            <w:r>
              <w:rPr>
                <w:color w:val="auto"/>
                <w:spacing w:val="-8"/>
                <w:sz w:val="21"/>
                <w:szCs w:val="21"/>
              </w:rPr>
              <w:t>防范措施</w:t>
            </w:r>
          </w:p>
        </w:tc>
        <w:tc>
          <w:tcPr>
            <w:tcW w:w="7739" w:type="dxa"/>
            <w:gridSpan w:val="4"/>
            <w:noWrap w:val="0"/>
            <w:vAlign w:val="center"/>
          </w:tcPr>
          <w:p>
            <w:pPr>
              <w:adjustRightInd w:val="0"/>
              <w:snapToGrid w:val="0"/>
              <w:spacing w:line="240" w:lineRule="auto"/>
              <w:jc w:val="left"/>
              <w:rPr>
                <w:color w:val="auto"/>
                <w:sz w:val="21"/>
                <w:szCs w:val="21"/>
              </w:rPr>
            </w:pPr>
            <w:r>
              <w:rPr>
                <w:color w:val="auto"/>
                <w:sz w:val="21"/>
                <w:szCs w:val="21"/>
              </w:rPr>
              <w:t>①医疗垃圾室地面均使用混凝土硬化，做好防渗处理。</w:t>
            </w:r>
          </w:p>
          <w:p>
            <w:pPr>
              <w:adjustRightInd w:val="0"/>
              <w:snapToGrid w:val="0"/>
              <w:spacing w:line="240" w:lineRule="auto"/>
              <w:rPr>
                <w:color w:val="auto"/>
                <w:sz w:val="21"/>
                <w:szCs w:val="21"/>
              </w:rPr>
            </w:pPr>
            <w:r>
              <w:rPr>
                <w:color w:val="auto"/>
                <w:sz w:val="21"/>
                <w:szCs w:val="21"/>
              </w:rPr>
              <w:t>②备用柴油发电机在满足正常生产前提下，尽可能减少柴油储存量。</w:t>
            </w:r>
          </w:p>
          <w:p>
            <w:pPr>
              <w:adjustRightInd w:val="0"/>
              <w:snapToGrid w:val="0"/>
              <w:spacing w:line="240" w:lineRule="auto"/>
              <w:jc w:val="left"/>
              <w:rPr>
                <w:color w:val="auto"/>
                <w:sz w:val="21"/>
                <w:szCs w:val="21"/>
              </w:rPr>
            </w:pPr>
            <w:r>
              <w:rPr>
                <w:color w:val="auto"/>
                <w:sz w:val="21"/>
                <w:szCs w:val="21"/>
              </w:rPr>
              <w:t>③严格按照《危险废物贮存污染控制标准》（GB 18597-2023）对危险废物暂存场进行设计和建设，同时按相关法律法规将危险废物交由相关资质单位处理，做好生产商的管理，并按《危险废物转移联单管理办法》做好转移记录。</w:t>
            </w:r>
          </w:p>
          <w:p>
            <w:pPr>
              <w:adjustRightInd w:val="0"/>
              <w:snapToGrid w:val="0"/>
              <w:spacing w:line="240" w:lineRule="auto"/>
              <w:jc w:val="left"/>
              <w:rPr>
                <w:color w:val="auto"/>
                <w:sz w:val="21"/>
                <w:szCs w:val="21"/>
              </w:rPr>
            </w:pPr>
            <w:r>
              <w:rPr>
                <w:color w:val="auto"/>
                <w:sz w:val="21"/>
                <w:szCs w:val="21"/>
              </w:rPr>
              <w:t>④定期对废水、废气收集处理系统进行巡检、调节、保养和维修，及时更换易坏或破损零部件，避免发生因设备损耗而出现的风险事故。</w:t>
            </w:r>
          </w:p>
          <w:p>
            <w:pPr>
              <w:adjustRightInd w:val="0"/>
              <w:snapToGrid w:val="0"/>
              <w:spacing w:line="240" w:lineRule="auto"/>
              <w:jc w:val="left"/>
              <w:rPr>
                <w:color w:val="auto"/>
                <w:sz w:val="21"/>
                <w:szCs w:val="21"/>
              </w:rPr>
            </w:pPr>
            <w:r>
              <w:rPr>
                <w:color w:val="auto"/>
                <w:sz w:val="21"/>
                <w:szCs w:val="21"/>
              </w:rPr>
              <w:t>⑤应急废水新建应急池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noWrap w:val="0"/>
            <w:vAlign w:val="center"/>
          </w:tcPr>
          <w:p>
            <w:pPr>
              <w:adjustRightInd w:val="0"/>
              <w:snapToGrid w:val="0"/>
              <w:spacing w:line="240" w:lineRule="auto"/>
              <w:jc w:val="center"/>
              <w:rPr>
                <w:color w:val="auto"/>
                <w:spacing w:val="-8"/>
                <w:sz w:val="21"/>
                <w:szCs w:val="21"/>
              </w:rPr>
            </w:pPr>
            <w:r>
              <w:rPr>
                <w:color w:val="auto"/>
                <w:spacing w:val="-8"/>
                <w:sz w:val="21"/>
                <w:szCs w:val="21"/>
              </w:rPr>
              <w:t>其他环境</w:t>
            </w:r>
          </w:p>
          <w:p>
            <w:pPr>
              <w:adjustRightInd w:val="0"/>
              <w:snapToGrid w:val="0"/>
              <w:spacing w:line="240" w:lineRule="auto"/>
              <w:jc w:val="center"/>
              <w:rPr>
                <w:color w:val="auto"/>
                <w:spacing w:val="-8"/>
                <w:sz w:val="21"/>
                <w:szCs w:val="21"/>
              </w:rPr>
            </w:pPr>
            <w:r>
              <w:rPr>
                <w:color w:val="auto"/>
                <w:spacing w:val="-8"/>
                <w:sz w:val="21"/>
                <w:szCs w:val="21"/>
              </w:rPr>
              <w:t>管理要求</w:t>
            </w:r>
          </w:p>
        </w:tc>
        <w:tc>
          <w:tcPr>
            <w:tcW w:w="7739" w:type="dxa"/>
            <w:gridSpan w:val="4"/>
            <w:noWrap w:val="0"/>
            <w:vAlign w:val="center"/>
          </w:tcPr>
          <w:p>
            <w:pPr>
              <w:adjustRightInd w:val="0"/>
              <w:snapToGrid w:val="0"/>
              <w:spacing w:line="240" w:lineRule="auto"/>
              <w:rPr>
                <w:color w:val="auto"/>
                <w:sz w:val="21"/>
                <w:szCs w:val="21"/>
              </w:rPr>
            </w:pPr>
            <w:r>
              <w:rPr>
                <w:color w:val="auto"/>
                <w:sz w:val="21"/>
                <w:szCs w:val="21"/>
              </w:rPr>
              <w:t>①设立专门的环保机构，加强环保设施运行管理维护，建立环保设施运行台账，确保环保设施正常运行及污染物稳定达标排放。</w:t>
            </w:r>
          </w:p>
          <w:p>
            <w:pPr>
              <w:adjustRightInd w:val="0"/>
              <w:snapToGrid w:val="0"/>
              <w:spacing w:line="240" w:lineRule="auto"/>
              <w:rPr>
                <w:color w:val="auto"/>
                <w:sz w:val="21"/>
                <w:szCs w:val="21"/>
              </w:rPr>
            </w:pPr>
            <w:r>
              <w:rPr>
                <w:color w:val="auto"/>
                <w:sz w:val="21"/>
                <w:szCs w:val="21"/>
              </w:rPr>
              <w:t>②根据《排污许可证管理办法》（试行）及《控制污染物排放许可制实施方案》，对照《固定污染源排污许可分类管理名录（2019年版）》，该项目属于“四十九、卫生84 107-</w:t>
            </w:r>
            <w:r>
              <w:rPr>
                <w:rFonts w:hint="eastAsia" w:ascii="Times New Roman" w:hAnsi="Times New Roman" w:eastAsia="宋体" w:cs="Times New Roman"/>
                <w:color w:val="auto"/>
                <w:sz w:val="21"/>
                <w:szCs w:val="21"/>
                <w:highlight w:val="none"/>
                <w:shd w:val="clear" w:color="auto" w:fill="auto"/>
                <w:lang w:val="en-US" w:eastAsia="zh-CN"/>
              </w:rPr>
              <w:t>疾病预防控制中心8413，床位100张以下的综合医院8411、中医医院8412、中西医结合医院8413、民族医院8414、专科医院8415、疗养院8416</w:t>
            </w:r>
            <w:r>
              <w:rPr>
                <w:color w:val="auto"/>
                <w:sz w:val="21"/>
                <w:szCs w:val="21"/>
              </w:rPr>
              <w:t>”，进行</w:t>
            </w:r>
            <w:r>
              <w:rPr>
                <w:rFonts w:hint="eastAsia"/>
                <w:color w:val="auto"/>
                <w:sz w:val="21"/>
                <w:szCs w:val="21"/>
                <w:lang w:val="en-US" w:eastAsia="zh-CN"/>
              </w:rPr>
              <w:t>登记</w:t>
            </w:r>
            <w:r>
              <w:rPr>
                <w:color w:val="auto"/>
                <w:sz w:val="21"/>
                <w:szCs w:val="21"/>
              </w:rPr>
              <w:t>管理，新建排污单位应当在启动生产设施或者发生实际排污之前申请取得排污许可证。</w:t>
            </w:r>
          </w:p>
          <w:p>
            <w:pPr>
              <w:spacing w:line="240" w:lineRule="auto"/>
              <w:ind w:firstLine="482"/>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固体污染源排污许可证分类管理名录</w:t>
            </w:r>
            <w:r>
              <w:rPr>
                <w:rFonts w:hint="eastAsia" w:ascii="Times New Roman" w:hAnsi="Times New Roman" w:eastAsia="宋体" w:cs="Times New Roman"/>
                <w:b/>
                <w:color w:val="auto"/>
                <w:sz w:val="21"/>
                <w:szCs w:val="21"/>
                <w:highlight w:val="none"/>
                <w:lang w:val="en-US" w:eastAsia="zh-CN"/>
              </w:rPr>
              <w:t>（2019年版）</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687"/>
              <w:gridCol w:w="998"/>
              <w:gridCol w:w="1391"/>
              <w:gridCol w:w="2452"/>
              <w:gridCol w:w="15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PrEx>
              <w:trPr>
                <w:trHeight w:val="255" w:hRule="atLeast"/>
                <w:jc w:val="center"/>
              </w:trPr>
              <w:tc>
                <w:tcPr>
                  <w:tcW w:w="687" w:type="dxa"/>
                  <w:tcBorders>
                    <w:tl2br w:val="nil"/>
                    <w:tr2bl w:val="nil"/>
                  </w:tcBorders>
                  <w:shd w:val="clear" w:color="auto" w:fill="auto"/>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序号</w:t>
                  </w:r>
                </w:p>
              </w:tc>
              <w:tc>
                <w:tcPr>
                  <w:tcW w:w="998" w:type="dxa"/>
                  <w:tcBorders>
                    <w:tl2br w:val="nil"/>
                    <w:tr2bl w:val="nil"/>
                  </w:tcBorders>
                  <w:shd w:val="clear" w:color="auto" w:fill="auto"/>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行业类别</w:t>
                  </w:r>
                </w:p>
              </w:tc>
              <w:tc>
                <w:tcPr>
                  <w:tcW w:w="1391" w:type="dxa"/>
                  <w:tcBorders>
                    <w:tl2br w:val="nil"/>
                    <w:tr2bl w:val="nil"/>
                  </w:tcBorders>
                  <w:shd w:val="clear" w:color="auto" w:fill="auto"/>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重点管理</w:t>
                  </w:r>
                </w:p>
              </w:tc>
              <w:tc>
                <w:tcPr>
                  <w:tcW w:w="2452" w:type="dxa"/>
                  <w:tcBorders>
                    <w:tl2br w:val="nil"/>
                    <w:tr2bl w:val="nil"/>
                  </w:tcBorders>
                  <w:shd w:val="clear" w:color="auto" w:fill="auto"/>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简化管理</w:t>
                  </w:r>
                </w:p>
              </w:tc>
              <w:tc>
                <w:tcPr>
                  <w:tcW w:w="1558" w:type="dxa"/>
                  <w:tcBorders>
                    <w:tl2br w:val="nil"/>
                    <w:tr2bl w:val="nil"/>
                  </w:tcBorders>
                  <w:shd w:val="clear" w:color="auto" w:fill="CFCECE" w:themeFill="background2" w:themeFillShade="E5"/>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登记管理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086" w:type="dxa"/>
                  <w:gridSpan w:val="5"/>
                  <w:tcBorders>
                    <w:tl2br w:val="nil"/>
                    <w:tr2bl w:val="nil"/>
                  </w:tcBorders>
                  <w:shd w:val="clear" w:color="auto" w:fill="CFCECE" w:themeFill="background2" w:themeFillShade="E5"/>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四十九、卫生84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36" w:hRule="atLeast"/>
                <w:jc w:val="center"/>
              </w:trPr>
              <w:tc>
                <w:tcPr>
                  <w:tcW w:w="687" w:type="dxa"/>
                  <w:tcBorders>
                    <w:tl2br w:val="nil"/>
                    <w:tr2bl w:val="nil"/>
                  </w:tcBorders>
                  <w:shd w:val="clear" w:color="auto" w:fill="auto"/>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107</w:t>
                  </w:r>
                </w:p>
              </w:tc>
              <w:tc>
                <w:tcPr>
                  <w:tcW w:w="998" w:type="dxa"/>
                  <w:tcBorders>
                    <w:tl2br w:val="nil"/>
                    <w:tr2bl w:val="nil"/>
                  </w:tcBorders>
                  <w:shd w:val="clear" w:color="auto" w:fill="auto"/>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医院841，专业公共卫生服务</w:t>
                  </w:r>
                </w:p>
              </w:tc>
              <w:tc>
                <w:tcPr>
                  <w:tcW w:w="1391" w:type="dxa"/>
                  <w:tcBorders>
                    <w:tl2br w:val="nil"/>
                    <w:tr2bl w:val="nil"/>
                  </w:tcBorders>
                  <w:shd w:val="clear" w:color="auto" w:fill="auto"/>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床位500张及以上的（不含专科医院8415中精神病、康复和运动康复医院以及疗养院）</w:t>
                  </w:r>
                </w:p>
              </w:tc>
              <w:tc>
                <w:tcPr>
                  <w:tcW w:w="2452" w:type="dxa"/>
                  <w:tcBorders>
                    <w:tl2br w:val="nil"/>
                    <w:tr2bl w:val="nil"/>
                  </w:tcBorders>
                  <w:shd w:val="clear" w:color="auto" w:fill="auto"/>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床位100张及以上的专科医院8415（精神病、康复和运动康复医院）以及疗养院8416，床位100张及以上500张及以下的综合医院8411、中医医院8412、中西医结合医院8413、民族医院8414、专科医院8415（不含精神病、康复和运动康复中心）</w:t>
                  </w:r>
                </w:p>
              </w:tc>
              <w:tc>
                <w:tcPr>
                  <w:tcW w:w="1558" w:type="dxa"/>
                  <w:tcBorders>
                    <w:tl2br w:val="nil"/>
                    <w:tr2bl w:val="nil"/>
                  </w:tcBorders>
                  <w:shd w:val="clear" w:color="auto" w:fill="CFCECE" w:themeFill="background2" w:themeFillShade="E5"/>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疾病预防控制中心8413，床位100张以下的综合医院8411、中医医院8412、中西医结合医院8413、民族医院8414、专科医院8415、疗养院8416</w:t>
                  </w:r>
                </w:p>
              </w:tc>
            </w:tr>
          </w:tbl>
          <w:p>
            <w:pPr>
              <w:adjustRightInd w:val="0"/>
              <w:snapToGrid w:val="0"/>
              <w:spacing w:line="240" w:lineRule="auto"/>
              <w:rPr>
                <w:color w:val="auto"/>
                <w:sz w:val="21"/>
                <w:szCs w:val="21"/>
              </w:rPr>
            </w:pPr>
            <w:r>
              <w:rPr>
                <w:color w:val="auto"/>
                <w:sz w:val="21"/>
                <w:szCs w:val="21"/>
              </w:rPr>
              <w:t>③项目竣工后，建设单位应当依照国家有关法律法规、建设项目竣工环境保护验收技术规范、建设项目环境影响报告表和审批决定等要求，如实查验、监测、记载建设项目环境保护设施的建设和调试情况，同时还应如实记载其他环境保护对策措施“三同时”落实情况，编制竣工环境保护验收报告。</w:t>
            </w:r>
          </w:p>
          <w:p>
            <w:pPr>
              <w:adjustRightInd w:val="0"/>
              <w:snapToGrid w:val="0"/>
              <w:spacing w:line="240" w:lineRule="auto"/>
              <w:rPr>
                <w:color w:val="auto"/>
                <w:sz w:val="21"/>
                <w:szCs w:val="21"/>
              </w:rPr>
            </w:pPr>
            <w:r>
              <w:rPr>
                <w:color w:val="auto"/>
                <w:sz w:val="21"/>
                <w:szCs w:val="21"/>
              </w:rPr>
              <w:t>④按要求落实监测计划。</w:t>
            </w:r>
          </w:p>
          <w:p>
            <w:pPr>
              <w:adjustRightInd w:val="0"/>
              <w:snapToGrid w:val="0"/>
              <w:spacing w:line="240" w:lineRule="auto"/>
              <w:rPr>
                <w:color w:val="auto"/>
                <w:sz w:val="21"/>
                <w:szCs w:val="21"/>
              </w:rPr>
            </w:pPr>
            <w:r>
              <w:rPr>
                <w:color w:val="auto"/>
                <w:sz w:val="21"/>
                <w:szCs w:val="21"/>
              </w:rPr>
              <w:t>⑤排污口规范化管理要求：项目废水排放口、固体废物临时堆放点应按照规范化设置。对各种固体废物应分类收集暂存，设置的暂存点应有防扬尘、防流失、防渗漏等措施，暂存场应设置规范化标志牌。</w:t>
            </w:r>
          </w:p>
          <w:p>
            <w:pPr>
              <w:adjustRightInd w:val="0"/>
              <w:snapToGrid w:val="0"/>
              <w:spacing w:line="240" w:lineRule="auto"/>
              <w:rPr>
                <w:color w:val="auto"/>
                <w:sz w:val="21"/>
                <w:szCs w:val="21"/>
              </w:rPr>
            </w:pPr>
          </w:p>
        </w:tc>
      </w:tr>
    </w:tbl>
    <w:p>
      <w:pPr>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jc w:val="center"/>
        <w:rPr>
          <w:color w:val="auto"/>
        </w:rPr>
      </w:pPr>
      <w:bookmarkStart w:id="47" w:name="_Toc5233"/>
      <w:bookmarkStart w:id="48" w:name="_Toc2965"/>
      <w:bookmarkStart w:id="49" w:name="_Toc29552"/>
      <w:r>
        <w:rPr>
          <w:rFonts w:hint="eastAsia"/>
          <w:color w:val="auto"/>
        </w:rPr>
        <w:t>六、结论</w:t>
      </w:r>
      <w:bookmarkEnd w:id="47"/>
      <w:bookmarkEnd w:id="48"/>
      <w:bookmarkEnd w:id="49"/>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autofit"/>
        <w:tblCellMar>
          <w:top w:w="0" w:type="dxa"/>
          <w:left w:w="28" w:type="dxa"/>
          <w:bottom w:w="0" w:type="dxa"/>
          <w:right w:w="28" w:type="dxa"/>
        </w:tblCellMar>
      </w:tblPr>
      <w:tblGrid>
        <w:gridCol w:w="8362"/>
      </w:tblGrid>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28" w:type="dxa"/>
            <w:bottom w:w="0" w:type="dxa"/>
            <w:right w:w="28" w:type="dxa"/>
          </w:tblCellMar>
        </w:tblPrEx>
        <w:trPr>
          <w:trHeight w:val="11991" w:hRule="atLeast"/>
        </w:trPr>
        <w:tc>
          <w:tcPr>
            <w:tcW w:w="5000" w:type="pct"/>
            <w:tcBorders>
              <w:tl2br w:val="nil"/>
              <w:tr2bl w:val="nil"/>
            </w:tcBorders>
            <w:noWrap w:val="0"/>
            <w:vAlign w:val="top"/>
          </w:tcPr>
          <w:p>
            <w:pPr>
              <w:spacing w:beforeLines="0" w:afterLines="0" w:line="400" w:lineRule="exact"/>
              <w:ind w:firstLine="480"/>
              <w:rPr>
                <w:rFonts w:hint="default" w:ascii="Times New Roman" w:hAnsi="Times New Roman" w:eastAsia="Times New Roman"/>
                <w:color w:val="auto"/>
                <w:sz w:val="24"/>
                <w:szCs w:val="24"/>
                <w:lang w:val="zh-CN"/>
              </w:rPr>
            </w:pPr>
            <w:r>
              <w:rPr>
                <w:rFonts w:hint="default" w:ascii="Times New Roman" w:hAnsi="Times New Roman" w:eastAsia="Times New Roman"/>
                <w:color w:val="auto"/>
                <w:sz w:val="24"/>
                <w:szCs w:val="24"/>
                <w:lang w:val="zh-CN"/>
              </w:rPr>
              <w:t>通</w:t>
            </w:r>
            <w:r>
              <w:rPr>
                <w:rFonts w:hint="default" w:ascii="Times New Roman" w:hAnsi="Times New Roman" w:eastAsia="Times New Roman"/>
                <w:color w:val="auto"/>
                <w:sz w:val="28"/>
                <w:szCs w:val="28"/>
                <w:lang w:val="zh-CN"/>
              </w:rPr>
              <w:t>过对本项目的环境影响分析评价，</w:t>
            </w:r>
            <w:r>
              <w:rPr>
                <w:rFonts w:hint="eastAsia" w:ascii="Times New Roman" w:hAnsi="Times New Roman" w:eastAsia="Times New Roman"/>
                <w:color w:val="auto"/>
                <w:sz w:val="28"/>
                <w:szCs w:val="28"/>
                <w:lang w:val="en-US" w:eastAsia="zh-CN"/>
              </w:rPr>
              <w:t>项目</w:t>
            </w:r>
            <w:r>
              <w:rPr>
                <w:rFonts w:hint="default" w:ascii="Times New Roman" w:hAnsi="Times New Roman" w:eastAsia="Times New Roman"/>
                <w:color w:val="auto"/>
                <w:sz w:val="28"/>
                <w:szCs w:val="28"/>
                <w:lang w:val="zh-CN"/>
              </w:rPr>
              <w:t>符合国家的产业发展政策，符合</w:t>
            </w:r>
            <w:r>
              <w:rPr>
                <w:rFonts w:hint="eastAsia" w:ascii="Times New Roman" w:hAnsi="Times New Roman" w:eastAsia="Times New Roman"/>
                <w:color w:val="auto"/>
                <w:sz w:val="28"/>
                <w:szCs w:val="28"/>
                <w:lang w:val="en-US" w:eastAsia="zh-CN"/>
              </w:rPr>
              <w:t>生态环境分区管控要求</w:t>
            </w:r>
            <w:r>
              <w:rPr>
                <w:rFonts w:hint="default" w:ascii="Times New Roman" w:hAnsi="Times New Roman" w:eastAsia="Times New Roman"/>
                <w:color w:val="auto"/>
                <w:sz w:val="28"/>
                <w:szCs w:val="28"/>
                <w:lang w:val="zh-CN"/>
              </w:rPr>
              <w:t>，建设区域无明显环境制约因素</w:t>
            </w:r>
            <w:r>
              <w:rPr>
                <w:rFonts w:hint="eastAsia" w:ascii="Times New Roman" w:hAnsi="Times New Roman" w:eastAsia="Times New Roman"/>
                <w:color w:val="auto"/>
                <w:sz w:val="28"/>
                <w:szCs w:val="28"/>
                <w:lang w:val="zh-CN"/>
              </w:rPr>
              <w:t>，</w:t>
            </w:r>
            <w:r>
              <w:rPr>
                <w:rFonts w:hint="default" w:ascii="Times New Roman" w:hAnsi="Times New Roman" w:eastAsia="Times New Roman"/>
                <w:color w:val="auto"/>
                <w:sz w:val="28"/>
                <w:szCs w:val="28"/>
                <w:lang w:val="zh-CN"/>
              </w:rPr>
              <w:t>项目运营过程中废水、废气、噪声、固废等污染物，对周围环境空气质量、水环境、声环境等造成一定不利影响，经采取综合性</w:t>
            </w:r>
            <w:r>
              <w:rPr>
                <w:rFonts w:hint="default" w:ascii="Times New Roman" w:hAnsi="Times New Roman" w:eastAsia="Times New Roman"/>
                <w:color w:val="auto"/>
                <w:sz w:val="24"/>
                <w:szCs w:val="24"/>
                <w:lang w:val="zh-CN"/>
              </w:rPr>
              <w:t>、积极有效的防治措施并确保污染物达标排放后，可避免或减少这些不利影响，影响均在环境可接受的范围内。</w:t>
            </w:r>
          </w:p>
          <w:p>
            <w:pPr>
              <w:ind w:firstLine="480"/>
              <w:rPr>
                <w:rFonts w:hint="default" w:ascii="Times New Roman" w:hAnsi="Times New Roman" w:eastAsia="Times New Roman"/>
                <w:color w:val="auto"/>
                <w:sz w:val="24"/>
                <w:szCs w:val="24"/>
                <w:lang w:val="zh-CN"/>
              </w:rPr>
            </w:pPr>
            <w:r>
              <w:rPr>
                <w:rFonts w:hint="default" w:ascii="Times New Roman" w:hAnsi="Times New Roman" w:eastAsia="Times New Roman"/>
                <w:color w:val="auto"/>
                <w:sz w:val="24"/>
                <w:szCs w:val="24"/>
                <w:lang w:val="zh-CN"/>
              </w:rPr>
              <w:t>综上所述，在认真执行建设项目“三同时”制度，切实落实各项规划方案的要求，完成本次环境影响评价提出的各项污染防治措施，严格落实各项环保措施和环境管理机构的要求的前提下，确保各污染物达标排放，对周围的环境影响较小。从环境保护角度分析，该项目的建设是可行的。</w:t>
            </w:r>
          </w:p>
          <w:p>
            <w:pPr>
              <w:ind w:firstLine="480"/>
              <w:jc w:val="right"/>
              <w:rPr>
                <w:rFonts w:hint="default" w:eastAsia="宋体"/>
                <w:color w:val="auto"/>
                <w:lang w:val="en-US" w:eastAsia="zh-CN"/>
              </w:rPr>
            </w:pPr>
          </w:p>
        </w:tc>
      </w:tr>
    </w:tbl>
    <w:p>
      <w:pPr>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keepNext w:val="0"/>
        <w:widowControl w:val="0"/>
        <w:numPr>
          <w:ilvl w:val="1"/>
          <w:numId w:val="0"/>
        </w:numPr>
        <w:tabs>
          <w:tab w:val="left" w:pos="5297"/>
        </w:tabs>
        <w:autoSpaceDE w:val="0"/>
        <w:autoSpaceDN w:val="0"/>
        <w:adjustRightInd w:val="0"/>
        <w:spacing w:before="26" w:after="0"/>
        <w:ind w:leftChars="0"/>
        <w:jc w:val="left"/>
        <w:outlineLvl w:val="0"/>
        <w:rPr>
          <w:rFonts w:hint="eastAsia" w:ascii="Times New Roman" w:hAnsi="Times New Roman" w:eastAsia="宋体"/>
          <w:b/>
          <w:bCs w:val="0"/>
          <w:i w:val="0"/>
          <w:iCs w:val="0"/>
          <w:color w:val="auto"/>
          <w:kern w:val="2"/>
          <w:sz w:val="24"/>
          <w:szCs w:val="20"/>
          <w:lang w:eastAsia="zh-CN"/>
        </w:rPr>
      </w:pPr>
      <w:bookmarkStart w:id="50" w:name="_Toc32120"/>
      <w:bookmarkStart w:id="51" w:name="_Toc82533859"/>
      <w:bookmarkStart w:id="52" w:name="_Toc85809949"/>
      <w:bookmarkStart w:id="53" w:name="_Toc31384"/>
      <w:bookmarkStart w:id="54" w:name="_Toc100588868"/>
      <w:bookmarkStart w:id="55" w:name="_Toc98752637"/>
      <w:bookmarkStart w:id="56" w:name="_Toc86071407"/>
      <w:r>
        <w:rPr>
          <w:rFonts w:hint="eastAsia" w:ascii="Times New Roman" w:hAnsi="Times New Roman" w:eastAsia="宋体"/>
          <w:b/>
          <w:bCs w:val="0"/>
          <w:i w:val="0"/>
          <w:iCs w:val="0"/>
          <w:color w:val="auto"/>
          <w:kern w:val="2"/>
          <w:sz w:val="24"/>
          <w:szCs w:val="20"/>
        </w:rPr>
        <w:t>附表：建设项目污染物排放量汇总表</w:t>
      </w:r>
      <w:bookmarkEnd w:id="50"/>
      <w:bookmarkEnd w:id="51"/>
      <w:bookmarkEnd w:id="52"/>
      <w:bookmarkEnd w:id="53"/>
      <w:bookmarkEnd w:id="54"/>
      <w:bookmarkEnd w:id="55"/>
      <w:bookmarkEnd w:id="56"/>
      <w:r>
        <w:rPr>
          <w:rFonts w:hint="eastAsia"/>
          <w:b/>
          <w:bCs w:val="0"/>
          <w:i w:val="0"/>
          <w:iCs w:val="0"/>
          <w:color w:val="auto"/>
          <w:kern w:val="2"/>
          <w:sz w:val="24"/>
          <w:szCs w:val="20"/>
          <w:lang w:eastAsia="zh-CN"/>
        </w:rPr>
        <w:tab/>
      </w:r>
    </w:p>
    <w:tbl>
      <w:tblPr>
        <w:tblStyle w:val="26"/>
        <w:tblW w:w="499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514"/>
        <w:gridCol w:w="1563"/>
        <w:gridCol w:w="1645"/>
        <w:gridCol w:w="1685"/>
        <w:gridCol w:w="1586"/>
        <w:gridCol w:w="1784"/>
        <w:gridCol w:w="1951"/>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tcBorders>
              <w:top w:val="single" w:color="auto" w:sz="4" w:space="0"/>
              <w:left w:val="single" w:color="auto" w:sz="4" w:space="0"/>
              <w:bottom w:val="single" w:color="auto" w:sz="4" w:space="0"/>
              <w:right w:val="single" w:color="auto" w:sz="4" w:space="0"/>
              <w:tl2br w:val="nil"/>
              <w:tr2bl w:val="nil"/>
            </w:tcBorders>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34"/>
              <w:snapToGrid w:val="0"/>
              <w:spacing w:line="240" w:lineRule="auto"/>
              <w:jc w:val="left"/>
              <w:rPr>
                <w:rFonts w:ascii="Times New Roman" w:hAnsi="Times New Roman" w:eastAsia="黑体"/>
                <w:b w:val="0"/>
                <w:bCs w:val="0"/>
                <w:snapToGrid w:val="0"/>
                <w:color w:val="auto"/>
                <w:spacing w:val="-6"/>
                <w:kern w:val="21"/>
                <w:sz w:val="18"/>
                <w:szCs w:val="18"/>
              </w:rPr>
            </w:pPr>
          </w:p>
          <w:p>
            <w:pPr>
              <w:pStyle w:val="34"/>
              <w:snapToGrid w:val="0"/>
              <w:spacing w:line="240" w:lineRule="auto"/>
              <w:jc w:val="left"/>
              <w:rPr>
                <w:rFonts w:ascii="Times New Roman" w:hAnsi="Times New Roman" w:eastAsia="黑体"/>
                <w:b w:val="0"/>
                <w:bCs w:val="0"/>
                <w:snapToGrid w:val="0"/>
                <w:color w:val="auto"/>
                <w:spacing w:val="-6"/>
                <w:kern w:val="21"/>
                <w:sz w:val="18"/>
                <w:szCs w:val="18"/>
              </w:rPr>
            </w:pPr>
          </w:p>
          <w:p>
            <w:pPr>
              <w:pStyle w:val="34"/>
              <w:snapToGrid w:val="0"/>
              <w:spacing w:line="240" w:lineRule="auto"/>
              <w:jc w:val="left"/>
              <mc:AlternateContent>
                <mc:Choice Requires="wpsCustomData">
                  <wpsCustomData:diagonalParaType/>
                </mc:Choice>
              </mc:AlternateContent>
              <w:rPr>
                <w:rFonts w:hint="default" w:ascii="Times New Roman" w:hAnsi="Times New Roman" w:eastAsia="黑体"/>
                <w:b w:val="0"/>
                <w:bCs w:val="0"/>
                <w:snapToGrid w:val="0"/>
                <w:color w:val="auto"/>
                <w:spacing w:val="-6"/>
                <w:kern w:val="21"/>
                <w:sz w:val="18"/>
                <w:szCs w:val="18"/>
                <w:lang w:val="en-US" w:eastAsia="zh-CN" w:bidi="ar-SA"/>
              </w:rPr>
            </w:pPr>
            <w:r>
              <w:rPr>
                <w:rFonts w:ascii="Times New Roman" w:hAnsi="Times New Roman" w:eastAsia="黑体"/>
                <w:b w:val="0"/>
                <w:bCs w:val="0"/>
                <w:snapToGrid w:val="0"/>
                <w:color w:val="auto"/>
                <w:spacing w:val="-6"/>
                <w:kern w:val="21"/>
                <w:sz w:val="18"/>
                <w:szCs w:val="18"/>
              </w:rPr>
              <w:t>分类</w:t>
            </w:r>
          </w:p>
          <w:p>
            <w:pPr>
              <w:pStyle w:val="34"/>
              <w:spacing w:line="240" w:lineRule="auto"/>
              <w:jc w:val="right"/>
              <w:rPr>
                <w:rFonts w:ascii="Times New Roman" w:hAnsi="Times New Roman" w:eastAsia="黑体"/>
                <w:b w:val="0"/>
                <w:bCs w:val="0"/>
                <w:snapToGrid w:val="0"/>
                <w:color w:val="auto"/>
                <w:spacing w:val="-6"/>
                <w:kern w:val="21"/>
                <w:sz w:val="18"/>
                <w:szCs w:val="18"/>
              </w:rPr>
            </w:pPr>
            <w:r>
              <w:rPr>
                <w:rFonts w:ascii="Times New Roman" w:hAnsi="Times New Roman" w:eastAsia="黑体"/>
                <w:b w:val="0"/>
                <w:bCs w:val="0"/>
                <w:snapToGrid w:val="0"/>
                <w:color w:val="auto"/>
                <w:spacing w:val="-6"/>
                <w:kern w:val="21"/>
                <w:sz w:val="18"/>
                <w:szCs w:val="18"/>
              </w:rPr>
              <w:t>项目</w:t>
            </w:r>
          </w:p>
          <w:p>
            <w:pPr>
              <w:pStyle w:val="34"/>
              <w:spacing w:line="240" w:lineRule="auto"/>
              <w:jc w:val="left"/>
              <w:rPr>
                <w:rFonts w:hint="default" w:ascii="Times New Roman" w:hAnsi="Times New Roman" w:eastAsia="黑体"/>
                <w:b w:val="0"/>
                <w:bCs w:val="0"/>
                <w:snapToGrid w:val="0"/>
                <w:color w:val="auto"/>
                <w:spacing w:val="-6"/>
                <w:kern w:val="21"/>
                <w:sz w:val="18"/>
                <w:szCs w:val="18"/>
                <w:lang w:val="en-US" w:eastAsia="zh-CN" w:bidi="ar-SA"/>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4"/>
              <w:spacing w:line="240" w:lineRule="auto"/>
              <w:rPr>
                <w:rFonts w:hint="default" w:ascii="Times New Roman" w:hAnsi="Times New Roman" w:eastAsia="黑体"/>
                <w:b w:val="0"/>
                <w:bCs w:val="0"/>
                <w:snapToGrid w:val="0"/>
                <w:color w:val="auto"/>
                <w:spacing w:val="-6"/>
                <w:kern w:val="21"/>
                <w:sz w:val="18"/>
                <w:szCs w:val="18"/>
                <w:lang w:val="en-US" w:eastAsia="zh-CN" w:bidi="ar-SA"/>
              </w:rPr>
            </w:pPr>
            <w:r>
              <w:rPr>
                <w:rFonts w:ascii="Times New Roman" w:hAnsi="Times New Roman" w:eastAsia="黑体"/>
                <w:b w:val="0"/>
                <w:bCs w:val="0"/>
                <w:snapToGrid w:val="0"/>
                <w:color w:val="auto"/>
                <w:spacing w:val="-6"/>
                <w:kern w:val="21"/>
                <w:sz w:val="18"/>
                <w:szCs w:val="18"/>
              </w:rPr>
              <w:t>污染物名称</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4"/>
              <w:spacing w:line="240" w:lineRule="auto"/>
              <w:rPr>
                <w:rFonts w:ascii="Times New Roman" w:hAnsi="Times New Roman" w:eastAsia="黑体"/>
                <w:b w:val="0"/>
                <w:bCs w:val="0"/>
                <w:snapToGrid w:val="0"/>
                <w:color w:val="auto"/>
                <w:spacing w:val="-6"/>
                <w:kern w:val="21"/>
                <w:sz w:val="18"/>
                <w:szCs w:val="18"/>
              </w:rPr>
            </w:pPr>
            <w:r>
              <w:rPr>
                <w:rFonts w:ascii="Times New Roman" w:hAnsi="Times New Roman" w:eastAsia="黑体"/>
                <w:b w:val="0"/>
                <w:bCs w:val="0"/>
                <w:snapToGrid w:val="0"/>
                <w:color w:val="auto"/>
                <w:spacing w:val="-6"/>
                <w:kern w:val="21"/>
                <w:sz w:val="18"/>
                <w:szCs w:val="18"/>
              </w:rPr>
              <w:t>现有工程</w:t>
            </w:r>
          </w:p>
          <w:p>
            <w:pPr>
              <w:pStyle w:val="34"/>
              <w:spacing w:line="240" w:lineRule="auto"/>
              <w:rPr>
                <w:rFonts w:hint="default" w:ascii="Times New Roman" w:hAnsi="Times New Roman" w:eastAsia="黑体"/>
                <w:b w:val="0"/>
                <w:bCs w:val="0"/>
                <w:snapToGrid w:val="0"/>
                <w:color w:val="auto"/>
                <w:spacing w:val="-6"/>
                <w:kern w:val="21"/>
                <w:sz w:val="18"/>
                <w:szCs w:val="18"/>
                <w:lang w:val="en-US" w:eastAsia="zh-CN" w:bidi="ar-SA"/>
              </w:rPr>
            </w:pPr>
            <w:r>
              <w:rPr>
                <w:rFonts w:ascii="Times New Roman" w:hAnsi="Times New Roman" w:eastAsia="黑体"/>
                <w:b w:val="0"/>
                <w:bCs w:val="0"/>
                <w:snapToGrid w:val="0"/>
                <w:color w:val="auto"/>
                <w:spacing w:val="-6"/>
                <w:kern w:val="21"/>
                <w:sz w:val="18"/>
                <w:szCs w:val="18"/>
              </w:rPr>
              <w:t>排放量（固体废物产生量）</w:t>
            </w:r>
            <w:r>
              <w:rPr>
                <w:rFonts w:ascii="Times New Roman" w:hAnsi="Times New Roman" w:eastAsia="黑体"/>
                <w:b w:val="0"/>
                <w:bCs w:val="0"/>
                <w:snapToGrid w:val="0"/>
                <w:color w:val="auto"/>
                <w:spacing w:val="-6"/>
                <w:kern w:val="21"/>
                <w:sz w:val="18"/>
                <w:szCs w:val="18"/>
              </w:rPr>
              <w:fldChar w:fldCharType="begin"/>
            </w:r>
            <w:r>
              <w:rPr>
                <w:rFonts w:ascii="Times New Roman" w:hAnsi="Times New Roman" w:eastAsia="黑体"/>
                <w:b w:val="0"/>
                <w:bCs w:val="0"/>
                <w:snapToGrid w:val="0"/>
                <w:color w:val="auto"/>
                <w:spacing w:val="-6"/>
                <w:kern w:val="21"/>
                <w:sz w:val="18"/>
                <w:szCs w:val="18"/>
              </w:rPr>
              <w:instrText xml:space="preserve"> = 1 \* GB3 \* MERGEFORMAT </w:instrText>
            </w:r>
            <w:r>
              <w:rPr>
                <w:rFonts w:ascii="Times New Roman" w:hAnsi="Times New Roman" w:eastAsia="黑体"/>
                <w:b w:val="0"/>
                <w:bCs w:val="0"/>
                <w:snapToGrid w:val="0"/>
                <w:color w:val="auto"/>
                <w:spacing w:val="-6"/>
                <w:kern w:val="21"/>
                <w:sz w:val="18"/>
                <w:szCs w:val="18"/>
              </w:rPr>
              <w:fldChar w:fldCharType="separate"/>
            </w:r>
            <w:r>
              <w:rPr>
                <w:rFonts w:hint="eastAsia" w:ascii="宋体" w:hAnsi="宋体" w:cs="宋体"/>
                <w:b w:val="0"/>
                <w:bCs w:val="0"/>
                <w:color w:val="auto"/>
                <w:kern w:val="2"/>
                <w:sz w:val="18"/>
                <w:szCs w:val="18"/>
              </w:rPr>
              <w:t>①</w:t>
            </w:r>
            <w:r>
              <w:rPr>
                <w:rFonts w:ascii="Times New Roman" w:hAnsi="Times New Roman" w:eastAsia="黑体"/>
                <w:b w:val="0"/>
                <w:bCs w:val="0"/>
                <w:snapToGrid w:val="0"/>
                <w:color w:val="auto"/>
                <w:spacing w:val="-6"/>
                <w:kern w:val="21"/>
                <w:sz w:val="18"/>
                <w:szCs w:val="18"/>
              </w:rPr>
              <w:fldChar w:fldCharType="end"/>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4"/>
              <w:spacing w:line="240" w:lineRule="auto"/>
              <w:rPr>
                <w:rFonts w:ascii="Times New Roman" w:hAnsi="Times New Roman" w:eastAsia="黑体"/>
                <w:b w:val="0"/>
                <w:bCs w:val="0"/>
                <w:snapToGrid w:val="0"/>
                <w:color w:val="auto"/>
                <w:spacing w:val="-6"/>
                <w:kern w:val="21"/>
                <w:sz w:val="18"/>
                <w:szCs w:val="18"/>
              </w:rPr>
            </w:pPr>
            <w:r>
              <w:rPr>
                <w:rFonts w:ascii="Times New Roman" w:hAnsi="Times New Roman" w:eastAsia="黑体"/>
                <w:b w:val="0"/>
                <w:bCs w:val="0"/>
                <w:snapToGrid w:val="0"/>
                <w:color w:val="auto"/>
                <w:spacing w:val="-6"/>
                <w:kern w:val="21"/>
                <w:sz w:val="18"/>
                <w:szCs w:val="18"/>
              </w:rPr>
              <w:t>现有工程</w:t>
            </w:r>
          </w:p>
          <w:p>
            <w:pPr>
              <w:pStyle w:val="34"/>
              <w:spacing w:line="240" w:lineRule="auto"/>
              <w:rPr>
                <w:rFonts w:hint="default" w:ascii="Times New Roman" w:hAnsi="Times New Roman" w:eastAsia="黑体"/>
                <w:b w:val="0"/>
                <w:bCs w:val="0"/>
                <w:snapToGrid w:val="0"/>
                <w:color w:val="auto"/>
                <w:spacing w:val="-6"/>
                <w:kern w:val="21"/>
                <w:sz w:val="18"/>
                <w:szCs w:val="18"/>
                <w:lang w:val="en-US" w:eastAsia="zh-CN" w:bidi="ar-SA"/>
              </w:rPr>
            </w:pPr>
            <w:r>
              <w:rPr>
                <w:rFonts w:ascii="Times New Roman" w:hAnsi="Times New Roman" w:eastAsia="黑体"/>
                <w:b w:val="0"/>
                <w:bCs w:val="0"/>
                <w:snapToGrid w:val="0"/>
                <w:color w:val="auto"/>
                <w:spacing w:val="-6"/>
                <w:kern w:val="21"/>
                <w:sz w:val="18"/>
                <w:szCs w:val="18"/>
              </w:rPr>
              <w:t>许可排放量</w:t>
            </w:r>
            <w:r>
              <w:rPr>
                <w:rFonts w:ascii="Times New Roman" w:hAnsi="Times New Roman" w:eastAsia="黑体"/>
                <w:b w:val="0"/>
                <w:bCs w:val="0"/>
                <w:snapToGrid w:val="0"/>
                <w:color w:val="auto"/>
                <w:spacing w:val="-6"/>
                <w:kern w:val="21"/>
                <w:sz w:val="18"/>
                <w:szCs w:val="18"/>
              </w:rPr>
              <w:fldChar w:fldCharType="begin"/>
            </w:r>
            <w:r>
              <w:rPr>
                <w:rFonts w:ascii="Times New Roman" w:hAnsi="Times New Roman" w:eastAsia="黑体"/>
                <w:b w:val="0"/>
                <w:bCs w:val="0"/>
                <w:snapToGrid w:val="0"/>
                <w:color w:val="auto"/>
                <w:spacing w:val="-6"/>
                <w:kern w:val="21"/>
                <w:sz w:val="18"/>
                <w:szCs w:val="18"/>
              </w:rPr>
              <w:instrText xml:space="preserve"> = 2 \* GB3 \* MERGEFORMAT </w:instrText>
            </w:r>
            <w:r>
              <w:rPr>
                <w:rFonts w:ascii="Times New Roman" w:hAnsi="Times New Roman" w:eastAsia="黑体"/>
                <w:b w:val="0"/>
                <w:bCs w:val="0"/>
                <w:snapToGrid w:val="0"/>
                <w:color w:val="auto"/>
                <w:spacing w:val="-6"/>
                <w:kern w:val="21"/>
                <w:sz w:val="18"/>
                <w:szCs w:val="18"/>
              </w:rPr>
              <w:fldChar w:fldCharType="separate"/>
            </w:r>
            <w:r>
              <w:rPr>
                <w:rFonts w:hint="eastAsia" w:ascii="宋体" w:hAnsi="宋体" w:cs="宋体"/>
                <w:b w:val="0"/>
                <w:bCs w:val="0"/>
                <w:snapToGrid w:val="0"/>
                <w:color w:val="auto"/>
                <w:spacing w:val="-6"/>
                <w:kern w:val="21"/>
                <w:sz w:val="18"/>
                <w:szCs w:val="18"/>
              </w:rPr>
              <w:t>②</w:t>
            </w:r>
            <w:r>
              <w:rPr>
                <w:rFonts w:ascii="Times New Roman" w:hAnsi="Times New Roman" w:eastAsia="黑体"/>
                <w:b w:val="0"/>
                <w:bCs w:val="0"/>
                <w:snapToGrid w:val="0"/>
                <w:color w:val="auto"/>
                <w:spacing w:val="-6"/>
                <w:kern w:val="21"/>
                <w:sz w:val="18"/>
                <w:szCs w:val="18"/>
              </w:rPr>
              <w:fldChar w:fldCharType="end"/>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4"/>
              <w:spacing w:line="240" w:lineRule="auto"/>
              <w:rPr>
                <w:rFonts w:ascii="Times New Roman" w:hAnsi="Times New Roman" w:eastAsia="黑体"/>
                <w:b w:val="0"/>
                <w:bCs w:val="0"/>
                <w:snapToGrid w:val="0"/>
                <w:color w:val="auto"/>
                <w:spacing w:val="-6"/>
                <w:kern w:val="21"/>
                <w:sz w:val="18"/>
                <w:szCs w:val="18"/>
              </w:rPr>
            </w:pPr>
            <w:r>
              <w:rPr>
                <w:rFonts w:ascii="Times New Roman" w:hAnsi="Times New Roman" w:eastAsia="黑体"/>
                <w:b w:val="0"/>
                <w:bCs w:val="0"/>
                <w:snapToGrid w:val="0"/>
                <w:color w:val="auto"/>
                <w:spacing w:val="-6"/>
                <w:kern w:val="21"/>
                <w:sz w:val="18"/>
                <w:szCs w:val="18"/>
              </w:rPr>
              <w:t>在建工程</w:t>
            </w:r>
          </w:p>
          <w:p>
            <w:pPr>
              <w:pStyle w:val="34"/>
              <w:spacing w:line="240" w:lineRule="auto"/>
              <w:rPr>
                <w:rFonts w:hint="default" w:ascii="Times New Roman" w:hAnsi="Times New Roman" w:eastAsia="黑体"/>
                <w:b w:val="0"/>
                <w:bCs w:val="0"/>
                <w:snapToGrid w:val="0"/>
                <w:color w:val="auto"/>
                <w:spacing w:val="-6"/>
                <w:kern w:val="21"/>
                <w:sz w:val="18"/>
                <w:szCs w:val="18"/>
                <w:lang w:val="en-US" w:eastAsia="zh-CN" w:bidi="ar-SA"/>
              </w:rPr>
            </w:pPr>
            <w:r>
              <w:rPr>
                <w:rFonts w:ascii="Times New Roman" w:hAnsi="Times New Roman" w:eastAsia="黑体"/>
                <w:b w:val="0"/>
                <w:bCs w:val="0"/>
                <w:snapToGrid w:val="0"/>
                <w:color w:val="auto"/>
                <w:spacing w:val="-6"/>
                <w:kern w:val="21"/>
                <w:sz w:val="18"/>
                <w:szCs w:val="18"/>
              </w:rPr>
              <w:t>排放量（固体废物产生量）</w:t>
            </w:r>
            <w:r>
              <w:rPr>
                <w:rFonts w:ascii="Times New Roman" w:hAnsi="Times New Roman" w:eastAsia="黑体"/>
                <w:b w:val="0"/>
                <w:bCs w:val="0"/>
                <w:snapToGrid w:val="0"/>
                <w:color w:val="auto"/>
                <w:spacing w:val="-6"/>
                <w:kern w:val="21"/>
                <w:sz w:val="18"/>
                <w:szCs w:val="18"/>
              </w:rPr>
              <w:fldChar w:fldCharType="begin"/>
            </w:r>
            <w:r>
              <w:rPr>
                <w:rFonts w:ascii="Times New Roman" w:hAnsi="Times New Roman" w:eastAsia="黑体"/>
                <w:b w:val="0"/>
                <w:bCs w:val="0"/>
                <w:snapToGrid w:val="0"/>
                <w:color w:val="auto"/>
                <w:spacing w:val="-6"/>
                <w:kern w:val="21"/>
                <w:sz w:val="18"/>
                <w:szCs w:val="18"/>
              </w:rPr>
              <w:instrText xml:space="preserve"> = 3 \* GB3 \* MERGEFORMAT </w:instrText>
            </w:r>
            <w:r>
              <w:rPr>
                <w:rFonts w:ascii="Times New Roman" w:hAnsi="Times New Roman" w:eastAsia="黑体"/>
                <w:b w:val="0"/>
                <w:bCs w:val="0"/>
                <w:snapToGrid w:val="0"/>
                <w:color w:val="auto"/>
                <w:spacing w:val="-6"/>
                <w:kern w:val="21"/>
                <w:sz w:val="18"/>
                <w:szCs w:val="18"/>
              </w:rPr>
              <w:fldChar w:fldCharType="separate"/>
            </w:r>
            <w:r>
              <w:rPr>
                <w:rFonts w:hint="eastAsia" w:ascii="宋体" w:hAnsi="宋体" w:cs="宋体"/>
                <w:b w:val="0"/>
                <w:bCs w:val="0"/>
                <w:color w:val="auto"/>
                <w:kern w:val="2"/>
                <w:sz w:val="18"/>
                <w:szCs w:val="18"/>
              </w:rPr>
              <w:t>③</w:t>
            </w:r>
            <w:r>
              <w:rPr>
                <w:rFonts w:ascii="Times New Roman" w:hAnsi="Times New Roman" w:eastAsia="黑体"/>
                <w:b w:val="0"/>
                <w:bCs w:val="0"/>
                <w:snapToGrid w:val="0"/>
                <w:color w:val="auto"/>
                <w:spacing w:val="-6"/>
                <w:kern w:val="21"/>
                <w:sz w:val="18"/>
                <w:szCs w:val="18"/>
              </w:rPr>
              <w:fldChar w:fldCharType="end"/>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4"/>
              <w:spacing w:line="240" w:lineRule="auto"/>
              <w:rPr>
                <w:rFonts w:ascii="Times New Roman" w:hAnsi="Times New Roman" w:eastAsia="黑体"/>
                <w:b w:val="0"/>
                <w:bCs w:val="0"/>
                <w:snapToGrid w:val="0"/>
                <w:color w:val="auto"/>
                <w:spacing w:val="-6"/>
                <w:kern w:val="21"/>
                <w:sz w:val="18"/>
                <w:szCs w:val="18"/>
              </w:rPr>
            </w:pPr>
            <w:r>
              <w:rPr>
                <w:rFonts w:ascii="Times New Roman" w:hAnsi="Times New Roman" w:eastAsia="黑体"/>
                <w:b w:val="0"/>
                <w:bCs w:val="0"/>
                <w:snapToGrid w:val="0"/>
                <w:color w:val="auto"/>
                <w:spacing w:val="-6"/>
                <w:kern w:val="21"/>
                <w:sz w:val="18"/>
                <w:szCs w:val="18"/>
              </w:rPr>
              <w:t>本项目</w:t>
            </w:r>
          </w:p>
          <w:p>
            <w:pPr>
              <w:pStyle w:val="34"/>
              <w:spacing w:line="240" w:lineRule="auto"/>
              <w:rPr>
                <w:rFonts w:hint="default" w:ascii="Times New Roman" w:hAnsi="Times New Roman" w:eastAsia="黑体"/>
                <w:b w:val="0"/>
                <w:bCs w:val="0"/>
                <w:snapToGrid w:val="0"/>
                <w:color w:val="auto"/>
                <w:spacing w:val="-6"/>
                <w:kern w:val="21"/>
                <w:sz w:val="18"/>
                <w:szCs w:val="18"/>
                <w:lang w:val="en-US" w:eastAsia="zh-CN" w:bidi="ar-SA"/>
              </w:rPr>
            </w:pPr>
            <w:r>
              <w:rPr>
                <w:rFonts w:ascii="Times New Roman" w:hAnsi="Times New Roman" w:eastAsia="黑体"/>
                <w:b w:val="0"/>
                <w:bCs w:val="0"/>
                <w:snapToGrid w:val="0"/>
                <w:color w:val="auto"/>
                <w:spacing w:val="-6"/>
                <w:kern w:val="21"/>
                <w:sz w:val="18"/>
                <w:szCs w:val="18"/>
              </w:rPr>
              <w:t>排放量（固体废物产生量）</w:t>
            </w:r>
            <w:r>
              <w:rPr>
                <w:rFonts w:ascii="Times New Roman" w:hAnsi="Times New Roman" w:eastAsia="黑体"/>
                <w:b w:val="0"/>
                <w:bCs w:val="0"/>
                <w:snapToGrid w:val="0"/>
                <w:color w:val="auto"/>
                <w:spacing w:val="-6"/>
                <w:kern w:val="21"/>
                <w:sz w:val="18"/>
                <w:szCs w:val="18"/>
              </w:rPr>
              <w:fldChar w:fldCharType="begin"/>
            </w:r>
            <w:r>
              <w:rPr>
                <w:rFonts w:ascii="Times New Roman" w:hAnsi="Times New Roman" w:eastAsia="黑体"/>
                <w:b w:val="0"/>
                <w:bCs w:val="0"/>
                <w:snapToGrid w:val="0"/>
                <w:color w:val="auto"/>
                <w:spacing w:val="-6"/>
                <w:kern w:val="21"/>
                <w:sz w:val="18"/>
                <w:szCs w:val="18"/>
              </w:rPr>
              <w:instrText xml:space="preserve"> = 4 \* GB3 \* MERGEFORMAT </w:instrText>
            </w:r>
            <w:r>
              <w:rPr>
                <w:rFonts w:ascii="Times New Roman" w:hAnsi="Times New Roman" w:eastAsia="黑体"/>
                <w:b w:val="0"/>
                <w:bCs w:val="0"/>
                <w:snapToGrid w:val="0"/>
                <w:color w:val="auto"/>
                <w:spacing w:val="-6"/>
                <w:kern w:val="21"/>
                <w:sz w:val="18"/>
                <w:szCs w:val="18"/>
              </w:rPr>
              <w:fldChar w:fldCharType="separate"/>
            </w:r>
            <w:r>
              <w:rPr>
                <w:rFonts w:hint="eastAsia" w:ascii="宋体" w:hAnsi="宋体" w:cs="宋体"/>
                <w:b w:val="0"/>
                <w:bCs w:val="0"/>
                <w:color w:val="auto"/>
                <w:kern w:val="2"/>
                <w:sz w:val="18"/>
                <w:szCs w:val="18"/>
              </w:rPr>
              <w:t>④</w:t>
            </w:r>
            <w:r>
              <w:rPr>
                <w:rFonts w:ascii="Times New Roman" w:hAnsi="Times New Roman" w:eastAsia="黑体"/>
                <w:b w:val="0"/>
                <w:bCs w:val="0"/>
                <w:snapToGrid w:val="0"/>
                <w:color w:val="auto"/>
                <w:spacing w:val="-6"/>
                <w:kern w:val="21"/>
                <w:sz w:val="18"/>
                <w:szCs w:val="18"/>
              </w:rPr>
              <w:fldChar w:fldCharType="end"/>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4"/>
              <w:spacing w:line="240" w:lineRule="auto"/>
              <w:rPr>
                <w:rFonts w:ascii="Times New Roman" w:hAnsi="Times New Roman" w:eastAsia="黑体"/>
                <w:b w:val="0"/>
                <w:bCs w:val="0"/>
                <w:snapToGrid w:val="0"/>
                <w:color w:val="auto"/>
                <w:spacing w:val="-16"/>
                <w:kern w:val="21"/>
                <w:sz w:val="18"/>
                <w:szCs w:val="18"/>
              </w:rPr>
            </w:pPr>
            <w:r>
              <w:rPr>
                <w:rFonts w:ascii="Times New Roman" w:hAnsi="Times New Roman" w:eastAsia="黑体"/>
                <w:b w:val="0"/>
                <w:bCs w:val="0"/>
                <w:snapToGrid w:val="0"/>
                <w:color w:val="auto"/>
                <w:spacing w:val="-16"/>
                <w:kern w:val="21"/>
                <w:sz w:val="18"/>
                <w:szCs w:val="18"/>
              </w:rPr>
              <w:t>以新带老削减量</w:t>
            </w:r>
          </w:p>
          <w:p>
            <w:pPr>
              <w:pStyle w:val="34"/>
              <w:spacing w:line="240" w:lineRule="auto"/>
              <w:rPr>
                <w:rFonts w:hint="default" w:ascii="Times New Roman" w:hAnsi="Times New Roman" w:eastAsia="黑体"/>
                <w:b w:val="0"/>
                <w:bCs w:val="0"/>
                <w:snapToGrid w:val="0"/>
                <w:color w:val="auto"/>
                <w:spacing w:val="-16"/>
                <w:kern w:val="21"/>
                <w:sz w:val="18"/>
                <w:szCs w:val="18"/>
                <w:lang w:val="en-US" w:eastAsia="zh-CN" w:bidi="ar-SA"/>
              </w:rPr>
            </w:pPr>
            <w:r>
              <w:rPr>
                <w:rFonts w:ascii="Times New Roman" w:hAnsi="Times New Roman" w:eastAsia="黑体"/>
                <w:b w:val="0"/>
                <w:bCs w:val="0"/>
                <w:snapToGrid w:val="0"/>
                <w:color w:val="auto"/>
                <w:spacing w:val="-16"/>
                <w:kern w:val="21"/>
                <w:sz w:val="18"/>
                <w:szCs w:val="18"/>
              </w:rPr>
              <w:t>（新建项目不填）</w:t>
            </w:r>
            <w:r>
              <w:rPr>
                <w:rFonts w:ascii="Times New Roman" w:hAnsi="Times New Roman" w:eastAsia="黑体"/>
                <w:b w:val="0"/>
                <w:bCs w:val="0"/>
                <w:snapToGrid w:val="0"/>
                <w:color w:val="auto"/>
                <w:spacing w:val="-16"/>
                <w:kern w:val="21"/>
                <w:sz w:val="18"/>
                <w:szCs w:val="18"/>
              </w:rPr>
              <w:fldChar w:fldCharType="begin"/>
            </w:r>
            <w:r>
              <w:rPr>
                <w:rFonts w:ascii="Times New Roman" w:hAnsi="Times New Roman" w:eastAsia="黑体"/>
                <w:b w:val="0"/>
                <w:bCs w:val="0"/>
                <w:snapToGrid w:val="0"/>
                <w:color w:val="auto"/>
                <w:spacing w:val="-16"/>
                <w:kern w:val="21"/>
                <w:sz w:val="18"/>
                <w:szCs w:val="18"/>
              </w:rPr>
              <w:instrText xml:space="preserve"> = 5 \* GB3 \* MERGEFORMAT </w:instrText>
            </w:r>
            <w:r>
              <w:rPr>
                <w:rFonts w:ascii="Times New Roman" w:hAnsi="Times New Roman" w:eastAsia="黑体"/>
                <w:b w:val="0"/>
                <w:bCs w:val="0"/>
                <w:snapToGrid w:val="0"/>
                <w:color w:val="auto"/>
                <w:spacing w:val="-16"/>
                <w:kern w:val="21"/>
                <w:sz w:val="18"/>
                <w:szCs w:val="18"/>
              </w:rPr>
              <w:fldChar w:fldCharType="separate"/>
            </w:r>
            <w:r>
              <w:rPr>
                <w:rFonts w:hint="eastAsia" w:ascii="宋体" w:hAnsi="宋体" w:cs="宋体"/>
                <w:b w:val="0"/>
                <w:bCs w:val="0"/>
                <w:color w:val="auto"/>
                <w:kern w:val="2"/>
                <w:sz w:val="18"/>
                <w:szCs w:val="18"/>
              </w:rPr>
              <w:t>⑤</w:t>
            </w:r>
            <w:r>
              <w:rPr>
                <w:rFonts w:ascii="Times New Roman" w:hAnsi="Times New Roman" w:eastAsia="黑体"/>
                <w:b w:val="0"/>
                <w:bCs w:val="0"/>
                <w:snapToGrid w:val="0"/>
                <w:color w:val="auto"/>
                <w:spacing w:val="-16"/>
                <w:kern w:val="21"/>
                <w:sz w:val="18"/>
                <w:szCs w:val="18"/>
              </w:rPr>
              <w:fldChar w:fldCharType="end"/>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4"/>
              <w:spacing w:line="240" w:lineRule="auto"/>
              <w:rPr>
                <w:rFonts w:ascii="Times New Roman" w:hAnsi="Times New Roman" w:eastAsia="黑体"/>
                <w:b w:val="0"/>
                <w:bCs w:val="0"/>
                <w:snapToGrid w:val="0"/>
                <w:color w:val="auto"/>
                <w:spacing w:val="-16"/>
                <w:kern w:val="21"/>
                <w:sz w:val="18"/>
                <w:szCs w:val="18"/>
              </w:rPr>
            </w:pPr>
            <w:r>
              <w:rPr>
                <w:rFonts w:ascii="Times New Roman" w:hAnsi="Times New Roman" w:eastAsia="黑体"/>
                <w:b w:val="0"/>
                <w:bCs w:val="0"/>
                <w:snapToGrid w:val="0"/>
                <w:color w:val="auto"/>
                <w:spacing w:val="-16"/>
                <w:kern w:val="21"/>
                <w:sz w:val="18"/>
                <w:szCs w:val="18"/>
              </w:rPr>
              <w:t>本项目建成后</w:t>
            </w:r>
          </w:p>
          <w:p>
            <w:pPr>
              <w:pStyle w:val="34"/>
              <w:spacing w:line="240" w:lineRule="auto"/>
              <w:rPr>
                <w:rFonts w:hint="default" w:ascii="Times New Roman" w:hAnsi="Times New Roman" w:eastAsia="黑体"/>
                <w:b w:val="0"/>
                <w:bCs w:val="0"/>
                <w:snapToGrid w:val="0"/>
                <w:color w:val="auto"/>
                <w:spacing w:val="-16"/>
                <w:kern w:val="21"/>
                <w:sz w:val="18"/>
                <w:szCs w:val="18"/>
                <w:lang w:val="en-US" w:eastAsia="zh-CN" w:bidi="ar-SA"/>
              </w:rPr>
            </w:pPr>
            <w:r>
              <w:rPr>
                <w:rFonts w:ascii="Times New Roman" w:hAnsi="Times New Roman" w:eastAsia="黑体"/>
                <w:b w:val="0"/>
                <w:bCs w:val="0"/>
                <w:snapToGrid w:val="0"/>
                <w:color w:val="auto"/>
                <w:spacing w:val="-16"/>
                <w:kern w:val="21"/>
                <w:sz w:val="18"/>
                <w:szCs w:val="18"/>
              </w:rPr>
              <w:t>全厂排放量（固体废物产生量）</w:t>
            </w:r>
            <w:r>
              <w:rPr>
                <w:rFonts w:ascii="Times New Roman" w:hAnsi="Times New Roman" w:eastAsia="黑体"/>
                <w:b w:val="0"/>
                <w:bCs w:val="0"/>
                <w:snapToGrid w:val="0"/>
                <w:color w:val="auto"/>
                <w:spacing w:val="-16"/>
                <w:kern w:val="21"/>
                <w:sz w:val="18"/>
                <w:szCs w:val="18"/>
              </w:rPr>
              <w:fldChar w:fldCharType="begin"/>
            </w:r>
            <w:r>
              <w:rPr>
                <w:rFonts w:ascii="Times New Roman" w:hAnsi="Times New Roman" w:eastAsia="黑体"/>
                <w:b w:val="0"/>
                <w:bCs w:val="0"/>
                <w:snapToGrid w:val="0"/>
                <w:color w:val="auto"/>
                <w:spacing w:val="-16"/>
                <w:kern w:val="21"/>
                <w:sz w:val="18"/>
                <w:szCs w:val="18"/>
              </w:rPr>
              <w:instrText xml:space="preserve"> = 6 \* GB3 \* MERGEFORMAT </w:instrText>
            </w:r>
            <w:r>
              <w:rPr>
                <w:rFonts w:ascii="Times New Roman" w:hAnsi="Times New Roman" w:eastAsia="黑体"/>
                <w:b w:val="0"/>
                <w:bCs w:val="0"/>
                <w:snapToGrid w:val="0"/>
                <w:color w:val="auto"/>
                <w:spacing w:val="-16"/>
                <w:kern w:val="21"/>
                <w:sz w:val="18"/>
                <w:szCs w:val="18"/>
              </w:rPr>
              <w:fldChar w:fldCharType="separate"/>
            </w:r>
            <w:r>
              <w:rPr>
                <w:rFonts w:hint="eastAsia" w:ascii="宋体" w:hAnsi="宋体" w:cs="宋体"/>
                <w:b w:val="0"/>
                <w:bCs w:val="0"/>
                <w:color w:val="auto"/>
                <w:kern w:val="2"/>
                <w:sz w:val="18"/>
                <w:szCs w:val="18"/>
              </w:rPr>
              <w:t>⑥</w:t>
            </w:r>
            <w:r>
              <w:rPr>
                <w:rFonts w:ascii="Times New Roman" w:hAnsi="Times New Roman" w:eastAsia="黑体"/>
                <w:b w:val="0"/>
                <w:bCs w:val="0"/>
                <w:snapToGrid w:val="0"/>
                <w:color w:val="auto"/>
                <w:spacing w:val="-16"/>
                <w:kern w:val="21"/>
                <w:sz w:val="18"/>
                <w:szCs w:val="18"/>
              </w:rPr>
              <w:fldChar w:fldCharType="end"/>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4"/>
              <w:spacing w:line="240" w:lineRule="auto"/>
              <w:rPr>
                <w:rFonts w:ascii="Times New Roman" w:hAnsi="Times New Roman" w:eastAsia="黑体"/>
                <w:b w:val="0"/>
                <w:bCs w:val="0"/>
                <w:snapToGrid w:val="0"/>
                <w:color w:val="auto"/>
                <w:spacing w:val="-6"/>
                <w:kern w:val="21"/>
                <w:sz w:val="18"/>
                <w:szCs w:val="18"/>
              </w:rPr>
            </w:pPr>
            <w:r>
              <w:rPr>
                <w:rFonts w:ascii="Times New Roman" w:hAnsi="Times New Roman" w:eastAsia="黑体"/>
                <w:b w:val="0"/>
                <w:bCs w:val="0"/>
                <w:snapToGrid w:val="0"/>
                <w:color w:val="auto"/>
                <w:spacing w:val="-6"/>
                <w:kern w:val="21"/>
                <w:sz w:val="18"/>
                <w:szCs w:val="18"/>
              </w:rPr>
              <w:t>变化量</w:t>
            </w:r>
          </w:p>
          <w:p>
            <w:pPr>
              <w:pStyle w:val="34"/>
              <w:spacing w:line="240" w:lineRule="auto"/>
              <w:rPr>
                <w:rFonts w:hint="default" w:ascii="Times New Roman" w:hAnsi="Times New Roman" w:eastAsia="黑体"/>
                <w:b w:val="0"/>
                <w:bCs w:val="0"/>
                <w:snapToGrid w:val="0"/>
                <w:color w:val="auto"/>
                <w:spacing w:val="-6"/>
                <w:kern w:val="21"/>
                <w:sz w:val="18"/>
                <w:szCs w:val="18"/>
                <w:lang w:val="en-US" w:eastAsia="zh-CN" w:bidi="ar-SA"/>
              </w:rPr>
            </w:pPr>
            <w:r>
              <w:rPr>
                <w:rFonts w:ascii="Times New Roman" w:hAnsi="Times New Roman" w:eastAsia="黑体"/>
                <w:b w:val="0"/>
                <w:bCs w:val="0"/>
                <w:snapToGrid w:val="0"/>
                <w:color w:val="auto"/>
                <w:spacing w:val="-6"/>
                <w:kern w:val="21"/>
                <w:sz w:val="18"/>
                <w:szCs w:val="18"/>
              </w:rPr>
              <w:fldChar w:fldCharType="begin"/>
            </w:r>
            <w:r>
              <w:rPr>
                <w:rFonts w:ascii="Times New Roman" w:hAnsi="Times New Roman" w:eastAsia="黑体"/>
                <w:b w:val="0"/>
                <w:bCs w:val="0"/>
                <w:snapToGrid w:val="0"/>
                <w:color w:val="auto"/>
                <w:spacing w:val="-6"/>
                <w:kern w:val="21"/>
                <w:sz w:val="18"/>
                <w:szCs w:val="18"/>
              </w:rPr>
              <w:instrText xml:space="preserve"> = 7 \* GB3 \* MERGEFORMAT </w:instrText>
            </w:r>
            <w:r>
              <w:rPr>
                <w:rFonts w:ascii="Times New Roman" w:hAnsi="Times New Roman" w:eastAsia="黑体"/>
                <w:b w:val="0"/>
                <w:bCs w:val="0"/>
                <w:snapToGrid w:val="0"/>
                <w:color w:val="auto"/>
                <w:spacing w:val="-6"/>
                <w:kern w:val="21"/>
                <w:sz w:val="18"/>
                <w:szCs w:val="18"/>
              </w:rPr>
              <w:fldChar w:fldCharType="separate"/>
            </w:r>
            <w:r>
              <w:rPr>
                <w:rFonts w:hint="eastAsia" w:ascii="宋体" w:hAnsi="宋体" w:cs="宋体"/>
                <w:b w:val="0"/>
                <w:bCs w:val="0"/>
                <w:color w:val="auto"/>
                <w:kern w:val="2"/>
                <w:sz w:val="18"/>
                <w:szCs w:val="18"/>
              </w:rPr>
              <w:t>⑦</w:t>
            </w:r>
            <w:r>
              <w:rPr>
                <w:rFonts w:ascii="Times New Roman" w:hAnsi="Times New Roman" w:eastAsia="黑体"/>
                <w:b w:val="0"/>
                <w:bCs w:val="0"/>
                <w:snapToGrid w:val="0"/>
                <w:color w:val="auto"/>
                <w:spacing w:val="-6"/>
                <w:kern w:val="21"/>
                <w:sz w:val="18"/>
                <w:szCs w:val="18"/>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line="240" w:lineRule="auto"/>
              <w:ind w:right="5"/>
              <w:jc w:val="center"/>
              <w:rPr>
                <w:rFonts w:hint="default" w:ascii="Times New Roman" w:eastAsia="Times New Roman"/>
                <w:b w:val="0"/>
                <w:bCs w:val="0"/>
                <w:snapToGrid w:val="0"/>
                <w:color w:val="auto"/>
                <w:spacing w:val="-6"/>
                <w:kern w:val="21"/>
                <w:sz w:val="18"/>
                <w:szCs w:val="18"/>
              </w:rPr>
            </w:pPr>
            <w:r>
              <w:rPr>
                <w:rFonts w:hint="eastAsia" w:ascii="Times New Roman"/>
                <w:b w:val="0"/>
                <w:bCs w:val="0"/>
                <w:color w:val="auto"/>
                <w:sz w:val="18"/>
                <w:szCs w:val="18"/>
              </w:rPr>
              <w:t>废气</w:t>
            </w: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eastAsia="Times New Roman"/>
                <w:b w:val="0"/>
                <w:bCs w:val="0"/>
                <w:snapToGrid w:val="0"/>
                <w:color w:val="auto"/>
                <w:spacing w:val="-6"/>
                <w:kern w:val="21"/>
                <w:sz w:val="18"/>
                <w:szCs w:val="18"/>
              </w:rPr>
            </w:pPr>
            <w:r>
              <w:rPr>
                <w:b w:val="0"/>
                <w:bCs w:val="0"/>
                <w:color w:val="auto"/>
                <w:sz w:val="18"/>
                <w:szCs w:val="18"/>
              </w:rPr>
              <w:t>氨</w:t>
            </w:r>
            <w:r>
              <w:rPr>
                <w:rFonts w:hint="default" w:ascii="Times New Roman" w:eastAsia="Times New Roman"/>
                <w:b w:val="0"/>
                <w:bCs w:val="0"/>
                <w:color w:val="auto"/>
                <w:sz w:val="18"/>
                <w:szCs w:val="18"/>
              </w:rPr>
              <w:t>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4"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4"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rPr>
            </w:pPr>
            <w:r>
              <w:rPr>
                <w:rFonts w:hint="default" w:ascii="Times New Roman" w:hAnsi="Times New Roman" w:eastAsia="Times New Roman" w:cs="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Times New Roman" w:cs="Times New Roman"/>
                <w:b w:val="0"/>
                <w:bCs w:val="0"/>
                <w:color w:val="auto"/>
                <w:sz w:val="18"/>
                <w:szCs w:val="18"/>
                <w:lang w:val="en-US" w:eastAsia="zh-CN"/>
              </w:rPr>
            </w:pPr>
            <w:r>
              <w:rPr>
                <w:rFonts w:hint="default" w:ascii="Times New Roman" w:hAnsi="Times New Roman" w:eastAsia="宋体" w:cs="Times New Roman"/>
                <w:b w:val="0"/>
                <w:bCs w:val="0"/>
                <w:color w:val="auto"/>
                <w:kern w:val="0"/>
                <w:sz w:val="18"/>
                <w:szCs w:val="18"/>
                <w:lang w:val="en-US" w:eastAsia="zh-CN" w:bidi="ar"/>
              </w:rPr>
              <w:t>0.00</w:t>
            </w:r>
            <w:r>
              <w:rPr>
                <w:rFonts w:hint="eastAsia" w:ascii="Times New Roman" w:hAnsi="Times New Roman" w:eastAsia="宋体" w:cs="Times New Roman"/>
                <w:b w:val="0"/>
                <w:bCs w:val="0"/>
                <w:color w:val="auto"/>
                <w:kern w:val="0"/>
                <w:sz w:val="18"/>
                <w:szCs w:val="18"/>
                <w:lang w:val="en-US" w:eastAsia="zh-CN" w:bidi="ar"/>
              </w:rPr>
              <w:t>3</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lang w:val="en-US" w:eastAsia="zh-CN"/>
              </w:rPr>
            </w:pPr>
            <w:r>
              <w:rPr>
                <w:rFonts w:hint="default" w:ascii="Times New Roman" w:hAnsi="Times New Roman" w:eastAsia="Times New Roman" w:cs="Times New Roman"/>
                <w:b w:val="0"/>
                <w:bCs w:val="0"/>
                <w:color w:val="auto"/>
                <w:sz w:val="18"/>
                <w:szCs w:val="18"/>
                <w:lang w:val="en-US" w:eastAsia="zh-CN"/>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lang w:val="en-US" w:eastAsia="zh-CN"/>
              </w:rPr>
            </w:pPr>
            <w:r>
              <w:rPr>
                <w:rFonts w:hint="eastAsia" w:ascii="Times New Roman" w:hAnsi="Times New Roman" w:eastAsia="宋体" w:cs="Times New Roman"/>
                <w:b w:val="0"/>
                <w:bCs w:val="0"/>
                <w:color w:val="auto"/>
                <w:kern w:val="0"/>
                <w:sz w:val="18"/>
                <w:szCs w:val="18"/>
                <w:lang w:val="en-US" w:eastAsia="zh-CN" w:bidi="ar"/>
              </w:rPr>
              <w:t>+</w:t>
            </w:r>
            <w:r>
              <w:rPr>
                <w:rFonts w:hint="default" w:ascii="Times New Roman" w:hAnsi="Times New Roman" w:eastAsia="宋体" w:cs="Times New Roman"/>
                <w:b w:val="0"/>
                <w:bCs w:val="0"/>
                <w:color w:val="auto"/>
                <w:kern w:val="0"/>
                <w:sz w:val="18"/>
                <w:szCs w:val="18"/>
                <w:lang w:val="en-US" w:eastAsia="zh-CN" w:bidi="ar"/>
              </w:rPr>
              <w:t>0.00</w:t>
            </w:r>
            <w:r>
              <w:rPr>
                <w:rFonts w:hint="eastAsia" w:ascii="Times New Roman" w:hAnsi="Times New Roman" w:eastAsia="宋体" w:cs="Times New Roman"/>
                <w:b w:val="0"/>
                <w:bCs w:val="0"/>
                <w:color w:val="auto"/>
                <w:kern w:val="0"/>
                <w:sz w:val="18"/>
                <w:szCs w:val="18"/>
                <w:lang w:val="en-US" w:eastAsia="zh-CN" w:bidi="ar"/>
              </w:rPr>
              <w:t>3</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default" w:ascii="Times New Roman" w:hAnsi="Times New Roman" w:eastAsia="宋体" w:cs="Times New Roman"/>
                <w:b w:val="0"/>
                <w:bCs w:val="0"/>
                <w:color w:val="auto"/>
                <w:kern w:val="0"/>
                <w:sz w:val="18"/>
                <w:szCs w:val="18"/>
                <w:lang w:val="en-US" w:eastAsia="zh-CN" w:bidi="ar"/>
              </w:rPr>
              <w:t>0.00</w:t>
            </w:r>
            <w:r>
              <w:rPr>
                <w:rFonts w:hint="eastAsia" w:ascii="Times New Roman" w:hAnsi="Times New Roman" w:eastAsia="宋体" w:cs="Times New Roman"/>
                <w:b w:val="0"/>
                <w:bCs w:val="0"/>
                <w:color w:val="auto"/>
                <w:kern w:val="0"/>
                <w:sz w:val="18"/>
                <w:szCs w:val="18"/>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0" w:line="240" w:lineRule="auto"/>
              <w:ind w:left="495"/>
              <w:jc w:val="center"/>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eastAsia="Times New Roman"/>
                <w:b w:val="0"/>
                <w:bCs w:val="0"/>
                <w:snapToGrid w:val="0"/>
                <w:color w:val="auto"/>
                <w:spacing w:val="-6"/>
                <w:kern w:val="21"/>
                <w:sz w:val="18"/>
                <w:szCs w:val="18"/>
              </w:rPr>
            </w:pPr>
            <w:r>
              <w:rPr>
                <w:b w:val="0"/>
                <w:bCs w:val="0"/>
                <w:color w:val="auto"/>
                <w:sz w:val="18"/>
                <w:szCs w:val="18"/>
              </w:rPr>
              <w:t>硫化氢</w:t>
            </w:r>
            <w:r>
              <w:rPr>
                <w:rFonts w:hint="eastAsia" w:ascii="Times New Roman" w:eastAsia="宋体"/>
                <w:b w:val="0"/>
                <w:bCs w:val="0"/>
                <w:color w:val="auto"/>
                <w:sz w:val="18"/>
                <w:szCs w:val="18"/>
                <w:lang w:eastAsia="zh-CN"/>
              </w:rPr>
              <w:t>（</w:t>
            </w:r>
            <w:r>
              <w:rPr>
                <w:rFonts w:hint="default" w:ascii="Times New Roman" w:eastAsia="Times New Roman"/>
                <w:b w:val="0"/>
                <w:bCs w:val="0"/>
                <w:color w:val="auto"/>
                <w:sz w:val="18"/>
                <w:szCs w:val="18"/>
              </w:rPr>
              <w: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rPr>
            </w:pPr>
            <w:r>
              <w:rPr>
                <w:rFonts w:hint="default" w:ascii="Times New Roman" w:hAnsi="Times New Roman" w:eastAsia="Times New Roman" w:cs="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Times New Roman" w:cs="Times New Roman"/>
                <w:b w:val="0"/>
                <w:bCs w:val="0"/>
                <w:color w:val="auto"/>
                <w:sz w:val="18"/>
                <w:szCs w:val="18"/>
                <w:lang w:val="en-US" w:eastAsia="zh-CN"/>
              </w:rPr>
            </w:pPr>
            <w:r>
              <w:rPr>
                <w:rFonts w:hint="default" w:ascii="Times New Roman" w:hAnsi="Times New Roman" w:eastAsia="宋体" w:cs="Times New Roman"/>
                <w:b w:val="0"/>
                <w:bCs w:val="0"/>
                <w:color w:val="auto"/>
                <w:kern w:val="0"/>
                <w:sz w:val="18"/>
                <w:szCs w:val="18"/>
                <w:lang w:val="en-US" w:eastAsia="zh-CN" w:bidi="ar"/>
              </w:rPr>
              <w:t>0.0001</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lang w:val="en-US" w:eastAsia="zh-CN"/>
              </w:rPr>
            </w:pPr>
            <w:r>
              <w:rPr>
                <w:rFonts w:hint="default" w:ascii="Times New Roman" w:hAnsi="Times New Roman" w:eastAsia="Times New Roman" w:cs="Times New Roman"/>
                <w:b w:val="0"/>
                <w:bCs w:val="0"/>
                <w:color w:val="auto"/>
                <w:sz w:val="18"/>
                <w:szCs w:val="18"/>
                <w:lang w:val="en-US" w:eastAsia="zh-CN"/>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default" w:ascii="Times New Roman" w:hAnsi="Times New Roman" w:eastAsia="宋体" w:cs="Times New Roman"/>
                <w:b w:val="0"/>
                <w:bCs w:val="0"/>
                <w:color w:val="auto"/>
                <w:kern w:val="0"/>
                <w:sz w:val="18"/>
                <w:szCs w:val="18"/>
                <w:lang w:val="en-US" w:eastAsia="zh-CN" w:bidi="ar"/>
              </w:rPr>
              <w:t>0.0001</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default" w:ascii="Times New Roman" w:hAnsi="Times New Roman" w:eastAsia="宋体" w:cs="Times New Roman"/>
                <w:b w:val="0"/>
                <w:bCs w:val="0"/>
                <w:color w:val="auto"/>
                <w:kern w:val="0"/>
                <w:sz w:val="18"/>
                <w:szCs w:val="18"/>
                <w:lang w:val="en-US" w:eastAsia="zh-CN" w:bidi="ar"/>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ind w:left="495"/>
              <w:jc w:val="center"/>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58"/>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eastAsia="Times New Roman"/>
                <w:b w:val="0"/>
                <w:bCs w:val="0"/>
                <w:snapToGrid w:val="0"/>
                <w:color w:val="auto"/>
                <w:spacing w:val="-6"/>
                <w:kern w:val="21"/>
                <w:sz w:val="18"/>
                <w:szCs w:val="18"/>
              </w:rPr>
            </w:pPr>
            <w:r>
              <w:rPr>
                <w:b w:val="0"/>
                <w:bCs w:val="0"/>
                <w:color w:val="auto"/>
                <w:sz w:val="18"/>
                <w:szCs w:val="18"/>
              </w:rPr>
              <w:t>油烟</w:t>
            </w:r>
            <w:r>
              <w:rPr>
                <w:rFonts w:hint="eastAsia"/>
                <w:b w:val="0"/>
                <w:bCs w:val="0"/>
                <w:color w:val="auto"/>
                <w:sz w:val="18"/>
                <w:szCs w:val="18"/>
                <w:lang w:eastAsia="zh-CN"/>
              </w:rPr>
              <w:t>（</w:t>
            </w:r>
            <w:r>
              <w:rPr>
                <w:rFonts w:hint="default" w:ascii="Times New Roman" w:eastAsia="Times New Roman"/>
                <w:b w:val="0"/>
                <w:bCs w:val="0"/>
                <w:color w:val="auto"/>
                <w:sz w:val="18"/>
                <w:szCs w:val="18"/>
              </w:rPr>
              <w:t>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rPr>
            </w:pPr>
            <w:r>
              <w:rPr>
                <w:rFonts w:hint="default" w:ascii="Times New Roman" w:hAnsi="Times New Roman" w:eastAsia="Times New Roman" w:cs="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Times New Roman" w:cs="Times New Roman"/>
                <w:b w:val="0"/>
                <w:bCs w:val="0"/>
                <w:color w:val="auto"/>
                <w:sz w:val="18"/>
                <w:szCs w:val="18"/>
                <w:lang w:val="en-US" w:eastAsia="zh-CN"/>
              </w:rPr>
            </w:pPr>
            <w:r>
              <w:rPr>
                <w:b w:val="0"/>
                <w:bCs w:val="0"/>
                <w:color w:val="auto"/>
                <w:kern w:val="0"/>
                <w:sz w:val="18"/>
                <w:szCs w:val="18"/>
                <w:lang w:bidi="ar"/>
              </w:rPr>
              <w:t>0.0</w:t>
            </w:r>
            <w:r>
              <w:rPr>
                <w:rFonts w:hint="eastAsia"/>
                <w:b w:val="0"/>
                <w:bCs w:val="0"/>
                <w:color w:val="auto"/>
                <w:kern w:val="0"/>
                <w:sz w:val="18"/>
                <w:szCs w:val="18"/>
                <w:lang w:val="en-US" w:eastAsia="zh-CN" w:bidi="ar"/>
              </w:rPr>
              <w:t>2606</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lang w:val="en-US" w:eastAsia="zh-CN"/>
              </w:rPr>
            </w:pPr>
            <w:r>
              <w:rPr>
                <w:rFonts w:hint="default" w:ascii="Times New Roman" w:hAnsi="Times New Roman" w:eastAsia="Times New Roman" w:cs="Times New Roman"/>
                <w:b w:val="0"/>
                <w:bCs w:val="0"/>
                <w:color w:val="auto"/>
                <w:sz w:val="18"/>
                <w:szCs w:val="18"/>
                <w:lang w:val="en-US" w:eastAsia="zh-CN"/>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b w:val="0"/>
                <w:bCs w:val="0"/>
                <w:color w:val="auto"/>
                <w:kern w:val="0"/>
                <w:sz w:val="18"/>
                <w:szCs w:val="18"/>
                <w:lang w:bidi="ar"/>
              </w:rPr>
              <w:t>0.0</w:t>
            </w:r>
            <w:r>
              <w:rPr>
                <w:rFonts w:hint="eastAsia"/>
                <w:b w:val="0"/>
                <w:bCs w:val="0"/>
                <w:color w:val="auto"/>
                <w:kern w:val="0"/>
                <w:sz w:val="18"/>
                <w:szCs w:val="18"/>
                <w:lang w:val="en-US" w:eastAsia="zh-CN" w:bidi="ar"/>
              </w:rPr>
              <w:t>2606</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b w:val="0"/>
                <w:bCs w:val="0"/>
                <w:color w:val="auto"/>
                <w:kern w:val="0"/>
                <w:sz w:val="18"/>
                <w:szCs w:val="18"/>
                <w:lang w:bidi="ar"/>
              </w:rPr>
              <w:t>0.0</w:t>
            </w:r>
            <w:r>
              <w:rPr>
                <w:rFonts w:hint="eastAsia"/>
                <w:b w:val="0"/>
                <w:bCs w:val="0"/>
                <w:color w:val="auto"/>
                <w:kern w:val="0"/>
                <w:sz w:val="18"/>
                <w:szCs w:val="18"/>
                <w:lang w:val="en-US" w:eastAsia="zh-CN" w:bidi="ar"/>
              </w:rPr>
              <w:t>2606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restart"/>
            <w:tcBorders>
              <w:top w:val="single" w:color="auto" w:sz="4" w:space="0"/>
              <w:left w:val="single" w:color="auto" w:sz="4" w:space="0"/>
              <w:right w:val="single" w:color="auto" w:sz="4" w:space="0"/>
              <w:tl2br w:val="nil"/>
              <w:tr2bl w:val="nil"/>
            </w:tcBorders>
            <w:noWrap w:val="0"/>
            <w:vAlign w:val="center"/>
          </w:tcPr>
          <w:p>
            <w:pPr>
              <w:pStyle w:val="79"/>
              <w:kinsoku w:val="0"/>
              <w:overflowPunct w:val="0"/>
              <w:spacing w:line="240" w:lineRule="auto"/>
              <w:ind w:right="5"/>
              <w:jc w:val="center"/>
              <w:rPr>
                <w:rFonts w:hint="default" w:ascii="Times New Roman" w:eastAsia="Times New Roman"/>
                <w:b w:val="0"/>
                <w:bCs w:val="0"/>
                <w:color w:val="auto"/>
                <w:sz w:val="18"/>
                <w:szCs w:val="18"/>
              </w:rPr>
            </w:pPr>
            <w:r>
              <w:rPr>
                <w:rFonts w:hint="eastAsia" w:ascii="Times New Roman"/>
                <w:b w:val="0"/>
                <w:bCs w:val="0"/>
                <w:color w:val="auto"/>
                <w:sz w:val="18"/>
                <w:szCs w:val="18"/>
              </w:rPr>
              <w:t>废水</w:t>
            </w: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5" w:line="240" w:lineRule="auto"/>
              <w:ind w:left="2"/>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position w:val="2"/>
                <w:sz w:val="18"/>
                <w:szCs w:val="18"/>
              </w:rPr>
              <w:t>COD</w:t>
            </w:r>
            <w:r>
              <w:rPr>
                <w:rFonts w:hint="default" w:ascii="Times New Roman" w:eastAsia="Times New Roman"/>
                <w:b w:val="0"/>
                <w:bCs w:val="0"/>
                <w:color w:val="auto"/>
                <w:sz w:val="18"/>
                <w:szCs w:val="18"/>
                <w:vertAlign w:val="subscript"/>
              </w:rPr>
              <w:t>Cr</w:t>
            </w:r>
            <w:r>
              <w:rPr>
                <w:rFonts w:hint="default" w:ascii="Times New Roman" w:eastAsia="Times New Roman"/>
                <w:b w:val="0"/>
                <w:bCs w:val="0"/>
                <w:color w:val="auto"/>
                <w:sz w:val="18"/>
                <w:szCs w:val="18"/>
              </w:rPr>
              <w:t>(t/a)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rPr>
            </w:pPr>
            <w:r>
              <w:rPr>
                <w:rFonts w:hint="default" w:ascii="Times New Roman" w:hAnsi="Times New Roman" w:eastAsia="Times New Roman" w:cs="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cs="Times New Roman"/>
                <w:b w:val="0"/>
                <w:bCs w:val="0"/>
                <w:i w:val="0"/>
                <w:iCs w:val="0"/>
                <w:color w:val="auto"/>
                <w:kern w:val="0"/>
                <w:sz w:val="18"/>
                <w:szCs w:val="18"/>
                <w:u w:val="none"/>
                <w:lang w:val="en-US" w:eastAsia="zh-CN" w:bidi="ar"/>
              </w:rPr>
              <w:t xml:space="preserve">3.6264 </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8" w:line="240" w:lineRule="auto"/>
              <w:jc w:val="center"/>
              <w:rPr>
                <w:rFonts w:hint="default" w:ascii="Times New Roman" w:hAnsi="Times New Roman" w:eastAsia="Times New Roman" w:cs="Times New Roman"/>
                <w:b w:val="0"/>
                <w:bCs w:val="0"/>
                <w:color w:val="auto"/>
                <w:sz w:val="18"/>
                <w:szCs w:val="18"/>
              </w:rPr>
            </w:pPr>
            <w:r>
              <w:rPr>
                <w:rFonts w:hint="default" w:ascii="Times New Roman" w:hAnsi="Times New Roman" w:eastAsia="Times New Roman" w:cs="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cs="Times New Roman"/>
                <w:b w:val="0"/>
                <w:bCs w:val="0"/>
                <w:i w:val="0"/>
                <w:iCs w:val="0"/>
                <w:color w:val="auto"/>
                <w:kern w:val="0"/>
                <w:sz w:val="18"/>
                <w:szCs w:val="18"/>
                <w:u w:val="none"/>
                <w:lang w:val="en-US" w:eastAsia="zh-CN" w:bidi="ar"/>
              </w:rPr>
              <w:t xml:space="preserve">3.6264 </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cs="Times New Roman"/>
                <w:b w:val="0"/>
                <w:bCs w:val="0"/>
                <w:i w:val="0"/>
                <w:iCs w:val="0"/>
                <w:color w:val="auto"/>
                <w:kern w:val="0"/>
                <w:sz w:val="18"/>
                <w:szCs w:val="18"/>
                <w:u w:val="none"/>
                <w:lang w:val="en-US" w:eastAsia="zh-CN" w:bidi="ar"/>
              </w:rPr>
              <w:t xml:space="preserve">3.6264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center"/>
          </w:tcPr>
          <w:p>
            <w:pPr>
              <w:pStyle w:val="79"/>
              <w:kinsoku w:val="0"/>
              <w:overflowPunct w:val="0"/>
              <w:spacing w:line="240" w:lineRule="auto"/>
              <w:ind w:right="5"/>
              <w:jc w:val="center"/>
              <w:rPr>
                <w:rFonts w:hint="default" w:ascii="Times New Roman" w:eastAsia="Times New Roman"/>
                <w:b w:val="0"/>
                <w:bCs w:val="0"/>
                <w:color w:val="auto"/>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5" w:line="240" w:lineRule="auto"/>
              <w:ind w:left="2"/>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position w:val="2"/>
                <w:sz w:val="18"/>
                <w:szCs w:val="18"/>
              </w:rPr>
              <w:t>BOD</w:t>
            </w:r>
            <w:r>
              <w:rPr>
                <w:rFonts w:hint="default" w:ascii="Times New Roman" w:eastAsia="Times New Roman"/>
                <w:b w:val="0"/>
                <w:bCs w:val="0"/>
                <w:color w:val="auto"/>
                <w:sz w:val="18"/>
                <w:szCs w:val="18"/>
                <w:vertAlign w:val="subscript"/>
              </w:rPr>
              <w:t>5</w:t>
            </w:r>
            <w:r>
              <w:rPr>
                <w:rFonts w:hint="default" w:ascii="Times New Roman" w:eastAsia="Times New Roman"/>
                <w:b w:val="0"/>
                <w:bCs w:val="0"/>
                <w:color w:val="auto"/>
                <w:sz w:val="18"/>
                <w:szCs w:val="18"/>
              </w:rPr>
              <w:t>(t/a)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eastAsia" w:ascii="Times New Roman" w:cs="Times New Roman"/>
                <w:b w:val="0"/>
                <w:bCs w:val="0"/>
                <w:i w:val="0"/>
                <w:iCs w:val="0"/>
                <w:color w:val="auto"/>
                <w:kern w:val="0"/>
                <w:sz w:val="18"/>
                <w:szCs w:val="18"/>
                <w:u w:val="none"/>
                <w:lang w:val="en-US" w:eastAsia="zh-CN" w:bidi="ar"/>
              </w:rPr>
              <w:t xml:space="preserve">1.1605 </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rightChars="0"/>
              <w:jc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cs="Times New Roman"/>
                <w:b w:val="0"/>
                <w:bCs w:val="0"/>
                <w:i w:val="0"/>
                <w:iCs w:val="0"/>
                <w:color w:val="auto"/>
                <w:kern w:val="0"/>
                <w:sz w:val="18"/>
                <w:szCs w:val="18"/>
                <w:u w:val="none"/>
                <w:lang w:val="en-US" w:eastAsia="zh-CN" w:bidi="ar"/>
              </w:rPr>
              <w:t xml:space="preserve">1.1605 </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rightChars="0"/>
              <w:jc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cs="Times New Roman"/>
                <w:b w:val="0"/>
                <w:bCs w:val="0"/>
                <w:i w:val="0"/>
                <w:iCs w:val="0"/>
                <w:color w:val="auto"/>
                <w:kern w:val="0"/>
                <w:sz w:val="18"/>
                <w:szCs w:val="18"/>
                <w:u w:val="none"/>
                <w:lang w:val="en-US" w:eastAsia="zh-CN" w:bidi="ar"/>
              </w:rPr>
              <w:t xml:space="preserve">1.1605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center"/>
          </w:tcPr>
          <w:p>
            <w:pPr>
              <w:pStyle w:val="79"/>
              <w:kinsoku w:val="0"/>
              <w:overflowPunct w:val="0"/>
              <w:spacing w:line="240" w:lineRule="auto"/>
              <w:ind w:right="5"/>
              <w:jc w:val="center"/>
              <w:rPr>
                <w:rFonts w:hint="default" w:ascii="Times New Roman" w:eastAsia="Times New Roman"/>
                <w:b w:val="0"/>
                <w:bCs w:val="0"/>
                <w:color w:val="auto"/>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8" w:line="240" w:lineRule="auto"/>
              <w:ind w:right="1"/>
              <w:jc w:val="center"/>
              <w:rPr>
                <w:rFonts w:hint="default" w:ascii="Times New Roman" w:eastAsia="Times New Roman"/>
                <w:b w:val="0"/>
                <w:bCs w:val="0"/>
                <w:snapToGrid w:val="0"/>
                <w:color w:val="auto"/>
                <w:spacing w:val="-6"/>
                <w:kern w:val="21"/>
                <w:sz w:val="18"/>
                <w:szCs w:val="18"/>
              </w:rPr>
            </w:pPr>
            <w:r>
              <w:rPr>
                <w:rFonts w:hint="eastAsia" w:ascii="Times New Roman"/>
                <w:b w:val="0"/>
                <w:bCs w:val="0"/>
                <w:color w:val="auto"/>
                <w:sz w:val="18"/>
                <w:szCs w:val="18"/>
              </w:rPr>
              <w:t>氨氮</w:t>
            </w:r>
            <w:r>
              <w:rPr>
                <w:rFonts w:hint="default" w:ascii="Times New Roman" w:eastAsia="Times New Roman"/>
                <w:b w:val="0"/>
                <w:bCs w:val="0"/>
                <w:color w:val="auto"/>
                <w:sz w:val="18"/>
                <w:szCs w:val="18"/>
              </w:rPr>
              <w:t>(t/a)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4"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4"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4"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eastAsia" w:ascii="Times New Roman" w:cs="Times New Roman"/>
                <w:b w:val="0"/>
                <w:bCs w:val="0"/>
                <w:i w:val="0"/>
                <w:iCs w:val="0"/>
                <w:color w:val="auto"/>
                <w:kern w:val="0"/>
                <w:sz w:val="18"/>
                <w:szCs w:val="18"/>
                <w:u w:val="none"/>
                <w:lang w:val="en-US" w:eastAsia="zh-CN" w:bidi="ar"/>
              </w:rPr>
              <w:t xml:space="preserve">0.6745 </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rightChars="0"/>
              <w:jc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cs="Times New Roman"/>
                <w:b w:val="0"/>
                <w:bCs w:val="0"/>
                <w:i w:val="0"/>
                <w:iCs w:val="0"/>
                <w:color w:val="auto"/>
                <w:kern w:val="0"/>
                <w:sz w:val="18"/>
                <w:szCs w:val="18"/>
                <w:u w:val="none"/>
                <w:lang w:val="en-US" w:eastAsia="zh-CN" w:bidi="ar"/>
              </w:rPr>
              <w:t xml:space="preserve">0.6745 </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rightChars="0"/>
              <w:jc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cs="Times New Roman"/>
                <w:b w:val="0"/>
                <w:bCs w:val="0"/>
                <w:i w:val="0"/>
                <w:iCs w:val="0"/>
                <w:color w:val="auto"/>
                <w:kern w:val="0"/>
                <w:sz w:val="18"/>
                <w:szCs w:val="18"/>
                <w:u w:val="none"/>
                <w:lang w:val="en-US" w:eastAsia="zh-CN" w:bidi="ar"/>
              </w:rPr>
              <w:t xml:space="preserve">0.6745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center"/>
          </w:tcPr>
          <w:p>
            <w:pPr>
              <w:pStyle w:val="79"/>
              <w:kinsoku w:val="0"/>
              <w:overflowPunct w:val="0"/>
              <w:spacing w:line="240" w:lineRule="auto"/>
              <w:ind w:right="5"/>
              <w:jc w:val="center"/>
              <w:rPr>
                <w:rFonts w:hint="default" w:ascii="Times New Roman" w:eastAsia="Times New Roman"/>
                <w:b w:val="0"/>
                <w:bCs w:val="0"/>
                <w:color w:val="auto"/>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59"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SS(t/a)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eastAsia" w:ascii="Times New Roman" w:cs="Times New Roman"/>
                <w:b w:val="0"/>
                <w:bCs w:val="0"/>
                <w:i w:val="0"/>
                <w:iCs w:val="0"/>
                <w:color w:val="auto"/>
                <w:kern w:val="0"/>
                <w:sz w:val="18"/>
                <w:szCs w:val="18"/>
                <w:u w:val="none"/>
                <w:lang w:val="en-US" w:eastAsia="zh-CN" w:bidi="ar"/>
              </w:rPr>
              <w:t xml:space="preserve">0.0967 </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rightChars="0"/>
              <w:jc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cs="Times New Roman"/>
                <w:b w:val="0"/>
                <w:bCs w:val="0"/>
                <w:i w:val="0"/>
                <w:iCs w:val="0"/>
                <w:color w:val="auto"/>
                <w:kern w:val="0"/>
                <w:sz w:val="18"/>
                <w:szCs w:val="18"/>
                <w:u w:val="none"/>
                <w:lang w:val="en-US" w:eastAsia="zh-CN" w:bidi="ar"/>
              </w:rPr>
              <w:t xml:space="preserve">0.0967 </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rightChars="0"/>
              <w:jc w:val="center"/>
              <w:rPr>
                <w:rFonts w:hint="default" w:ascii="Times New Roman" w:hAnsi="Times New Roman" w:eastAsia="Times New Roman"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cs="Times New Roman"/>
                <w:b w:val="0"/>
                <w:bCs w:val="0"/>
                <w:i w:val="0"/>
                <w:iCs w:val="0"/>
                <w:color w:val="auto"/>
                <w:kern w:val="0"/>
                <w:sz w:val="18"/>
                <w:szCs w:val="18"/>
                <w:u w:val="none"/>
                <w:lang w:val="en-US" w:eastAsia="zh-CN" w:bidi="ar"/>
              </w:rPr>
              <w:t xml:space="preserve">0.0967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restart"/>
            <w:tcBorders>
              <w:top w:val="single" w:color="auto" w:sz="4" w:space="0"/>
              <w:left w:val="single" w:color="auto" w:sz="4" w:space="0"/>
              <w:right w:val="single" w:color="auto" w:sz="4" w:space="0"/>
              <w:tl2br w:val="nil"/>
              <w:tr2bl w:val="nil"/>
            </w:tcBorders>
            <w:noWrap w:val="0"/>
            <w:vAlign w:val="center"/>
          </w:tcPr>
          <w:p>
            <w:pPr>
              <w:pStyle w:val="79"/>
              <w:kinsoku w:val="0"/>
              <w:overflowPunct w:val="0"/>
              <w:spacing w:line="240" w:lineRule="auto"/>
              <w:ind w:right="5"/>
              <w:jc w:val="center"/>
              <w:rPr>
                <w:rFonts w:hint="default" w:ascii="Times New Roman" w:eastAsia="Times New Roman"/>
                <w:b w:val="0"/>
                <w:bCs w:val="0"/>
                <w:color w:val="auto"/>
                <w:sz w:val="18"/>
                <w:szCs w:val="18"/>
              </w:rPr>
            </w:pPr>
            <w:r>
              <w:rPr>
                <w:rFonts w:hint="eastAsia" w:ascii="Times New Roman"/>
                <w:b w:val="0"/>
                <w:bCs w:val="0"/>
                <w:color w:val="auto"/>
                <w:sz w:val="18"/>
                <w:szCs w:val="18"/>
              </w:rPr>
              <w:t>工业</w:t>
            </w:r>
          </w:p>
          <w:p>
            <w:pPr>
              <w:pStyle w:val="79"/>
              <w:kinsoku w:val="0"/>
              <w:overflowPunct w:val="0"/>
              <w:spacing w:line="240" w:lineRule="auto"/>
              <w:ind w:right="5"/>
              <w:jc w:val="center"/>
              <w:rPr>
                <w:rFonts w:hint="default" w:ascii="Times New Roman" w:eastAsia="Times New Roman"/>
                <w:b w:val="0"/>
                <w:bCs w:val="0"/>
                <w:color w:val="auto"/>
                <w:sz w:val="18"/>
                <w:szCs w:val="18"/>
              </w:rPr>
            </w:pPr>
            <w:r>
              <w:rPr>
                <w:rFonts w:hint="eastAsia" w:ascii="Times New Roman"/>
                <w:b w:val="0"/>
                <w:bCs w:val="0"/>
                <w:color w:val="auto"/>
                <w:sz w:val="18"/>
                <w:szCs w:val="18"/>
              </w:rPr>
              <w:t>固体废物</w:t>
            </w: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Times New Roman" w:cs="Times New Roman"/>
                <w:b w:val="0"/>
                <w:bCs w:val="0"/>
                <w:color w:val="auto"/>
                <w:kern w:val="2"/>
                <w:sz w:val="18"/>
                <w:szCs w:val="18"/>
                <w:lang w:val="en-US" w:eastAsia="zh-CN" w:bidi="ar-SA"/>
              </w:rPr>
            </w:pPr>
            <w:r>
              <w:rPr>
                <w:rFonts w:hint="default" w:ascii="Times New Roman" w:hAnsi="Times New Roman" w:eastAsia="Times New Roman" w:cs="Times New Roman"/>
                <w:b w:val="0"/>
                <w:bCs w:val="0"/>
                <w:color w:val="auto"/>
                <w:kern w:val="2"/>
                <w:sz w:val="18"/>
                <w:szCs w:val="18"/>
                <w:lang w:val="en-US" w:eastAsia="zh-CN" w:bidi="ar-SA"/>
              </w:rPr>
              <w:t>手术、包扎残余物(t/a)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18"/>
                <w:szCs w:val="18"/>
                <w:lang w:val="en-US" w:eastAsia="zh-CN"/>
              </w:rPr>
            </w:pPr>
            <w:r>
              <w:rPr>
                <w:rFonts w:hint="eastAsia" w:ascii="Times New Roman" w:hAnsi="Times New Roman" w:eastAsia="宋体" w:cs="Times New Roman"/>
                <w:b w:val="0"/>
                <w:bCs w:val="0"/>
                <w:color w:val="auto"/>
                <w:kern w:val="2"/>
                <w:sz w:val="18"/>
                <w:szCs w:val="18"/>
                <w:lang w:val="en-US" w:eastAsia="zh-CN" w:bidi="ar-SA"/>
              </w:rPr>
              <w:t>4.59</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4.59</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top"/>
          </w:tcPr>
          <w:p>
            <w:pPr>
              <w:pStyle w:val="79"/>
              <w:kinsoku w:val="0"/>
              <w:overflowPunct w:val="0"/>
              <w:spacing w:before="58" w:line="240" w:lineRule="auto"/>
              <w:ind w:left="495"/>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Times New Roman" w:cs="Times New Roman"/>
                <w:b w:val="0"/>
                <w:bCs w:val="0"/>
                <w:color w:val="auto"/>
                <w:kern w:val="2"/>
                <w:sz w:val="18"/>
                <w:szCs w:val="18"/>
                <w:lang w:val="en-US" w:eastAsia="zh-CN" w:bidi="ar-SA"/>
              </w:rPr>
            </w:pPr>
            <w:r>
              <w:rPr>
                <w:rFonts w:hint="default" w:ascii="Times New Roman" w:hAnsi="Times New Roman" w:eastAsia="Times New Roman" w:cs="Times New Roman"/>
                <w:b w:val="0"/>
                <w:bCs w:val="0"/>
                <w:color w:val="auto"/>
                <w:kern w:val="2"/>
                <w:sz w:val="18"/>
                <w:szCs w:val="18"/>
                <w:lang w:val="en-US" w:eastAsia="zh-CN" w:bidi="ar-SA"/>
              </w:rPr>
              <w:t>一次性医疗用品(t/a)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18"/>
                <w:szCs w:val="18"/>
                <w:lang w:val="en-US" w:eastAsia="zh-CN"/>
              </w:rPr>
            </w:pPr>
            <w:r>
              <w:rPr>
                <w:rFonts w:hint="eastAsia" w:ascii="Times New Roman" w:hAnsi="Times New Roman" w:eastAsia="宋体" w:cs="Times New Roman"/>
                <w:b w:val="0"/>
                <w:bCs w:val="0"/>
                <w:color w:val="auto"/>
                <w:kern w:val="2"/>
                <w:sz w:val="18"/>
                <w:szCs w:val="18"/>
                <w:lang w:val="en-US" w:eastAsia="zh-CN" w:bidi="ar-SA"/>
              </w:rPr>
              <w:t>4.39</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4.39</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top"/>
          </w:tcPr>
          <w:p>
            <w:pPr>
              <w:pStyle w:val="79"/>
              <w:kinsoku w:val="0"/>
              <w:overflowPunct w:val="0"/>
              <w:spacing w:before="59" w:line="240" w:lineRule="auto"/>
              <w:ind w:left="495"/>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Times New Roman" w:cs="Times New Roman"/>
                <w:b w:val="0"/>
                <w:bCs w:val="0"/>
                <w:color w:val="auto"/>
                <w:kern w:val="2"/>
                <w:sz w:val="18"/>
                <w:szCs w:val="18"/>
                <w:lang w:val="en-US" w:eastAsia="zh-CN" w:bidi="ar-SA"/>
              </w:rPr>
            </w:pPr>
            <w:r>
              <w:rPr>
                <w:rFonts w:hint="default" w:ascii="Times New Roman" w:hAnsi="Times New Roman" w:eastAsia="Times New Roman" w:cs="Times New Roman"/>
                <w:b w:val="0"/>
                <w:bCs w:val="0"/>
                <w:color w:val="auto"/>
                <w:kern w:val="2"/>
                <w:sz w:val="18"/>
                <w:szCs w:val="18"/>
                <w:lang w:val="en-US" w:eastAsia="zh-CN" w:bidi="ar-SA"/>
              </w:rPr>
              <w:t>生物培养、动物试验残余物(t/a)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18"/>
                <w:szCs w:val="18"/>
                <w:lang w:val="en-US" w:eastAsia="zh-CN"/>
              </w:rPr>
            </w:pPr>
            <w:r>
              <w:rPr>
                <w:rFonts w:hint="eastAsia" w:ascii="Times New Roman" w:hAnsi="Times New Roman" w:eastAsia="宋体" w:cs="Times New Roman"/>
                <w:b w:val="0"/>
                <w:bCs w:val="0"/>
                <w:color w:val="auto"/>
                <w:kern w:val="2"/>
                <w:sz w:val="18"/>
                <w:szCs w:val="18"/>
                <w:lang w:val="en-US" w:eastAsia="zh-CN" w:bidi="ar-SA"/>
              </w:rPr>
              <w:t>0.13</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0.13</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top"/>
          </w:tcPr>
          <w:p>
            <w:pPr>
              <w:pStyle w:val="79"/>
              <w:kinsoku w:val="0"/>
              <w:overflowPunct w:val="0"/>
              <w:spacing w:before="59" w:line="240" w:lineRule="auto"/>
              <w:ind w:left="495"/>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Times New Roman" w:cs="Times New Roman"/>
                <w:b w:val="0"/>
                <w:bCs w:val="0"/>
                <w:color w:val="auto"/>
                <w:kern w:val="2"/>
                <w:sz w:val="18"/>
                <w:szCs w:val="18"/>
                <w:lang w:val="en-US" w:eastAsia="zh-CN" w:bidi="ar-SA"/>
              </w:rPr>
            </w:pPr>
            <w:r>
              <w:rPr>
                <w:rFonts w:hint="default" w:ascii="Times New Roman" w:hAnsi="Times New Roman" w:eastAsia="Times New Roman" w:cs="Times New Roman"/>
                <w:b w:val="0"/>
                <w:bCs w:val="0"/>
                <w:color w:val="auto"/>
                <w:kern w:val="2"/>
                <w:sz w:val="18"/>
                <w:szCs w:val="18"/>
                <w:lang w:val="en-US" w:eastAsia="zh-CN" w:bidi="ar-SA"/>
              </w:rPr>
              <w:t>化验检查残余物(t/a)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lang w:val="en-US" w:eastAsia="zh-CN" w:bidi="ar-SA"/>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lang w:val="en-US" w:eastAsia="zh-CN" w:bidi="ar-SA"/>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lang w:val="en-US" w:eastAsia="zh-CN" w:bidi="ar-SA"/>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18"/>
                <w:szCs w:val="18"/>
                <w:lang w:val="en-US" w:eastAsia="zh-CN"/>
              </w:rPr>
            </w:pPr>
            <w:r>
              <w:rPr>
                <w:rFonts w:hint="eastAsia" w:ascii="Times New Roman" w:hAnsi="Times New Roman" w:eastAsia="宋体" w:cs="Times New Roman"/>
                <w:b w:val="0"/>
                <w:bCs w:val="0"/>
                <w:color w:val="auto"/>
                <w:kern w:val="2"/>
                <w:sz w:val="18"/>
                <w:szCs w:val="18"/>
                <w:lang w:val="en-US" w:eastAsia="zh-CN" w:bidi="ar-SA"/>
              </w:rPr>
              <w:t>1.65</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1.65</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top"/>
          </w:tcPr>
          <w:p>
            <w:pPr>
              <w:pStyle w:val="79"/>
              <w:kinsoku w:val="0"/>
              <w:overflowPunct w:val="0"/>
              <w:spacing w:before="59" w:line="240" w:lineRule="auto"/>
              <w:ind w:left="495"/>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Times New Roman" w:cs="Times New Roman"/>
                <w:b w:val="0"/>
                <w:bCs w:val="0"/>
                <w:color w:val="auto"/>
                <w:kern w:val="2"/>
                <w:sz w:val="18"/>
                <w:szCs w:val="18"/>
                <w:lang w:val="en-US" w:eastAsia="zh-CN" w:bidi="ar-SA"/>
              </w:rPr>
            </w:pPr>
            <w:r>
              <w:rPr>
                <w:rFonts w:hint="default" w:ascii="Times New Roman" w:hAnsi="Times New Roman" w:eastAsia="Times New Roman" w:cs="Times New Roman"/>
                <w:b w:val="0"/>
                <w:bCs w:val="0"/>
                <w:color w:val="auto"/>
                <w:kern w:val="2"/>
                <w:sz w:val="18"/>
                <w:szCs w:val="18"/>
                <w:lang w:val="en-US" w:eastAsia="zh-CN" w:bidi="ar-SA"/>
              </w:rPr>
              <w:t>传染性废物</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18"/>
                <w:szCs w:val="18"/>
                <w:lang w:val="en-US" w:eastAsia="zh-CN"/>
              </w:rPr>
            </w:pPr>
            <w:r>
              <w:rPr>
                <w:rFonts w:hint="eastAsia" w:ascii="Times New Roman" w:hAnsi="Times New Roman" w:eastAsia="宋体" w:cs="Times New Roman"/>
                <w:b w:val="0"/>
                <w:bCs w:val="0"/>
                <w:color w:val="auto"/>
                <w:kern w:val="2"/>
                <w:sz w:val="18"/>
                <w:szCs w:val="18"/>
                <w:lang w:val="en-US" w:eastAsia="zh-CN" w:bidi="ar-SA"/>
              </w:rPr>
              <w:t>3.08</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3.08</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top"/>
          </w:tcPr>
          <w:p>
            <w:pPr>
              <w:pStyle w:val="79"/>
              <w:kinsoku w:val="0"/>
              <w:overflowPunct w:val="0"/>
              <w:spacing w:before="158" w:line="240" w:lineRule="auto"/>
              <w:ind w:left="495"/>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Times New Roman" w:cs="Times New Roman"/>
                <w:b w:val="0"/>
                <w:bCs w:val="0"/>
                <w:color w:val="auto"/>
                <w:kern w:val="2"/>
                <w:sz w:val="18"/>
                <w:szCs w:val="18"/>
                <w:lang w:val="en-US" w:eastAsia="zh-CN" w:bidi="ar-SA"/>
              </w:rPr>
            </w:pPr>
            <w:r>
              <w:rPr>
                <w:rFonts w:hint="default" w:ascii="Times New Roman" w:hAnsi="Times New Roman" w:eastAsia="Times New Roman" w:cs="Times New Roman"/>
                <w:b w:val="0"/>
                <w:bCs w:val="0"/>
                <w:color w:val="auto"/>
                <w:kern w:val="2"/>
                <w:sz w:val="18"/>
                <w:szCs w:val="18"/>
                <w:lang w:val="en-US" w:eastAsia="zh-CN" w:bidi="ar-SA"/>
              </w:rPr>
              <w:t>医疗单位废水处理污泥(t/a)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81" w:line="240" w:lineRule="auto"/>
              <w:ind w:right="1"/>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81"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81" w:line="240" w:lineRule="auto"/>
              <w:jc w:val="center"/>
              <w:rPr>
                <w:rFonts w:hint="default" w:ascii="Times New Roman" w:eastAsia="Times New Roman"/>
                <w:b w:val="0"/>
                <w:bCs w:val="0"/>
                <w:snapToGrid w:val="0"/>
                <w:color w:val="auto"/>
                <w:spacing w:val="-6"/>
                <w:kern w:val="21"/>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color w:val="auto"/>
                <w:sz w:val="18"/>
                <w:szCs w:val="18"/>
                <w:lang w:val="en-US" w:eastAsia="zh-CN"/>
              </w:rPr>
            </w:pPr>
            <w:r>
              <w:rPr>
                <w:rFonts w:hint="eastAsia" w:ascii="Times New Roman" w:hAnsi="Times New Roman" w:eastAsia="宋体" w:cs="Times New Roman"/>
                <w:b w:val="0"/>
                <w:bCs w:val="0"/>
                <w:color w:val="auto"/>
                <w:kern w:val="2"/>
                <w:sz w:val="18"/>
                <w:szCs w:val="18"/>
                <w:lang w:val="en-US" w:eastAsia="zh-CN" w:bidi="ar-SA"/>
              </w:rPr>
              <w:t>1.41</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w:t>
            </w: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1.41</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right w:val="single" w:color="auto" w:sz="4" w:space="0"/>
              <w:tl2br w:val="nil"/>
              <w:tr2bl w:val="nil"/>
            </w:tcBorders>
            <w:noWrap w:val="0"/>
            <w:vAlign w:val="top"/>
          </w:tcPr>
          <w:p>
            <w:pPr>
              <w:pStyle w:val="79"/>
              <w:kinsoku w:val="0"/>
              <w:overflowPunct w:val="0"/>
              <w:spacing w:before="158" w:line="240" w:lineRule="auto"/>
              <w:ind w:left="495"/>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eastAsia" w:ascii="Times New Roman" w:hAnsi="Times New Roman" w:eastAsia="Times New Roman" w:cs="Times New Roman"/>
                <w:b w:val="0"/>
                <w:bCs w:val="0"/>
                <w:color w:val="auto"/>
                <w:kern w:val="2"/>
                <w:sz w:val="18"/>
                <w:szCs w:val="18"/>
                <w:lang w:val="en-US" w:eastAsia="zh-CN" w:bidi="ar-SA"/>
              </w:rPr>
            </w:pPr>
            <w:r>
              <w:rPr>
                <w:rFonts w:hint="default" w:ascii="Times New Roman" w:hAnsi="Times New Roman" w:eastAsia="Times New Roman" w:cs="Times New Roman"/>
                <w:b w:val="0"/>
                <w:bCs w:val="0"/>
                <w:color w:val="auto"/>
                <w:kern w:val="2"/>
                <w:sz w:val="18"/>
                <w:szCs w:val="18"/>
                <w:lang w:val="en-US" w:eastAsia="zh-CN" w:bidi="ar-SA"/>
              </w:rPr>
              <w:t>废药物、药品(t/a)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color w:val="auto"/>
                <w:sz w:val="18"/>
                <w:szCs w:val="18"/>
                <w:lang w:val="en-US" w:eastAsia="zh-CN"/>
              </w:rPr>
            </w:pPr>
            <w:r>
              <w:rPr>
                <w:rFonts w:hint="eastAsia" w:ascii="Times New Roman" w:hAnsi="Times New Roman" w:eastAsia="宋体" w:cs="Times New Roman"/>
                <w:b w:val="0"/>
                <w:bCs w:val="0"/>
                <w:color w:val="auto"/>
                <w:kern w:val="2"/>
                <w:sz w:val="18"/>
                <w:szCs w:val="18"/>
                <w:lang w:val="en-US" w:eastAsia="zh-CN" w:bidi="ar-SA"/>
              </w:rPr>
              <w:t>0.02</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0.02</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0" w:type="pct"/>
            <w:vMerge w:val="continue"/>
            <w:tcBorders>
              <w:left w:val="single" w:color="auto" w:sz="4" w:space="0"/>
              <w:bottom w:val="single" w:color="auto" w:sz="4" w:space="0"/>
              <w:right w:val="single" w:color="auto" w:sz="4" w:space="0"/>
              <w:tl2br w:val="nil"/>
              <w:tr2bl w:val="nil"/>
            </w:tcBorders>
            <w:noWrap w:val="0"/>
            <w:vAlign w:val="top"/>
          </w:tcPr>
          <w:p>
            <w:pPr>
              <w:pStyle w:val="79"/>
              <w:kinsoku w:val="0"/>
              <w:overflowPunct w:val="0"/>
              <w:spacing w:before="158" w:line="240" w:lineRule="auto"/>
              <w:ind w:left="495"/>
              <w:rPr>
                <w:rFonts w:hint="default" w:ascii="Times New Roman" w:eastAsia="Times New Roman"/>
                <w:b w:val="0"/>
                <w:bCs w:val="0"/>
                <w:snapToGrid w:val="0"/>
                <w:color w:val="auto"/>
                <w:spacing w:val="-6"/>
                <w:kern w:val="21"/>
                <w:sz w:val="18"/>
                <w:szCs w:val="18"/>
              </w:rPr>
            </w:pP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32"/>
              <w:keepNext w:val="0"/>
              <w:keepLines w:val="0"/>
              <w:pageBreakBefore w:val="0"/>
              <w:kinsoku/>
              <w:wordWrap/>
              <w:overflowPunct/>
              <w:topLinePunct w:val="0"/>
              <w:autoSpaceDE/>
              <w:autoSpaceDN/>
              <w:bidi w:val="0"/>
              <w:adjustRightInd/>
              <w:snapToGrid/>
              <w:spacing w:line="240" w:lineRule="auto"/>
              <w:ind w:firstLine="0" w:firstLineChars="0"/>
              <w:rPr>
                <w:rFonts w:hint="eastAsia" w:ascii="Times New Roman" w:hAnsi="Times New Roman" w:eastAsia="Times New Roman" w:cs="Times New Roman"/>
                <w:b w:val="0"/>
                <w:bCs w:val="0"/>
                <w:color w:val="auto"/>
                <w:kern w:val="2"/>
                <w:sz w:val="18"/>
                <w:szCs w:val="18"/>
                <w:lang w:val="en-US" w:eastAsia="zh-CN" w:bidi="ar-SA"/>
              </w:rPr>
            </w:pPr>
            <w:r>
              <w:rPr>
                <w:rFonts w:hint="default" w:ascii="Times New Roman" w:hAnsi="Times New Roman" w:eastAsia="Times New Roman" w:cs="Times New Roman"/>
                <w:b w:val="0"/>
                <w:bCs w:val="0"/>
                <w:color w:val="auto"/>
                <w:kern w:val="2"/>
                <w:sz w:val="18"/>
                <w:szCs w:val="18"/>
                <w:lang w:val="en-US" w:eastAsia="zh-CN" w:bidi="ar-SA"/>
              </w:rPr>
              <w:t>敷料(t/a)</w:t>
            </w:r>
          </w:p>
        </w:tc>
        <w:tc>
          <w:tcPr>
            <w:tcW w:w="55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8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95"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3" w:line="240" w:lineRule="auto"/>
              <w:ind w:right="1" w:rightChars="0"/>
              <w:jc w:val="center"/>
              <w:rPr>
                <w:rFonts w:hint="default" w:ascii="Times New Roman" w:eastAsia="Times New Roman"/>
                <w:b w:val="0"/>
                <w:bCs w:val="0"/>
                <w:color w:val="auto"/>
                <w:sz w:val="18"/>
                <w:szCs w:val="18"/>
              </w:rPr>
            </w:pPr>
            <w:r>
              <w:rPr>
                <w:rFonts w:hint="default" w:ascii="Times New Roman" w:eastAsia="Times New Roman"/>
                <w:b w:val="0"/>
                <w:bCs w:val="0"/>
                <w:color w:val="auto"/>
                <w:sz w:val="18"/>
                <w:szCs w:val="18"/>
              </w:rPr>
              <w:t>0</w:t>
            </w:r>
          </w:p>
        </w:tc>
        <w:tc>
          <w:tcPr>
            <w:tcW w:w="56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color w:val="auto"/>
                <w:sz w:val="18"/>
                <w:szCs w:val="18"/>
                <w:lang w:val="en-US" w:eastAsia="zh-CN"/>
              </w:rPr>
            </w:pPr>
            <w:r>
              <w:rPr>
                <w:rFonts w:hint="eastAsia" w:ascii="Times New Roman" w:hAnsi="Times New Roman" w:eastAsia="宋体" w:cs="Times New Roman"/>
                <w:b w:val="0"/>
                <w:bCs w:val="0"/>
                <w:color w:val="auto"/>
                <w:kern w:val="2"/>
                <w:sz w:val="18"/>
                <w:szCs w:val="18"/>
                <w:lang w:val="en-US" w:eastAsia="zh-CN" w:bidi="ar-SA"/>
              </w:rPr>
              <w:t>1.55</w:t>
            </w:r>
          </w:p>
        </w:tc>
        <w:tc>
          <w:tcPr>
            <w:tcW w:w="630"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79"/>
              <w:kinsoku w:val="0"/>
              <w:overflowPunct w:val="0"/>
              <w:spacing w:before="65" w:line="240" w:lineRule="auto"/>
              <w:ind w:right="1"/>
              <w:jc w:val="center"/>
              <w:rPr>
                <w:rFonts w:hint="default" w:ascii="Times New Roman" w:eastAsia="Times New Roman"/>
                <w:b w:val="0"/>
                <w:bCs w:val="0"/>
                <w:color w:val="auto"/>
                <w:sz w:val="18"/>
                <w:szCs w:val="18"/>
              </w:rPr>
            </w:pPr>
          </w:p>
        </w:tc>
        <w:tc>
          <w:tcPr>
            <w:tcW w:w="689"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1.55</w:t>
            </w:r>
          </w:p>
        </w:tc>
        <w:tc>
          <w:tcPr>
            <w:tcW w:w="42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
              </w:rPr>
              <w:t>+</w:t>
            </w:r>
            <w:r>
              <w:rPr>
                <w:rFonts w:hint="eastAsia" w:ascii="Times New Roman" w:hAnsi="Times New Roman" w:eastAsia="宋体" w:cs="Times New Roman"/>
                <w:b w:val="0"/>
                <w:bCs w:val="0"/>
                <w:color w:val="auto"/>
                <w:kern w:val="2"/>
                <w:sz w:val="18"/>
                <w:szCs w:val="18"/>
                <w:lang w:val="en-US" w:eastAsia="zh-CN" w:bidi="ar-SA"/>
              </w:rPr>
              <w:t>1.55</w:t>
            </w:r>
          </w:p>
        </w:tc>
      </w:tr>
    </w:tbl>
    <w:p>
      <w:pPr>
        <w:rPr>
          <w:rFonts w:hint="eastAsia"/>
          <w:color w:val="auto"/>
          <w:spacing w:val="-6"/>
          <w:sz w:val="18"/>
          <w:szCs w:val="18"/>
        </w:rPr>
        <w:sectPr>
          <w:pgSz w:w="16838" w:h="11906" w:orient="landscape"/>
          <w:pgMar w:top="1576" w:right="1440" w:bottom="123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olor w:val="auto"/>
          <w:spacing w:val="-6"/>
          <w:sz w:val="18"/>
          <w:szCs w:val="18"/>
        </w:rPr>
        <w:t>注：</w:t>
      </w:r>
      <w:r>
        <w:rPr>
          <w:rFonts w:hint="eastAsia"/>
          <w:color w:val="auto"/>
          <w:spacing w:val="-6"/>
          <w:sz w:val="18"/>
          <w:szCs w:val="18"/>
        </w:rPr>
        <w:t>⑥</w:t>
      </w:r>
      <w:r>
        <w:rPr>
          <w:rFonts w:hint="default" w:ascii="Times New Roman" w:eastAsia="Times New Roman"/>
          <w:color w:val="auto"/>
          <w:spacing w:val="-6"/>
          <w:sz w:val="18"/>
          <w:szCs w:val="18"/>
        </w:rPr>
        <w:t>=</w:t>
      </w:r>
      <w:r>
        <w:rPr>
          <w:rFonts w:hint="eastAsia"/>
          <w:color w:val="auto"/>
          <w:spacing w:val="-6"/>
          <w:sz w:val="18"/>
          <w:szCs w:val="18"/>
        </w:rPr>
        <w:t>①</w:t>
      </w:r>
      <w:r>
        <w:rPr>
          <w:rFonts w:hint="default" w:ascii="Times New Roman" w:eastAsia="Times New Roman"/>
          <w:color w:val="auto"/>
          <w:spacing w:val="-6"/>
          <w:sz w:val="18"/>
          <w:szCs w:val="18"/>
        </w:rPr>
        <w:t>+</w:t>
      </w:r>
      <w:r>
        <w:rPr>
          <w:rFonts w:hint="eastAsia"/>
          <w:color w:val="auto"/>
          <w:spacing w:val="-6"/>
          <w:sz w:val="18"/>
          <w:szCs w:val="18"/>
        </w:rPr>
        <w:t>③</w:t>
      </w:r>
      <w:r>
        <w:rPr>
          <w:rFonts w:hint="default" w:ascii="Times New Roman" w:eastAsia="Times New Roman"/>
          <w:color w:val="auto"/>
          <w:spacing w:val="-6"/>
          <w:sz w:val="18"/>
          <w:szCs w:val="18"/>
        </w:rPr>
        <w:t>+</w:t>
      </w:r>
      <w:r>
        <w:rPr>
          <w:rFonts w:hint="eastAsia"/>
          <w:color w:val="auto"/>
          <w:spacing w:val="-6"/>
          <w:sz w:val="18"/>
          <w:szCs w:val="18"/>
        </w:rPr>
        <w:t>④</w:t>
      </w:r>
      <w:r>
        <w:rPr>
          <w:rFonts w:hint="default" w:ascii="Times New Roman" w:eastAsia="Times New Roman"/>
          <w:color w:val="auto"/>
          <w:spacing w:val="-6"/>
          <w:sz w:val="18"/>
          <w:szCs w:val="18"/>
        </w:rPr>
        <w:t>-</w:t>
      </w:r>
      <w:r>
        <w:rPr>
          <w:rFonts w:hint="eastAsia"/>
          <w:color w:val="auto"/>
          <w:spacing w:val="-6"/>
          <w:sz w:val="18"/>
          <w:szCs w:val="18"/>
        </w:rPr>
        <w:t>⑤</w:t>
      </w:r>
      <w:r>
        <w:rPr>
          <w:rFonts w:hint="eastAsia" w:ascii="Times New Roman" w:hAnsi="Times New Roman"/>
          <w:color w:val="auto"/>
          <w:spacing w:val="-6"/>
          <w:sz w:val="18"/>
          <w:szCs w:val="18"/>
        </w:rPr>
        <w:t>；</w:t>
      </w:r>
      <w:r>
        <w:rPr>
          <w:rFonts w:hint="eastAsia"/>
          <w:color w:val="auto"/>
          <w:spacing w:val="-6"/>
          <w:sz w:val="18"/>
          <w:szCs w:val="18"/>
        </w:rPr>
        <w:t>⑦</w:t>
      </w:r>
      <w:r>
        <w:rPr>
          <w:rFonts w:hint="default" w:ascii="Times New Roman" w:eastAsia="Times New Roman"/>
          <w:color w:val="auto"/>
          <w:spacing w:val="-6"/>
          <w:sz w:val="18"/>
          <w:szCs w:val="18"/>
        </w:rPr>
        <w:t>=</w:t>
      </w:r>
      <w:r>
        <w:rPr>
          <w:rFonts w:hint="eastAsia"/>
          <w:color w:val="auto"/>
          <w:spacing w:val="-6"/>
          <w:sz w:val="18"/>
          <w:szCs w:val="18"/>
        </w:rPr>
        <w:t>⑥</w:t>
      </w:r>
      <w:r>
        <w:rPr>
          <w:rFonts w:hint="default" w:ascii="Times New Roman" w:eastAsia="Times New Roman"/>
          <w:color w:val="auto"/>
          <w:spacing w:val="-6"/>
          <w:sz w:val="18"/>
          <w:szCs w:val="18"/>
        </w:rPr>
        <w:t>-</w:t>
      </w:r>
      <w:r>
        <w:rPr>
          <w:rFonts w:hint="eastAsia"/>
          <w:color w:val="auto"/>
          <w:spacing w:val="-6"/>
          <w:sz w:val="18"/>
          <w:szCs w:val="18"/>
        </w:rPr>
        <w:t>①</w:t>
      </w:r>
    </w:p>
    <w:p>
      <w:pPr>
        <w:jc w:val="center"/>
        <w:rPr>
          <w:rFonts w:hint="default" w:ascii="Times New Roman" w:hAnsi="Times New Roman" w:eastAsia="宋体" w:cs="Times New Roman"/>
          <w:b/>
          <w:color w:val="auto"/>
          <w:kern w:val="2"/>
          <w:sz w:val="21"/>
          <w:szCs w:val="21"/>
          <w:lang w:val="en-US" w:eastAsia="zh-CN" w:bidi="ar-SA"/>
        </w:rPr>
        <w:sectPr>
          <w:pgSz w:w="11906" w:h="16838"/>
          <w:pgMar w:top="1157" w:right="952" w:bottom="1157" w:left="1236" w:header="851" w:footer="992" w:gutter="0"/>
          <w:pgBorders>
            <w:top w:val="none" w:sz="0" w:space="0"/>
            <w:left w:val="none" w:sz="0" w:space="0"/>
            <w:bottom w:val="none" w:sz="0" w:space="0"/>
            <w:right w:val="none" w:sz="0" w:space="0"/>
          </w:pgBorders>
          <w:cols w:space="425" w:num="1"/>
          <w:docGrid w:type="lines" w:linePitch="312" w:charSpace="0"/>
        </w:sectPr>
      </w:pP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3916045</wp:posOffset>
                </wp:positionH>
                <wp:positionV relativeFrom="paragraph">
                  <wp:posOffset>1577340</wp:posOffset>
                </wp:positionV>
                <wp:extent cx="622935" cy="265430"/>
                <wp:effectExtent l="0" t="0" r="0" b="0"/>
                <wp:wrapNone/>
                <wp:docPr id="34" name="文本框 34"/>
                <wp:cNvGraphicFramePr/>
                <a:graphic xmlns:a="http://schemas.openxmlformats.org/drawingml/2006/main">
                  <a:graphicData uri="http://schemas.microsoft.com/office/word/2010/wordprocessingShape">
                    <wps:wsp>
                      <wps:cNvSpPr txBox="1"/>
                      <wps:spPr>
                        <a:xfrm>
                          <a:off x="4779645" y="2408555"/>
                          <a:ext cx="622935"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lang w:eastAsia="zh-CN"/>
                              </w:rPr>
                            </w:pPr>
                            <w:r>
                              <w:rPr>
                                <w:rFonts w:hint="eastAsia"/>
                                <w:b/>
                                <w:bCs/>
                                <w:lang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35pt;margin-top:124.2pt;height:20.9pt;width:49.05pt;z-index:251663360;mso-width-relative:page;mso-height-relative:page;" filled="f" stroked="f" coordsize="21600,21600" o:gfxdata="UEsDBAoAAAAAAIdO4kAAAAAAAAAAAAAAAAAEAAAAZHJzL1BLAwQUAAAACACHTuJAm5/qGtwAAAAL&#10;AQAADwAAAGRycy9kb3ducmV2LnhtbE2Py07DMBBF90j8gzVI7KidKKQhxKlQpAoJwaKlG3ZO7CYR&#10;9jjE7gO+nmFVljNzdOfcanV2lh3NHEaPEpKFAGaw83rEXsLufX1XAAtRoVbWo5HwbQKs6uurSpXa&#10;n3BjjtvYMwrBUCoJQ4xTyXnoBuNUWPjJIN32fnYq0jj3XM/qROHO8lSInDs1In0Y1GSawXSf24OT&#10;8NKs39SmTV3xY5vn1/3T9LX7uJfy9iYRj8CiOccLDH/6pA41ObX+gDowKyFP8iWhEtKsyIARsUwy&#10;KtPS5kGkwOuK/+9Q/wJQSwMEFAAAAAgAh07iQDVDGfVKAgAAcwQAAA4AAABkcnMvZTJvRG9jLnht&#10;bK1UsW7bMBDdC/QfCO6NZFmyE8Ny4CZIUcBoArhFZ5qiIgEkjyXpSOkHtH/QqUv3fle+o0dKToy0&#10;Q4Yu1JF3vON7907L815Jciesa0GXdHKSUiI0h6rVtyX99PHqzSklzjNdMQlalPReOHq+ev1q2ZmF&#10;yKABWQlLMIl2i86UtPHeLJLE8UYo5k7ACI3OGqxiHrf2Nqks6zC7kkmWprOkA1sZC1w4h6eXg5OO&#10;Ge1LEkJdt1xcAt8rof2Q1QrJPEJyTWscXcXX1rXg/rqunfBElhSR+rhiEbR3YU1WS7a4tcw0LR+f&#10;wF7yhGeYFGs1Fn1Mdck8I3vb/pVKtdyCg9qfcFDJACQygigm6TNutg0zImJBqp15JN39v7T8w92N&#10;JW1V0mlOiWYKO/7w4/vDz98Pv74RPEOCOuMWGLc1GOn7t9CjbA7nDg8D7r62KnwREUF/Pp+fzfKC&#10;kvuSZnl6WhTFQLXoPeEYMMuysyn6eQiYFfk0tiJ5SmSs8+8EKBKMklrsZCSY3W2cx0dh6CEk1NVw&#10;1UoZuyk16bDAtEjjhUcP3pAaLwY4w7OD5ftdP2LcQXWPEC0MKnGGX7VYfMOcv2EWZYGiwcHx17jU&#10;ErAIjBYlDdiv/zoP8dgt9FLSocxK6r7smRWUyPca+3g2yfOgy7jJi3mGG3vs2R179F5dACp5giNq&#10;eDRDvJcHs7agPuN8rUNVdDHNsXZJ/cG88IP4cT65WK9jECrRML/RW8ND6oHO9d5D3UamA00DNyN7&#10;qMXYgHFugtiP9zHq6V+x+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bn+oa3AAAAAsBAAAPAAAA&#10;AAAAAAEAIAAAACIAAABkcnMvZG93bnJldi54bWxQSwECFAAUAAAACACHTuJANUMZ9UoCAABzBAAA&#10;DgAAAAAAAAABACAAAAArAQAAZHJzL2Uyb0RvYy54bWxQSwUGAAAAAAYABgBZAQAA5wUAAAAA&#10;">
                <v:fill on="f" focussize="0,0"/>
                <v:stroke on="f" weight="0.5pt"/>
                <v:imagedata o:title=""/>
                <o:lock v:ext="edit" aspectratio="f"/>
                <v:textbox>
                  <w:txbxContent>
                    <w:p>
                      <w:pPr>
                        <w:spacing w:line="240" w:lineRule="auto"/>
                        <w:rPr>
                          <w:rFonts w:hint="eastAsia" w:eastAsiaTheme="minorEastAsia"/>
                          <w:b/>
                          <w:bCs/>
                          <w:lang w:eastAsia="zh-CN"/>
                        </w:rPr>
                      </w:pPr>
                      <w:r>
                        <w:rPr>
                          <w:rFonts w:hint="eastAsia"/>
                          <w:b/>
                          <w:bCs/>
                          <w:lang w:eastAsia="zh-CN"/>
                        </w:rPr>
                        <w:t>本项目</w:t>
                      </w:r>
                    </w:p>
                  </w:txbxContent>
                </v:textbox>
              </v:shape>
            </w:pict>
          </mc:Fallback>
        </mc:AlternateContent>
      </w: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3916680</wp:posOffset>
                </wp:positionH>
                <wp:positionV relativeFrom="paragraph">
                  <wp:posOffset>1602105</wp:posOffset>
                </wp:positionV>
                <wp:extent cx="612140" cy="241300"/>
                <wp:effectExtent l="414020" t="6350" r="21590" b="266700"/>
                <wp:wrapNone/>
                <wp:docPr id="33" name="矩形标注 33"/>
                <wp:cNvGraphicFramePr/>
                <a:graphic xmlns:a="http://schemas.openxmlformats.org/drawingml/2006/main">
                  <a:graphicData uri="http://schemas.microsoft.com/office/word/2010/wordprocessingShape">
                    <wps:wsp>
                      <wps:cNvSpPr/>
                      <wps:spPr>
                        <a:xfrm>
                          <a:off x="4432935" y="2075180"/>
                          <a:ext cx="612140" cy="241300"/>
                        </a:xfrm>
                        <a:prstGeom prst="wedgeRectCallout">
                          <a:avLst>
                            <a:gd name="adj1" fmla="val -109751"/>
                            <a:gd name="adj2" fmla="val 144210"/>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8.4pt;margin-top:126.15pt;height:19pt;width:48.2pt;z-index:251662336;v-text-anchor:middle;mso-width-relative:page;mso-height-relative:page;" fillcolor="#FFFFFF [3212]" filled="t" stroked="t" coordsize="21600,21600" o:gfxdata="UEsDBAoAAAAAAIdO4kAAAAAAAAAAAAAAAAAEAAAAZHJzL1BLAwQUAAAACACHTuJAdEzBYNgAAAAL&#10;AQAADwAAAGRycy9kb3ducmV2LnhtbE2PvU7EMBCEeyTewVokOs5OAgFCnCvQUVEgDiRaX+z86OK1&#10;ZTu+4+1ZKih3djTzTbs924VlE+LsUEKxEcAM9k7POEr4/Hi5eQAWk0KtFodGwreJsO0uL1rVaHfC&#10;d5P3aWQUgrFREqaUfMN57CdjVdw4b5B+gwtWJTrDyHVQJwq3Cy+FqLlVM1LDpLx5nkx/3K9WQkCf&#10;vwbxVt/6PFTraz7u4rqT8vqqEE/AkjmnPzP84hM6dMR0cCvqyBYJdVETepJQ3pUVMHLcF1UJ7EDK&#10;o6iAdy3/v6H7AVBLAwQUAAAACACHTuJAt3T367gCAAByBQAADgAAAGRycy9lMm9Eb2MueG1srVTN&#10;btQwEL4j8Q6W721+Nv1bNVutdrUIqaIVBXH2Ok5i5D9s72bLC/AYIE5w5szjUF6DsZO2aemBA3vI&#10;zmQm38z3jcenZzsp0JZZx7UqcbafYsQU1RVXTYnfvlntHWPkPFEVEVqxEl8zh89mz5+ddmbKct1q&#10;UTGLAES5aWdK3HpvpkniaMskcfvaMAXBWltJPLi2SSpLOkCXIsnT9DDptK2M1ZQ5B2+XfRAPiPZf&#10;AHVdc8qWmm4kU75HtUwQD5Rcy43Ds9htXTPqL+raMY9EiYGpj08oAvY6PJPZKZk2lpiW06EF8i8t&#10;POIkCVdQ9A5qSTxBG8v/gpKcWu107feplklPJCoCLLL0kTZXLTEscgGpnbkT3f0/WPpqe2kRr0o8&#10;mWCkiISJ//78/dfPrzdfPt38+IbgNWjUGTeF1CtzaQfPgRkI72orwz9QQbsSF8UkP5kcYHRd4jw9&#10;OsiOB43ZziMKCYdZnhWgPg0JRTZJYzy5BzLW+RdMSxSMEnesathrmOOCCKE3PqpMtufOR7mroWdS&#10;vc8wqqWA6W2JQHtZegLVh/mOsvJxVlYUeXbbwAAKrdy2ECo4LXi14kJExzbrhbAIKpR4FX+hAnzy&#10;IE0o1MFq5UdADlECS1LD4QRTGhDaqQYjIhrYPupt5PPgazcuksbfU0VCk0vi2r6ZiNCzldzDggou&#10;S3w8/loo6DQMsh9dsPxuvRvmudbVNZwEq/sVcYauOFQ4J85fEguqAhW4NfwFPGqhgZ8eLIxabT8+&#10;9T7kw1GFKEYd7Bhw/7AhlmEkXio4xCegP8D66BQHRzk4dhxZjyNqIxcadIc5Q3fRDPle3Jq11fId&#10;XC7zUBVCRFGo3as8OAvf7z5cT5TN5zENFtEQf66uDA3gYc5Kzzde19yH4QahenUGB1Yxzny4NsKu&#10;j/2YdX9Vzv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dEzBYNgAAAALAQAADwAAAAAAAAABACAA&#10;AAAiAAAAZHJzL2Rvd25yZXYueG1sUEsBAhQAFAAAAAgAh07iQLd09+u4AgAAcgUAAA4AAAAAAAAA&#10;AQAgAAAAJwEAAGRycy9lMm9Eb2MueG1sUEsFBgAAAAAGAAYAWQEAAFEGAAAAAA==&#10;" adj="-12906,41949">
                <v:fill on="t" focussize="0,0"/>
                <v:stroke weight="1pt" color="#000000 [3213]" miterlimit="8" joinstyle="miter"/>
                <v:imagedata o:title=""/>
                <o:lock v:ext="edit" aspectratio="f"/>
                <v:textbox>
                  <w:txbxContent>
                    <w:p>
                      <w:pPr>
                        <w:jc w:val="center"/>
                      </w:pPr>
                    </w:p>
                  </w:txbxContent>
                </v:textbox>
              </v:shape>
            </w:pict>
          </mc:Fallback>
        </mc:AlternateContent>
      </w:r>
      <w:r>
        <w:rPr>
          <w:color w:val="auto"/>
          <w:sz w:val="21"/>
        </w:rPr>
        <mc:AlternateContent>
          <mc:Choice Requires="wps">
            <w:drawing>
              <wp:anchor distT="0" distB="0" distL="114300" distR="114300" simplePos="0" relativeHeight="251661312" behindDoc="0" locked="0" layoutInCell="1" allowOverlap="1">
                <wp:simplePos x="0" y="0"/>
                <wp:positionH relativeFrom="column">
                  <wp:posOffset>3447415</wp:posOffset>
                </wp:positionH>
                <wp:positionV relativeFrom="paragraph">
                  <wp:posOffset>2078355</wp:posOffset>
                </wp:positionV>
                <wp:extent cx="139065" cy="142875"/>
                <wp:effectExtent l="18415" t="22225" r="33020" b="25400"/>
                <wp:wrapNone/>
                <wp:docPr id="32" name="五角星 32"/>
                <wp:cNvGraphicFramePr/>
                <a:graphic xmlns:a="http://schemas.openxmlformats.org/drawingml/2006/main">
                  <a:graphicData uri="http://schemas.microsoft.com/office/word/2010/wordprocessingShape">
                    <wps:wsp>
                      <wps:cNvSpPr/>
                      <wps:spPr>
                        <a:xfrm>
                          <a:off x="4232275" y="2813050"/>
                          <a:ext cx="139065" cy="14287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1.45pt;margin-top:163.65pt;height:11.25pt;width:10.95pt;z-index:251661312;v-text-anchor:middle;mso-width-relative:page;mso-height-relative:page;" fillcolor="#FF0000" filled="t" stroked="t" coordsize="139065,142875" o:gfxdata="UEsDBAoAAAAAAIdO4kAAAAAAAAAAAAAAAAAEAAAAZHJzL1BLAwQUAAAACACHTuJApxWgr9oAAAAL&#10;AQAADwAAAGRycy9kb3ducmV2LnhtbE2PQU/DMAyF70j8h8hIXBBL1nZjK013QEMaRwYS17QxbaFx&#10;qibdCr8ec4Kj7feev1fsZteLE46h86RhuVAgkGpvO2o0vL483m5AhGjImt4TavjCALvy8qIwufVn&#10;esbTMTaCQyjkRkMb45BLGeoWnQkLPyDx7d2PzkQex0ba0Zw53PUyUWotnemIP7RmwIcW68/j5Bgj&#10;NdX32/B0mA/7bJ4cTR9qf6P19dVS3YOIOMc/MfziswdKZqr8RDaIXsMqS7Ys1ZAmdykIVqzWGZep&#10;eJNtNyDLQv7vUP4AUEsDBBQAAAAIAIdO4kA3bySMgwIAAAUFAAAOAAAAZHJzL2Uyb0RvYy54bWyt&#10;VEtu2zAQ3RfoHQjuG8mynThG5MCI4aJA0AZIi65pirII8FeS/qTHKLrorsveoecpih6jj5KSOGkW&#10;WdQLeYbz9GbmcUZn53utyFb4IK0p6eAop0QYbitp1iX98H75akJJiMxUTFkjSnojAj2fvXxxtnNT&#10;UdjGqkp4AhITpjtX0iZGN82ywBuhWTiyThgEa+s1i3D9Oqs824Fdq6zI8+NsZ33lvOUiBJwuuiDt&#10;Gf1zCG1dSy4Wlm+0MLFj9UKxiJZCI12gs7bauhY8vqvrICJRJUWnsX0iCexVemazMzZde+YayfsS&#10;2HNKeNSTZtIg6R3VgkVGNl7+Q6Ul9zbYOh5xq7OukVYRdDHIH2lz3TAn2l4gdXB3oof/R8vfbq88&#10;kVVJhwUlhmnc+K+fX//8+PL723eCMwi0c2EK3LW78r0XYKZu97XX6R99kH1JR8WwKE7GlNyUtJgM&#10;hvm4F1jsI+EADIan+THiHIDBqJgAC8bsnsj5EF8Lq0kySoo59ONWV7a9DLHD3mJS4mCVrJZSqdbx&#10;69WF8mTLcNnLZY5fT/8ApgzZIX1xgjDhDCNcY3RgagcZgllTwtQau8Gjb3M/eDscJkkpnk6Silyw&#10;0HTFtAypFjbVMmJ9lNQlnRy+rQyESEp32iZrZasbXI633dQGx5cStJcsxCvmMaaoH4sc3+FRK4um&#10;bG9R0lj/+anzhMf0IErJDmOPhj9tmBeUqDcGc3U6GI3SnrTOaHxSwPGHkdVhxGz0hYXYA3wyHG/N&#10;hI/q1qy91R+x7/OUFSFmOHJ30vbORezWEV8MLubzFobdcCxemmvHE3nSzdj5JtpatkNwr04vGraj&#10;naN+k9P6Hfot6v7rNfs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pxWgr9oAAAALAQAADwAAAAAA&#10;AAABACAAAAAiAAAAZHJzL2Rvd25yZXYueG1sUEsBAhQAFAAAAAgAh07iQDdvJIyDAgAABQUAAA4A&#10;AAAAAAAAAQAgAAAAKQEAAGRycy9lMm9Eb2MueG1sUEsFBgAAAAAGAAYAWQEAAB4GAAAAAA==&#10;" path="m0,54573l53118,54573,69532,0,85946,54573,139064,54573,96091,88301,112505,142874,69532,109146,26559,142874,42973,88301xe">
                <v:path o:connectlocs="69532,0;0,54573;26559,142874;112505,142874;139064,54573" o:connectangles="247,164,82,82,0"/>
                <v:fill on="t" focussize="0,0"/>
                <v:stroke weight="1pt" color="#000000 [3213]" miterlimit="8" joinstyle="miter"/>
                <v:imagedata o:title=""/>
                <o:lock v:ext="edit" aspectratio="f"/>
              </v:shape>
            </w:pict>
          </mc:Fallback>
        </mc:AlternateContent>
      </w:r>
      <w:r>
        <w:rPr>
          <w:rFonts w:hint="eastAsia" w:eastAsiaTheme="minorEastAsia"/>
          <w:color w:val="auto"/>
          <w:lang w:eastAsia="zh-CN"/>
        </w:rPr>
        <w:drawing>
          <wp:inline distT="0" distB="0" distL="114300" distR="114300">
            <wp:extent cx="6166485" cy="6741160"/>
            <wp:effectExtent l="0" t="0" r="5715" b="2540"/>
            <wp:docPr id="31" name="图片 31" descr="福清市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福清市地图"/>
                    <pic:cNvPicPr>
                      <a:picLocks noChangeAspect="1"/>
                    </pic:cNvPicPr>
                  </pic:nvPicPr>
                  <pic:blipFill>
                    <a:blip r:embed="rId26"/>
                    <a:stretch>
                      <a:fillRect/>
                    </a:stretch>
                  </pic:blipFill>
                  <pic:spPr>
                    <a:xfrm>
                      <a:off x="0" y="0"/>
                      <a:ext cx="6166485" cy="6741160"/>
                    </a:xfrm>
                    <a:prstGeom prst="rect">
                      <a:avLst/>
                    </a:prstGeom>
                  </pic:spPr>
                </pic:pic>
              </a:graphicData>
            </a:graphic>
          </wp:inline>
        </w:drawing>
      </w:r>
      <w:r>
        <w:rPr>
          <w:rFonts w:hint="eastAsia" w:ascii="Times New Roman" w:hAnsi="Times New Roman" w:eastAsia="宋体" w:cs="Times New Roman"/>
          <w:b/>
          <w:color w:val="auto"/>
          <w:kern w:val="2"/>
          <w:sz w:val="21"/>
          <w:szCs w:val="21"/>
          <w:lang w:val="en-US" w:eastAsia="zh-CN" w:bidi="ar-SA"/>
        </w:rPr>
        <w:t>附图1 项目地理位置图</w:t>
      </w:r>
    </w:p>
    <w:p>
      <w:pPr>
        <w:jc w:val="center"/>
        <w:rPr>
          <w:color w:val="auto"/>
        </w:rPr>
      </w:pP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5441315</wp:posOffset>
                </wp:positionH>
                <wp:positionV relativeFrom="paragraph">
                  <wp:posOffset>2250440</wp:posOffset>
                </wp:positionV>
                <wp:extent cx="1122045" cy="43688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122045" cy="436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22"/>
                                <w:szCs w:val="22"/>
                                <w:lang w:val="en-US" w:eastAsia="zh-CN"/>
                              </w:rPr>
                            </w:pPr>
                            <w:r>
                              <w:rPr>
                                <w:rFonts w:hint="eastAsia"/>
                                <w:b/>
                                <w:bCs/>
                                <w:sz w:val="22"/>
                                <w:szCs w:val="22"/>
                                <w:lang w:val="en-US" w:eastAsia="zh-CN"/>
                              </w:rPr>
                              <w:t>废气管道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8.45pt;margin-top:177.2pt;height:34.4pt;width:88.35pt;z-index:251703296;mso-width-relative:page;mso-height-relative:page;" filled="f" stroked="f" coordsize="21600,21600" o:gfxdata="UEsDBAoAAAAAAIdO4kAAAAAAAAAAAAAAAAAEAAAAZHJzL1BLAwQUAAAACACHTuJAgXr/5twAAAAM&#10;AQAADwAAAGRycy9kb3ducmV2LnhtbE2Py07DMBBF90j8gzVI7KjdvBRCnApFqpAQLFq6YTeJ3SQi&#10;HofYfcDX467KcnSP7j1Trs5mZEc9u8GShOVCANPUWjVQJ2H3sX7IgTmPpHC0pCX8aAer6vamxELZ&#10;E230ces7FkrIFSih934qOHdtrw26hZ00hWxvZ4M+nHPH1YynUG5GHgmRcYMDhYUeJ133uv3aHoyE&#10;13r9jpsmMvnvWL+87Z+n791nKuX93VI8AfP67K8wXPSDOlTBqbEHUo6NEvI0ewyohDhNEmAXQsRx&#10;BqyRkERxBLwq+f8nqj9QSwMEFAAAAAgAh07iQDW3fhw8AgAAagQAAA4AAABkcnMvZTJvRG9jLnht&#10;bK1UzY7TMBC+I/EOlu806S+laroqWxUhrdiVCuLsOk4TyfYY221SHgDegBMX7jxXn4Oxk3arhcMe&#10;uDhjz+/3zUzmN42S5CCsq0BntN9LKRGaQ17pXUY/fVy/mlLiPNM5k6BFRo/C0ZvFyxfz2szEAEqQ&#10;ubAEg2g3q01GS+/NLEkcL4VirgdGaFQWYBXzeLW7JLesxuhKJoM0nSQ12NxY4MI5fF21StpFtM8J&#10;CEVRcbECvldC+zaqFZJ5hOTKyji6iNUWheD+viic8ERmFJH6eGISlLfhTBZzNttZZsqKdyWw55Tw&#10;BJNilcakl1Ar5hnZ2+qvUKriFhwUvsdBJS2QyAii6KdPuNmUzIiIBal25kK6+39h+YfDgyVVjpMw&#10;HFGimcKWn358P/38ffr1jYRHpKg2boaWG4O2vnkLDZqf3x0+BuRNYVX4IiaCeiT4eCFYNJ7w4NQf&#10;DNLRmBKOutFwMp3GDiSP3sY6/06AIkHIqMUGRl7Z4c55rARNzyYhmYZ1JWVsotSkzuhkOE6jw0WD&#10;HlKjY8DQ1hok32ybDtgW8iPistAOhzN8XWHyO+b8A7M4DQgF98Xf41FIwCTQSZSUYL/+6z3YY5NQ&#10;S0mN05VR92XPrKBEvtfYvjf90SiMY7yMxq8HeLHXmu21Ru/VLeAA93EzDY9isPfyLBYW1Gdcq2XI&#10;iiqmOebOqD+Lt76deVxLLpbLaIQDaJi/0xvDQ+iWzuXeQ1FFpgNNLTcdeziCsQHduoQZv75Hq8df&#10;xO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Xr/5twAAAAMAQAADwAAAAAAAAABACAAAAAiAAAA&#10;ZHJzL2Rvd25yZXYueG1sUEsBAhQAFAAAAAgAh07iQDW3fhw8AgAAagQAAA4AAAAAAAAAAQAgAAAA&#10;KwEAAGRycy9lMm9Eb2MueG1sUEsFBgAAAAAGAAYAWQEAANkFAAAAAA==&#10;">
                <v:fill on="f" focussize="0,0"/>
                <v:stroke on="f" weight="0.5pt"/>
                <v:imagedata o:title=""/>
                <o:lock v:ext="edit" aspectratio="f"/>
                <v:textbox>
                  <w:txbxContent>
                    <w:p>
                      <w:pPr>
                        <w:rPr>
                          <w:rFonts w:hint="default" w:eastAsia="宋体"/>
                          <w:b/>
                          <w:bCs/>
                          <w:sz w:val="22"/>
                          <w:szCs w:val="22"/>
                          <w:lang w:val="en-US" w:eastAsia="zh-CN"/>
                        </w:rPr>
                      </w:pPr>
                      <w:r>
                        <w:rPr>
                          <w:rFonts w:hint="eastAsia"/>
                          <w:b/>
                          <w:bCs/>
                          <w:sz w:val="22"/>
                          <w:szCs w:val="22"/>
                          <w:lang w:val="en-US" w:eastAsia="zh-CN"/>
                        </w:rPr>
                        <w:t>废气管道</w:t>
                      </w:r>
                    </w:p>
                  </w:txbxContent>
                </v:textbox>
              </v:shape>
            </w:pict>
          </mc:Fallback>
        </mc:AlternateContent>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5158740</wp:posOffset>
                </wp:positionH>
                <wp:positionV relativeFrom="paragraph">
                  <wp:posOffset>2465070</wp:posOffset>
                </wp:positionV>
                <wp:extent cx="408940" cy="13970"/>
                <wp:effectExtent l="0" t="6350" r="2540" b="10160"/>
                <wp:wrapNone/>
                <wp:docPr id="133" name="直接连接符 133"/>
                <wp:cNvGraphicFramePr/>
                <a:graphic xmlns:a="http://schemas.openxmlformats.org/drawingml/2006/main">
                  <a:graphicData uri="http://schemas.microsoft.com/office/word/2010/wordprocessingShape">
                    <wps:wsp>
                      <wps:cNvCnPr/>
                      <wps:spPr>
                        <a:xfrm>
                          <a:off x="0" y="0"/>
                          <a:ext cx="408940" cy="1397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06.2pt;margin-top:194.1pt;height:1.1pt;width:32.2pt;z-index:251702272;mso-width-relative:page;mso-height-relative:page;" filled="f" stroked="t" coordsize="21600,21600" o:gfxdata="UEsDBAoAAAAAAIdO4kAAAAAAAAAAAAAAAAAEAAAAZHJzL1BLAwQUAAAACACHTuJAPPDKo9sAAAAL&#10;AQAADwAAAGRycy9kb3ducmV2LnhtbE2Py07DMBBF90j8gzVI7Kidh1oT4lQIVLFg1VIBSzcekqix&#10;HcVuGvh6hlVZzszRnXPL9Wx7NuEYOu8UJAsBDF3tTecaBfu3zZ0EFqJ2RvfeoYJvDLCurq9KXRh/&#10;dlucdrFhFOJCoRW0MQ4F56Fu0eqw8AM6un350epI49hwM+ozhduep0IsudWdow+tHvCpxfq4O1kF&#10;74+rYza/POebuN1/jn7KXvHnQ6nbm0Q8AIs4xwsMf/qkDhU5HfzJmcB6BTJJc0IVZFKmwIiQqyWV&#10;OdDmXuTAq5L/71D9AlBLAwQUAAAACACHTuJAWmbM/OgBAAC5AwAADgAAAGRycy9lMm9Eb2MueG1s&#10;rVNLjhMxEN0jcQfLe9KdZMRkWunMYqJhgyAScADH7e625J+qPOnkElwAiR2sWLLnNgzHoOwOmd9m&#10;FvTCXa7PK7/n8vJybw3bKUDtXc2nk5Iz5aRvtOtq/unj9asFZxiFa4TxTtX8oJBfrl6+WA6hUjPf&#10;e9MoYATisBpCzfsYQ1UUKHtlBU58UI6CrQcrIm2hKxoQA6FbU8zK8nUxeGgCeKkQybseg/yICM8B&#10;9G2rpVp7eWOViyMqKCMiUcJeB+SrfNq2VTK+b1tUkZmaE9OYV2pC9jatxWopqg5E6LU8HkE85wiP&#10;OFmhHTU9Qa1FFOwG9BMoqyV49G2cSG+LkUhWhFhMy0fafOhFUJkLSY3hJDr+P1j5brcBphuahPmc&#10;MycsXfntl5+/P3/78+srrbc/vrMUIqGGgBXlX7kNHHcYNpBY71uw6U982D6LeziJq/aRSXKelYuL&#10;M5JdUmg6vzjP2hd3tQEwvlHesmTU3GiXqItK7N5ipH6U+i8luZ2/1sbk6zOODYQ5Oy8TvKCZbGkW&#10;yLSBeKHrOBOmo2GXETIkeqObVJ6AELrtlQG2E2lE8pfIUrsHaan3WmA/5uXQODxWR3oPRtuaL+5X&#10;G0cgSbJRpGRtfXPI2mU/3Whuc5y+NDL397n67sWt/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8&#10;8Mqj2wAAAAsBAAAPAAAAAAAAAAEAIAAAACIAAABkcnMvZG93bnJldi54bWxQSwECFAAUAAAACACH&#10;TuJAWmbM/OgBAAC5AwAADgAAAAAAAAABACAAAAAqAQAAZHJzL2Uyb0RvYy54bWxQSwUGAAAAAAYA&#10;BgBZAQAAhAUAAAAA&#10;">
                <v:fill on="f" focussize="0,0"/>
                <v:stroke weight="1pt" color="#000000 [3213]" miterlimit="8" joinstyle="miter"/>
                <v:imagedata o:title=""/>
                <o:lock v:ext="edit" aspectratio="f"/>
              </v:line>
            </w:pict>
          </mc:Fallback>
        </mc:AlternateContent>
      </w:r>
      <w:r>
        <w:rPr>
          <w:color w:val="auto"/>
        </w:rPr>
        <w:drawing>
          <wp:inline distT="0" distB="0" distL="114300" distR="114300">
            <wp:extent cx="10570845" cy="8591550"/>
            <wp:effectExtent l="0" t="0" r="5715" b="381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27"/>
                    <a:stretch>
                      <a:fillRect/>
                    </a:stretch>
                  </pic:blipFill>
                  <pic:spPr>
                    <a:xfrm>
                      <a:off x="0" y="0"/>
                      <a:ext cx="10570845" cy="8591550"/>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5074920</wp:posOffset>
                </wp:positionH>
                <wp:positionV relativeFrom="paragraph">
                  <wp:posOffset>2382520</wp:posOffset>
                </wp:positionV>
                <wp:extent cx="125730" cy="116205"/>
                <wp:effectExtent l="6350" t="6350" r="20320" b="14605"/>
                <wp:wrapNone/>
                <wp:docPr id="131" name="同心圆 131"/>
                <wp:cNvGraphicFramePr/>
                <a:graphic xmlns:a="http://schemas.openxmlformats.org/drawingml/2006/main">
                  <a:graphicData uri="http://schemas.microsoft.com/office/word/2010/wordprocessingShape">
                    <wps:wsp>
                      <wps:cNvSpPr/>
                      <wps:spPr>
                        <a:xfrm>
                          <a:off x="5818505" y="3158490"/>
                          <a:ext cx="125730" cy="11620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99.6pt;margin-top:187.6pt;height:9.15pt;width:9.9pt;z-index:251700224;v-text-anchor:middle;mso-width-relative:page;mso-height-relative:page;" fillcolor="#4874CB [3204]" filled="t" stroked="t" coordsize="21600,21600" o:gfxdata="UEsDBAoAAAAAAIdO4kAAAAAAAAAAAAAAAAAEAAAAZHJzL1BLAwQUAAAACACHTuJA6pOfaNwAAAAL&#10;AQAADwAAAGRycy9kb3ducmV2LnhtbE2PT0+DQBDF7yZ+h82YeGnsAg22IEsPTZpoPBX/xdvCjkBk&#10;Zwm7Le23dzzpbWbey5vfK7ZnO4gTTr53pCBeRiCQGmd6ahW8vuzvNiB80GT04AgVXNDDtry+KnRu&#10;3EwHPFWhFRxCPtcKuhDGXErfdGi1X7oRibUvN1kdeJ1aaSY9c7gdZBJF99LqnvhDp0fcddh8V0er&#10;oP5cvNvF8yX5mN/CrtofnhL9mCp1exNHDyACnsOfGX7xGR1KZqrdkYwXg4J1liVsVbBapzywYxNn&#10;3K7mS7ZKQZaF/N+h/AFQSwMEFAAAAAgAh07iQLq2ZH+aAgAAKQUAAA4AAABkcnMvZTJvRG9jLnht&#10;bK1UzW7TQBC+I/EOq71T26ndpFGcKiQUIRVaqSDOm/U6Xmn/2F3HKVckThx4AN6Fp+l7MLt206Rw&#10;6IGLPeP5/M3MtzM7u9hJgbbMOq5VibOTFCOmqK642pT408fLVxOMnCeqIkIrVuI75vDF/OWLWWem&#10;bKQbLSpmEZAoN+1MiRvvzTRJHG2YJO5EG6YgWGsriQfXbpLKkg7YpUhGaXqWdNpWxmrKnIOvqz6I&#10;B0b7HEJd15yylaatZMr3rJYJ4qEl13Dj8DxWW9eM+uu6dswjUWLo1McnJAF7HZ7JfEamG0tMw+lQ&#10;AnlOCU96koQrSLqnWhFPUGv5X1SSU6udrv0J1TLpG4mKQBdZ+kSb24YYFnsBqZ3Zi+7+Hy39sL2x&#10;iFcwCacZRopIOPL7nz/uf3+7//UdhY8gUWfcFJC35sYOngMz9LurrQxv6ATtSlxMskmRFhjdlfg0&#10;Kyb5+SAx23lEAZCNivEpiE8BkGVnI8ACY/JIZKzzb5mWKBglrrRqfVSWbK+c77EPmJDYacGrSy5E&#10;dOxmvRQWbQkcdz4Z58vXA/0RTCjUhVLGaaiEwBDXMDxgSgNCOLXBiIgNbAf1NuY++tsdJhm9KfJF&#10;FkGile911eceFylw99UO+NjlEVFoY0Vc0/8SQ+EXMpXcw4oJLks8AZ49k1BAEs6iVz9Ya13dwQFa&#10;3U+2M/SSA+0Vcf6GWBhl6BCW3V/DoxYa2taDhVGj7dd/fQ94mDCIYtTBaoAkX1piGUbinYLZO8/y&#10;HGh9dPJiPALHHkbWhxHVyqWG44DpguqiGfBePJi11fIz3AmLkBVCRFHI3Ys/OEvfryzcKpQtFhEG&#10;+2OIv1K3hgbyoJvSi9brmscxeVRnEA02KJ7BsO1hRQ/9iHq84e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OqTn2jcAAAACwEAAA8AAAAAAAAAAQAgAAAAIgAAAGRycy9kb3ducmV2LnhtbFBLAQIU&#10;ABQAAAAIAIdO4kC6tmR/mgIAACkFAAAOAAAAAAAAAAEAIAAAACsBAABkcnMvZTJvRG9jLnhtbFBL&#10;BQYAAAAABgAGAFkBAAA3BgAAAAA=&#10;" adj="4990">
                <v:fill on="t" focussize="0,0"/>
                <v:stroke weight="1pt" color="#2E54A1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5071745</wp:posOffset>
                </wp:positionH>
                <wp:positionV relativeFrom="paragraph">
                  <wp:posOffset>2486025</wp:posOffset>
                </wp:positionV>
                <wp:extent cx="86360" cy="127635"/>
                <wp:effectExtent l="16510" t="13335" r="19050" b="26670"/>
                <wp:wrapNone/>
                <wp:docPr id="132" name="矩形 132"/>
                <wp:cNvGraphicFramePr/>
                <a:graphic xmlns:a="http://schemas.openxmlformats.org/drawingml/2006/main">
                  <a:graphicData uri="http://schemas.microsoft.com/office/word/2010/wordprocessingShape">
                    <wps:wsp>
                      <wps:cNvSpPr/>
                      <wps:spPr>
                        <a:xfrm rot="540000">
                          <a:off x="5240655" y="2750185"/>
                          <a:ext cx="86360" cy="12763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9.35pt;margin-top:195.75pt;height:10.05pt;width:6.8pt;rotation:589824f;z-index:251701248;v-text-anchor:middle;mso-width-relative:page;mso-height-relative:page;" fillcolor="#4874CB [3204]" filled="t" stroked="t" coordsize="21600,21600" o:gfxdata="UEsDBAoAAAAAAIdO4kAAAAAAAAAAAAAAAAAEAAAAZHJzL1BLAwQUAAAACACHTuJAERnEbtsAAAAL&#10;AQAADwAAAGRycy9kb3ducmV2LnhtbE2Py27CMBBF95X6D9ZU6qYqtoFCCHFYFKEuKiEVKtaT2CRp&#10;43Fkm0f/vmbVLkf36N4zxepqe3Y2PnSOFMiRAGaodrqjRsHnfvOcAQsRSWPvyCj4MQFW5f1dgbl2&#10;F/ow511sWCqhkKOCNsYh5zzUrbEYRm4wlLKj8xZjOn3DtcdLKrc9Hwsx4xY7SgstDua1NfX37mRv&#10;I0JPvw7xaVu9dfuwxvfNce2VenyQYgksmmv8g+Gmn9ShTE6VO5EOrFcwX2TzhCqYLOQLsERkcjwB&#10;VimYSjkDXhb8/w/lL1BLAwQUAAAACACHTuJAMWC57ZgCAAAxBQAADgAAAGRycy9lMm9Eb2MueG1s&#10;rVTNbhMxEL4j8Q6W73ST7eaHqEkVEoqQCq1UEGfH682u5D9s56e8DBI3HoLHQbwGn72bNm059MAe&#10;VjOe8Tcz38z47HyvJNkK5xujp7R/0qNEaG7KRq+n9POni1djSnxgumTSaDGlt8LT89nLF2c7OxG5&#10;qY0shSMA0X6ys1Nah2AnWeZ5LRTzJ8YKDWNlnGIBqltnpWM7oCuZ5b3eMNsZV1pnuPAep8vWSDtE&#10;9xxAU1UNF0vDN0ro0KI6IVlASb5urKezlG1VCR6uqsqLQOSUotKQ/ggCeRX/2eyMTdaO2brhXQrs&#10;OSk8qkmxRiPoHdSSBUY2rnkCpRrujDdVOOFGZW0hiRFU0e894uamZlakWkC1t3ek+/8Hyz9urx1p&#10;SkzCaU6JZgot//P95+9fP0g8AT876ydwu7HXrtM8xFjsvnKKOANSB0UPX2IANZE9TvKiNxwMKLmd&#10;0nw06PXHg5ZssQ+Ew2E8PB2iCxz2fj4aniZz1oJGcOt8eCeMIlGYUodWJny2vfQBicD14BLdvZFN&#10;edFImRS3Xi2kI1uGthfjUbF4E4PjygM3qckuRUfqhDMMc4UhgqgsCPF6TQmTa2wJDy7FfnDbHwfJ&#10;3w6KeT85yY36YMo2NgoHdhe69X+aRixjyXzdXkkxWqpUE7BqslFgK/J7QJIaILEtbSOitDLlLRqZ&#10;moFivOUXDWAvmQ/XzGGkcYilD1f4VdKgbNNJlNTGffvXefTHpMFKyQ4rAkq+bpgTlMj3GjP4ul8U&#10;gA1JKQajHIo7tqyOLXqjFgbt6Kfskhj9gzyIlTPqC96GeYwKE9McsVvyO2UR2tXF68LFfJ7csEeW&#10;hUt9Y3kEj+3XZr4JpmrSmNyz05GGTUo96LY+ruqxnrzuX7rZ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BEZxG7bAAAACwEAAA8AAAAAAAAAAQAgAAAAIgAAAGRycy9kb3ducmV2LnhtbFBLAQIUABQA&#10;AAAIAIdO4kAxYLntmAIAADEFAAAOAAAAAAAAAAEAIAAAACoBAABkcnMvZTJvRG9jLnhtbFBLBQYA&#10;AAAABgAGAFkBAAA0BgAAAAA=&#10;">
                <v:fill on="t" focussize="0,0"/>
                <v:stroke weight="1pt" color="#2E54A1 [24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5593715</wp:posOffset>
                </wp:positionH>
                <wp:positionV relativeFrom="paragraph">
                  <wp:posOffset>2606040</wp:posOffset>
                </wp:positionV>
                <wp:extent cx="1122045" cy="436880"/>
                <wp:effectExtent l="0" t="0" r="0" b="0"/>
                <wp:wrapNone/>
                <wp:docPr id="110" name="文本框 110"/>
                <wp:cNvGraphicFramePr/>
                <a:graphic xmlns:a="http://schemas.openxmlformats.org/drawingml/2006/main">
                  <a:graphicData uri="http://schemas.microsoft.com/office/word/2010/wordprocessingShape">
                    <wps:wsp>
                      <wps:cNvSpPr txBox="1"/>
                      <wps:spPr>
                        <a:xfrm>
                          <a:off x="8179435" y="3664585"/>
                          <a:ext cx="1122045" cy="436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22"/>
                                <w:szCs w:val="22"/>
                                <w:lang w:val="en-US" w:eastAsia="zh-CN"/>
                              </w:rPr>
                            </w:pPr>
                            <w:r>
                              <w:rPr>
                                <w:rFonts w:hint="eastAsia"/>
                                <w:b/>
                                <w:bCs/>
                                <w:sz w:val="22"/>
                                <w:szCs w:val="22"/>
                                <w:lang w:val="en-US" w:eastAsia="zh-CN"/>
                              </w:rPr>
                              <w:t>废气处理设施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0.45pt;margin-top:205.2pt;height:34.4pt;width:88.35pt;z-index:251682816;mso-width-relative:page;mso-height-relative:page;" filled="f" stroked="f" coordsize="21600,21600" o:gfxdata="UEsDBAoAAAAAAIdO4kAAAAAAAAAAAAAAAAAEAAAAZHJzL1BLAwQUAAAACACHTuJAr3ks1dwAAAAM&#10;AQAADwAAAGRycy9kb3ducmV2LnhtbE2Py07DMBBF90j8gzVI7KidqI80xKlQpAoJlUVLN+wmsZtE&#10;2OMQuw/69bgrWM7M0Z1zi9XFGnbSo+8dSUgmApimxqmeWgn7j/VTBswHJIXGkZbwoz2syvu7AnPl&#10;zrTVp11oWQwhn6OELoQh59w3nbboJ27QFG8HN1oMcRxbrkY8x3BreCrEnFvsKX7ocNBVp5uv3dFK&#10;eKvW77itU5tdTfW6ObwM3/vPmZSPD4l4Bhb0JfzBcNOP6lBGp9odSXlmJGSZWEZUwjQRU2A3QswW&#10;c2B1XC2WKfCy4P9LlL9QSwMEFAAAAAgAh07iQA8EjfBLAgAAdgQAAA4AAABkcnMvZTJvRG9jLnht&#10;bK1UwW4TMRC9I/EPlu90s8kmTaNuqtCqCCmilQri7Hi9WUu2x9hOd8MHwB9w4sKd7+p3MPZu2qhw&#10;6IHLZux5fuP3Zpzzi04rci+cl2BKmp+MKBGGQyXNtqSfPl6/mVPiAzMVU2BESffC04vl61fnrV2I&#10;MTSgKuEIkhi/aG1JmxDsIss8b4Rm/gSsMJiswWkWcOm2WeVYi+xaZePRaJa14CrrgAvvcfeqT9KB&#10;0b2EEOpacnEFfKeFCT2rE4oFlOQbaT1dptvWteDhpq69CESVFJWG9MUiGG/iN1ues8XWMdtIPlyB&#10;veQKzzRpJg0WfaS6YoGRnZN/UWnJHXiowwkHnfVCkiOoIh898+auYVYkLWi1t4+m+/9Hyz/c3zoi&#10;K5yEHD0xTGPLH358f/j5++HXNxI30aLW+gUi7yxiQ/cWOoQf9j1uRuVd7XT8RU0E8/P89KyYTCnZ&#10;l3QymxXT+bQ3W3SB8EiQj8ejAgEcEcVkNp+nUtkTk3U+vBOgSQxK6rCZyWN2v/YBb4XQAyQWNnAt&#10;lUoNVYa0JZ1NpqN04DGDJ5TBg1FPf+8YhW7TDSI3UO1Ro4N+ULzl1xKLr5kPt8zhZKBH+HbCDX5q&#10;BVgEhoiSBtzXf+1HPDYMs5S0OGkl9V92zAlK1HuDrTzLiyKOZloU09MxLtxxZnOcMTt9CTjMOb5S&#10;y1MY8UEdwtqB/oxPbBWrYooZjrVLGg7hZejnH58oF6tVAuEwWhbW5s7ySN3budoFqGVyOtrUezO4&#10;h+OYGjA8nTjvx+uEevq7W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r3ks1dwAAAAMAQAADwAA&#10;AAAAAAABACAAAAAiAAAAZHJzL2Rvd25yZXYueG1sUEsBAhQAFAAAAAgAh07iQA8EjfBLAgAAdgQA&#10;AA4AAAAAAAAAAQAgAAAAKwEAAGRycy9lMm9Eb2MueG1sUEsFBgAAAAAGAAYAWQEAAOgFAAAAAA==&#10;">
                <v:fill on="f" focussize="0,0"/>
                <v:stroke on="f" weight="0.5pt"/>
                <v:imagedata o:title=""/>
                <o:lock v:ext="edit" aspectratio="f"/>
                <v:textbox>
                  <w:txbxContent>
                    <w:p>
                      <w:pPr>
                        <w:rPr>
                          <w:rFonts w:hint="default" w:eastAsia="宋体"/>
                          <w:b/>
                          <w:bCs/>
                          <w:sz w:val="22"/>
                          <w:szCs w:val="22"/>
                          <w:lang w:val="en-US" w:eastAsia="zh-CN"/>
                        </w:rPr>
                      </w:pPr>
                      <w:r>
                        <w:rPr>
                          <w:rFonts w:hint="eastAsia"/>
                          <w:b/>
                          <w:bCs/>
                          <w:sz w:val="22"/>
                          <w:szCs w:val="22"/>
                          <w:lang w:val="en-US" w:eastAsia="zh-CN"/>
                        </w:rPr>
                        <w:t>废气处理设施</w:t>
                      </w:r>
                    </w:p>
                  </w:txbxContent>
                </v:textbox>
              </v:shape>
            </w:pict>
          </mc:Fallback>
        </mc:AlternateContent>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5252085</wp:posOffset>
                </wp:positionH>
                <wp:positionV relativeFrom="paragraph">
                  <wp:posOffset>2778125</wp:posOffset>
                </wp:positionV>
                <wp:extent cx="408940" cy="13970"/>
                <wp:effectExtent l="0" t="6350" r="2540" b="10160"/>
                <wp:wrapNone/>
                <wp:docPr id="109" name="直接连接符 109"/>
                <wp:cNvGraphicFramePr/>
                <a:graphic xmlns:a="http://schemas.openxmlformats.org/drawingml/2006/main">
                  <a:graphicData uri="http://schemas.microsoft.com/office/word/2010/wordprocessingShape">
                    <wps:wsp>
                      <wps:cNvCnPr/>
                      <wps:spPr>
                        <a:xfrm>
                          <a:off x="7680325" y="3740785"/>
                          <a:ext cx="408940" cy="1397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13.55pt;margin-top:218.75pt;height:1.1pt;width:32.2pt;z-index:251681792;mso-width-relative:page;mso-height-relative:page;" filled="f" stroked="t" coordsize="21600,21600" o:gfxdata="UEsDBAoAAAAAAIdO4kAAAAAAAAAAAAAAAAAEAAAAZHJzL1BLAwQUAAAACACHTuJALyGGutoAAAAL&#10;AQAADwAAAGRycy9kb3ducmV2LnhtbE2PTU+DQBCG7yb+h82YeLMLpQpFlsZoGg+eWhv1uGVHIGVn&#10;Cbul6K93erK3+XjyzjPFarKdGHHwrSMF8SwCgVQ501KtYPe+vstA+KDJ6M4RKvhBD6vy+qrQuXEn&#10;2uC4DbXgEPK5VtCE0OdS+qpBq/3M9Ui8+3aD1YHboZZm0CcOt52cR9GDtLolvtDoHp8brA7bo1Xw&#10;8ZQekun1ZbEOm93X4MbkDX8/lbq9iaNHEAGn8A/DWZ/VoWSnvTuS8aJTkM3TmFEFiyS9B8FEtoy5&#10;2J8nyxRkWcjLH8o/UEsDBBQAAAAIAIdO4kBTb3Cq9wEAAMUDAAAOAAAAZHJzL2Uyb0RvYy54bWyt&#10;UzuO2zAQ7QPkDgT7WPJnV7JgeYs1Nk2QGEhyAJqiJAL8gcO17EvkAgHSJVXK9LnNbo6RIeX9ptki&#10;KqghZ/hm3pvh6uKgFdkLD9Kamk4nOSXCcNtI09X086erNyUlEJhpmLJG1PQogF6sX79aDa4SM9tb&#10;1QhPEMRANbia9iG4KsuA90IzmFgnDDpb6zULuPVd1ng2ILpW2SzPz7PB+sZ5ywUAnm5GJz0h+pcA&#10;2raVXGwsv9bChBHVC8UCUoJeOqDrVG3bCh4+tC2IQFRNkWlIKyZBexfXbL1iVeeZ6yU/lcBeUsIz&#10;TppJg0nvoTYsMHLt5T9QWnJvwbZhwq3ORiJJEWQxzZ9p87FnTiQuKDW4e9Hh/8Hy9/utJ7LBSciX&#10;lBimseW3X3/dfPn+5/c3XG9//iDRhUINDiqMvzRbf9qB2/rI+tB6Hf/IhxxqWpyX+Xx2RsmxpvNi&#10;kRfl2Si0OATCMWCRl8sFtoBjwHS+LFIfsgcc5yG8FVaTaNRUSRNlYBXbv4OAuTH0LiQeG3sllUqt&#10;VIYMiDkr8gjPcD5bnAs0tUOOYDpKmOpw8HnwCRKskk28HoHAd7tL5cmexXFJXywc0z0Ji7k3DPox&#10;LrlGfloGfBtK6pqWj28rgyBRvlGwaO1sc0w6pnPsbkpzmsQ4Po/36fbD61v/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8hhrraAAAACwEAAA8AAAAAAAAAAQAgAAAAIgAAAGRycy9kb3ducmV2Lnht&#10;bFBLAQIUABQAAAAIAIdO4kBTb3Cq9wEAAMUDAAAOAAAAAAAAAAEAIAAAACkBAABkcnMvZTJvRG9j&#10;LnhtbFBLBQYAAAAABgAGAFkBAACSBQ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4970145</wp:posOffset>
                </wp:positionH>
                <wp:positionV relativeFrom="paragraph">
                  <wp:posOffset>2616200</wp:posOffset>
                </wp:positionV>
                <wp:extent cx="263525" cy="283845"/>
                <wp:effectExtent l="20955" t="19685" r="35560" b="31750"/>
                <wp:wrapNone/>
                <wp:docPr id="108" name="矩形 108"/>
                <wp:cNvGraphicFramePr/>
                <a:graphic xmlns:a="http://schemas.openxmlformats.org/drawingml/2006/main">
                  <a:graphicData uri="http://schemas.microsoft.com/office/word/2010/wordprocessingShape">
                    <wps:wsp>
                      <wps:cNvSpPr/>
                      <wps:spPr>
                        <a:xfrm rot="360000">
                          <a:off x="9820910" y="3747770"/>
                          <a:ext cx="263525" cy="283845"/>
                        </a:xfrm>
                        <a:prstGeom prst="rect">
                          <a:avLst/>
                        </a:prstGeom>
                        <a:solidFill>
                          <a:srgbClr val="00B0F0"/>
                        </a:solidFill>
                        <a:ln>
                          <a:solidFill>
                            <a:schemeClr val="tx1">
                              <a:lumMod val="95000"/>
                              <a:lumOff val="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1.35pt;margin-top:206pt;height:22.35pt;width:20.75pt;rotation:393216f;z-index:251680768;v-text-anchor:middle;mso-width-relative:page;mso-height-relative:page;" fillcolor="#00B0F0" filled="t" stroked="t" coordsize="21600,21600" o:gfxdata="UEsDBAoAAAAAAIdO4kAAAAAAAAAAAAAAAAAEAAAAZHJzL1BLAwQUAAAACACHTuJAwkBJl9gAAAAL&#10;AQAADwAAAGRycy9kb3ducmV2LnhtbE2PwU6DQBCG7ya+w2ZMvNmFDRaCLE3U9lgTWh9ggSmQsrOE&#10;3Zbq0zue9DgzX/75/mJzs6O44uwHRxriVQQCqXHtQJ2Gz+PuKQPhg6HWjI5Qwxd62JT3d4XJW7dQ&#10;hddD6ASHkM+Nhj6EKZfSNz1a41duQuLbyc3WBB7nTrazWTjcjlJF0VpaMxB/6M2Ebz0258PFath9&#10;vO+3y/hKeKqSSu335+q73mr9+BBHLyAC3sIfDL/6rA4lO9XuQq0Xo4Y0UymjGpJYcSkmMpUoEDVv&#10;ntcpyLKQ/zuUP1BLAwQUAAAACACHTuJAQw/PsqMCAABIBQAADgAAAGRycy9lMm9Eb2MueG1srVTN&#10;bhMxEL4j8Q6W73Q326T5UTcoNApCKrRSQZwdrze7kv+wnaTlZZC48RA8DuI1+OzdtE3h0AOJZM14&#10;Zr+Z+WbG569vlSQ74XxrdEkHJzklQnNTtXpT0k8fV68mlPjAdMWk0aKkd8LT1/OXL873diYK0xhZ&#10;CUcAov1sb0vahGBnWeZ5IxTzJ8YKDWNtnGIBqttklWN7oCuZFXl+lu2Nq6wzXHiP22VnpD2iew6g&#10;qeuWi6XhWyV06FCdkCygJN+01tN5yrauBQ9Xde1FILKkqDSkE0Egr+OZzc/ZbOOYbVrep8Cek8KT&#10;mhRrNYLeQy1ZYGTr2r+gVMud8aYOJ9yorCskMYIqBvkTbm4aZkWqBVR7e0+6/3+w/MPu2pG2wiTk&#10;aLxmCi3//e3Hr5/fSbwBP3vrZ3C7sdeu1zzEWOxt7RRxBqSenuX4JQZQE7kt6XRS5NMBaL6DdTwc&#10;j8c92eI2EA6H4ux0VIwo4XAoJqeT4SgGyzrUiG6dD2+FUSQKJXXoZQrAdpc+dK4Hl+jujWyrVStl&#10;UtxmfSEd2bHY9/xNvkrRgX7kJjXZo/JijNwJZ5jmGlMEUVkw4vWGEiY3WBMeXIp99LU/CrLM8U9O&#10;cqvem6qLPR1FXpAtm+Eas9hdH25jQh1KKv0IPha3ZL7pvkimDki1ARsoW1XSSaT9UJrUAInd6voT&#10;pbWp7tDf1COU6C1ftYC9ZD5cM4dJxyXegnCFo5YGZJheoqQx7uu/7qM/BhBWSvbYHBD1ZcucoES+&#10;0xjN6WA4BGxIynA0LqC4x5b1Y4veqguDJg1SdkmM/kEexNoZ9RlPxiJGhYlpjthdS3rlInQbjUeH&#10;i8UiuWG9LAuX+sbyCB4boM1iG0zdpuF5YKcnDQuWetA/BnGDH+vJ6+EBn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wkBJl9gAAAALAQAADwAAAAAAAAABACAAAAAiAAAAZHJzL2Rvd25yZXYueG1s&#10;UEsBAhQAFAAAAAgAh07iQEMPz7KjAgAASAUAAA4AAAAAAAAAAQAgAAAAJwEAAGRycy9lMm9Eb2Mu&#10;eG1sUEsFBgAAAAAGAAYAWQEAADwGAAAAAA==&#10;">
                <v:fill on="t" focussize="0,0"/>
                <v:stroke weight="1pt" color="#0D0D0D [3069]"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4486275</wp:posOffset>
                </wp:positionH>
                <wp:positionV relativeFrom="paragraph">
                  <wp:posOffset>6009640</wp:posOffset>
                </wp:positionV>
                <wp:extent cx="419100" cy="275590"/>
                <wp:effectExtent l="3175" t="5080" r="4445" b="8890"/>
                <wp:wrapNone/>
                <wp:docPr id="121" name="任意多边形 121"/>
                <wp:cNvGraphicFramePr/>
                <a:graphic xmlns:a="http://schemas.openxmlformats.org/drawingml/2006/main">
                  <a:graphicData uri="http://schemas.microsoft.com/office/word/2010/wordprocessingShape">
                    <wps:wsp>
                      <wps:cNvSpPr/>
                      <wps:spPr>
                        <a:xfrm>
                          <a:off x="5220970" y="6955790"/>
                          <a:ext cx="419100" cy="275590"/>
                        </a:xfrm>
                        <a:custGeom>
                          <a:avLst/>
                          <a:gdLst>
                            <a:gd name="connisteX0" fmla="*/ 0 w 438150"/>
                            <a:gd name="connsiteY0" fmla="*/ 9525 h 9525"/>
                            <a:gd name="connisteX1" fmla="*/ 438150 w 438150"/>
                            <a:gd name="connsiteY1" fmla="*/ 0 h 9525"/>
                          </a:gdLst>
                          <a:ahLst/>
                          <a:cxnLst>
                            <a:cxn ang="0">
                              <a:pos x="connisteX0" y="connsiteY0"/>
                            </a:cxn>
                            <a:cxn ang="0">
                              <a:pos x="connisteX1" y="connsiteY1"/>
                            </a:cxn>
                          </a:cxnLst>
                          <a:rect l="l" t="t" r="r" b="b"/>
                          <a:pathLst>
                            <a:path w="438150" h="9525">
                              <a:moveTo>
                                <a:pt x="0" y="9525"/>
                              </a:moveTo>
                              <a:lnTo>
                                <a:pt x="438150" y="0"/>
                              </a:lnTo>
                            </a:path>
                          </a:pathLst>
                        </a:cu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53.25pt;margin-top:473.2pt;height:21.7pt;width:33pt;z-index:251691008;mso-width-relative:page;mso-height-relative:page;" fillcolor="#000000 [3213]" filled="t" stroked="t" coordsize="438150,9525" o:gfxdata="UEsDBAoAAAAAAIdO4kAAAAAAAAAAAAAAAAAEAAAAZHJzL1BLAwQUAAAACACHTuJAmiWL7tgAAAAL&#10;AQAADwAAAGRycy9kb3ducmV2LnhtbE2PPU/DMBCGdyT+g3VIbNROKUka4nQoIOYWBtjc+BoH/BHF&#10;Thv49RwTjPfeo/eeqzezs+yEY+yDl5AtBDD0bdC97yS8vjzdlMBiUl4rGzxK+MIIm+byolaVDme/&#10;w9M+dYxKfKyUBJPSUHEeW4NOxUUY0NPuGEanEo1jx/WozlTuLF8KkXOnek8XjBpwa7D93E9OwrR7&#10;/k5v+UNxNI/9x3z7brcqZVJeX2XiHljCOf3B8KtP6tCQ0yFMXkdmJRQivyNUwnqVr4ARURRLSg6U&#10;lOsSeFPz/z80P1BLAwQUAAAACACHTuJAfz9yXrACAAD8BQAADgAAAGRycy9lMm9Eb2MueG1srVTL&#10;btQwFN0j8Q+Wl0g0D5pOZ9RMF4zKBgFSiwRLj+MklvyS7U6me/bsWSJ+AlXwNRTxGVzbmWlaFu2C&#10;WSTO+N5z7zn3cXK6lQJtmHVcqxoXBzlGTFHdcNXV+P3F2fNjjJwnqiFCK1bjK+bw6fLpk5PBLFip&#10;ey0aZhGAKLcYTI17780iyxztmSTuQBum4LLVVhIPn7bLGksGQJciK/P8KBu0bYzVlDkH/67SJR4R&#10;7WMAddtyylaaXkqmfEK1TBAPlFzPjcPLmG3bMurftq1jHokaA1MfnxAEzuvwzJYnZNFZYnpOxxTI&#10;Y1K4x0kSriDoHmpFPEGXlv8DJTm12unWH1Ats0QkKgIsivyeNuc9MSxyAamd2Yvu/h8sfbN5ZxFv&#10;oBPKAiNFJJT81/X170+fb759+fPz+82PryhcgVCDcQuwPzfv7Pjl4BhYb1srwxv4oG2Nq7LM5zOQ&#10;+KrGR/Oqms1HodnWIwoGh8W8yOGegkE5q6p0n90C0UvnXzEdQcnmtfOpTg2cosrNmCnVSnHn2QcA&#10;a6WA0j3LUI4GdPjiuKh25Z1aO+7Zx6n1vCor1KPwGrthah7BQZg9eAJ+MMLUJZ/AA8dux4L0O2J0&#10;q0ZmcEIkTGIe28loFwSd0gTJwufIA3QBSPAKsjzgDDlNnWNNd87pPSZhYWzCwIg4MB4jGBgbB2ad&#10;JDLEh9xDzHBEA5Q0CY76Gkcpw53UG3aho5UPNFJH7JSGkLcGQk0Nd2CQbqwhmCYDOISAkfQ+iZD7&#10;pF+cFrw540KEwM5265fCog0JCyD+AgVwuWMmVOBQlLPYlQTWWgvrBBpUGhgNpzqMiOhgX1JvY2Hu&#10;eD8yiLHOr4jrUzIRIckpoSctElzW+HiaooCqZmHq0pyF01o3V3H84v+wFCKXcYGFrTP9jt63S3v5&#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Joli+7YAAAACwEAAA8AAAAAAAAAAQAgAAAAIgAAAGRy&#10;cy9kb3ducmV2LnhtbFBLAQIUABQAAAAIAIdO4kB/P3JesAIAAPwFAAAOAAAAAAAAAAEAIAAAACcB&#10;AABkcnMvZTJvRG9jLnhtbFBLBQYAAAAABgAGAFkBAABJBgAAAAA=&#10;" path="m0,9525l438150,0e">
                <v:path o:connectlocs="0,275590;419100,0" o:connectangles="0,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4506595</wp:posOffset>
                </wp:positionH>
                <wp:positionV relativeFrom="paragraph">
                  <wp:posOffset>5737860</wp:posOffset>
                </wp:positionV>
                <wp:extent cx="1122045" cy="33274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12204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22"/>
                                <w:szCs w:val="22"/>
                                <w:lang w:val="en-US" w:eastAsia="zh-CN"/>
                              </w:rPr>
                            </w:pPr>
                            <w:r>
                              <w:rPr>
                                <w:rFonts w:hint="eastAsia"/>
                                <w:b/>
                                <w:bCs/>
                                <w:sz w:val="22"/>
                                <w:szCs w:val="22"/>
                                <w:lang w:val="en-US" w:eastAsia="zh-CN"/>
                              </w:rPr>
                              <w:t>医疗废物间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85pt;margin-top:451.8pt;height:26.2pt;width:88.35pt;z-index:251692032;mso-width-relative:page;mso-height-relative:page;" filled="f" stroked="f" coordsize="21600,21600" o:gfxdata="UEsDBAoAAAAAAIdO4kAAAAAAAAAAAAAAAAAEAAAAZHJzL1BLAwQUAAAACACHTuJAU2T70NwAAAAL&#10;AQAADwAAAGRycy9kb3ducmV2LnhtbE2PTU/DMAyG70j8h8hI3FiywbquNJ1QpQkJscPGLtzcJmsr&#10;Gqc02Qf8eswJjrYfvX7efHVxvTjZMXSeNEwnCoSl2puOGg37t/VdCiJEJIO9J6vhywZYFddXOWbG&#10;n2lrT7vYCA6hkKGGNsYhkzLUrXUYJn6wxLeDHx1GHsdGmhHPHO56OVMqkQ474g8tDrZsbf2xOzoN&#10;L+V6g9tq5tLvvnx+PTwNn/v3uda3N1P1CCLaS/yD4Vef1aFgp8ofyQTRa1io5YJRDUt1n4BgIk2T&#10;BxAVb+aJAlnk8n+H4gdQSwMEFAAAAAgAh07iQHe23H47AgAAagQAAA4AAABkcnMvZTJvRG9jLnht&#10;bK1UzW7UMBC+I/EOlu80+9cWVs1WS6sipIpWKoiz13E2kWyPsb1NygPAG3Diwp3n6nPw2dndVoVD&#10;D1ycsef3+2YmJ6e90exW+dCSLfn4YMSZspKq1q5L/unjxavXnIUobCU0WVXyOxX46eLli5POzdWE&#10;GtKV8gxBbJh3ruRNjG5eFEE2yohwQE5ZKGvyRkRc/bqovOgQ3ehiMhodFR35ynmSKgS8ng9Kvo3o&#10;nxOQ6rqV6pzkxigbh6heaREBKTStC3yRq61rJeNVXQcVmS45kMZ8IgnkVTqLxYmYr71wTSu3JYjn&#10;lPAEkxGtRdJ9qHMRBdv49q9QppWeAtXxQJIpBiCZEaAYj55wc9MIpzIWUB3cnvTw/8LKD7fXnrUV&#10;JmEy4cwKg5bf//h+//P3/a9vLD2Cos6FOSxvHGxj/5Z6mO/eAx4T8r72Jn2BiUEPgu/2BKs+Mpmc&#10;EG80O+RMQjedTo5nuQPFg7fzIb5TZFgSSu7RwMyruL0MEZXAdGeSklm6aLXOTdSWdSU/mh6OssNe&#10;Aw9t4ZgwDLUmKfarfgtsRdUdcHkahiM4edEi+aUI8Vp4TAOgYF/iFY5aE5LQVuKsIf/1X+/JHk2C&#10;lrMO01Xy8GUjvOJMv7do35vxDNBZzJfZ4fEEF/9Ys3qssRtzRhjgMTbTySwm+6h3Yu3JfMZaLVNW&#10;qISVyF3yuBPP4jDzWEuplstshAF0Il7aGydT6IHO5SZS3WamE00DN1v2MIK5Adt1STP++J6tHn4R&#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TZPvQ3AAAAAsBAAAPAAAAAAAAAAEAIAAAACIAAABk&#10;cnMvZG93bnJldi54bWxQSwECFAAUAAAACACHTuJAd7bcfjsCAABqBAAADgAAAAAAAAABACAAAAAr&#10;AQAAZHJzL2Uyb0RvYy54bWxQSwUGAAAAAAYABgBZAQAA2AUAAAAA&#10;">
                <v:fill on="f" focussize="0,0"/>
                <v:stroke on="f" weight="0.5pt"/>
                <v:imagedata o:title=""/>
                <o:lock v:ext="edit" aspectratio="f"/>
                <v:textbox>
                  <w:txbxContent>
                    <w:p>
                      <w:pPr>
                        <w:rPr>
                          <w:rFonts w:hint="default" w:eastAsia="宋体"/>
                          <w:b/>
                          <w:bCs/>
                          <w:sz w:val="22"/>
                          <w:szCs w:val="22"/>
                          <w:lang w:val="en-US" w:eastAsia="zh-CN"/>
                        </w:rPr>
                      </w:pPr>
                      <w:r>
                        <w:rPr>
                          <w:rFonts w:hint="eastAsia"/>
                          <w:b/>
                          <w:bCs/>
                          <w:sz w:val="22"/>
                          <w:szCs w:val="22"/>
                          <w:lang w:val="en-US" w:eastAsia="zh-CN"/>
                        </w:rPr>
                        <w:t>医疗废物间</w:t>
                      </w:r>
                    </w:p>
                  </w:txbxContent>
                </v:textbox>
              </v:shape>
            </w:pict>
          </mc:Fallback>
        </mc:AlternateContent>
      </w:r>
      <w:r>
        <w:rPr>
          <w:color w:val="auto"/>
          <w:sz w:val="24"/>
        </w:rPr>
        <mc:AlternateContent>
          <mc:Choice Requires="wps">
            <w:drawing>
              <wp:anchor distT="0" distB="0" distL="114300" distR="114300" simplePos="0" relativeHeight="251689984" behindDoc="0" locked="0" layoutInCell="1" allowOverlap="1">
                <wp:simplePos x="0" y="0"/>
                <wp:positionH relativeFrom="column">
                  <wp:posOffset>4400550</wp:posOffset>
                </wp:positionH>
                <wp:positionV relativeFrom="paragraph">
                  <wp:posOffset>6040120</wp:posOffset>
                </wp:positionV>
                <wp:extent cx="133350" cy="266700"/>
                <wp:effectExtent l="18415" t="12065" r="31115" b="26035"/>
                <wp:wrapNone/>
                <wp:docPr id="120" name="矩形 120"/>
                <wp:cNvGraphicFramePr/>
                <a:graphic xmlns:a="http://schemas.openxmlformats.org/drawingml/2006/main">
                  <a:graphicData uri="http://schemas.microsoft.com/office/word/2010/wordprocessingShape">
                    <wps:wsp>
                      <wps:cNvSpPr/>
                      <wps:spPr>
                        <a:xfrm rot="300000">
                          <a:off x="5135245" y="6824980"/>
                          <a:ext cx="133350" cy="266700"/>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6.5pt;margin-top:475.6pt;height:21pt;width:10.5pt;rotation:327680f;z-index:251689984;v-text-anchor:middle;mso-width-relative:page;mso-height-relative:page;" fillcolor="#00B050" filled="t" stroked="t" coordsize="21600,21600" o:gfxdata="UEsDBAoAAAAAAIdO4kAAAAAAAAAAAAAAAAAEAAAAZHJzL1BLAwQUAAAACACHTuJAPFXl7toAAAAL&#10;AQAADwAAAGRycy9kb3ducmV2LnhtbE2PwU7DMBBE70j8g7VI3KjjBAoJcSoUqScQKgUJcXPjJQnE&#10;6xC7bfh7lhMcd3Y086ZczW4QB5xC70mDWiQgkBpve2o1vDyvL25AhGjImsETavjGAKvq9KQ0hfVH&#10;esLDNraCQygURkMX41hIGZoOnQkLPyLx791PzkQ+p1bayRw53A0yTZKldKYnbujMiHWHzed27zQ8&#10;fMxf9/i2yXoV5J16DfV681hrfX6mklsQEef4Z4ZffEaHipl2fk82iEHDMs94S9SQX6kUBDuu1SUr&#10;O1byLAVZlfL/huoHUEsDBBQAAAAIAIdO4kB5ErsWggIAABAFAAAOAAAAZHJzL2Uyb0RvYy54bWyt&#10;VEtuFDEQ3SNxB8t70vNnMkpPNGQUhBSRSAGx9rjd05b8w/ZMT7gMEjsOwXEQ1+DZ3fmSRRb0wqqy&#10;y+9VPVf1yelBK7IXPkhrSjo8GlAiDLeVNNuSfv50/mZOSYjMVExZI0p6IwI9Xb5+ddK6hRjZxqpK&#10;eAIQExatK2kTo1sUReCN0CwcWScMDmvrNYtw/baoPGuBrlUxGgxmRWt95bzlIgTsrrtD2iP6lwDa&#10;upZcrC3faWFih+qFYhElhUa6QJc527oWPF7WdRCRqJKi0phXkMDepLVYnrDF1jPXSN6nwF6SwpOa&#10;NJMGpHdQaxYZ2Xn5D5SW3Ntg63jErS66QrIiqGI4eKLNdcOcyLVA6uDuRA//D5Z/3F95Iit0wgia&#10;GKbx5H++//z96wdJO9CndWGBsGt35XsvwEzFHmqvibcQdTxIX1YANZFDSafD8XQ0mVJyU9LZfDQ5&#10;nvdii0MkHAHD8Xg8BSVHwGg2e4vrgC861ITufIjvhdUkGSX1eMtMwPYXIXahtyEpPFglq3OpVHb8&#10;dnOmPNmz9O6DdwMwdVcehSlD2lR5IiecoZtrdBFM7aBIMFtKmNpiTHj0mfvR7fCYJCvwDElKcs1C&#10;0yWTEVIubKFlxCQpqUs67/TrbisDHZLqnc7J2tjqBu+UtUaqwfFzCdgLFuIV8+hYbGKm4yWWWlkU&#10;ZXuLksb6b8/tp3g0Ek4paTEBKPjrjnlBifpg0GLHw8kEsDE7k+nb1B/+4cnm4YnZ6TMLsYc5u2ym&#10;+Khuzdpb/QWjv0qsOGKGg7uTtnfOYjeZ+HlwsVrlMIyJY/HCXDuewJNuxq520dYyN8G9Or1oGJTc&#10;Rv1Qp0l86Oeo+x/Z8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8VeXu2gAAAAsBAAAPAAAAAAAA&#10;AAEAIAAAACIAAABkcnMvZG93bnJldi54bWxQSwECFAAUAAAACACHTuJAeRK7FoICAAAQBQAADgAA&#10;AAAAAAABACAAAAApAQAAZHJzL2Uyb0RvYy54bWxQSwUGAAAAAAYABgBZAQAAHQY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11464925</wp:posOffset>
                </wp:positionH>
                <wp:positionV relativeFrom="paragraph">
                  <wp:posOffset>1351280</wp:posOffset>
                </wp:positionV>
                <wp:extent cx="1534795" cy="342265"/>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534795" cy="342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C000"/>
                                <w:sz w:val="21"/>
                                <w:szCs w:val="21"/>
                                <w:lang w:val="en-US" w:eastAsia="zh-CN"/>
                              </w:rPr>
                            </w:pPr>
                            <w:r>
                              <w:rPr>
                                <w:rFonts w:hint="eastAsia"/>
                                <w:b/>
                                <w:bCs/>
                                <w:color w:val="FFC000"/>
                                <w:sz w:val="21"/>
                                <w:szCs w:val="21"/>
                                <w:lang w:val="en-US" w:eastAsia="zh-CN"/>
                              </w:rPr>
                              <w:t>应急池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2.75pt;margin-top:106.4pt;height:26.95pt;width:120.85pt;z-index:251685888;mso-width-relative:page;mso-height-relative:page;" filled="f" stroked="f" coordsize="21600,21600" o:gfxdata="UEsDBAoAAAAAAIdO4kAAAAAAAAAAAAAAAAAEAAAAZHJzL1BLAwQUAAAACACHTuJAz66149wAAAAN&#10;AQAADwAAAGRycy9kb3ducmV2LnhtbE2Py07DMBBF90j8gzVI7Kgdi6RRiFOhSBUSoouWbtg5sZtE&#10;xOMQuw/4+g4r2M3VHN1Hubq4kZ3sHAaPCpKFAGax9WbATsH+ff2QAwtRo9GjR6vg2wZYVbc3pS6M&#10;P+PWnnaxY2SCodAK+hingvPQ9tbpsPCTRfod/Ox0JDl33Mz6TOZu5FKIjDs9ICX0erJ1b9vP3dEp&#10;eK3XG71tpMt/xvrl7fA8fe0/UqXu7xLxBCzaS/yD4bc+VYeKOjX+iCawkXQu0pRYBTKRNIIQKR6X&#10;ElhDV5YtgVcl/7+iugJQSwMEFAAAAAgAh07iQIqLFfk+AgAAagQAAA4AAABkcnMvZTJvRG9jLnht&#10;bK1UzY7TMBC+I/EOlu80/Um7bNV0VbYqQlqxKxXE2XWcJpLtMbbbpDwAvMGeuHDnufocjJ20Wy0c&#10;9sDFGXvG3/j7Ziazm0ZJshfWVaAzOuj1KRGaQ17pbUY/f1q9eUuJ80znTIIWGT0IR2/mr1/NajMV&#10;QyhB5sISBNFuWpuMlt6baZI4XgrFXA+M0OgswCrmcWu3SW5ZjehKJsN+f5LUYHNjgQvn8HTZOmmH&#10;aF8CCEVRcbEEvlNC+xbVCsk8UnJlZRydx9cWheD+viic8ERmFJn6uGIStDdhTeYzNt1aZsqKd09g&#10;L3nCM06KVRqTnqGWzDOys9VfUKriFhwUvsdBJS2RqAiyGPSfabMumRGRC0rtzFl09/9g+cf9gyVV&#10;jp0wSCnRTGHJj48/jj9/H399J+EQJaqNm2Lk2mCsb95Bg+Gnc4eHgXlTWBW+yImgHwU+nAUWjSc8&#10;XBqP0qvrMSUcfaN0OJyMA0zydNtY598LUCQYGbVYwKgr298534aeQkIyDatKylhEqUmd0clo3I8X&#10;zh4ElxpzBA7tW4Plm03TEdtAfkBeFtrmcIavKkx+x5x/YBa7AangvPh7XAoJmAQ6i5IS7Ld/nYd4&#10;LBJ6KamxuzLqvu6YFZTIDxrLdz1I09COcZOOr4a4sZeezaVH79QtYAMPcDINj2aI9/JkFhbUFxyr&#10;RciKLqY55s6oP5m3vu15HEsuFosYhA1omL/Ta8MDdCvnYuehqKLSQaZWm049bMFYq25cQo9f7mPU&#10;0y9i/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PrrXj3AAAAA0BAAAPAAAAAAAAAAEAIAAAACIA&#10;AABkcnMvZG93bnJldi54bWxQSwECFAAUAAAACACHTuJAiosV+T4CAABqBAAADgAAAAAAAAABACAA&#10;AAArAQAAZHJzL2Uyb0RvYy54bWxQSwUGAAAAAAYABgBZAQAA2wUAAAAA&#10;">
                <v:fill on="f" focussize="0,0"/>
                <v:stroke on="f" weight="0.5pt"/>
                <v:imagedata o:title=""/>
                <o:lock v:ext="edit" aspectratio="f"/>
                <v:textbox>
                  <w:txbxContent>
                    <w:p>
                      <w:pPr>
                        <w:rPr>
                          <w:rFonts w:hint="default" w:eastAsia="宋体"/>
                          <w:b/>
                          <w:bCs/>
                          <w:color w:val="FFC000"/>
                          <w:sz w:val="21"/>
                          <w:szCs w:val="21"/>
                          <w:lang w:val="en-US" w:eastAsia="zh-CN"/>
                        </w:rPr>
                      </w:pPr>
                      <w:r>
                        <w:rPr>
                          <w:rFonts w:hint="eastAsia"/>
                          <w:b/>
                          <w:bCs/>
                          <w:color w:val="FFC000"/>
                          <w:sz w:val="21"/>
                          <w:szCs w:val="21"/>
                          <w:lang w:val="en-US" w:eastAsia="zh-CN"/>
                        </w:rPr>
                        <w:t>应急池</w:t>
                      </w:r>
                    </w:p>
                  </w:txbxContent>
                </v:textbox>
              </v:shape>
            </w:pict>
          </mc:Fallback>
        </mc:AlternateContent>
      </w: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11109325</wp:posOffset>
                </wp:positionH>
                <wp:positionV relativeFrom="paragraph">
                  <wp:posOffset>1536700</wp:posOffset>
                </wp:positionV>
                <wp:extent cx="436880" cy="28575"/>
                <wp:effectExtent l="635" t="6350" r="4445" b="10795"/>
                <wp:wrapNone/>
                <wp:docPr id="113" name="直接连接符 113"/>
                <wp:cNvGraphicFramePr/>
                <a:graphic xmlns:a="http://schemas.openxmlformats.org/drawingml/2006/main">
                  <a:graphicData uri="http://schemas.microsoft.com/office/word/2010/wordprocessingShape">
                    <wps:wsp>
                      <wps:cNvCnPr>
                        <a:stCxn id="112" idx="3"/>
                      </wps:cNvCnPr>
                      <wps:spPr>
                        <a:xfrm>
                          <a:off x="11844020" y="2321560"/>
                          <a:ext cx="436880" cy="2857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74.75pt;margin-top:121pt;height:2.25pt;width:34.4pt;z-index:251684864;mso-width-relative:page;mso-height-relative:page;" filled="f" stroked="t" coordsize="21600,21600" o:gfxdata="UEsDBAoAAAAAAIdO4kAAAAAAAAAAAAAAAAAEAAAAZHJzL1BLAwQUAAAACACHTuJAIhyb4NsAAAAN&#10;AQAADwAAAGRycy9kb3ducmV2LnhtbE2PzU7DMBCE70i8g7VI3Kjz1zaEOBUCVRw4tVTA0Y2XJGps&#10;R7abBp6ezQmOM/tpdqbcTLpnIzrfWSMgXkTA0NRWdaYRcHjb3uXAfJBGyd4aFPCNHjbV9VUpC2Uv&#10;ZofjPjSMQowvpIA2hKHg3NctaukXdkBDty/rtAwkXcOVkxcK1z1PomjFtewMfWjlgE8t1qf9WQt4&#10;f1yf0unlOduG3eHT2TF9xZ8PIW5v4ugBWMAp/MEw16fqUFGnoz0b5VlPep3dL4kVkGQJrZqRPM5T&#10;YMfZWi2BVyX/v6L6BVBLAwQUAAAACACHTuJAGlk5xQICAADuAwAADgAAAGRycy9lMm9Eb2MueG1s&#10;rVM7jtswEO0D5A4E+1gff1YQLG9hY9MEiYEkB6ApUiLAH0iuZV8iFwiQLqlSps9tsnuMDCntN80W&#10;UUEMNW8e5z0O15cnJdGROS+MbnAxyzFimppW6K7Bnz9dvakw8oHolkijWYPPzOPLzetX68HWrDS9&#10;kS1zCEi0rwfb4D4EW2eZpz1TxM+MZRqS3DhFAmxdl7WODMCuZFbm+SobjGutM5R5D393YxJPjO4l&#10;hIZzQdnO0GvFdBhZHZMkgCTfC+vxJnXLOaPhA+eeBSQbDEpDWuEQiA9xzTZrUneO2F7QqQXykhae&#10;aVJEaDj0nmpHAkHXTvxDpQR1xhseZtSobBSSHAEVRf7Mm489sSxpAau9vTfd/z9a+v64d0i0MAnF&#10;HCNNFFz5zddff758v/39Ddabnz9QTIFRg/U14Ld676JUH7YnPZWWGIJTgxMuewKMG2/HkhN3KpaC&#10;bgTooqgWi7yEuzg3uJyXxXI13Qg7BUQBsZivqgryNAKq5cUy9pGR+o7IOh/eMqNQDBoshY5+kZoc&#10;3/kwQu8g8bc2V0LKdOdSowE6KC/ySE9gkDkMEITKghledxgR2cELocElSm+kaGN50u66w1Y6dCRx&#10;rtI3dfYEFs/eEd+PuJQaJ06JAI9ICtXg6nG11CDvwbEYHUx73ruoJe5gDJIB08jGOXu8T6iHZ7r5&#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Icm+DbAAAADQEAAA8AAAAAAAAAAQAgAAAAIgAAAGRy&#10;cy9kb3ducmV2LnhtbFBLAQIUABQAAAAIAIdO4kAaWTnFAgIAAO4DAAAOAAAAAAAAAAEAIAAAACoB&#10;AABkcnMvZTJvRG9jLnhtbFBLBQYAAAAABgAGAFkBAACeBQ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11205210</wp:posOffset>
                </wp:positionH>
                <wp:positionV relativeFrom="paragraph">
                  <wp:posOffset>1798320</wp:posOffset>
                </wp:positionV>
                <wp:extent cx="1534795" cy="342265"/>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534795" cy="342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1"/>
                                <w:szCs w:val="21"/>
                                <w:lang w:val="en-US"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props3d w14:extrusionH="0" w14:contourW="0" w14:prstMaterial="clear"/>
                              </w:rPr>
                            </w:pPr>
                            <w:r>
                              <w:rPr>
                                <w:rFonts w:hint="eastAsia"/>
                                <w:b/>
                                <w:bCs/>
                                <w:color w:val="FFFF00"/>
                                <w:sz w:val="21"/>
                                <w:szCs w:val="21"/>
                                <w:lang w:val="en-US"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props3d w14:extrusionH="0" w14:contourW="0" w14:prstMaterial="clear"/>
                              </w:rPr>
                              <w:t>地埋式化粪池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2.3pt;margin-top:141.6pt;height:26.95pt;width:120.85pt;z-index:251676672;mso-width-relative:page;mso-height-relative:page;" filled="f" stroked="f" coordsize="21600,21600" o:gfxdata="UEsDBAoAAAAAAIdO4kAAAAAAAAAAAAAAAAAEAAAAZHJzL1BLAwQUAAAACACHTuJApE5YPdwAAAAN&#10;AQAADwAAAGRycy9kb3ducmV2LnhtbE2Py07DMBBF90j8gzVI7KjzgDQKcSoUqUJCsGjphp0TT5OI&#10;eBxi9wFfz3QFy6s5uvdMuTrbURxx9oMjBfEiAoHUOjNQp2D3vr7LQfigyejRESr4Rg+r6vqq1IVx&#10;J9rgcRs6wSXkC62gD2EqpPRtj1b7hZuQ+LZ3s9WB49xJM+sTl9tRJlGUSasH4oVeT1j32H5uD1bB&#10;S71+05smsfnPWD+/7p+mr93Hg1K3N3H0CCLgOfzBcNFndajYqXEHMl6MnJfZfcasgiRPExCMXAZT&#10;EI2CNF3GIKtS/v+i+gVQSwMEFAAAAAgAh07iQHn82qg9AgAAagQAAA4AAABkcnMvZTJvRG9jLnht&#10;bK1UzY7TMBC+I/EOlu806e+yVdNV2aoIacWuVBBn13GaSLbH2G6T8gDwBnviwp3n6nMwdtJutXDY&#10;Axdn7Bl/4++bmcxuGiXJXlhXgc5ov5dSIjSHvNLbjH7+tHrzlhLnmc6ZBC0yehCO3sxfv5rVZioG&#10;UILMhSUIot20NhktvTfTJHG8FIq5Hhih0VmAVczj1m6T3LIa0ZVMBmk6SWqwubHAhXN4umydtEO0&#10;LwGEoqi4WALfKaF9i2qFZB4pubIyjs7ja4tCcH9fFE54IjOKTH1cMQnam7Am8xmbbi0zZcW7J7CX&#10;POEZJ8UqjUnPUEvmGdnZ6i8oVXELDgrf46CSlkhUBFn002farEtmROSCUjtzFt39P1j+cf9gSZVj&#10;J6RDSjRTWPLj44/jz9/HX99JOESJauOmGLk2GOubd9Bg+Onc4WFg3hRWhS9yIuhHgQ9ngUXjCQ+X&#10;xsPR1fWYEo6+4WgwmIwDTPJ021jn3wtQJBgZtVjAqCvb3znfhp5CQjINq0rKWESpSZ3RyXCcxgtn&#10;D4JLjTkCh/atwfLNpumIbSA/IC8LbXM4w1cVJr9jzj8wi92AVHBe/D0uhQRMAp1FSQn227/OQzwW&#10;Cb2U1NhdGXVfd8wKSuQHjeW77o9GoR3jZjS+GuDGXno2lx69U7eADdzHyTQ8miHey5NZWFBfcKwW&#10;ISu6mOaYO6P+ZN76tudxLLlYLGIQNqBh/k6vDQ/QrZyLnYeiikoHmVptOvWwBWOtunEJPX65j1FP&#10;v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ROWD3cAAAADQEAAA8AAAAAAAAAAQAgAAAAIgAA&#10;AGRycy9kb3ducmV2LnhtbFBLAQIUABQAAAAIAIdO4kB5/NqoPQIAAGoEAAAOAAAAAAAAAAEAIAAA&#10;ACsBAABkcnMvZTJvRG9jLnhtbFBLBQYAAAAABgAGAFkBAADaBQAAAAA=&#10;">
                <v:fill on="f" focussize="0,0"/>
                <v:stroke on="f" weight="0.5pt"/>
                <v:imagedata o:title=""/>
                <o:lock v:ext="edit" aspectratio="f"/>
                <v:textbox>
                  <w:txbxContent>
                    <w:p>
                      <w:pPr>
                        <w:rPr>
                          <w:rFonts w:hint="default" w:eastAsia="宋体"/>
                          <w:b/>
                          <w:bCs/>
                          <w:color w:val="FFFF00"/>
                          <w:sz w:val="21"/>
                          <w:szCs w:val="21"/>
                          <w:lang w:val="en-US"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props3d w14:extrusionH="0" w14:contourW="0" w14:prstMaterial="clear"/>
                        </w:rPr>
                      </w:pPr>
                      <w:r>
                        <w:rPr>
                          <w:rFonts w:hint="eastAsia"/>
                          <w:b/>
                          <w:bCs/>
                          <w:color w:val="FFFF00"/>
                          <w:sz w:val="21"/>
                          <w:szCs w:val="21"/>
                          <w:lang w:val="en-US"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props3d w14:extrusionH="0" w14:contourW="0" w14:prstMaterial="clear"/>
                        </w:rPr>
                        <w:t>地埋式化粪池</w:t>
                      </w:r>
                    </w:p>
                  </w:txbxContent>
                </v:textbox>
              </v:shape>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10864215</wp:posOffset>
                </wp:positionH>
                <wp:positionV relativeFrom="paragraph">
                  <wp:posOffset>1910080</wp:posOffset>
                </wp:positionV>
                <wp:extent cx="403225" cy="60325"/>
                <wp:effectExtent l="635" t="6350" r="7620" b="9525"/>
                <wp:wrapNone/>
                <wp:docPr id="102" name="任意多边形 102"/>
                <wp:cNvGraphicFramePr/>
                <a:graphic xmlns:a="http://schemas.openxmlformats.org/drawingml/2006/main">
                  <a:graphicData uri="http://schemas.microsoft.com/office/word/2010/wordprocessingShape">
                    <wps:wsp>
                      <wps:cNvSpPr/>
                      <wps:spPr>
                        <a:xfrm>
                          <a:off x="0" y="0"/>
                          <a:ext cx="403225" cy="60325"/>
                        </a:xfrm>
                        <a:custGeom>
                          <a:avLst/>
                          <a:gdLst>
                            <a:gd name="connisteX0" fmla="*/ 0 w 403225"/>
                            <a:gd name="connsiteY0" fmla="*/ 0 h 60325"/>
                            <a:gd name="connisteX1" fmla="*/ 403225 w 403225"/>
                            <a:gd name="connsiteY1" fmla="*/ 60325 h 60325"/>
                          </a:gdLst>
                          <a:ahLst/>
                          <a:cxnLst>
                            <a:cxn ang="0">
                              <a:pos x="connisteX0" y="connsiteY0"/>
                            </a:cxn>
                            <a:cxn ang="0">
                              <a:pos x="connisteX1" y="connsiteY1"/>
                            </a:cxn>
                          </a:cxnLst>
                          <a:rect l="l" t="t" r="r" b="b"/>
                          <a:pathLst>
                            <a:path w="403225" h="60325">
                              <a:moveTo>
                                <a:pt x="0" y="0"/>
                              </a:moveTo>
                              <a:lnTo>
                                <a:pt x="403225" y="60325"/>
                              </a:lnTo>
                            </a:path>
                          </a:pathLst>
                        </a:custGeom>
                        <a:noFill/>
                        <a:ln>
                          <a:solidFill>
                            <a:schemeClr val="tx1">
                              <a:lumMod val="95000"/>
                              <a:lumOff val="5000"/>
                            </a:scheme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55.45pt;margin-top:150.4pt;height:4.75pt;width:31.75pt;z-index:251675648;mso-width-relative:page;mso-height-relative:page;" filled="f" stroked="t" coordsize="403225,60325" o:gfxdata="UEsDBAoAAAAAAIdO4kAAAAAAAAAAAAAAAAAEAAAAZHJzL1BLAwQUAAAACACHTuJAOyJuN9oAAAAN&#10;AQAADwAAAGRycy9kb3ducmV2LnhtbE2PwU7DMBBE70j8g7VI3KidpiIQ4vSAVCSQOFAQVW9usiQp&#10;9jqynbb8PdsTHGf2aXamWp6cFQcMcfCkIZspEEiNbwfqNHy8r27uQMRkqDXWE2r4wQjL+vKiMmXr&#10;j/SGh3XqBIdQLI2GPqWxlDI2PToTZ35E4tuXD84klqGTbTBHDndWzpW6lc4MxB96M+Jjj833enIa&#10;4vScrzBtXvdxW4ThaW73ny9W6+urTD2ASHhKfzCc63N1qLnTzk/URmFZF5m6Z1ZDrhSPOCNFsViA&#10;2LGVqRxkXcn/K+pfUEsDBBQAAAAIAIdO4kCz8jDgrgIAAAMGAAAOAAAAZHJzL2Uyb0RvYy54bWyt&#10;VM1uEzEQviPxDpaPSHQ3gZYSNemBqFz4qdQiwdHxenct+U8eJ5veuXPniHgJVMHTUMRjMLY3yTY9&#10;tAcUaTO2Z7755vfkdK0VWQkP0popHR2UlAjDbSVNM6UfLs+eHlMCgZmKKWvElF4JoKezx49OOjcR&#10;Y9taVQlPEMTApHNT2obgJkUBvBWawYF1wuBjbb1mAY++KSrPOkTXqhiX5VHRWV85b7kAwNt5fqQ9&#10;on8IoK1rycXc8qUWJmRULxQLGBK00gGdJbZ1LXh4X9cgAlFTipGG9EUnKC/it5idsEnjmWsl7ymw&#10;h1DYi0kzadDpFmrOAiNLL+9Aacm9BVuHA251kQNJGcEoRuVebi5a5kSKBVMNbpt0+H+w/N3q3BNZ&#10;YSeUY0oM01jy39fXfz5/ufn+9e+vHzc/v5H4hInqHExQ/8Kd+/4EKMao17XX8R/jIeuU3KttcsU6&#10;EI6Xz8tn4/EhJRyfjlA+jJDFzpYvIbwWNuGw1RsIuTQVSimxVU+OW2MkBPERS1hrhdV6UpCSdKR3&#10;0JsNtEEG8em2dku2FLBmd6BHA+gMey/+0CRhk4EPDLPZBMLaTWx8bfrgUCIszl+ZmshZiGkcRopJ&#10;i8c+lJw5tIqZuccYiQ2NR33akzHywv+ehMdhiWOi0pgESnBMfBqTRbRhE8dC5L4RSbcrarupaXzU&#10;diUubVILe+2ADnevygy1Nv2x1x5ZCe2i99QwWxqR/aBpjD2TSiWmykRyo/GLEsvOGW6pGrcDitph&#10;p4NpKGGqwfXHg08ZB6tkFc0ja/DN4pXyZMXi0pjHX1JSS/3WVvn65WGJ2NnZUuOOydebW6TWoyTK&#10;t+CdhzBn0GaL9JSBNPapJ0rqKT1G9IyPSArLXMThy+MWpYWtrtIUpnvcDclNv8fi8hmek/Vud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DsibjfaAAAADQEAAA8AAAAAAAAAAQAgAAAAIgAAAGRy&#10;cy9kb3ducmV2LnhtbFBLAQIUABQAAAAIAIdO4kCz8jDgrgIAAAMGAAAOAAAAAAAAAAEAIAAAACkB&#10;AABkcnMvZTJvRG9jLnhtbFBLBQYAAAAABgAGAFkBAABJBgAAAAA=&#10;" path="m0,0l403225,60325e">
                <v:path o:connectlocs="0,0;403225,60325" o:connectangles="0,0"/>
                <v:fill on="f" focussize="0,0"/>
                <v:stroke weight="1pt" color="#0D0D0D [3069]"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10956925</wp:posOffset>
                </wp:positionH>
                <wp:positionV relativeFrom="paragraph">
                  <wp:posOffset>1431925</wp:posOffset>
                </wp:positionV>
                <wp:extent cx="152400" cy="209550"/>
                <wp:effectExtent l="6350" t="6350" r="8890" b="12700"/>
                <wp:wrapNone/>
                <wp:docPr id="112" name="矩形 112"/>
                <wp:cNvGraphicFramePr/>
                <a:graphic xmlns:a="http://schemas.openxmlformats.org/drawingml/2006/main">
                  <a:graphicData uri="http://schemas.microsoft.com/office/word/2010/wordprocessingShape">
                    <wps:wsp>
                      <wps:cNvSpPr/>
                      <wps:spPr>
                        <a:xfrm>
                          <a:off x="11682095" y="2169160"/>
                          <a:ext cx="152400" cy="209550"/>
                        </a:xfrm>
                        <a:prstGeom prst="rect">
                          <a:avLst/>
                        </a:prstGeom>
                        <a:solidFill>
                          <a:srgbClr val="FFC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62.75pt;margin-top:112.75pt;height:16.5pt;width:12pt;z-index:251683840;v-text-anchor:middle;mso-width-relative:page;mso-height-relative:page;" fillcolor="#FFC000" filled="t" stroked="t" coordsize="21600,21600" o:gfxdata="UEsDBAoAAAAAAIdO4kAAAAAAAAAAAAAAAAAEAAAAZHJzL1BLAwQUAAAACACHTuJACmjb9dkAAAAN&#10;AQAADwAAAGRycy9kb3ducmV2LnhtbE2PwU7DMBBE70j8g7VI3KidUNMQ4lQCCU5QiRZVPbqxSSLi&#10;dWS7Tfl7tlzgtjM7mn1bLU9uYEcbYu9RQTYTwCw23vTYKvjYPN8UwGLSaPTg0Sr4thGW9eVFpUvj&#10;J3y3x3VqGZVgLLWCLqWx5Dw2nXU6zvxokXafPjidSIaWm6AnKncDz4W44073SBc6PdqnzjZf64NT&#10;MH8RbXb7WOhiu9uEN5TFtGpflbq+ysQDsGRP6S8MZ3xCh5qY9v6AJrKB9CKXkrIK8t/hHFnM78na&#10;kyULCbyu+P8v6h9QSwMEFAAAAAgAh07iQD/ANFd5AgAABAUAAA4AAABkcnMvZTJvRG9jLnhtbK1U&#10;zW4TMRC+I/EOlu90k1WStlE3VZQoCKmilQri7Hi9WUv+w3Z+yssgceMheBzEa/DZu23TAlIPXHZn&#10;PONvZr6Z8cXlQSuyEz5Iayo6PBlQIgy3tTSbin78sHpzRkmIzNRMWSMqeicCvZy9fnWxd1NR2taq&#10;WngCEBOme1fRNkY3LYrAW6FZOLFOGBgb6zWLUP2mqD3bA12rohwMJsXe+tp5y0UIOF12Rtoj+pcA&#10;2qaRXCwt32phYofqhWIRJYVWukBnOdumETxeN00QkaiKotKYvwgCeZ2+xeyCTTeeuVbyPgX2khSe&#10;1aSZNAj6ALVkkZGtl39Aacm9DbaJJ9zqoiskM4IqhoNn3Ny2zIlcC6gO7oH08P9g+fvdjSeyxiQM&#10;S0oM02j5r6/ff/74RtIJ+Nm7MIXbrbvxvRYgpmIPjdfpjzLIISFMzsrB+ZiSu4qWw8n5cNITLA6R&#10;8OQxLkcDUM+TAzzH2V48Ijkf4lthNUlCRT36l2llu6sQER2u9y4pcLBK1iupVFb8Zr1QnuwYer1a&#10;LQaI1F154qYM2SOT8jQnwjDBDSYHOWkHFoLZUMLUBqvBo8+xn9wOx0EQ4R9BUpJLFtoumYzQjZqW&#10;EdujpK7o2fFtZVBcYrrjNklrW9+hN952QxscX0nAXrEQb5jHlIJI7HG8xqdRFkXZXqKktf7L386T&#10;P4YHVkr2mHoU/HnLvKBEvTMYq/PhaJTWJCuj8WkJxR9b1scWs9ULC7KHeDEcz2Lyj+pebLzVn7Du&#10;8xQVJmY4YnfU9soidtuIB4OL+Ty7YTUci1fm1vEEnppr7HwbbSPzEDyy05OG5ciz0S9y2r5jPXs9&#10;Pl6z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Apo2/XZAAAADQEAAA8AAAAAAAAAAQAgAAAAIgAA&#10;AGRycy9kb3ducmV2LnhtbFBLAQIUABQAAAAIAIdO4kA/wDRXeQIAAAQFAAAOAAAAAAAAAAEAIAAA&#10;ACgBAABkcnMvZTJvRG9jLnhtbFBLBQYAAAAABgAGAFkBAAATBg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7981315</wp:posOffset>
                </wp:positionH>
                <wp:positionV relativeFrom="paragraph">
                  <wp:posOffset>1055370</wp:posOffset>
                </wp:positionV>
                <wp:extent cx="1534795" cy="342265"/>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534795" cy="342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1"/>
                                <w:szCs w:val="21"/>
                                <w:lang w:val="en-US"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props3d w14:extrusionH="0" w14:contourW="0" w14:prstMaterial="clear"/>
                              </w:rPr>
                            </w:pPr>
                            <w:r>
                              <w:rPr>
                                <w:rFonts w:hint="eastAsia"/>
                                <w:b/>
                                <w:bCs/>
                                <w:color w:val="FFFF00"/>
                                <w:sz w:val="21"/>
                                <w:szCs w:val="21"/>
                                <w:lang w:val="en-US"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props3d w14:extrusionH="0" w14:contourW="0" w14:prstMaterial="clear"/>
                              </w:rPr>
                              <w:t>地埋式化粪池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8.45pt;margin-top:83.1pt;height:26.95pt;width:120.85pt;z-index:251679744;mso-width-relative:page;mso-height-relative:page;" filled="f" stroked="f" coordsize="21600,21600" o:gfxdata="UEsDBAoAAAAAAIdO4kAAAAAAAAAAAAAAAAAEAAAAZHJzL1BLAwQUAAAACACHTuJAIoqQCdwAAAAN&#10;AQAADwAAAGRycy9kb3ducmV2LnhtbE2Py2rDMBBF94X8g5hAd41k0QjHtRyKIRRKu0iaTXeypdim&#10;0si1lEf79VVWzW4uc7hzplxfnCUnM4XBo4RswYAYbL0esJOw/9g85EBCVKiV9Wgk/JgA62p2V6pC&#10;+zNuzWkXO5JKMBRKQh/jWFAa2t44FRZ+NJh2Bz85FVOcOqondU7lzlLOmKBODZgu9Go0dW/ar93R&#10;SXitN+9q23CX/9r65e3wPH7vP5dS3s8z9gQkmkv8h+Gqn9ShSk6NP6IOxKbMl2KV2DQJwYFckcdV&#10;LoA0EjhnGdCqpLdfVH9QSwMEFAAAAAgAh07iQGCPiRo9AgAAagQAAA4AAABkcnMvZTJvRG9jLnht&#10;bK1UzY7TMBC+I/EOlu806e+yVdNV2aoIacWuVBBn13GaSLbH2G6T8gDwBnviwp3n6nMwdtJutXDY&#10;Axdn7Bl/4++bmcxuGiXJXlhXgc5ov5dSIjSHvNLbjH7+tHrzlhLnmc6ZBC0yehCO3sxfv5rVZioG&#10;UILMhSUIot20NhktvTfTJHG8FIq5Hhih0VmAVczj1m6T3LIa0ZVMBmk6SWqwubHAhXN4umydtEO0&#10;LwGEoqi4WALfKaF9i2qFZB4pubIyjs7ja4tCcH9fFE54IjOKTH1cMQnam7Am8xmbbi0zZcW7J7CX&#10;POEZJ8UqjUnPUEvmGdnZ6i8oVXELDgrf46CSlkhUBFn002farEtmROSCUjtzFt39P1j+cf9gSZVj&#10;J6QTSjRTWPLj44/jz9/HX99JOESJauOmGLk2GOubd9Bg+Onc4WFg3hRWhS9yIuhHgQ9ngUXjCQ+X&#10;xsPR1fWYEo6+4WgwmIwDTPJ021jn3wtQJBgZtVjAqCvb3znfhp5CQjINq0rKWESpSZ3RyXCcxgtn&#10;D4JLjTkCh/atwfLNpumIbSA/IC8LbXM4w1cVJr9jzj8wi92AVHBe/D0uhQRMAp1FSQn227/OQzwW&#10;Cb2U1NhdGXVfd8wKSuQHjeW77o9GoR3jZjS+GuDGXno2lx69U7eADdzHyTQ8miHey5NZWFBfcKwW&#10;ISu6mOaYO6P+ZN76tudxLLlYLGIQNqBh/k6vDQ/QrZyLnYeiikoHmVptOvWwBWOtunEJPX65j1FP&#10;v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KKkAncAAAADQEAAA8AAAAAAAAAAQAgAAAAIgAA&#10;AGRycy9kb3ducmV2LnhtbFBLAQIUABQAAAAIAIdO4kBgj4kaPQIAAGoEAAAOAAAAAAAAAAEAIAAA&#10;ACsBAABkcnMvZTJvRG9jLnhtbFBLBQYAAAAABgAGAFkBAADaBQAAAAA=&#10;">
                <v:fill on="f" focussize="0,0"/>
                <v:stroke on="f" weight="0.5pt"/>
                <v:imagedata o:title=""/>
                <o:lock v:ext="edit" aspectratio="f"/>
                <v:textbox>
                  <w:txbxContent>
                    <w:p>
                      <w:pPr>
                        <w:rPr>
                          <w:rFonts w:hint="default" w:eastAsia="宋体"/>
                          <w:b/>
                          <w:bCs/>
                          <w:color w:val="FFFF00"/>
                          <w:sz w:val="21"/>
                          <w:szCs w:val="21"/>
                          <w:lang w:val="en-US"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props3d w14:extrusionH="0" w14:contourW="0" w14:prstMaterial="clear"/>
                        </w:rPr>
                      </w:pPr>
                      <w:r>
                        <w:rPr>
                          <w:rFonts w:hint="eastAsia"/>
                          <w:b/>
                          <w:bCs/>
                          <w:color w:val="FFFF00"/>
                          <w:sz w:val="21"/>
                          <w:szCs w:val="21"/>
                          <w:lang w:val="en-US"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props3d w14:extrusionH="0" w14:contourW="0" w14:prstMaterial="clear"/>
                        </w:rPr>
                        <w:t>地埋式化粪池</w:t>
                      </w:r>
                    </w:p>
                  </w:txbxContent>
                </v:textbox>
              </v:shape>
            </w:pict>
          </mc:Fallback>
        </mc:AlternateContent>
      </w: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7659370</wp:posOffset>
                </wp:positionH>
                <wp:positionV relativeFrom="paragraph">
                  <wp:posOffset>1161415</wp:posOffset>
                </wp:positionV>
                <wp:extent cx="403225" cy="60325"/>
                <wp:effectExtent l="635" t="6350" r="7620" b="9525"/>
                <wp:wrapNone/>
                <wp:docPr id="105" name="任意多边形 105"/>
                <wp:cNvGraphicFramePr/>
                <a:graphic xmlns:a="http://schemas.openxmlformats.org/drawingml/2006/main">
                  <a:graphicData uri="http://schemas.microsoft.com/office/word/2010/wordprocessingShape">
                    <wps:wsp>
                      <wps:cNvSpPr/>
                      <wps:spPr>
                        <a:xfrm>
                          <a:off x="0" y="0"/>
                          <a:ext cx="403225" cy="60325"/>
                        </a:xfrm>
                        <a:custGeom>
                          <a:avLst/>
                          <a:gdLst>
                            <a:gd name="connisteX0" fmla="*/ 0 w 403225"/>
                            <a:gd name="connsiteY0" fmla="*/ 0 h 60325"/>
                            <a:gd name="connisteX1" fmla="*/ 403225 w 403225"/>
                            <a:gd name="connsiteY1" fmla="*/ 60325 h 60325"/>
                          </a:gdLst>
                          <a:ahLst/>
                          <a:cxnLst>
                            <a:cxn ang="0">
                              <a:pos x="connisteX0" y="connsiteY0"/>
                            </a:cxn>
                            <a:cxn ang="0">
                              <a:pos x="connisteX1" y="connsiteY1"/>
                            </a:cxn>
                          </a:cxnLst>
                          <a:rect l="l" t="t" r="r" b="b"/>
                          <a:pathLst>
                            <a:path w="403225" h="60325">
                              <a:moveTo>
                                <a:pt x="0" y="0"/>
                              </a:moveTo>
                              <a:lnTo>
                                <a:pt x="403225" y="60325"/>
                              </a:lnTo>
                            </a:path>
                          </a:pathLst>
                        </a:custGeom>
                        <a:noFill/>
                        <a:ln>
                          <a:solidFill>
                            <a:schemeClr val="tx1">
                              <a:lumMod val="95000"/>
                              <a:lumOff val="5000"/>
                            </a:scheme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03.1pt;margin-top:91.45pt;height:4.75pt;width:31.75pt;z-index:251678720;mso-width-relative:page;mso-height-relative:page;" filled="f" stroked="t" coordsize="403225,60325" o:gfxdata="UEsDBAoAAAAAAIdO4kAAAAAAAAAAAAAAAAAEAAAAZHJzL1BLAwQUAAAACACHTuJAg/nD8doAAAAN&#10;AQAADwAAAGRycy9kb3ducmV2LnhtbE2PzU7DMBCE70i8g7VI3Khdg9ImxOkBqUggcaAgEDc3XpIU&#10;/0S205a3Z3sqtxntp9mZenV0lu0xpiF4BfOZAIa+DWbwnYL3t/XNEljK2httg0cFv5hg1Vxe1Loy&#10;4eBfcb/JHaMQnyqtoM95rDhPbY9Op1kY0dPtO0SnM9nYcRP1gcKd5VKIgjs9ePrQ6xEfemx/NpNT&#10;kKan2zXmz5dd+lrE4VHa3cezVer6ai7ugWU85jMMp/pUHRrqtA2TN4lZ8lIUklhSS1kCOyGyKBfA&#10;tqRKeQe8qfn/Fc0fUEsDBBQAAAAIAIdO4kALsv6DrAIAAAMGAAAOAAAAZHJzL2Uyb0RvYy54bWyt&#10;VM1uEzEQviPxDpaPSHQ3gZYSNemBqFz4qdQiwdHxenct+U8eJ5veuXPniHgJVMHTUMRjMLY3yTY9&#10;tAcUaTO2Z7755vfkdK0VWQkP0popHR2UlAjDbSVNM6UfLs+eHlMCgZmKKWvElF4JoKezx49OOjcR&#10;Y9taVQlPEMTApHNT2obgJkUBvBWawYF1wuBjbb1mAY++KSrPOkTXqhiX5VHRWV85b7kAwNt5fqQ9&#10;on8IoK1rycXc8qUWJmRULxQLGBK00gGdJbZ1LXh4X9cgAlFTipGG9EUnKC/it5idsEnjmWsl7ymw&#10;h1DYi0kzadDpFmrOAiNLL+9Aacm9BVuHA251kQNJGcEoRuVebi5a5kSKBVMNbpt0+H+w/N3q3BNZ&#10;YSeUh5QYprHkv6+v/3z+cvP9699fP25+fiPxCRPVOZig/oU79/0JUIxRr2uv4z/GQ9YpuVfb5Ip1&#10;IBwvn5fPxmN0wfHpCOUEWexs+RLCa2ETDlu9gZBLU6GUElv15Lg1RkIQH7GEtVZYrScFKUlHege9&#10;2UAbZBCfbmu3ZEsBa3YHejSAzrD34g9NEjYZ+MAwm00grN3ExtemDw4lwuL8lamJnIWYxmGkmLR4&#10;7EPBGBESrWJm7jFGYkPjUazkxjj/9yQ8DkscE5XGJFCCY+LTmCzymDgWIvfoM4qk2xW13dQ0Pmq7&#10;Epc2qYW9dkCHu1dlhlqb/thrj6yEdtFlYr6lEdkPmsbYM6lUKr8ykdxo/KLEsnOGW6rG7YCidtjp&#10;YBpKmGpw/fHgU8bBKllF88gafLN4pTxZsbg05vGXlNRSv7VVvn55WCJ2drbUuGPy9eYWqfUoifIt&#10;eOchzBm02SI9ZSCNfeqJknpKjxE94yOSwjIXcfjyuEVpYaurNIXpHndDctPvsbh8hudkvdvds3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D+cPx2gAAAA0BAAAPAAAAAAAAAAEAIAAAACIAAABkcnMv&#10;ZG93bnJldi54bWxQSwECFAAUAAAACACHTuJAC7L+g6wCAAADBgAADgAAAAAAAAABACAAAAApAQAA&#10;ZHJzL2Uyb0RvYy54bWxQSwUGAAAAAAYABgBZAQAARwYAAAAA&#10;" path="m0,0l403225,60325e">
                <v:path o:connectlocs="0,0;403225,60325" o:connectangles="0,0"/>
                <v:fill on="f" focussize="0,0"/>
                <v:stroke weight="1pt" color="#0D0D0D [3069]"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7248525</wp:posOffset>
                </wp:positionH>
                <wp:positionV relativeFrom="paragraph">
                  <wp:posOffset>1073150</wp:posOffset>
                </wp:positionV>
                <wp:extent cx="584200" cy="180340"/>
                <wp:effectExtent l="6350" t="6350" r="19050" b="11430"/>
                <wp:wrapNone/>
                <wp:docPr id="104" name="矩形 104"/>
                <wp:cNvGraphicFramePr/>
                <a:graphic xmlns:a="http://schemas.openxmlformats.org/drawingml/2006/main">
                  <a:graphicData uri="http://schemas.microsoft.com/office/word/2010/wordprocessingShape">
                    <wps:wsp>
                      <wps:cNvSpPr/>
                      <wps:spPr>
                        <a:xfrm>
                          <a:off x="0" y="0"/>
                          <a:ext cx="584200" cy="180340"/>
                        </a:xfrm>
                        <a:prstGeom prst="rect">
                          <a:avLst/>
                        </a:prstGeom>
                        <a:solidFill>
                          <a:schemeClr val="accent4"/>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0.75pt;margin-top:84.5pt;height:14.2pt;width:46pt;z-index:251677696;v-text-anchor:middle;mso-width-relative:page;mso-height-relative:page;" fillcolor="#75BD42 [3207]" filled="t" stroked="t" coordsize="21600,21600" o:gfxdata="UEsDBAoAAAAAAIdO4kAAAAAAAAAAAAAAAAAEAAAAZHJzL1BLAwQUAAAACACHTuJAxaquntoAAAAN&#10;AQAADwAAAGRycy9kb3ducmV2LnhtbE1PQU7DMBC8I/EHa5G4USdNaGmIU6lIUFUVQqRcuDnOkkTE&#10;6yh20/J7tie4zeyMZmfy9dn2YsLRd44UxLMIBJJxdUeNgo/D890DCB801bp3hAp+0MO6uL7KdVa7&#10;E73jVIZGcAj5TCtoQxgyKb1p0Wo/cwMSa19utDowHRtZj/rE4baX8yhaSKs74g+tHvCpRfNdHq2C&#10;t026eTWfpd6+7OU0mO2urJKdUrc3cfQIIuA5/JnhUp+rQ8GdKnek2oueeZzG9+xltFjxqotlniR8&#10;qhitlinIIpf/VxS/UEsDBBQAAAAIAIdO4kCbjO/qcwIAAPcEAAAOAAAAZHJzL2Uyb0RvYy54bWyt&#10;VM1uEzEQviPxDpbvdDchpSHqpgqNipAqGqkgzo7Xm7XkP2wnm/IySNx4CB4H8Rp89m7btPTQAzls&#10;Zjzjb2a+mfHp2V4rshM+SGsqOjoqKRGG21qaTUU/f7p4NaUkRGZqpqwRFb0RgZ7NX7447dxMjG1r&#10;VS08AYgJs85VtI3RzYoi8FZoFo6sEwbGxnrNIlS/KWrPOqBrVYzL8k3RWV87b7kIAafL3kgHRP8c&#10;QNs0koul5VstTOxRvVAsoqTQShfoPGfbNILHq6YJIhJVUVQa8xdBIK/Tt5ifstnGM9dKPqTAnpPC&#10;o5o0kwZB76CWLDKy9fIfKC25t8E28YhbXfSFZEZQxah8xM11y5zItYDq4O5ID/8Pln/crTyRNSah&#10;nFBimEbL/3z/+fvXD5JOwE/nwgxu127lBy1ATMXuG6/TP8og+8zpzR2nYh8Jx+HxdIKuU8JhGk3L&#10;15PMeXF/2fkQ3wurSRIq6tGyzCTbXYaIgHC9dUmxglWyvpBKZcVv1ufKkx1De0+O3y0n45Qxrjxw&#10;U4Z0iD4+yYkwDG2DYUFO2qHwYDaUMLXBNvDoc+wHt8NhkDL/ngqSklyy0PbJZITkxmZaRiyMkrqi&#10;08PbyiDTRG5PZ5LWtr5BO7zt5zQ4fiEBe8lCXDGPwQSRWN14hU+jLIqyg0RJa/23p86TP+YFVko6&#10;DDoK/rplXlCiPhhM0tvRBD0hMSuT45MxFH9oWR9azFafW5A9wiPheBaTf1S3YuOt/oINX6SoMDHD&#10;EbundlDOY7+AeCO4WCyyG7bBsXhprh1P4Ik3YxfbaBuZh+CenYE07ENu9LC7aeEO9ex1/17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Fqq6e2gAAAA0BAAAPAAAAAAAAAAEAIAAAACIAAABkcnMv&#10;ZG93bnJldi54bWxQSwECFAAUAAAACACHTuJAm4zv6nMCAAD3BAAADgAAAAAAAAABACAAAAApAQAA&#10;ZHJzL2Uyb0RvYy54bWxQSwUGAAAAAAYABgBZAQAADgY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10725785</wp:posOffset>
                </wp:positionH>
                <wp:positionV relativeFrom="paragraph">
                  <wp:posOffset>1446530</wp:posOffset>
                </wp:positionV>
                <wp:extent cx="182880" cy="477520"/>
                <wp:effectExtent l="6350" t="6350" r="8890" b="19050"/>
                <wp:wrapNone/>
                <wp:docPr id="101" name="矩形 101"/>
                <wp:cNvGraphicFramePr/>
                <a:graphic xmlns:a="http://schemas.openxmlformats.org/drawingml/2006/main">
                  <a:graphicData uri="http://schemas.microsoft.com/office/word/2010/wordprocessingShape">
                    <wps:wsp>
                      <wps:cNvSpPr/>
                      <wps:spPr>
                        <a:xfrm>
                          <a:off x="11455400" y="2190750"/>
                          <a:ext cx="182880" cy="477520"/>
                        </a:xfrm>
                        <a:prstGeom prst="rect">
                          <a:avLst/>
                        </a:prstGeom>
                        <a:solidFill>
                          <a:schemeClr val="accent4"/>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44.55pt;margin-top:113.9pt;height:37.6pt;width:14.4pt;z-index:251674624;v-text-anchor:middle;mso-width-relative:page;mso-height-relative:page;" fillcolor="#75BD42 [3207]" filled="t" stroked="t" coordsize="21600,21600" o:gfxdata="UEsDBAoAAAAAAIdO4kAAAAAAAAAAAAAAAAAEAAAAZHJzL1BLAwQUAAAACACHTuJAuUvDztwAAAAN&#10;AQAADwAAAGRycy9kb3ducmV2LnhtbE2PUUvDMBSF3wX/Q7iCby5pK+tWmw4m6BgyxOqLb2lybYtN&#10;Upqsm//euyd9PNyPc79Tbs52YDNOofdOQrIQwNBpb3rXSvh4f7pbAQtROaMG71DCDwbYVNdXpSqM&#10;P7k3nOvYMipxoVASuhjHgvOgO7QqLPyIjm5ffrIqUpxabiZ1onI78FSIJbeqd/ShUyM+dqi/66OV&#10;8Lq93x70Z612zy98HvVuXzfZXsrbm0Q8AIt4jn8wXPRJHSpyavzRmcAGysvVOiFWQprmNOKC5Em+&#10;BtZIyEQmgFcl/7+i+gVQSwMEFAAAAAgAh07iQEo4tzp+AgAABAUAAA4AAABkcnMvZTJvRG9jLnht&#10;bK1UzW4TMRC+I/EOlu90N1FC0iibKjQqQqpopYI4O15v1pL/sJ2f8jJI3HgIHgfxGnz2btu09NAD&#10;OTgznvE3M9/M7PzsoBXZCR+kNRUdnJSUCMNtLc2mop8/XbyZUhIiMzVT1oiK3opAzxavX833biaG&#10;trWqFp4AxITZ3lW0jdHNiiLwVmgWTqwTBsbGes0iVL8pas/2QNeqGJbl22Jvfe285SIE3K46I+0R&#10;/UsAbdNILlaWb7UwsUP1QrGIkkIrXaCLnG3TCB6vmiaISFRFUWnMJ4JAXqezWMzZbOOZayXvU2Av&#10;SeFJTZpJg6D3UCsWGdl6+Q+UltzbYJt4wq0uukIyI6hiUD7h5qZlTuRaQHVw96SH/wfLP+6uPZE1&#10;JqEcUGKYRsv/fP/5+9cPkm7Az96FGdxu3LXvtQAxFXtovE7/KIMcgDAYjcejEtTeVnQ4OC0n455g&#10;cYiEJ4/pcDqFncNhNJmMh9lePCA5H+J7YTVJQkU9+pdpZbvLEBEdrncuKXCwStYXUqms+M36XHmy&#10;Y+j1ZPxuNRqm9PHkkZsyZI9MhpOUKGeY4AaTA1E7sBDMhhKmNlgNHn2O/eh1OA5S5t9zQVKSKxba&#10;LpmMkNzYTMuI7VFSV3R6/FoZZJqY7rhN0trWt+iNt93QBscvJGAvWYjXzGNKkT/2OF7haJRFUbaX&#10;KGmt//bcffLH8MBKyR5Tj4K/bpkXlKgPBmN1OhiNABuzMhpP0CDijy3rY4vZ6nMLsjE4yC6LyT+q&#10;O7HxVn/Bui9TVJiY4YjdUdsr57HbRnwwuFgusxtWw7F4aW4cT+CJN2OX22gbmYfggZ2eNCxHbnS/&#10;yGn7jvXs9fDxWv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uUvDztwAAAANAQAADwAAAAAAAAAB&#10;ACAAAAAiAAAAZHJzL2Rvd25yZXYueG1sUEsBAhQAFAAAAAgAh07iQEo4tzp+AgAABAUAAA4AAAAA&#10;AAAAAQAgAAAAKwEAAGRycy9lMm9Eb2MueG1sUEsFBgAAAAAGAAYAWQEAABsGA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11336020</wp:posOffset>
                </wp:positionH>
                <wp:positionV relativeFrom="paragraph">
                  <wp:posOffset>1136650</wp:posOffset>
                </wp:positionV>
                <wp:extent cx="1534795" cy="342265"/>
                <wp:effectExtent l="0" t="0" r="0" b="0"/>
                <wp:wrapNone/>
                <wp:docPr id="100" name="文本框 100"/>
                <wp:cNvGraphicFramePr/>
                <a:graphic xmlns:a="http://schemas.openxmlformats.org/drawingml/2006/main">
                  <a:graphicData uri="http://schemas.microsoft.com/office/word/2010/wordprocessingShape">
                    <wps:wsp>
                      <wps:cNvSpPr txBox="1"/>
                      <wps:spPr>
                        <a:xfrm>
                          <a:off x="12250420" y="2035810"/>
                          <a:ext cx="1534795" cy="342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4BFF"/>
                                <w:sz w:val="21"/>
                                <w:szCs w:val="21"/>
                                <w:lang w:val="en-US" w:eastAsia="zh-CN"/>
                              </w:rPr>
                            </w:pPr>
                            <w:r>
                              <w:rPr>
                                <w:rFonts w:hint="eastAsia"/>
                                <w:b/>
                                <w:bCs/>
                                <w:color w:val="FF4BFF"/>
                                <w:sz w:val="21"/>
                                <w:szCs w:val="21"/>
                                <w:lang w:val="en-US" w:eastAsia="zh-CN"/>
                              </w:rPr>
                              <w:t>地埋式污水处理站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2.6pt;margin-top:89.5pt;height:26.95pt;width:120.85pt;z-index:251673600;mso-width-relative:page;mso-height-relative:page;" filled="f" stroked="f" coordsize="21600,21600" o:gfxdata="UEsDBAoAAAAAAIdO4kAAAAAAAAAAAAAAAAAEAAAAZHJzL1BLAwQUAAAACACHTuJAlQ8BLtsAAAAN&#10;AQAADwAAAGRycy9kb3ducmV2LnhtbE2PS0/DMBCE70j8B2uRuFG7Ri1JiFOhSBUSgkNLL9yceJtE&#10;+BFi9wG/nu0JbjPaT7Mz5ersLDviFIfgFcxnAhj6NpjBdwp27+u7DFhM2httg0cF3xhhVV1flbow&#10;4eQ3eNymjlGIj4VW0Kc0FpzHtken4yyM6Om2D5PTiezUcTPpE4U7y6UQS+704OlDr0ese2w/twen&#10;4KVev+lNI132Y+vn1/3T+LX7WCh1ezMXj8ASntMfDJf6VB0q6tSEgzeRWfIP2UISe1E5rSJECrnM&#10;gTWk7mUOvCr5/xXVL1BLAwQUAAAACACHTuJA7vOYT0gCAAB3BAAADgAAAGRycy9lMm9Eb2MueG1s&#10;rVTNbtswDL4P2DsIuq92nLg/QZwia9FhQLEW6IadFVmKDUiiJim1uwfY3mCnXXbfc/U5RslOGnQ7&#10;9LCLQpHMR30fSS/Oe63IvXC+BVPRyVFOiTAc6tZsKvrp49WbU0p8YKZmCoyo6IPw9Hz5+tWis3NR&#10;QAOqFo4giPHzzla0CcHOs8zzRmjmj8AKg0EJTrOAV7fJasc6RNcqK/L8OOvA1dYBF96j93II0hHR&#10;vQQQpGy5uAS+1cKEAdUJxQJS8k1rPV2m10opeLiR0otAVEWRaUgnFkF7Hc9suWDzjWO2afn4BPaS&#10;JzzjpFlrsOge6pIFRrau/QtKt9yBBxmOOOhsIJIUQRaT/Jk2dw2zInFBqb3di+7/Hyz/cH/rSFvj&#10;JOSoiWEaW/744/vjz9+Pv76R6ESJOuvnmHlnMTf0b6HH9J3fozMy76XT8Rc5kRgvijKfFYj5UNEi&#10;n5ank1Ft0QfCY0Y5nZ2clZRwzJjOiuK4jJjZE5R1PrwToEk0Kuqwm0lkdn/tw5C6S4mVDVy1SqWO&#10;KkO6ih5Pyzz9YR9BcGWwRiQ0PDxaoV/3I8s11A9I0sEwKd7yqxaLXzMfbpnD0UBCuDzhBg+pAIvA&#10;aFHSgPv6L3/Mx45hlJIOR62i/suWOUGJem+wl2eT2QxhQ7rMypMomjuMrA8jZqsvAKd5gmtqeTJj&#10;flA7UzrQn3HHVrEqhpjhWLuiYWdehGEBcEe5WK1SEk6jZeHa3FkeoQc5V9sAsk1KR5kGbUb1cB5T&#10;r8bdiQN/eE9ZT9+L5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VDwEu2wAAAA0BAAAPAAAAAAAA&#10;AAEAIAAAACIAAABkcnMvZG93bnJldi54bWxQSwECFAAUAAAACACHTuJA7vOYT0gCAAB3BAAADgAA&#10;AAAAAAABACAAAAAqAQAAZHJzL2Uyb0RvYy54bWxQSwUGAAAAAAYABgBZAQAA5AUAAAAA&#10;">
                <v:fill on="f" focussize="0,0"/>
                <v:stroke on="f" weight="0.5pt"/>
                <v:imagedata o:title=""/>
                <o:lock v:ext="edit" aspectratio="f"/>
                <v:textbox>
                  <w:txbxContent>
                    <w:p>
                      <w:pPr>
                        <w:rPr>
                          <w:rFonts w:hint="default" w:eastAsia="宋体"/>
                          <w:b/>
                          <w:bCs/>
                          <w:color w:val="FF4BFF"/>
                          <w:sz w:val="21"/>
                          <w:szCs w:val="21"/>
                          <w:lang w:val="en-US" w:eastAsia="zh-CN"/>
                        </w:rPr>
                      </w:pPr>
                      <w:r>
                        <w:rPr>
                          <w:rFonts w:hint="eastAsia"/>
                          <w:b/>
                          <w:bCs/>
                          <w:color w:val="FF4BFF"/>
                          <w:sz w:val="21"/>
                          <w:szCs w:val="21"/>
                          <w:lang w:val="en-US" w:eastAsia="zh-CN"/>
                        </w:rPr>
                        <w:t>地埋式污水处理站</w:t>
                      </w:r>
                    </w:p>
                  </w:txbxContent>
                </v:textbox>
              </v:shape>
            </w:pict>
          </mc:Fallback>
        </mc:AlternateContent>
      </w:r>
      <w:r>
        <w:rPr>
          <w:color w:val="auto"/>
          <w:sz w:val="24"/>
        </w:rPr>
        <mc:AlternateContent>
          <mc:Choice Requires="wps">
            <w:drawing>
              <wp:anchor distT="0" distB="0" distL="114300" distR="114300" simplePos="0" relativeHeight="251672576" behindDoc="0" locked="0" layoutInCell="1" allowOverlap="1">
                <wp:simplePos x="0" y="0"/>
                <wp:positionH relativeFrom="column">
                  <wp:posOffset>11008995</wp:posOffset>
                </wp:positionH>
                <wp:positionV relativeFrom="paragraph">
                  <wp:posOffset>1266825</wp:posOffset>
                </wp:positionV>
                <wp:extent cx="403225" cy="60325"/>
                <wp:effectExtent l="635" t="6350" r="7620" b="9525"/>
                <wp:wrapNone/>
                <wp:docPr id="99" name="任意多边形 99"/>
                <wp:cNvGraphicFramePr/>
                <a:graphic xmlns:a="http://schemas.openxmlformats.org/drawingml/2006/main">
                  <a:graphicData uri="http://schemas.microsoft.com/office/word/2010/wordprocessingShape">
                    <wps:wsp>
                      <wps:cNvSpPr/>
                      <wps:spPr>
                        <a:xfrm>
                          <a:off x="11743690" y="2051685"/>
                          <a:ext cx="403225" cy="60325"/>
                        </a:xfrm>
                        <a:custGeom>
                          <a:avLst/>
                          <a:gdLst>
                            <a:gd name="connisteX0" fmla="*/ 0 w 403225"/>
                            <a:gd name="connsiteY0" fmla="*/ 0 h 60325"/>
                            <a:gd name="connisteX1" fmla="*/ 403225 w 403225"/>
                            <a:gd name="connsiteY1" fmla="*/ 60325 h 60325"/>
                          </a:gdLst>
                          <a:ahLst/>
                          <a:cxnLst>
                            <a:cxn ang="0">
                              <a:pos x="connisteX0" y="connsiteY0"/>
                            </a:cxn>
                            <a:cxn ang="0">
                              <a:pos x="connisteX1" y="connsiteY1"/>
                            </a:cxn>
                          </a:cxnLst>
                          <a:rect l="l" t="t" r="r" b="b"/>
                          <a:pathLst>
                            <a:path w="403225" h="60325">
                              <a:moveTo>
                                <a:pt x="0" y="0"/>
                              </a:moveTo>
                              <a:lnTo>
                                <a:pt x="403225" y="60325"/>
                              </a:lnTo>
                            </a:path>
                          </a:pathLst>
                        </a:custGeom>
                        <a:noFill/>
                        <a:ln>
                          <a:solidFill>
                            <a:schemeClr val="tx1">
                              <a:lumMod val="95000"/>
                              <a:lumOff val="5000"/>
                            </a:scheme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66.85pt;margin-top:99.75pt;height:4.75pt;width:31.75pt;z-index:251672576;mso-width-relative:page;mso-height-relative:page;" filled="f" stroked="t" coordsize="403225,60325" o:gfxdata="UEsDBAoAAAAAAIdO4kAAAAAAAAAAAAAAAAAEAAAAZHJzL1BLAwQUAAAACACHTuJAOwrKz9sAAAAN&#10;AQAADwAAAGRycy9kb3ducmV2LnhtbE2PwU7DMAyG70i8Q2QkbixZKwgtTXdAGhJIHBgIxC1rTNuR&#10;OFWSbuPtyU5w8y9/+v25WR2dZXsMcfSkYLkQwJA6b0bqFby9rq9ugcWkyWjrCRX8YIRVe37W6Nr4&#10;A73gfpN6lkso1lrBkNJUcx67AZ2OCz8h5d2XD06nHEPPTdCHXO4sL4S44U6PlC8MesL7AbvvzewU&#10;xPmxXGP6eN7FTxnGh8Lu3p+sUpcXS3EHLOEx/cFw0s/q0GanrZ/JRGZzlmUpM5unqroGdkJkJQtg&#10;WwWFqATwtuH/v2h/AVBLAwQUAAAACACHTuJAQhBfHMACAAAOBgAADgAAAGRycy9lMm9Eb2MueG1s&#10;rVS9btswEN4L9B0IjgUaSU7sxEbkDDXSpT8BkgLtSFOURIB/IGnL2bt371j0JYqgfZqm6GP0SMq2&#10;kgzJUBiQj+Tdd/fd3+nZRgq0ZtZxrUpcHOQYMUV1xVVT4g9X5y9PMHKeqIoIrViJr5nDZ/Pnz047&#10;M2Mj3WpRMYsARLlZZ0rcem9mWeZoyyRxB9owBY+1tpJ4ONomqyzpAF2KbJTnk6zTtjJWU+Yc3C7S&#10;I+4R7VMAdV1zyhaariRTPqFaJogHSq7lxuF5jLauGfXv69oxj0SJgamPX3AC8jJ8s/kpmTWWmJbT&#10;PgTylBDucZKEK3C6g1oQT9DK8gdQklOrna79AdUyS0RiRoBFkd/LzWVLDItcINXO7JLu/h8sfbe+&#10;sIhXJZ5OMVJEQsV/39z8+fzl9vvXv79+3P78huAF0tQZNwPtS3Nh+5MDMXDe1FaGf2CDNtBSxfHR&#10;4WQKGb4u8SgfF5OTccoz23hEQeMoPxyNxhhRUJiAHJ+zPRBdOf+a6QhK1m+cT1WqQIo5rvpAqVaK&#10;O88+gq9aCijciwzlqEO9g95soO24Z5/uardoFwKU7wF0MYBOsI/iD00iNhr4AJrNlghpt9zoRvXk&#10;QEIkjGIe+8loF3I6ZApJC8eeCnAESLAKmXnEGAIbGhehKlvj9N8HYWFuwsSIODEeI5gYGydmmSpp&#10;iA+xB59BRN2+qO22puFR6jW70lHNBx6pKeLYgcP9q1BDrW1/3GuPpAR2wWWMfBdGiH7QNEqfcyFi&#10;+YUKwRWj4xx8UwILq4ZFAaI00PRONRgR0cAmpN7GjDsteBXMQ9TONstXwqI1CftjEX5RSazkW12l&#10;6+k4B+zkbCVh3aTr7S2E1qPEkO/AG+v8grg2WcSnBCShTy0SXJb4BNATPiAJKHMWJjHNXpCWurqO&#10;IxnvYU1EN/1KC3toeI7W+zU+/w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7CsrP2wAAAA0BAAAP&#10;AAAAAAAAAAEAIAAAACIAAABkcnMvZG93bnJldi54bWxQSwECFAAUAAAACACHTuJAQhBfHMACAAAO&#10;BgAADgAAAAAAAAABACAAAAAqAQAAZHJzL2Uyb0RvYy54bWxQSwUGAAAAAAYABgBZAQAAXAYAAAAA&#10;" path="m0,0l403225,60325e">
                <v:path o:connectlocs="0,0;403225,60325" o:connectangles="0,0"/>
                <v:fill on="f" focussize="0,0"/>
                <v:stroke weight="1pt" color="#0D0D0D [3069]"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10822305</wp:posOffset>
                </wp:positionH>
                <wp:positionV relativeFrom="paragraph">
                  <wp:posOffset>1045845</wp:posOffset>
                </wp:positionV>
                <wp:extent cx="283210" cy="328930"/>
                <wp:effectExtent l="6350" t="6350" r="15240" b="15240"/>
                <wp:wrapNone/>
                <wp:docPr id="98" name="矩形 98"/>
                <wp:cNvGraphicFramePr/>
                <a:graphic xmlns:a="http://schemas.openxmlformats.org/drawingml/2006/main">
                  <a:graphicData uri="http://schemas.microsoft.com/office/word/2010/wordprocessingShape">
                    <wps:wsp>
                      <wps:cNvSpPr/>
                      <wps:spPr>
                        <a:xfrm>
                          <a:off x="11559540" y="1765935"/>
                          <a:ext cx="283210" cy="328930"/>
                        </a:xfrm>
                        <a:prstGeom prst="rect">
                          <a:avLst/>
                        </a:prstGeom>
                        <a:solidFill>
                          <a:srgbClr val="FF4BFF"/>
                        </a:solidFill>
                        <a:ln>
                          <a:solidFill>
                            <a:schemeClr val="tx1">
                              <a:lumMod val="95000"/>
                              <a:lumOff val="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52.15pt;margin-top:82.35pt;height:25.9pt;width:22.3pt;z-index:251671552;v-text-anchor:middle;mso-width-relative:page;mso-height-relative:page;" fillcolor="#FF4BFF" filled="t" stroked="t" coordsize="21600,21600" o:gfxdata="UEsDBAoAAAAAAIdO4kAAAAAAAAAAAAAAAAAEAAAAZHJzL1BLAwQUAAAACACHTuJAqrWBhdkAAAAN&#10;AQAADwAAAGRycy9kb3ducmV2LnhtbE2PwU7DMAyG70i8Q2QkbizpKO0oTSeEtAsSBzYkrmnrtdUa&#10;p0rSdbw93glu/uVPvz+X24sdxRl9GBxpSFYKBFLj2oE6DV+H3cMGRIiGWjM6Qg0/GGBb3d6Upmjd&#10;Qp943sdOcAmFwmjoY5wKKUPTozVh5SYk3h2dtyZy9J1svVm43I5yrVQmrRmIL/Rmwrcem9N+thpe&#10;vz98djoiqgl3cxPe67gMXuv7u0S9gIh4iX8wXPVZHSp2qt1MbRAj51ylj8zylKU5iCuSp5tnELWG&#10;dZI9gaxK+f+L6hdQSwMEFAAAAAgAh07iQPFOmxabAgAAOgUAAA4AAABkcnMvZTJvRG9jLnhtbK1U&#10;224TMRB9R+IfLL/TzbVNomyq0CgIqdBKBfHseL1ZS75hO5fyM0i88RF8DuI3OPambdry0AcUaTPj&#10;GZ+ZOTPj6fleK7IVPkhrSto96VAiDLeVNOuSfv60fDOiJERmKqasESW9FYGez16/mu7cRPRsY1Ul&#10;PAGICZOdK2kTo5sUReCN0CycWCcMjLX1mkWofl1Unu2ArlXR63ROi531lfOWixBwumiN9IDoXwJo&#10;61pysbB8o4WJLaoXikWUFBrpAp3lbOta8HhV10FEokqKSmP+IgjkVfoWsymbrD1zjeSHFNhLUnhS&#10;k2bSIOg91IJFRjZePoPSknsbbB1PuNVFW0hmBFV0O0+4uWmYE7kWUB3cPenh/8Hyj9trT2RV0jH6&#10;bphGx/98//n71w+CA7Czc2ECpxt37Q9agJhK3ddep38UQfaYpO5wOB4OQOwtlLPT4bg/bOkV+0g4&#10;PHqjfq8LO4dDvzca9zP9xQOS8yG+E1aTJJTUo3uZVLa9DBHR4XrnkgIHq2S1lEplxa9XF8qTLUOn&#10;l8vB2+UyRceVR27KkB3S6511UiIM81tjbiBqBw6CWVPC1BqLwaPPsR/dDsdBOov0y05qoz/Yqo09&#10;HnaAjdBsgmNMX3t8d5oSalGeJ5eKW7DQtDdy5BZIy4idU1KXdAT0Fh9IygAkdajtSZJWtrpFR71t&#10;Rz04vpSAvWQhXjOP2Ubd2P54hU+tLMiwB4mSxvpv/zpP/hg5WCnZYVdA1NcN84IS9d5gGMfdQep7&#10;zMpgeNaD4o8tq2OL2egLiyZ18c44nsXkH9WdWHurv+CRmKeoMDHDEbttyUG5iO0O45nhYj7Pblgo&#10;x+KluXE8gacGGDvfRFvLPDwP7BxIw0rlHhzWP+3ssZ69Hp682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CqtYGF2QAAAA0BAAAPAAAAAAAAAAEAIAAAACIAAABkcnMvZG93bnJldi54bWxQSwECFAAU&#10;AAAACACHTuJA8U6bFpsCAAA6BQAADgAAAAAAAAABACAAAAAoAQAAZHJzL2Uyb0RvYy54bWxQSwUG&#10;AAAAAAYABgBZAQAANQYAAAAA&#10;">
                <v:fill on="t" focussize="0,0"/>
                <v:stroke weight="1pt" color="#0D0D0D [3069]"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70528" behindDoc="0" locked="0" layoutInCell="1" allowOverlap="1">
                <wp:simplePos x="0" y="0"/>
                <wp:positionH relativeFrom="column">
                  <wp:posOffset>3862705</wp:posOffset>
                </wp:positionH>
                <wp:positionV relativeFrom="paragraph">
                  <wp:posOffset>6837680</wp:posOffset>
                </wp:positionV>
                <wp:extent cx="716280" cy="38671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716280" cy="386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3# 5F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15pt;margin-top:538.4pt;height:30.45pt;width:56.4pt;z-index:251670528;mso-width-relative:page;mso-height-relative:page;" filled="f" stroked="f" coordsize="21600,21600" o:gfxdata="UEsDBAoAAAAAAIdO4kAAAAAAAAAAAAAAAAAEAAAAZHJzL1BLAwQUAAAACACHTuJAGXJIqtwAAAAN&#10;AQAADwAAAGRycy9kb3ducmV2LnhtbE2PzU7DMBCE70i8g7WVuFHbqUiiEKdCkSokBIeWXrhtYjeJ&#10;Gtshdn/g6VlOcNyZT7Mz5fpqR3Y2cxi8UyCXAphxrdeD6xTs3zf3ObAQ0WkcvTMKvkyAdXV7U2Kh&#10;/cVtzXkXO0YhLhSooI9xKjgPbW8shqWfjCPv4GeLkc6543rGC4XbkSdCpNzi4OhDj5Ope9Medyer&#10;4KXevOG2SWz+PdbPr4en6XP/8aDU3UKKR2DRXOMfDL/1qTpU1KnxJ6cDGxWkIl8RSobIUhpBSJZI&#10;CawhSa6yDHhV8v8rqh9QSwMEFAAAAAgAh07iQMXc2ec9AgAAZwQAAA4AAABkcnMvZTJvRG9jLnht&#10;bK1UwU4bMRC9V+o/WL6XTQKENGKDUhBVJVSQaNWz4/WyK9ke13bYpR/Q/gGnXnrvd/EdffYmAdEe&#10;OPTijGdm3/i9mcnxSW80u1U+tGRLPt4bcaaspKq1NyX//On8zYyzEIWthCarSn6nAj9ZvH513Lm5&#10;mlBDulKeAcSGeedK3sTo5kURZKOMCHvklEWwJm9ExNXfFJUXHdCNLiaj0bToyFfOk1QhwHs2BPkG&#10;0b8EkOq6leqM5NooGwdUr7SIoBSa1gW+yK+tayXjZV0HFZkuOZjGfKII7FU6i8WxmN944ZpWbp4g&#10;XvKEZ5yMaC2K7qDORBRs7du/oEwrPQWq454kUwxEsiJgMR490+a6EU5lLpA6uJ3o4f/Byo+3V561&#10;VclnU86sMOj4w/2Ph5+/H359Z/BBoM6FOfKuHTJj/456jM3WH+BMvPvam/QLRgxxyHu3k1f1kUk4&#10;j8bTyQwRidD+bHo0PkwoxePHzof4XpFhySi5R/eyqOL2IsQhdZuSalk6b7XOHdSWdSWf7h+O8ge7&#10;CMC1RY1EYXhqsmK/6je8VlTdgZanYTKCk+ctil+IEK+ExyjgvViWeImj1oQitLE4a8h/+5c/5aND&#10;iHLWYbRKHr6uhVec6Q8WvXs7PjgAbMyXg8OjCS7+aWT1NGLX5pQwvWOspZPZTPlRb83ak/mCnVqm&#10;qggJK1G75HFrnsZh4LGTUi2XOQnT50S8sNdOJuhBzuU6Ut1mpZNMgzYb9TB/uVebXUkD/vSesx7/&#10;Hx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lySKrcAAAADQEAAA8AAAAAAAAAAQAgAAAAIgAA&#10;AGRycy9kb3ducmV2LnhtbFBLAQIUABQAAAAIAIdO4kDF3NnnPQIAAGcEAAAOAAAAAAAAAAEAIAAA&#10;ACsBAABkcnMvZTJvRG9jLnhtbFBLBQYAAAAABgAGAFkBAADaBQ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3# 5F</w:t>
                      </w:r>
                    </w:p>
                  </w:txbxContent>
                </v:textbox>
              </v:shape>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4538345</wp:posOffset>
                </wp:positionH>
                <wp:positionV relativeFrom="paragraph">
                  <wp:posOffset>5329555</wp:posOffset>
                </wp:positionV>
                <wp:extent cx="716280" cy="38671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716280" cy="386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2# 5F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35pt;margin-top:419.65pt;height:30.45pt;width:56.4pt;z-index:251669504;mso-width-relative:page;mso-height-relative:page;" filled="f" stroked="f" coordsize="21600,21600" o:gfxdata="UEsDBAoAAAAAAIdO4kAAAAAAAAAAAAAAAAAEAAAAZHJzL1BLAwQUAAAACACHTuJAs9dAvdwAAAAL&#10;AQAADwAAAGRycy9kb3ducmV2LnhtbE2Py07DMBBF90j8gzVI7KidlJI0xKlQpAoJ0UVLN+wm8TSJ&#10;8CPE7gO+HrOC5ege3XumXF2MZiea/OCshGQmgJFtnRpsJ2H/tr7LgfmAVqF2liR8kYdVdX1VYqHc&#10;2W7ptAsdiyXWFyihD2EsOPdtTwb9zI1kY3Zwk8EQz6njasJzLDeap0I8cIODjQs9jlT31H7sjkbC&#10;S73e4LZJTf6t6+fXw9P4uX9fSHl7k4hHYIEu4Q+GX/2oDlV0atzRKs+0hCy5zyIqIZ8v58AikafZ&#10;AlgjYSlECrwq+f8fqh9QSwMEFAAAAAgAh07iQGpb7QU9AgAAZwQAAA4AAABkcnMvZTJvRG9jLnht&#10;bK1UwU4bMRC9V+o/WL6XTQKENGKDUhBVJVSQaNWz4/WyK9ke13bYpR/Q/gGnXnrvd/EdffYmAdEe&#10;OPSyGc+M38x7M87xSW80u1U+tGRLPt4bcaaspKq1NyX//On8zYyzEIWthCarSn6nAj9ZvH513Lm5&#10;mlBDulKeAcSGeedK3sTo5kURZKOMCHvklEWwJm9ExNHfFJUXHdCNLiaj0bToyFfOk1QhwHs2BPkG&#10;0b8EkOq6leqM5NooGwdUr7SIoBSa1gW+yN3WtZLxsq6DikyXHExj/qII7FX6FotjMb/xwjWt3LQg&#10;XtLCM05GtBZFd1BnIgq29u1fUKaVngLVcU+SKQYiWRGwGI+eaXPdCKcyF0gd3E708P9g5cfbK8/a&#10;quSzQ86sMJj4w/2Ph5+/H359Z/BBoM6FOfKuHTJj/456rM3WH+BMvPvam/QLRgxxyHu3k1f1kUk4&#10;j8bTyQwRidD+bHo0zujF42XnQ3yvyLBklNxjellUcXsRIhpB6jYl1bJ03mqdJ6gt60o+3T8c5Qu7&#10;CG5oi4uJwtBqsmK/6je8VlTdgZanYTOCk+ctil+IEK+ExyqgXzyWeIlPrQlFaGNx1pD/9i9/yseE&#10;EOWsw2qVPHxdC6840x8sZvd2fHAA2JgPB4dHExz808jqacSuzSlhe8d4lk5mM+VHvTVrT+YL3tQy&#10;VUVIWInaJY9b8zQOC483KdVymZOwfU7EC3vtZIIe5FyuI9VtVjrJNGizUQ/7lweweStpwZ+ec9bj&#10;/8P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PXQL3cAAAACwEAAA8AAAAAAAAAAQAgAAAAIgAA&#10;AGRycy9kb3ducmV2LnhtbFBLAQIUABQAAAAIAIdO4kBqW+0FPQIAAGcEAAAOAAAAAAAAAAEAIAAA&#10;ACsBAABkcnMvZTJvRG9jLnhtbFBLBQYAAAAABgAGAFkBAADaBQ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2# 5F</w:t>
                      </w:r>
                    </w:p>
                  </w:txbxContent>
                </v:textbox>
              </v:shape>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5540375</wp:posOffset>
                </wp:positionH>
                <wp:positionV relativeFrom="paragraph">
                  <wp:posOffset>3103245</wp:posOffset>
                </wp:positionV>
                <wp:extent cx="716280" cy="386715"/>
                <wp:effectExtent l="0" t="0" r="0" b="0"/>
                <wp:wrapNone/>
                <wp:docPr id="84" name="文本框 84"/>
                <wp:cNvGraphicFramePr/>
                <a:graphic xmlns:a="http://schemas.openxmlformats.org/drawingml/2006/main">
                  <a:graphicData uri="http://schemas.microsoft.com/office/word/2010/wordprocessingShape">
                    <wps:wsp>
                      <wps:cNvSpPr txBox="1"/>
                      <wps:spPr>
                        <a:xfrm>
                          <a:off x="4846955" y="2479675"/>
                          <a:ext cx="716280" cy="386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1# 5F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25pt;margin-top:244.35pt;height:30.45pt;width:56.4pt;z-index:251668480;mso-width-relative:page;mso-height-relative:page;" filled="f" stroked="f" coordsize="21600,21600" o:gfxdata="UEsDBAoAAAAAAIdO4kAAAAAAAAAAAAAAAAAEAAAAZHJzL1BLAwQUAAAACACHTuJAweTYMN0AAAAL&#10;AQAADwAAAGRycy9kb3ducmV2LnhtbE2Py07DMBBF90j8gzVI7KjT0LRuiFOhSBUSgkVLN+yceJpE&#10;2OMQuw/69bgrWI7u0b1nitXZGnbE0feOJEwnCTCkxumeWgm7j/WDAOaDIq2MI5Twgx5W5e1NoXLt&#10;TrTB4za0LJaQz5WELoQh59w3HVrlJ25AitnejVaFeI4t16M6xXJreJokc25VT3GhUwNWHTZf24OV&#10;8Fqt39WmTq24mOrlbf88fO8+Mynv76bJE7CA5/AHw1U/qkMZnWp3IO2ZkSAWaRZRCTMhFsAisRTZ&#10;I7BaQjZbzoGXBf//Q/kLUEsDBBQAAAAIAIdO4kARcvA3SgIAAHMEAAAOAAAAZHJzL2Uyb0RvYy54&#10;bWytVM2O0zAQviPxDpbvNG03/VXTVdmqCKliVyqIs+s4TSTbY2y3SXkAeANOXLjzXPscjJ22Wy0c&#10;9sDFGc+MZ+b7Ziaz20ZJchDWVaAz2ut0KRGaQ17pXUY/fVy9GVPiPNM5k6BFRo/C0dv561ez2kxF&#10;H0qQubAEg2g3rU1GS+/NNEkcL4VirgNGaDQWYBXzeLW7JLesxuhKJv1ud5jUYHNjgQvnULtsjfQU&#10;0b4kIBRFxcUS+F4J7duoVkjmEZIrK+PoPFZbFIL7+6JwwhOZUUTq44lJUN6GM5nP2HRnmSkrfiqB&#10;vaSEZ5gUqzQmvYRaMs/I3lZ/hVIVt+Cg8B0OKmmBREYQRa/7jJtNyYyIWJBqZy6ku/8Xln84PFhS&#10;5Rkdp5RoprDjjz++P/78/fjrG0EdElQbN0W/jUFP37yFBsfmrHeoDLibwqrwRUQE7ek4HU4GA0qO&#10;Ge2no8lwNGipFo0nHB1GvWF/jE3g6HAzHo560Z48BTLW+XcCFAlCRi12MhLMDmvnsSh0PbuEvBpW&#10;lZSxm1KTOqPDm0E3PrhY8IXU+DDAacsOkm+2zQnjFvIjQrTQTokzfFVh8jVz/oFZHAusFxfH3+NR&#10;SMAkcJIoKcF+/Zc++GO30EpJjWOWUfdlz6ygRL7X2MdJL03DXMZLOhj18WKvLdtri96rO8BJ7uGK&#10;Gh7F4O/lWSwsqM+4X4uQFU1Mc8ydUX8W73w7/LifXCwW0Qkn0TC/1hvDQ+iWzsXeQ1FFpgNNLTcn&#10;9nAWYwNOexOG/foevZ7+Ff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eTYMN0AAAALAQAADwAA&#10;AAAAAAABACAAAAAiAAAAZHJzL2Rvd25yZXYueG1sUEsBAhQAFAAAAAgAh07iQBFy8DdKAgAAcwQA&#10;AA4AAAAAAAAAAQAgAAAALAEAAGRycy9lMm9Eb2MueG1sUEsFBgAAAAAGAAYAWQEAAOgFA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1# 5F</w:t>
                      </w:r>
                    </w:p>
                  </w:txbxContent>
                </v:textbox>
              </v:shape>
            </w:pict>
          </mc:Fallback>
        </mc:AlternateContent>
      </w:r>
    </w:p>
    <w:p>
      <w:pPr>
        <w:pStyle w:val="6"/>
        <w:bidi w:val="0"/>
        <w:jc w:val="center"/>
        <w:outlineLvl w:val="0"/>
        <w:rPr>
          <w:rFonts w:hint="eastAsia"/>
          <w:color w:val="auto"/>
          <w:lang w:val="en-US" w:eastAsia="zh-CN"/>
        </w:rPr>
        <w:sectPr>
          <w:pgSz w:w="23811" w:h="16838"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bookmarkStart w:id="57" w:name="_Toc15418"/>
      <w:bookmarkStart w:id="58" w:name="_Toc5336"/>
      <w:r>
        <w:rPr>
          <w:rFonts w:hint="eastAsia"/>
          <w:color w:val="auto"/>
          <w:lang w:val="en-US" w:eastAsia="zh-CN"/>
        </w:rPr>
        <w:t>附图2 项目厂区平面布置图</w:t>
      </w:r>
      <w:bookmarkEnd w:id="57"/>
      <w:bookmarkEnd w:id="58"/>
    </w:p>
    <w:p>
      <w:pPr>
        <w:jc w:val="center"/>
        <w:rPr>
          <w:rStyle w:val="80"/>
          <w:rFonts w:hint="default"/>
          <w:color w:val="auto"/>
          <w:lang w:val="en-US" w:eastAsia="zh-CN"/>
        </w:rPr>
        <w:sectPr>
          <w:pgSz w:w="23811" w:h="16838"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13633450" cy="4071620"/>
            <wp:effectExtent l="0" t="0" r="6350" b="12700"/>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28"/>
                    <a:stretch>
                      <a:fillRect/>
                    </a:stretch>
                  </pic:blipFill>
                  <pic:spPr>
                    <a:xfrm>
                      <a:off x="0" y="0"/>
                      <a:ext cx="13633450" cy="4071620"/>
                    </a:xfrm>
                    <a:prstGeom prst="rect">
                      <a:avLst/>
                    </a:prstGeom>
                    <a:noFill/>
                    <a:ln>
                      <a:noFill/>
                    </a:ln>
                  </pic:spPr>
                </pic:pic>
              </a:graphicData>
            </a:graphic>
          </wp:inline>
        </w:drawing>
      </w:r>
      <w:r>
        <w:rPr>
          <w:rStyle w:val="80"/>
          <w:rFonts w:hint="eastAsia"/>
          <w:color w:val="auto"/>
          <w:lang w:val="en-US" w:eastAsia="zh-CN"/>
        </w:rPr>
        <w:t>附图3-1 1#1F</w:t>
      </w:r>
    </w:p>
    <w:p>
      <w:pPr>
        <w:jc w:val="center"/>
        <w:rPr>
          <w:rStyle w:val="81"/>
          <w:rFonts w:hint="default"/>
          <w:color w:val="auto"/>
          <w:lang w:val="en-US" w:eastAsia="zh-CN"/>
        </w:rPr>
        <w:sectPr>
          <w:pgSz w:w="23811" w:h="16838"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13642340" cy="3999230"/>
            <wp:effectExtent l="0" t="0" r="12700" b="8890"/>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29"/>
                    <a:stretch>
                      <a:fillRect/>
                    </a:stretch>
                  </pic:blipFill>
                  <pic:spPr>
                    <a:xfrm>
                      <a:off x="0" y="0"/>
                      <a:ext cx="13642340" cy="3999230"/>
                    </a:xfrm>
                    <a:prstGeom prst="rect">
                      <a:avLst/>
                    </a:prstGeom>
                    <a:noFill/>
                    <a:ln>
                      <a:noFill/>
                    </a:ln>
                  </pic:spPr>
                </pic:pic>
              </a:graphicData>
            </a:graphic>
          </wp:inline>
        </w:drawing>
      </w:r>
      <w:r>
        <w:rPr>
          <w:rStyle w:val="81"/>
          <w:rFonts w:hint="eastAsia"/>
          <w:color w:val="auto"/>
          <w:lang w:val="en-US" w:eastAsia="zh-CN"/>
        </w:rPr>
        <w:t>附图3-2 1#2F、3F</w:t>
      </w:r>
    </w:p>
    <w:p>
      <w:pPr>
        <w:pStyle w:val="25"/>
        <w:rPr>
          <w:rStyle w:val="81"/>
          <w:rFonts w:hint="eastAsia"/>
          <w:color w:val="auto"/>
          <w:lang w:val="en-US" w:eastAsia="zh-CN"/>
        </w:rPr>
        <w:sectPr>
          <w:pgSz w:w="23811" w:h="16838"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13639800" cy="3977640"/>
            <wp:effectExtent l="0" t="0" r="0" b="0"/>
            <wp:docPr id="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pic:cNvPicPr>
                      <a:picLocks noChangeAspect="1"/>
                    </pic:cNvPicPr>
                  </pic:nvPicPr>
                  <pic:blipFill>
                    <a:blip r:embed="rId30"/>
                    <a:stretch>
                      <a:fillRect/>
                    </a:stretch>
                  </pic:blipFill>
                  <pic:spPr>
                    <a:xfrm>
                      <a:off x="0" y="0"/>
                      <a:ext cx="13639800" cy="3977640"/>
                    </a:xfrm>
                    <a:prstGeom prst="rect">
                      <a:avLst/>
                    </a:prstGeom>
                    <a:noFill/>
                    <a:ln>
                      <a:noFill/>
                    </a:ln>
                  </pic:spPr>
                </pic:pic>
              </a:graphicData>
            </a:graphic>
          </wp:inline>
        </w:drawing>
      </w:r>
      <w:r>
        <w:rPr>
          <w:rStyle w:val="81"/>
          <w:rFonts w:hint="eastAsia"/>
          <w:color w:val="auto"/>
          <w:lang w:val="en-US" w:eastAsia="zh-CN"/>
        </w:rPr>
        <w:t>附图3-3 1#4F</w:t>
      </w:r>
    </w:p>
    <w:p>
      <w:pPr>
        <w:jc w:val="center"/>
        <w:rPr>
          <w:rStyle w:val="81"/>
          <w:rFonts w:hint="default"/>
          <w:color w:val="auto"/>
          <w:lang w:val="en-US" w:eastAsia="zh-CN"/>
        </w:rPr>
        <w:sectPr>
          <w:pgSz w:w="23811" w:h="16838"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13639800" cy="3982720"/>
            <wp:effectExtent l="0" t="0" r="0" b="10160"/>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31"/>
                    <a:stretch>
                      <a:fillRect/>
                    </a:stretch>
                  </pic:blipFill>
                  <pic:spPr>
                    <a:xfrm>
                      <a:off x="0" y="0"/>
                      <a:ext cx="13639800" cy="3982720"/>
                    </a:xfrm>
                    <a:prstGeom prst="rect">
                      <a:avLst/>
                    </a:prstGeom>
                    <a:noFill/>
                    <a:ln>
                      <a:noFill/>
                    </a:ln>
                  </pic:spPr>
                </pic:pic>
              </a:graphicData>
            </a:graphic>
          </wp:inline>
        </w:drawing>
      </w:r>
      <w:r>
        <w:rPr>
          <w:rStyle w:val="81"/>
          <w:rFonts w:hint="eastAsia"/>
          <w:color w:val="auto"/>
          <w:lang w:val="en-US" w:eastAsia="zh-CN"/>
        </w:rPr>
        <w:t>附图3-4 1#5F</w:t>
      </w:r>
    </w:p>
    <w:p>
      <w:pPr>
        <w:pStyle w:val="25"/>
        <w:rPr>
          <w:rStyle w:val="81"/>
          <w:rFonts w:hint="eastAsia"/>
          <w:color w:val="auto"/>
          <w:lang w:val="en-US" w:eastAsia="zh-CN"/>
        </w:rPr>
        <w:sectPr>
          <w:pgSz w:w="23811" w:h="16838"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color w:val="auto"/>
          <w:sz w:val="36"/>
        </w:rPr>
        <mc:AlternateContent>
          <mc:Choice Requires="wps">
            <w:drawing>
              <wp:anchor distT="0" distB="0" distL="114300" distR="114300" simplePos="0" relativeHeight="251688960" behindDoc="0" locked="0" layoutInCell="1" allowOverlap="1">
                <wp:simplePos x="0" y="0"/>
                <wp:positionH relativeFrom="column">
                  <wp:posOffset>9347200</wp:posOffset>
                </wp:positionH>
                <wp:positionV relativeFrom="paragraph">
                  <wp:posOffset>6971665</wp:posOffset>
                </wp:positionV>
                <wp:extent cx="1181100" cy="400050"/>
                <wp:effectExtent l="0" t="0" r="0" b="0"/>
                <wp:wrapNone/>
                <wp:docPr id="119" name="文本框 119"/>
                <wp:cNvGraphicFramePr/>
                <a:graphic xmlns:a="http://schemas.openxmlformats.org/drawingml/2006/main">
                  <a:graphicData uri="http://schemas.microsoft.com/office/word/2010/wordprocessingShape">
                    <wps:wsp>
                      <wps:cNvSpPr txBox="1"/>
                      <wps:spPr>
                        <a:xfrm>
                          <a:off x="10081895" y="7756525"/>
                          <a:ext cx="1181100"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医疗废物间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6pt;margin-top:548.95pt;height:31.5pt;width:93pt;z-index:251688960;mso-width-relative:page;mso-height-relative:page;" filled="f" stroked="f" coordsize="21600,21600" o:gfxdata="UEsDBAoAAAAAAIdO4kAAAAAAAAAAAAAAAAAEAAAAZHJzL1BLAwQUAAAACACHTuJAzItVX90AAAAP&#10;AQAADwAAAGRycy9kb3ducmV2LnhtbE1Py07DMBC8I/EP1lbiRu1ENE1CnApFqpAQHFp64baJ3SRq&#10;bIfYfcDXsz2V28zOaHamWF3MwE568r2zEqK5AKZt41RvWwm7z/VjCswHtAoHZ7WEH+1hVd7fFZgr&#10;d7YbfdqGllGI9TlK6EIYc85902mDfu5GbUnbu8lgIDq1XE14pnAz8FiIhBvsLX3ocNRVp5vD9mgk&#10;vFXrD9zUsUl/h+r1ff8yfu++FlI+zCLxDCzoS7iZ4VqfqkNJnWp3tMqzgfjTMqYxgZDIlhmwqydZ&#10;pHSrCUWJyICXBf+/o/wDUEsDBBQAAAAIAIdO4kBAEUlqSAIAAHcEAAAOAAAAZHJzL2Uyb0RvYy54&#10;bWytVM2O0zAQviPxDpbvNEnpvzZdlV0VIVXsSgVxdh1nE8n2GNttUh4A3oATF+48V5+DsZPuLguH&#10;PXBxx54v38x8M9OLy1ZJchDW1aBzmg1SSoTmUNT6LqcfP6xfzShxnumCSdAip0fh6OXy5YuLxizE&#10;ECqQhbAESbRbNCanlfdmkSSOV0IxNwAjNDpLsIp5vNq7pLCsQXYlk2GaTpIGbGEscOEcvl53Ttoz&#10;2ucQQlnWXFwD3yuhfcdqhWQeS3JVbRxdxmzLUnB/U5ZOeCJzipX6eGIQtHfhTJYXbHFnmalq3qfA&#10;npPCk5oUqzUGvae6Zp6Rva3/olI1t+Cg9AMOKukKiYpgFVn6RJttxYyItaDUztyL7v4fLX9/uLWk&#10;LnASsjklmils+en7t9OPX6efX0l4RIka4xaI3BrE+vYNtAg/vzt8DJW3pVXhF2siwZ+ms2w2H1Ny&#10;zOl0Op6Mh+NObdF6wgMim2WIooQjYpSm6Ti2I3mgMtb5twIUCUZOLXYziswOG+cxLYSeISGyhnUt&#10;Zeyo1KTJ6eQ1Uv7hwS+kxg9DQV3iwfLtru2r3EFxxCItdJPiDF/XGHzDnL9lFkcD88Xl8Td4lBIw&#10;CPQWJRXYL/96D3jsGHopaXDUcuo+75kVlMh3Gns5z0ajMJvxMhpPh3ixjz27xx69V1eA05zhmhoe&#10;zYD38myWFtQn3LFViIoupjnGzqk/m1e+WwDcUS5WqwjCaTTMb/TW8EDdibbaeyjrqHSQqdOmVw/n&#10;MTag350w8I/vEfXwf7H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yLVV/dAAAADwEAAA8AAAAA&#10;AAAAAQAgAAAAIgAAAGRycy9kb3ducmV2LnhtbFBLAQIUABQAAAAIAIdO4kBAEUlqSAIAAHcEAAAO&#10;AAAAAAAAAAEAIAAAACwBAABkcnMvZTJvRG9jLnhtbFBLBQYAAAAABgAGAFkBAADm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医疗废物间</w:t>
                      </w:r>
                    </w:p>
                  </w:txbxContent>
                </v:textbox>
              </v:shape>
            </w:pict>
          </mc:Fallback>
        </mc:AlternateContent>
      </w:r>
      <w:r>
        <w:rPr>
          <w:color w:val="auto"/>
          <w:sz w:val="36"/>
        </w:rPr>
        <mc:AlternateContent>
          <mc:Choice Requires="wps">
            <w:drawing>
              <wp:anchor distT="0" distB="0" distL="114300" distR="114300" simplePos="0" relativeHeight="251687936" behindDoc="0" locked="0" layoutInCell="1" allowOverlap="1">
                <wp:simplePos x="0" y="0"/>
                <wp:positionH relativeFrom="column">
                  <wp:posOffset>8937625</wp:posOffset>
                </wp:positionH>
                <wp:positionV relativeFrom="paragraph">
                  <wp:posOffset>7190105</wp:posOffset>
                </wp:positionV>
                <wp:extent cx="390525" cy="57150"/>
                <wp:effectExtent l="635" t="6350" r="5080" b="12700"/>
                <wp:wrapNone/>
                <wp:docPr id="118" name="任意多边形 118"/>
                <wp:cNvGraphicFramePr/>
                <a:graphic xmlns:a="http://schemas.openxmlformats.org/drawingml/2006/main">
                  <a:graphicData uri="http://schemas.microsoft.com/office/word/2010/wordprocessingShape">
                    <wps:wsp>
                      <wps:cNvSpPr/>
                      <wps:spPr>
                        <a:xfrm>
                          <a:off x="9672320" y="7974965"/>
                          <a:ext cx="390525" cy="57150"/>
                        </a:xfrm>
                        <a:custGeom>
                          <a:avLst/>
                          <a:gdLst>
                            <a:gd name="connisteX0" fmla="*/ 0 w 390525"/>
                            <a:gd name="connsiteY0" fmla="*/ 57150 h 57150"/>
                            <a:gd name="connisteX1" fmla="*/ 390525 w 390525"/>
                            <a:gd name="connsiteY1" fmla="*/ 0 h 57150"/>
                          </a:gdLst>
                          <a:ahLst/>
                          <a:cxnLst>
                            <a:cxn ang="0">
                              <a:pos x="connisteX0" y="connsiteY0"/>
                            </a:cxn>
                            <a:cxn ang="0">
                              <a:pos x="connisteX1" y="connsiteY1"/>
                            </a:cxn>
                          </a:cxnLst>
                          <a:rect l="l" t="t" r="r" b="b"/>
                          <a:pathLst>
                            <a:path w="390525" h="57150">
                              <a:moveTo>
                                <a:pt x="0" y="57150"/>
                              </a:moveTo>
                              <a:lnTo>
                                <a:pt x="390525" y="0"/>
                              </a:lnTo>
                            </a:path>
                          </a:pathLst>
                        </a:cu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03.75pt;margin-top:566.15pt;height:4.5pt;width:30.75pt;z-index:251687936;mso-width-relative:page;mso-height-relative:page;" fillcolor="#000000 [3213]" filled="t" stroked="t" coordsize="390525,57150" o:gfxdata="UEsDBAoAAAAAAIdO4kAAAAAAAAAAAAAAAAAEAAAAZHJzL1BLAwQUAAAACACHTuJA+4KZA9wAAAAP&#10;AQAADwAAAGRycy9kb3ducmV2LnhtbE2PQU+DQBCF7yb+h82YeLPLFqyKLD0YGj2YJtYm7XELIxDZ&#10;WcJuC/57h5Pe5s28vPletp5sJy44+NaRBrWIQCCVrmqp1rD/3Nw9gvDBUGU6R6jhBz2s8+urzKSV&#10;G+kDL7tQCw4hnxoNTQh9KqUvG7TGL1yPxLcvN1gTWA61rAYzcrjt5DKKVtKalvhDY3p8abD83p2t&#10;huIwvk+vRyq2kzpaVRfJBt8SrW9vVPQMIuAU/sww4zM65Mx0cmeqvOhYJ9HDPXt5UvEyBjF7ktUT&#10;FzzNu0TFIPNM/u+R/wJQSwMEFAAAAAgAh07iQJu7dVDBAgAAIgYAAA4AAABkcnMvZTJvRG9jLnht&#10;bK1UyW4UMRC9I/EPlo9IpJekM5lReiLEEC4skRIkOHrc7kXyJtuz5M6dO0fET6AIvoYgPoOy3TPT&#10;kxySA33otttV79WrctXp2VpwtGTGdkqWODtIMWKSqqqTTYk/XJ0/P8HIOiIrwpVkJb5mFp9Nnz45&#10;XekJy1WreMUMAhBpJytd4tY5PUkSS1smiD1Qmkk4rJURxMHWNEllyArQBU/yND1OVspU2ijKrIW/&#10;s3iIe0TzGEBV1x1lM0UXgkkXUQ3jxIEk23ba4mmItq4Zde/r2jKHeIlBqQtvIIH13L+T6SmZNIbo&#10;tqN9COQxIdzRJEgngXQLNSOOoIXp7kGJjhplVe0OqBJJFBIyAiqy9E5uLluiWdACqbZ6m3T7/2Dp&#10;u+WFQV0FNyGDwksioOS/b27+fP5y+/3r318/bn9+Q/4IErXSdgL2l/rC9DsLS696XRvhv6AHrUs8&#10;Ph7lhzmk+LrEo/HoaHxcxESztUMUDA7HaZEXGFEwKEZZEeqQ7HDowrrXTAVMsnxjXSxTBauQ5KoP&#10;lCopO+vYR+CqBYfKPUtQilaoJ+jdBta2c+zT0DrQoxZtw4Aa3oPPBvAR+kGOoUs6xAeZzUYIaTfa&#10;6Fr24mCFiO/FNFworaxP6VApJM1veymgESDBy2fmAWcIauic+apsnOO3D8JA4/iW4aFlHEbQMia0&#10;zDxWUhPnY/ecfolWu6K2m5r6Q6GW7EoFM+d1xEuxTTaQ7iy4HFpu7ggEvLke0QB8PGWIfBuGj35w&#10;aaziXXXece6ZrWnmL7lBS+KHQHh64XtmXHoVWT5KIUhKYLTVMFJgKTS0h5UNRoQ3MDOpM6E0e957&#10;JPmr4uhFFoz4QrxVVeQeFUC+oY5BBRV7QNpYNyO2jS7hKKZcwNU1iHeixCdDERwqn/jejN3oV3NV&#10;XYcmDf9hdASafsz52TTcB+/daJ/+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PuCmQPcAAAADwEA&#10;AA8AAAAAAAAAAQAgAAAAIgAAAGRycy9kb3ducmV2LnhtbFBLAQIUABQAAAAIAIdO4kCbu3VQwQIA&#10;ACIGAAAOAAAAAAAAAAEAIAAAACsBAABkcnMvZTJvRG9jLnhtbFBLBQYAAAAABgAGAFkBAABeBgAA&#10;AAA=&#10;" path="m0,57150l390525,0e">
                <v:path o:connectlocs="0,57150;390525,0" o:connectangles="0,0"/>
                <v:fill on="t" focussize="0,0"/>
                <v:stroke weight="1pt" color="#2E54A1 [2404]" miterlimit="8" joinstyle="miter"/>
                <v:imagedata o:title=""/>
                <o:lock v:ext="edit" aspectratio="f"/>
              </v:shape>
            </w:pict>
          </mc:Fallback>
        </mc:AlternateContent>
      </w:r>
      <w:r>
        <w:rPr>
          <w:color w:val="auto"/>
          <w:sz w:val="36"/>
        </w:rPr>
        <mc:AlternateContent>
          <mc:Choice Requires="wps">
            <w:drawing>
              <wp:anchor distT="0" distB="0" distL="114300" distR="114300" simplePos="0" relativeHeight="251686912" behindDoc="0" locked="0" layoutInCell="1" allowOverlap="1">
                <wp:simplePos x="0" y="0"/>
                <wp:positionH relativeFrom="column">
                  <wp:posOffset>8736330</wp:posOffset>
                </wp:positionH>
                <wp:positionV relativeFrom="paragraph">
                  <wp:posOffset>6901180</wp:posOffset>
                </wp:positionV>
                <wp:extent cx="287020" cy="552450"/>
                <wp:effectExtent l="6350" t="6350" r="11430" b="20320"/>
                <wp:wrapNone/>
                <wp:docPr id="116" name="矩形 116"/>
                <wp:cNvGraphicFramePr/>
                <a:graphic xmlns:a="http://schemas.openxmlformats.org/drawingml/2006/main">
                  <a:graphicData uri="http://schemas.microsoft.com/office/word/2010/wordprocessingShape">
                    <wps:wsp>
                      <wps:cNvSpPr/>
                      <wps:spPr>
                        <a:xfrm>
                          <a:off x="9253220" y="8000365"/>
                          <a:ext cx="287020" cy="552450"/>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7.9pt;margin-top:543.4pt;height:43.5pt;width:22.6pt;z-index:251686912;v-text-anchor:middle;mso-width-relative:page;mso-height-relative:page;" fillcolor="#00B050" filled="t" stroked="t" coordsize="21600,21600" o:gfxdata="UEsDBAoAAAAAAIdO4kAAAAAAAAAAAAAAAAAEAAAAZHJzL1BLAwQUAAAACACHTuJAdomfx9kAAAAP&#10;AQAADwAAAGRycy9kb3ducmV2LnhtbE2PwU7DMBBE70j8g7VI3KidFtooxOmhEhISF0i5cHPirRMR&#10;r6PYacrfsz3BbUY7mn1T7i9+EGecYh9IQ7ZSIJDaYHtyGj6PLw85iJgMWTMEQg0/GGFf3d6UprBh&#10;oQ8818kJLqFYGA1dSmMhZWw79CauwojEt1OYvElsJyftZBYu94NcK7WV3vTEHzoz4qHD9ruevQZH&#10;9svV5rV5V27ujm8ne4iL1fr+LlPPIBJe0l8YrviMDhUzNWEmG8XAfrN7YvbESuVbVtfM4zrjgQ2r&#10;bLfJQVal/L+j+gVQSwMEFAAAAAgAh07iQP1wDHR7AgAAAwUAAA4AAABkcnMvZTJvRG9jLnhtbK1U&#10;S27bMBDdF+gdCO4byYqdjxE5cGOkKBA0AdKia5qiLAL8laQ/6WUKdNdD9DhFr9FHyrHjtIssuqGG&#10;nNGbeY8zvLjcaEVWwgdpTU0HRyUlwnDbSLOo6aeP12/OKAmRmYYpa0RNH0Sgl5PXry7Wbiwq21nV&#10;CE8AYsJ47WraxejGRRF4JzQLR9YJA2drvWYRW78oGs/WQNeqqMrypFhb3zhvuQgBp7PeSbeI/iWA&#10;tm0lFzPLl1qY2KN6oVgEpdBJF+gkV9u2gsfbtg0iElVTMI15RRLY87QWkws2XnjmOsm3JbCXlPCM&#10;k2bSIOkOasYiI0sv/4LSknsbbBuPuNVFTyQrAhaD8pk29x1zInOB1MHtRA//D5Z/WN15Iht0wuCE&#10;EsM0rvz3tx+/fn4n6QT6rF0YI+ze3fntLsBMZDet1+kLGmRT0/NqdFxVUPahpmdlWR6fjHp9xSYS&#10;joDq7LRMfo6A0agajrL+xR7I+RDfCatJMmrqcX1ZVba6CRHJEfoYkvIGq2RzLZXKG7+YXylPVixd&#10;dfm23KEfhClD1iBbnZapEIYGbtE4MLWDCMEsKGFqgcng0efcB3+HwyQg+UjhICwVOWOh64vJrl4J&#10;LSOGR0ndK7T7WxmQS0L30iZrbpsHXI23fc8Gx68lYG9YiHfMo0lRP8Y43mJplQUpu7Uo6az/+q/z&#10;FI/egZeSNZoehL8smReUqPcGXXU+GA4BG/NmODpNl+WfeuZPPWapryzEHuDBcDybKT6qR7P1Vn/G&#10;tE9TVriY4cjdS7vdXMV+GPFecDGd5jBMhmPxxtw7nsDT5Ro7XUbbytwEe3W2omE2cm9s5zgN39N9&#10;jtq/XZ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domfx9kAAAAPAQAADwAAAAAAAAABACAAAAAi&#10;AAAAZHJzL2Rvd25yZXYueG1sUEsBAhQAFAAAAAgAh07iQP1wDHR7AgAAAwUAAA4AAAAAAAAAAQAg&#10;AAAAKAEAAGRycy9lMm9Eb2MueG1sUEsFBgAAAAAGAAYAWQEAABUGAAAAAA==&#10;">
                <v:fill on="t" focussize="0,0"/>
                <v:stroke weight="1pt" color="#000000 [3213]" miterlimit="8" joinstyle="miter"/>
                <v:imagedata o:title=""/>
                <o:lock v:ext="edit" aspectratio="f"/>
              </v:rect>
            </w:pict>
          </mc:Fallback>
        </mc:AlternateContent>
      </w:r>
      <w:r>
        <w:rPr>
          <w:color w:val="auto"/>
        </w:rPr>
        <w:drawing>
          <wp:inline distT="0" distB="0" distL="114300" distR="114300">
            <wp:extent cx="13648690" cy="7889240"/>
            <wp:effectExtent l="0" t="0" r="6350" b="508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32"/>
                    <a:stretch>
                      <a:fillRect/>
                    </a:stretch>
                  </pic:blipFill>
                  <pic:spPr>
                    <a:xfrm>
                      <a:off x="0" y="0"/>
                      <a:ext cx="13648690" cy="7889240"/>
                    </a:xfrm>
                    <a:prstGeom prst="rect">
                      <a:avLst/>
                    </a:prstGeom>
                    <a:noFill/>
                    <a:ln>
                      <a:noFill/>
                    </a:ln>
                  </pic:spPr>
                </pic:pic>
              </a:graphicData>
            </a:graphic>
          </wp:inline>
        </w:drawing>
      </w:r>
      <w:r>
        <w:rPr>
          <w:rStyle w:val="81"/>
          <w:rFonts w:hint="eastAsia"/>
          <w:color w:val="auto"/>
          <w:lang w:val="en-US" w:eastAsia="zh-CN"/>
        </w:rPr>
        <w:t>附图3-5 2#1F</w:t>
      </w:r>
    </w:p>
    <w:p>
      <w:pPr>
        <w:jc w:val="center"/>
        <w:rPr>
          <w:rStyle w:val="81"/>
          <w:rFonts w:hint="default"/>
          <w:color w:val="auto"/>
          <w:lang w:val="en-US" w:eastAsia="zh-CN"/>
        </w:rPr>
        <w:sectPr>
          <w:pgSz w:w="23811" w:h="16838"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13649325" cy="8198485"/>
            <wp:effectExtent l="0" t="0" r="5715" b="635"/>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33"/>
                    <a:stretch>
                      <a:fillRect/>
                    </a:stretch>
                  </pic:blipFill>
                  <pic:spPr>
                    <a:xfrm>
                      <a:off x="0" y="0"/>
                      <a:ext cx="13649325" cy="8198485"/>
                    </a:xfrm>
                    <a:prstGeom prst="rect">
                      <a:avLst/>
                    </a:prstGeom>
                    <a:noFill/>
                    <a:ln>
                      <a:noFill/>
                    </a:ln>
                  </pic:spPr>
                </pic:pic>
              </a:graphicData>
            </a:graphic>
          </wp:inline>
        </w:drawing>
      </w:r>
      <w:r>
        <w:rPr>
          <w:rStyle w:val="81"/>
          <w:rFonts w:hint="eastAsia"/>
          <w:color w:val="auto"/>
          <w:lang w:val="en-US" w:eastAsia="zh-CN"/>
        </w:rPr>
        <w:t>附图3-6 2#2F</w:t>
      </w:r>
    </w:p>
    <w:p>
      <w:pPr>
        <w:bidi w:val="0"/>
        <w:jc w:val="center"/>
        <w:rPr>
          <w:color w:val="auto"/>
        </w:rPr>
      </w:pPr>
      <w:r>
        <w:rPr>
          <w:color w:val="auto"/>
        </w:rPr>
        <w:drawing>
          <wp:inline distT="0" distB="0" distL="114300" distR="114300">
            <wp:extent cx="12748260" cy="7887970"/>
            <wp:effectExtent l="0" t="0" r="7620" b="6350"/>
            <wp:docPr id="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2"/>
                    <pic:cNvPicPr>
                      <a:picLocks noChangeAspect="1"/>
                    </pic:cNvPicPr>
                  </pic:nvPicPr>
                  <pic:blipFill>
                    <a:blip r:embed="rId34"/>
                    <a:stretch>
                      <a:fillRect/>
                    </a:stretch>
                  </pic:blipFill>
                  <pic:spPr>
                    <a:xfrm>
                      <a:off x="0" y="0"/>
                      <a:ext cx="12748260" cy="7887970"/>
                    </a:xfrm>
                    <a:prstGeom prst="rect">
                      <a:avLst/>
                    </a:prstGeom>
                    <a:noFill/>
                    <a:ln>
                      <a:noFill/>
                    </a:ln>
                  </pic:spPr>
                </pic:pic>
              </a:graphicData>
            </a:graphic>
          </wp:inline>
        </w:drawing>
      </w:r>
    </w:p>
    <w:p>
      <w:pPr>
        <w:pStyle w:val="6"/>
        <w:bidi w:val="0"/>
        <w:jc w:val="center"/>
        <w:rPr>
          <w:rFonts w:hint="eastAsia"/>
          <w:color w:val="auto"/>
          <w:lang w:val="en-US" w:eastAsia="zh-CN"/>
        </w:rPr>
        <w:sectPr>
          <w:pgSz w:w="23811" w:h="16838"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lang w:val="en-US" w:eastAsia="zh-CN"/>
        </w:rPr>
        <w:t>附图3-7 2#3~5F</w:t>
      </w:r>
    </w:p>
    <w:p>
      <w:pPr>
        <w:rPr>
          <w:color w:val="auto"/>
        </w:rPr>
      </w:pPr>
      <w:r>
        <w:rPr>
          <w:color w:val="auto"/>
        </w:rPr>
        <w:drawing>
          <wp:inline distT="0" distB="0" distL="114300" distR="114300">
            <wp:extent cx="8639175" cy="5277485"/>
            <wp:effectExtent l="0" t="0" r="0" b="0"/>
            <wp:docPr id="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3"/>
                    <pic:cNvPicPr>
                      <a:picLocks noChangeAspect="1"/>
                    </pic:cNvPicPr>
                  </pic:nvPicPr>
                  <pic:blipFill>
                    <a:blip r:embed="rId35"/>
                    <a:srcRect t="4356" b="4902"/>
                    <a:stretch>
                      <a:fillRect/>
                    </a:stretch>
                  </pic:blipFill>
                  <pic:spPr>
                    <a:xfrm>
                      <a:off x="0" y="0"/>
                      <a:ext cx="8639175" cy="5277485"/>
                    </a:xfrm>
                    <a:prstGeom prst="rect">
                      <a:avLst/>
                    </a:prstGeom>
                    <a:noFill/>
                    <a:ln>
                      <a:noFill/>
                    </a:ln>
                  </pic:spPr>
                </pic:pic>
              </a:graphicData>
            </a:graphic>
          </wp:inline>
        </w:drawing>
      </w:r>
    </w:p>
    <w:p>
      <w:pPr>
        <w:pStyle w:val="6"/>
        <w:bidi w:val="0"/>
        <w:jc w:val="center"/>
        <w:rPr>
          <w:rFonts w:hint="eastAsia"/>
          <w:color w:val="auto"/>
          <w:lang w:val="en-US" w:eastAsia="zh-CN"/>
        </w:rPr>
        <w:sectPr>
          <w:pgSz w:w="16838" w:h="11906"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lang w:val="en-US" w:eastAsia="zh-CN"/>
        </w:rPr>
        <w:t>附图3-8 3#1F</w:t>
      </w:r>
    </w:p>
    <w:p>
      <w:pPr>
        <w:bidi w:val="0"/>
        <w:jc w:val="center"/>
        <w:rPr>
          <w:color w:val="auto"/>
        </w:rPr>
      </w:pPr>
      <w:r>
        <w:rPr>
          <w:color w:val="auto"/>
        </w:rPr>
        <w:drawing>
          <wp:inline distT="0" distB="0" distL="114300" distR="114300">
            <wp:extent cx="8678545" cy="5586095"/>
            <wp:effectExtent l="0" t="0" r="8255" b="6985"/>
            <wp:docPr id="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4"/>
                    <pic:cNvPicPr>
                      <a:picLocks noChangeAspect="1"/>
                    </pic:cNvPicPr>
                  </pic:nvPicPr>
                  <pic:blipFill>
                    <a:blip r:embed="rId36"/>
                    <a:stretch>
                      <a:fillRect/>
                    </a:stretch>
                  </pic:blipFill>
                  <pic:spPr>
                    <a:xfrm>
                      <a:off x="0" y="0"/>
                      <a:ext cx="8678545" cy="5586095"/>
                    </a:xfrm>
                    <a:prstGeom prst="rect">
                      <a:avLst/>
                    </a:prstGeom>
                    <a:noFill/>
                    <a:ln>
                      <a:noFill/>
                    </a:ln>
                  </pic:spPr>
                </pic:pic>
              </a:graphicData>
            </a:graphic>
          </wp:inline>
        </w:drawing>
      </w:r>
    </w:p>
    <w:p>
      <w:pPr>
        <w:pStyle w:val="6"/>
        <w:bidi w:val="0"/>
        <w:jc w:val="center"/>
        <w:rPr>
          <w:rFonts w:hint="eastAsia"/>
          <w:color w:val="auto"/>
          <w:lang w:val="en-US" w:eastAsia="zh-CN"/>
        </w:rPr>
        <w:sectPr>
          <w:pgSz w:w="16838" w:h="11906"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lang w:val="en-US" w:eastAsia="zh-CN"/>
        </w:rPr>
        <w:t>附图3-9 3#2F</w:t>
      </w:r>
    </w:p>
    <w:p>
      <w:pPr>
        <w:bidi w:val="0"/>
        <w:jc w:val="center"/>
        <w:rPr>
          <w:color w:val="auto"/>
        </w:rPr>
      </w:pPr>
      <w:r>
        <w:rPr>
          <w:color w:val="auto"/>
        </w:rPr>
        <w:drawing>
          <wp:inline distT="0" distB="0" distL="114300" distR="114300">
            <wp:extent cx="8595360" cy="5546725"/>
            <wp:effectExtent l="0" t="0" r="0" b="635"/>
            <wp:docPr id="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pic:cNvPicPr>
                      <a:picLocks noChangeAspect="1"/>
                    </pic:cNvPicPr>
                  </pic:nvPicPr>
                  <pic:blipFill>
                    <a:blip r:embed="rId37"/>
                    <a:stretch>
                      <a:fillRect/>
                    </a:stretch>
                  </pic:blipFill>
                  <pic:spPr>
                    <a:xfrm>
                      <a:off x="0" y="0"/>
                      <a:ext cx="8595360" cy="5546725"/>
                    </a:xfrm>
                    <a:prstGeom prst="rect">
                      <a:avLst/>
                    </a:prstGeom>
                    <a:noFill/>
                    <a:ln>
                      <a:noFill/>
                    </a:ln>
                  </pic:spPr>
                </pic:pic>
              </a:graphicData>
            </a:graphic>
          </wp:inline>
        </w:drawing>
      </w:r>
    </w:p>
    <w:p>
      <w:pPr>
        <w:pStyle w:val="6"/>
        <w:bidi w:val="0"/>
        <w:jc w:val="center"/>
        <w:rPr>
          <w:rFonts w:hint="default"/>
          <w:color w:val="auto"/>
          <w:lang w:val="en-US" w:eastAsia="zh-CN"/>
        </w:rPr>
        <w:sectPr>
          <w:pgSz w:w="16838" w:h="11906"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lang w:val="en-US" w:eastAsia="zh-CN"/>
        </w:rPr>
        <w:t>附图3-10 3#2F</w:t>
      </w:r>
    </w:p>
    <w:p>
      <w:pPr>
        <w:jc w:val="center"/>
        <w:rPr>
          <w:color w:val="auto"/>
        </w:rPr>
      </w:pP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6224270</wp:posOffset>
                </wp:positionH>
                <wp:positionV relativeFrom="paragraph">
                  <wp:posOffset>1162685</wp:posOffset>
                </wp:positionV>
                <wp:extent cx="908050" cy="318770"/>
                <wp:effectExtent l="0" t="0" r="0" b="0"/>
                <wp:wrapNone/>
                <wp:docPr id="129" name="文本框 129"/>
                <wp:cNvGraphicFramePr/>
                <a:graphic xmlns:a="http://schemas.openxmlformats.org/drawingml/2006/main">
                  <a:graphicData uri="http://schemas.microsoft.com/office/word/2010/wordprocessingShape">
                    <wps:wsp>
                      <wps:cNvSpPr txBox="1"/>
                      <wps:spPr>
                        <a:xfrm>
                          <a:off x="7148195" y="2030730"/>
                          <a:ext cx="908050" cy="318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b/>
                                <w:bCs/>
                                <w:color w:val="FF0000"/>
                                <w:sz w:val="18"/>
                                <w:szCs w:val="18"/>
                                <w:lang w:val="en-US" w:eastAsia="zh-CN"/>
                              </w:rPr>
                            </w:pPr>
                            <w:r>
                              <w:rPr>
                                <w:rFonts w:hint="eastAsia"/>
                                <w:b/>
                                <w:bCs/>
                                <w:color w:val="FF0000"/>
                                <w:sz w:val="18"/>
                                <w:szCs w:val="18"/>
                                <w:lang w:val="en-US" w:eastAsia="zh-CN"/>
                              </w:rPr>
                              <w:t>应急切换阀门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0.1pt;margin-top:91.55pt;height:25.1pt;width:71.5pt;z-index:251699200;mso-width-relative:page;mso-height-relative:page;" filled="f" stroked="f" coordsize="21600,21600" o:gfxdata="UEsDBAoAAAAAAIdO4kAAAAAAAAAAAAAAAAAEAAAAZHJzL1BLAwQUAAAACACHTuJAB1IAM9sAAAAM&#10;AQAADwAAAGRycy9kb3ducmV2LnhtbE2Py07DMBBF90j8gzVI7KidWKAQ4lQoUoWEYNHSDTsnniYR&#10;9jjE7gO+HndFlzP36M6Zanlylh1wDqMnBdlCAEPqvBmpV7D9WN0VwELUZLT1hAp+MMCyvr6qdGn8&#10;kdZ42MSepRIKpVYwxDiVnIduQKfDwk9IKdv52emYxrnnZtbHVO4sz4V44E6PlC4MesJmwO5rs3cK&#10;XpvVu163uSt+bfPytnuevref90rd3mTiCVjEU/yH4ayf1KFOTq3fkwnMKngsRJ7QFBQyA3Ymslym&#10;Vasgl1ICryt++UT9B1BLAwQUAAAACACHTuJApqN/vUgCAAB1BAAADgAAAGRycy9lMm9Eb2MueG1s&#10;rVTNbtQwEL4j8Q6W7zTJ7pb9UbPV0qoIqaKVCuLsdZwmkv+wvU3KA8AbcOLCnefqc/DZybalcOiB&#10;i3fs+fLNzDcze3TcK0luhPOt0SUtDnJKhOamavV1ST9+OHu1oMQHpismjRYlvRWeHq9fvjjq7EpM&#10;TGNkJRwBifarzpa0CcGusszzRijmD4wVGs7aOMUCru46qxzrwK5kNsnz11lnXGWd4cJ7vJ4OTjoy&#10;uucQmrpuuTg1fKeEDgOrE5IFlOSb1nq6TtnWteDhoq69CESWFJWGdCII7G08s/URW107ZpuWjymw&#10;56TwpCbFWo2g91SnLDCyc+1fVKrlznhThwNuVDYUkhRBFUX+RJurhlmRaoHU3t6L7v8fLX9/c+lI&#10;W2ESJktKNFNo+d33b3c/ft39/EriIyTqrF8BeWWBDf0b0wO+f/d4jJX3tVPxFzUR+OfFbFEsDym5&#10;Lekkn+bz6Si26APhACzzRX6INnAApsViPk/+7IHIOh/eCqNINErq0MskMbs59wFJAbqHxLjanLVS&#10;pn5KTbqSvp6C/g8PvpAaH8ZyhrSjFfptP9a4NdUtSnRmmBNv+VmL4OfMh0vmMBjIF6sTLnDU0iCI&#10;GS1KGuO+/Os94tEveCnpMGgl9Z93zAlK5DuNTi6L2SxOZrrMDucTXNxjz/axR+/UicEsF1hSy5MZ&#10;8UHuzdoZ9QkbtolR4WKaI3ZJw948CcP4Y0O52GwSCLNoWTjXV5ZH6kG0zS6Yuk1KR5kGbUb1MI2p&#10;AePmxHF/fE+oh3+L9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HUgAz2wAAAAwBAAAPAAAAAAAA&#10;AAEAIAAAACIAAABkcnMvZG93bnJldi54bWxQSwECFAAUAAAACACHTuJApqN/vUgCAAB1BAAADgAA&#10;AAAAAAABACAAAAAqAQAAZHJzL2Uyb0RvYy54bWxQSwUGAAAAAAYABgBZAQAA5AUAAAAA&#10;">
                <v:fill on="f" focussize="0,0"/>
                <v:stroke on="f" weight="0.5pt"/>
                <v:imagedata o:title=""/>
                <o:lock v:ext="edit" aspectratio="f"/>
                <v:textbox>
                  <w:txbxContent>
                    <w:p>
                      <w:pPr>
                        <w:spacing w:line="240" w:lineRule="auto"/>
                        <w:rPr>
                          <w:rFonts w:hint="default" w:eastAsia="宋体"/>
                          <w:b/>
                          <w:bCs/>
                          <w:color w:val="FF0000"/>
                          <w:sz w:val="18"/>
                          <w:szCs w:val="18"/>
                          <w:lang w:val="en-US" w:eastAsia="zh-CN"/>
                        </w:rPr>
                      </w:pPr>
                      <w:r>
                        <w:rPr>
                          <w:rFonts w:hint="eastAsia"/>
                          <w:b/>
                          <w:bCs/>
                          <w:color w:val="FF0000"/>
                          <w:sz w:val="18"/>
                          <w:szCs w:val="18"/>
                          <w:lang w:val="en-US" w:eastAsia="zh-CN"/>
                        </w:rPr>
                        <w:t>应急切换阀门</w:t>
                      </w:r>
                    </w:p>
                  </w:txbxContent>
                </v:textbox>
              </v:shape>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7070090</wp:posOffset>
                </wp:positionH>
                <wp:positionV relativeFrom="paragraph">
                  <wp:posOffset>1202690</wp:posOffset>
                </wp:positionV>
                <wp:extent cx="354965" cy="122555"/>
                <wp:effectExtent l="6350" t="5715" r="4445" b="8890"/>
                <wp:wrapNone/>
                <wp:docPr id="128" name="任意多边形 128"/>
                <wp:cNvGraphicFramePr/>
                <a:graphic xmlns:a="http://schemas.openxmlformats.org/drawingml/2006/main">
                  <a:graphicData uri="http://schemas.microsoft.com/office/word/2010/wordprocessingShape">
                    <wps:wsp>
                      <wps:cNvSpPr/>
                      <wps:spPr>
                        <a:xfrm>
                          <a:off x="7804785" y="1987550"/>
                          <a:ext cx="354965" cy="122555"/>
                        </a:xfrm>
                        <a:custGeom>
                          <a:avLst/>
                          <a:gdLst>
                            <a:gd name="connisteX0" fmla="*/ 354965 w 354965"/>
                            <a:gd name="connsiteY0" fmla="*/ 0 h 122555"/>
                            <a:gd name="connisteX1" fmla="*/ 0 w 354965"/>
                            <a:gd name="connsiteY1" fmla="*/ 122555 h 122555"/>
                            <a:gd name="connisteX2" fmla="*/ 0 w 354965"/>
                            <a:gd name="connsiteY2" fmla="*/ 119380 h 122555"/>
                          </a:gdLst>
                          <a:ahLst/>
                          <a:cxnLst>
                            <a:cxn ang="0">
                              <a:pos x="connisteX0" y="connsiteY0"/>
                            </a:cxn>
                            <a:cxn ang="0">
                              <a:pos x="connisteX1" y="connsiteY1"/>
                            </a:cxn>
                            <a:cxn ang="0">
                              <a:pos x="connisteX2" y="connsiteY2"/>
                            </a:cxn>
                          </a:cxnLst>
                          <a:rect l="l" t="t" r="r" b="b"/>
                          <a:pathLst>
                            <a:path w="354965" h="122555">
                              <a:moveTo>
                                <a:pt x="354965" y="0"/>
                              </a:moveTo>
                              <a:lnTo>
                                <a:pt x="0" y="122555"/>
                              </a:lnTo>
                              <a:lnTo>
                                <a:pt x="0" y="119380"/>
                              </a:lnTo>
                            </a:path>
                          </a:pathLst>
                        </a:custGeom>
                        <a:solidFill>
                          <a:srgbClr val="FFC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56.7pt;margin-top:94.7pt;height:9.65pt;width:27.95pt;z-index:251698176;mso-width-relative:page;mso-height-relative:page;" fillcolor="#FFC000" filled="t" stroked="t" coordsize="354965,122555" o:gfxdata="UEsDBAoAAAAAAIdO4kAAAAAAAAAAAAAAAAAEAAAAZHJzL1BLAwQUAAAACACHTuJAfHLe+dsAAAAN&#10;AQAADwAAAGRycy9kb3ducmV2LnhtbE2PzU7DMBCE70i8g7VI3KjtpippGqcSSEhIHKCBQ7i5sRtH&#10;9U8Uu0l5e7YnuM1oP83OlLuLs2TSY+yDF8AXDIj2bVC97wR8fb485EBikl5JG7wW8KMj7Krbm1IW&#10;Ksx+r6c6dQRDfCykAJPSUFAaW6OdjIswaI+3YxidTGjHjqpRzhjuLF0ytqZO9h4/GDnoZ6PbU312&#10;Aj7qJpvD9P323thVc2yVoeb1SYj7O862QJK+pD8YrvWxOlTY6RDOXkVi0XOerZBFlW9QXBG+3mRA&#10;DgKWLH8EWpX0/4rqF1BLAwQUAAAACACHTuJAIWMS7NcCAADNBgAADgAAAGRycy9lMm9Eb2MueG1s&#10;rVXNbtQwEL4j8Q6Wj0g0P+12t6tme+hquSBAapHg6HWcxJL/ZLub7Z07d46Il0AVPA1FPAZjJ9lN&#10;C1KLxCWx45lv5vtmxjk920qBNsw6rlWBs4MUI6aoLrmqC/z2cvV8hpHzRJVEaMUKfM0cPls8fXLa&#10;mjnLdaNFySwCEOXmrSlw472ZJ4mjDZPEHWjDFBxW2kriYWvrpLSkBXQpkjxNj5NW29JYTZlz8HXZ&#10;HeIe0T4GUFcVp2yp6ZVkyneolgnigZJruHF4EbOtKkb966pyzCNRYGDq4xOCwHodnsnilMxrS0zD&#10;aZ8CeUwK9zhJwhUE3UEtiSfoyvI/oCSnVjtd+QOqZdIRiYoAiyy9p81FQwyLXEBqZ3aiu/8HS19t&#10;3ljES+iEHAqviISS/7i5+fnh4+2XT7++f7399hmFIxCqNW4O9hfmje13DpaB9bayMryBD9oWeDpL&#10;j6azCUbXAHsym04mvdBs6xEFg8PJ0ckxnNNgkOeTySTgJ3sgeuX8C6YjKNm8dL6rUwmrqHLZZ0q1&#10;Utx59g7qWUkBpXuWoA4dtf2ir/HYxXHP3o9dUtQAyyERKOPYOgbIRgHSB7HH1h3ugwHyfwowts6y&#10;k8PZXQYgZT2IRZpBP7pVvYCwQiQMfBq71mgX6jZWEyoTtr1SXXXAK6j/gDNwHztnfWkf5wy8xs75&#10;2BlIAUjPwMJoh6EWcag9RjDUNg71uiu4IT4QDwmHJWr3bdfsui6cSr1hlzra+aDC0JyQR2xbCLs3&#10;EWpsCi0EVvvGAdPBYHibiNkbxkL1lDoD8AjZxebfZRyIjgbAacHLFRci5OhsvT4XFm0IkF+tztN0&#10;SPKOmVCBcJZP4RhRAvd0BfcjLKWBWXeqxoiIGn4A1NvYAne87wWBGH8NYqzzS+KaLpmI0GkvYb4s&#10;ElwWeBacB28B/ZOEa6S7OMJqrcvreJ/E73DLRSn6Gzlco+N99N7/hR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Hxy3vnbAAAADQEAAA8AAAAAAAAAAQAgAAAAIgAAAGRycy9kb3ducmV2LnhtbFBL&#10;AQIUABQAAAAIAIdO4kAhYxLs1wIAAM0GAAAOAAAAAAAAAAEAIAAAACoBAABkcnMvZTJvRG9jLnht&#10;bFBLBQYAAAAABgAGAFkBAABzBgAAAAA=&#10;" path="m354965,0l0,122555,0,119380e">
                <v:path o:connectlocs="354965,0;0,122555;0,119380" o:connectangles="0,0,0"/>
                <v:fill on="t" focussize="0,0"/>
                <v:stroke weight="1pt" color="#FF0000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7400290</wp:posOffset>
                </wp:positionH>
                <wp:positionV relativeFrom="paragraph">
                  <wp:posOffset>1172845</wp:posOffset>
                </wp:positionV>
                <wp:extent cx="76200" cy="93345"/>
                <wp:effectExtent l="13335" t="6350" r="17145" b="6985"/>
                <wp:wrapNone/>
                <wp:docPr id="127" name="流程图: 对照 127"/>
                <wp:cNvGraphicFramePr/>
                <a:graphic xmlns:a="http://schemas.openxmlformats.org/drawingml/2006/main">
                  <a:graphicData uri="http://schemas.microsoft.com/office/word/2010/wordprocessingShape">
                    <wps:wsp>
                      <wps:cNvSpPr/>
                      <wps:spPr>
                        <a:xfrm>
                          <a:off x="8105140" y="1954530"/>
                          <a:ext cx="76200" cy="93345"/>
                        </a:xfrm>
                        <a:prstGeom prst="flowChartCollate">
                          <a:avLst/>
                        </a:prstGeom>
                        <a:solidFill>
                          <a:srgbClr val="FFC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582.7pt;margin-top:92.35pt;height:7.35pt;width:6pt;z-index:251697152;v-text-anchor:middle;mso-width-relative:page;mso-height-relative:page;" fillcolor="#FFC000" filled="t" stroked="t" coordsize="21600,21600" o:gfxdata="UEsDBAoAAAAAAIdO4kAAAAAAAAAAAAAAAAAEAAAAZHJzL1BLAwQUAAAACACHTuJAvyZys9kAAAAN&#10;AQAADwAAAGRycy9kb3ducmV2LnhtbE2PzU7DMBCE70i8g7VI3KgTZJo0xOkBqRISF+oicXXiJYka&#10;25Ht/uTt2Z7gNrM7mv223l7txM4Y4uidhHyVAUPXeTO6XsLXYfdUAotJO6Mn71DCghG2zf1drSvj&#10;L26PZ5V6RiUuVlrCkNJccR67Aa2OKz+jo92PD1YnsqHnJugLlduJP2fZmls9Orow6BnfBuyO6mQl&#10;vO8+MBxL/S34QQX12S5K7BcpHx/y7BVYwmv6C8MNn9ChIabWn5yJbCKfr18EZUmVogB2i+RFQaOW&#10;1GYjgDc1//9F8wtQSwMEFAAAAAgAh07iQDHm9depAgAAOgUAAA4AAABkcnMvZTJvRG9jLnhtbK1U&#10;zW4TMRC+I/EOlu90s2m2aVfdVFFCEFKhlQri7HjtrCX/YTvZlBsHTjwCDwA3Thy48Dalr8HYu23T&#10;wqEHLrsznvE3M9/M+PhkqyTaMOeF0RXO9wYYMU1NLfSqwm/fLJ4dYuQD0TWRRrMKXzKPTyZPnxy3&#10;tmRD0xhZM4cARPuytRVuQrBllnnaMEX8nrFMg5Ebp0gA1a2y2pEW0JXMhoPBQdYaV1tnKPMeTued&#10;EfeI7jGAhnNB2dzQtWI6dKiOSRKgJN8I6/EkZcs5o+GMc88CkhWGSkP6QhCQl/GbTY5JuXLENoL2&#10;KZDHpPCgJkWEhqC3UHMSCFo78ReUEtQZb3jYo0ZlXSGJEagiHzzg5qIhlqVagGpvb0n3/w+Wvt6c&#10;OyRqmIThGCNNFLT894+P198+X335VaKr7z+vP31F0QhUtdaXcOPCnrte8yDGurfcqfiHitC2wof5&#10;oMhHQPIlAB8Vo2K/p5ptA6LgMD6AWcCIgv1of39URPTsDsY6H14wo1AUKsylaWcNcWFmJLQ5ckJK&#10;sjn1obt24x6PvZGiXggpk+JWy5l0aEOg/4vFbABBuyv33KRGbWIg5URgqjmEgfSUBWa8XmFE5ArW&#10;hQaXYt+77XeDDJ8Xo2menORavTJ1F3tc7ITu/FPB94BiGXPim+5KMsVsSalEgJ2TQgGzgHNbhNQA&#10;EpvStSFKS1NfQked6UbdW7oQAHtKfDgnDmYbWIftD2fwibRW2PQSRo1xH/51Hv1h5MCKUQu7ApS8&#10;XxPHMJIvNQzjUT6KvQ5JGRXjIShu17Lctei1mhloRw7vjKVJjP5B3ojcGfUOHolpjAomoinE7sjv&#10;lVnodhieGcqm0+QGC2VJONUXlkbwyJs203UwXKQxuWOnJw1WKvWgX/+4s7t68rp78i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8mcrPZAAAADQEAAA8AAAAAAAAAAQAgAAAAIgAAAGRycy9kb3du&#10;cmV2LnhtbFBLAQIUABQAAAAIAIdO4kAx5vXXqQIAADoFAAAOAAAAAAAAAAEAIAAAACgBAABkcnMv&#10;ZTJvRG9jLnhtbFBLBQYAAAAABgAGAFkBAABDBgAAAAA=&#10;">
                <v:fill on="t" focussize="0,0"/>
                <v:stroke weight="1pt" color="#2E54A1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7476490</wp:posOffset>
                </wp:positionH>
                <wp:positionV relativeFrom="paragraph">
                  <wp:posOffset>1218565</wp:posOffset>
                </wp:positionV>
                <wp:extent cx="199390" cy="52705"/>
                <wp:effectExtent l="635" t="6350" r="13335" b="17145"/>
                <wp:wrapNone/>
                <wp:docPr id="126" name="任意多边形 126"/>
                <wp:cNvGraphicFramePr/>
                <a:graphic xmlns:a="http://schemas.openxmlformats.org/drawingml/2006/main">
                  <a:graphicData uri="http://schemas.microsoft.com/office/word/2010/wordprocessingShape">
                    <wps:wsp>
                      <wps:cNvSpPr/>
                      <wps:spPr>
                        <a:xfrm>
                          <a:off x="8194675" y="1979930"/>
                          <a:ext cx="199390" cy="52705"/>
                        </a:xfrm>
                        <a:custGeom>
                          <a:avLst/>
                          <a:gdLst>
                            <a:gd name="connisteX0" fmla="*/ 0 w 199390"/>
                            <a:gd name="connsiteY0" fmla="*/ 11430 h 52705"/>
                            <a:gd name="connisteX1" fmla="*/ 175895 w 199390"/>
                            <a:gd name="connsiteY1" fmla="*/ 0 h 52705"/>
                            <a:gd name="connisteX2" fmla="*/ 193675 w 199390"/>
                            <a:gd name="connsiteY2" fmla="*/ 52705 h 52705"/>
                            <a:gd name="connisteX3" fmla="*/ 199390 w 199390"/>
                            <a:gd name="connsiteY3" fmla="*/ 52705 h 52705"/>
                          </a:gdLst>
                          <a:ahLst/>
                          <a:cxnLst>
                            <a:cxn ang="0">
                              <a:pos x="connisteX0" y="connsiteY0"/>
                            </a:cxn>
                            <a:cxn ang="0">
                              <a:pos x="connisteX1" y="connsiteY1"/>
                            </a:cxn>
                            <a:cxn ang="0">
                              <a:pos x="connisteX2" y="connsiteY2"/>
                            </a:cxn>
                            <a:cxn ang="0">
                              <a:pos x="connisteX3" y="connsiteY3"/>
                            </a:cxn>
                          </a:cxnLst>
                          <a:rect l="l" t="t" r="r" b="b"/>
                          <a:pathLst>
                            <a:path w="199390" h="52705">
                              <a:moveTo>
                                <a:pt x="0" y="11430"/>
                              </a:moveTo>
                              <a:lnTo>
                                <a:pt x="175895" y="0"/>
                              </a:lnTo>
                              <a:lnTo>
                                <a:pt x="193675" y="52705"/>
                              </a:lnTo>
                              <a:lnTo>
                                <a:pt x="199390" y="52705"/>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88.7pt;margin-top:95.95pt;height:4.15pt;width:15.7pt;z-index:251696128;mso-width-relative:page;mso-height-relative:page;" filled="f" stroked="t" coordsize="199390,52705" o:gfxdata="UEsDBAoAAAAAAIdO4kAAAAAAAAAAAAAAAAAEAAAAZHJzL1BLAwQUAAAACACHTuJAlpJRkNgAAAAN&#10;AQAADwAAAGRycy9kb3ducmV2LnhtbE2PPU/DMBCGdyT+g3VIbNROhGgT4lRQCYkBhhbY3fhwosbn&#10;KHabwK/nOtHtXt2j96Naz74XJxxjF0hDtlAgkJpgO3IaPj9e7lYgYjJkTR8INfxghHV9fVWZ0oaJ&#10;tnjaJSfYhGJpNLQpDaWUsWnRm7gIAxL/vsPoTWI5OmlHM7G572Wu1IP0piNOaM2Amxabw+7oNby5&#10;2bonNX6l6bB9jUPx/vy7KbS+vcnUI4iEc/qH4Vyfq0PNnfbhSDaKnnW2XN4zy1eRFSDOSK5WPGev&#10;gaNzkHUlL1fUf1BLAwQUAAAACACHTuJAsXs9NPMCAABzBwAADgAAAGRycy9lMm9Eb2MueG1srVVN&#10;b9MwGL4j8R8sH5FYknZdl2rtDlTlgmDShgRH13GaSP6S7TXdnTt3jog/MU3waxjiZ/DaSVpvleiQ&#10;6CF14vd5/L7P++Gz843gaM2MrZWc4uwoxYhJqoparqb4/dXi5SlG1hFZEK4km+IbZvH57Pmzs0ZP&#10;2EBVihfMICCRdtLoKa6c05MksbRigtgjpZmEzVIZQRy8mlVSGNIAu+DJIE1PkkaZQhtFmbXwdd5u&#10;4o7RPIVQlWVN2VzRa8Gka1kN48RBSLaqtcWz4G1ZMurelaVlDvEphkhdeMIhsF76ZzI7I5OVIbqq&#10;aecCeYoLj2ISpJZw6JZqThxB16beoxI1Ncqq0h1RJZI2kKAIRJGlj7S5rIhmIRaQ2uqt6Pb/0dK3&#10;6wuD6gIqYXCCkSQCUv7z7u7Xp8/33778/nF7//0r8lsgVKPtBOwv9YXp3iwsfdSb0gj/D/GgzRSf&#10;ZvnxyXiE0Q3Q5uM8H3ZCs41DFAwy+JRDCigYjAbjdOTpkx0PvbbuNVOBk6zfWNemqYBVELnoHKVK&#10;yto69gG4SsEhcy8SlKIGdQd0sMja1o59jK2z7HiYogpt3YAc7tFnEX02Hp3mo4NnxJCD/IOYPx+C&#10;dgf5Y0jw/VAMwwdneP0PnhFD9s6AdK36hJCqzxHdyC5JsELEz5Q0NIZW1pdGnDFIvn/tUtJWAKB8&#10;hg+AQdwYnHXl8zQwKBeDB/8EBkli8DAGgyLgQRe+gdHjhw4PQ8dhBEPHhKGz9Bgy0cR51folanZt&#10;UfVd4TeFWrMrFcycVxCKFzwIZdsdvrPgMrZsKzWYh/4D/3qD/l8HyiyUXDDctsFfjNveBSf2jQHl&#10;4wrNvA3Q6xI1tFSLmvOgAZchbJgAfhgQuE1KmOKwFBomkpUrjAhfwTVFnQlVZBWvCw/3elizWr7i&#10;Bq0J6LxYpPDrFHlgpo11c2Kr1i5stRkQMAsM4rWAieXBPZpDCSZ+2LXjza+WqrgJUy98h1kcIuzu&#10;DT/s4/eA3t2Vs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CWklGQ2AAAAA0BAAAPAAAAAAAAAAEA&#10;IAAAACIAAABkcnMvZG93bnJldi54bWxQSwECFAAUAAAACACHTuJAsXs9NPMCAABzBwAADgAAAAAA&#10;AAABACAAAAAnAQAAZHJzL2Uyb0RvYy54bWxQSwUGAAAAAAYABgBZAQAAjAYAAAAA&#10;" path="m0,11430l175895,0,193675,52705,199390,52705e">
                <v:path o:connectlocs="0,11430;175895,0;193675,52705;199390,52705" o:connectangles="0,0,0,0"/>
                <v:fill on="f" focussize="0,0"/>
                <v:stroke weight="1pt" color="#FF0000 [2404]" miterlimit="8" joinstyle="miter"/>
                <v:imagedata o:title=""/>
                <o:lock v:ext="edit" aspectratio="f"/>
              </v:shape>
            </w:pict>
          </mc:Fallback>
        </mc:AlternateContent>
      </w:r>
      <w:r>
        <w:rPr>
          <w:color w:val="auto"/>
        </w:rPr>
        <mc:AlternateContent>
          <mc:Choice Requires="wps">
            <w:drawing>
              <wp:anchor distT="0" distB="0" distL="114300" distR="114300" simplePos="0" relativeHeight="251695104" behindDoc="0" locked="0" layoutInCell="1" allowOverlap="1">
                <wp:simplePos x="0" y="0"/>
                <wp:positionH relativeFrom="column">
                  <wp:posOffset>7640955</wp:posOffset>
                </wp:positionH>
                <wp:positionV relativeFrom="paragraph">
                  <wp:posOffset>1393825</wp:posOffset>
                </wp:positionV>
                <wp:extent cx="910590" cy="280035"/>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910590" cy="2800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Theme="minorEastAsia"/>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应急池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1.65pt;margin-top:109.75pt;height:22.05pt;width:71.7pt;z-index:251695104;mso-width-relative:page;mso-height-relative:page;" filled="f" stroked="f" coordsize="21600,21600" o:gfxdata="UEsDBAoAAAAAAIdO4kAAAAAAAAAAAAAAAAAEAAAAZHJzL1BLAwQUAAAACACHTuJAPBboAtwAAAAN&#10;AQAADwAAAGRycy9kb3ducmV2LnhtbE2Py07DMBBF90j8gzVI7KidhIYS4lQoUoWE6KKlG3aT2E0i&#10;/Aix+4CvZ7qC5Z05unOmXJ6tYUc9hcE7CclMANOu9WpwnYTd++puASxEdAqNd1rCtw6wrK6vSiyU&#10;P7mNPm5jx6jEhQIl9DGOBeeh7bXFMPOjdrTb+8lipDh1XE14onJreCpEzi0Oji70OOq61+3n9mAl&#10;vNarNW6a1C5+TP3ytn8ev3YfcylvbxLxBCzqc/yD4aJP6lCRU+MPTgVmKKciy4iVkCaPc2AXJLvP&#10;H4A1NMqzHHhV8v9fVL9QSwMEFAAAAAgAh07iQFty5ds9AgAAaQQAAA4AAABkcnMvZTJvRG9jLnht&#10;bK1UwW4TMRC9I/EPlu90N2kDbdRNFVoVIVW0UkGcHa+3u5LtMbbT3fIB8AecuHDnu/odPHuTtCoc&#10;euCyGc+M38x7M87xyWA0u1U+dGQrPtkrOVNWUt3Zm4p/+nj+6pCzEIWthSarKn6nAj9ZvHxx3Lu5&#10;mlJLulaeAcSGee8q3sbo5kURZKuMCHvklEWwIW9ExNHfFLUXPdCNLqZl+broydfOk1QhwHs2BvkG&#10;0T8HkJqmk+qM5NooG0dUr7SIoBTazgW+yN02jZLxsmmCikxXHExj/qII7FX6FotjMb/xwrWd3LQg&#10;ntPCE05GdBZFd1BnIgq29t1fUKaTngI1cU+SKUYiWRGwmJRPtLluhVOZC6QObid6+H+w8sPtlWdd&#10;jU2YzjizwmDk9z++3//8ff/rG0tOSNS7MEfmtUNuHN7SgPStP8CZmA+NN+kXnBjiEPhuJ7AaIpNw&#10;Hk3K2REiEqHpYVnuZ/Ti4bLzIb5TZFgyKu4xvyyruL0IEY0gdZuSalk677TOM9SW9RV/vT8r84Vd&#10;BDe0xcVEYWw1WXFYDRteK6rvQMvTuBvByfMOxS9EiFfCYxnQL55LvMSn0YQitLE4a8l//Zc/5WNG&#10;iHLWY7kqHr6shVec6fcW0zuaHBwANubDwezNFAf/OLJ6HLFrc0rY3wkeppPZTPlRb83Gk/mMV7VM&#10;VRESVqJ2xePWPI3jyuNVSrVc5iTsnxPxwl47maBHOZfrSE2XlU4yjdps1MMG5gFsXkta8cfnnPXw&#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wW6ALcAAAADQEAAA8AAAAAAAAAAQAgAAAAIgAA&#10;AGRycy9kb3ducmV2LnhtbFBLAQIUABQAAAAIAIdO4kBbcuXbPQIAAGkEAAAOAAAAAAAAAAEAIAAA&#10;ACsBAABkcnMvZTJvRG9jLnhtbFBLBQYAAAAABgAGAFkBAADaBQAAAAA=&#10;">
                <v:fill on="f" focussize="0,0"/>
                <v:stroke on="f" weight="0.5pt"/>
                <v:imagedata o:title=""/>
                <o:lock v:ext="edit" aspectratio="f"/>
                <v:textbox>
                  <w:txbxContent>
                    <w:p>
                      <w:pPr>
                        <w:spacing w:line="240" w:lineRule="auto"/>
                        <w:rPr>
                          <w:rFonts w:hint="default" w:eastAsiaTheme="minorEastAsia"/>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应急池</w:t>
                      </w:r>
                    </w:p>
                  </w:txbxContent>
                </v:textbox>
              </v:shape>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7670800</wp:posOffset>
                </wp:positionH>
                <wp:positionV relativeFrom="paragraph">
                  <wp:posOffset>1423670</wp:posOffset>
                </wp:positionV>
                <wp:extent cx="539115" cy="192405"/>
                <wp:effectExtent l="6350" t="1905" r="18415" b="19050"/>
                <wp:wrapNone/>
                <wp:docPr id="123" name="任意多边形 123"/>
                <wp:cNvGraphicFramePr/>
                <a:graphic xmlns:a="http://schemas.openxmlformats.org/drawingml/2006/main">
                  <a:graphicData uri="http://schemas.microsoft.com/office/word/2010/wordprocessingShape">
                    <wps:wsp>
                      <wps:cNvSpPr/>
                      <wps:spPr>
                        <a:xfrm>
                          <a:off x="8405495" y="2208530"/>
                          <a:ext cx="539115" cy="192405"/>
                        </a:xfrm>
                        <a:custGeom>
                          <a:avLst/>
                          <a:gdLst>
                            <a:gd name="connisteX0" fmla="*/ 0 w 539115"/>
                            <a:gd name="connsiteY0" fmla="*/ 0 h 192405"/>
                            <a:gd name="connisteX1" fmla="*/ 59055 w 539115"/>
                            <a:gd name="connsiteY1" fmla="*/ 192405 h 192405"/>
                            <a:gd name="connisteX2" fmla="*/ 539115 w 539115"/>
                            <a:gd name="connsiteY2" fmla="*/ 192405 h 192405"/>
                            <a:gd name="connisteX3" fmla="*/ 539115 w 539115"/>
                            <a:gd name="connsiteY3" fmla="*/ 187325 h 192405"/>
                          </a:gdLst>
                          <a:ahLst/>
                          <a:cxnLst>
                            <a:cxn ang="0">
                              <a:pos x="connisteX0" y="connsiteY0"/>
                            </a:cxn>
                            <a:cxn ang="0">
                              <a:pos x="connisteX1" y="connsiteY1"/>
                            </a:cxn>
                            <a:cxn ang="0">
                              <a:pos x="connisteX2" y="connsiteY2"/>
                            </a:cxn>
                            <a:cxn ang="0">
                              <a:pos x="connisteX3" y="connsiteY3"/>
                            </a:cxn>
                          </a:cxnLst>
                          <a:rect l="l" t="t" r="r" b="b"/>
                          <a:pathLst>
                            <a:path w="539115" h="192405">
                              <a:moveTo>
                                <a:pt x="0" y="0"/>
                              </a:moveTo>
                              <a:lnTo>
                                <a:pt x="59055" y="192405"/>
                              </a:lnTo>
                              <a:lnTo>
                                <a:pt x="539115" y="192405"/>
                              </a:lnTo>
                              <a:lnTo>
                                <a:pt x="539115" y="187325"/>
                              </a:lnTo>
                            </a:path>
                          </a:pathLst>
                        </a:custGeom>
                        <a:noFill/>
                        <a:ln>
                          <a:solidFill>
                            <a:schemeClr val="tx1">
                              <a:lumMod val="95000"/>
                              <a:lumOff val="5000"/>
                            </a:scheme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04pt;margin-top:112.1pt;height:15.15pt;width:42.45pt;z-index:251694080;mso-width-relative:page;mso-height-relative:page;" filled="f" stroked="t" coordsize="539115,192405" o:gfxdata="UEsDBAoAAAAAAIdO4kAAAAAAAAAAAAAAAAAEAAAAZHJzL1BLAwQUAAAACACHTuJAwHR8x9kAAAAN&#10;AQAADwAAAGRycy9kb3ducmV2LnhtbE2PwU7DMBBE70j8g7VI3KhTq63SEKdCleBYidKKqxMviSFe&#10;h9htyt+zPcFxZkezb8rNxffijGN0gTTMZxkIpCZYR62Gw9vzQw4iJkPW9IFQww9G2FS3N6UpbJjo&#10;Fc/71AouoVgYDV1KQyFlbDr0Js7CgMS3jzB6k1iOrbSjmbjc91Jl2Up644g/dGbAbYfN1/7kNeQH&#10;+W3VS716Uu5o3XG7+3yfdlrf382zRxAJL+kvDFd8RoeKmepwIhtFz1plOY9JGpRaKBDXiFqrNYia&#10;reViCbIq5f8V1S9QSwMEFAAAAAgAh07iQMQf76kKAwAAtQcAAA4AAABkcnMvZTJvRG9jLnhtbK1V&#10;S2sbMRC+F/ofhI6FZh/ONraJnUNNeukjkBTao6zVehf0QpK9zr333nss+RMltL+mKf0ZHUlre5Mc&#10;7EAxePWY+Wbmm4dOz9aCoxUztlFygrOjFCMmqSobuZjgj1fnL4cYWUdkSbiSbIKvmcVn0+fPTls9&#10;ZrmqFS+ZQQAi7bjVE1w7p8dJYmnNBLFHSjMJl5UygjjYmkVSGtICuuBJnqavklaZUhtFmbVwOouX&#10;uEM0hwCqqmoomym6FEy6iGoYJw5CsnWjLZ4Gb6uKUfehqixziE8wROrCPxiB9dz/J9NTMl4YouuG&#10;di6QQ1x4EJMgjQSjW6gZcQQtTfMISjTUKKsqd0SVSGIggRGIIksfcHNZE81CLEC11VvS7f+Dpe9X&#10;FwY1JVRCPsBIEgEp/317++fL17ubb39//bj7+R35KyCq1XYM8pf6wnQ7C0sf9boywn8hHrSe4OFx&#10;WhyPCoyuJzjP02Ex6Ihma4coCBSDUZbBPQWBbJSDuMdPdkB0ad0bpgIoWb21LuaphFVguew8pUrK&#10;xjr2CfJZCQ6pe5GgFLWos9Cp9aRt49jn+9I12vkAGXyEnfWwi1FaFHvx+xoRG+0zkveNBHr2Wumr&#10;HGgFUrylKVK010pfJRueDPLiXiyQtMUmLaTeZIquZZcqWCHiR0sa+kMr6yuknzeoAb/tEhPrALR8&#10;nvcoA8195awrosOUgb2+cv4kZSClrxzaA5gIluO3C9/ABPKzh4fZ4zCC2WPC7Jl7g2SsifOsbZao&#10;3XVHvW0OfyvUil2pIOc8hVDD4EJoLLC4u+WyLxXqNUjuahzEN0Kbrw6Qm7YE3CdKh7roGIyYYMSH&#10;Frp6G6OnptfZUp03nAcauPSRZ/lJCnFRAu9KBfMclkLDbLJygRHhC3iwqDOhkKziTenVPSPWLOav&#10;uUEr4sf8zP+CEF+Kd6qMx6MiBexobCngVYjHm1NwrUMJLt+D18a6GbF11AhXEUjAMDGINwJmHqBH&#10;/EAvgPhxGQekX81VeR3mZjiHaR7MdC+Pfy76+6C9e22n/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8BQAAW0NvbnRlbnRfVHlwZXNdLnhtbFBL&#10;AQIUAAoAAAAAAIdO4kAAAAAAAAAAAAAAAAAGAAAAAAAAAAAAEAAAAF4EAABfcmVscy9QSwECFAAU&#10;AAAACACHTuJAihRmPNEAAACUAQAACwAAAAAAAAABACAAAACCBAAAX3JlbHMvLnJlbHNQSwECFAAK&#10;AAAAAACHTuJAAAAAAAAAAAAAAAAABAAAAAAAAAAAABAAAAAAAAAAZHJzL1BLAQIUABQAAAAIAIdO&#10;4kDAdHzH2QAAAA0BAAAPAAAAAAAAAAEAIAAAACIAAABkcnMvZG93bnJldi54bWxQSwECFAAUAAAA&#10;CACHTuJAxB/vqQoDAAC1BwAADgAAAAAAAAABACAAAAAoAQAAZHJzL2Uyb0RvYy54bWxQSwUGAAAA&#10;AAYABgBZAQAApAYAAAAA&#10;" path="m0,0l59055,192405,539115,192405,539115,187325e">
                <v:path o:connectlocs="0,0;59055,192405;539115,192405;539115,187325" o:connectangles="0,0,0,0"/>
                <v:fill on="f" focussize="0,0"/>
                <v:stroke weight="1pt" color="#0D0D0D [3069]"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7586345</wp:posOffset>
                </wp:positionH>
                <wp:positionV relativeFrom="paragraph">
                  <wp:posOffset>1275080</wp:posOffset>
                </wp:positionV>
                <wp:extent cx="117475" cy="182245"/>
                <wp:effectExtent l="6350" t="6350" r="13335" b="9525"/>
                <wp:wrapNone/>
                <wp:docPr id="117" name="矩形 117"/>
                <wp:cNvGraphicFramePr/>
                <a:graphic xmlns:a="http://schemas.openxmlformats.org/drawingml/2006/main">
                  <a:graphicData uri="http://schemas.microsoft.com/office/word/2010/wordprocessingShape">
                    <wps:wsp>
                      <wps:cNvSpPr/>
                      <wps:spPr>
                        <a:xfrm>
                          <a:off x="8614410" y="2277110"/>
                          <a:ext cx="117475" cy="18224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7.35pt;margin-top:100.4pt;height:14.35pt;width:9.25pt;z-index:251693056;v-text-anchor:middle;mso-width-relative:page;mso-height-relative:page;" fillcolor="#4874CB [3204]" filled="t" stroked="t" coordsize="21600,21600" o:gfxdata="UEsDBAoAAAAAAIdO4kAAAAAAAAAAAAAAAAAEAAAAZHJzL1BLAwQUAAAACACHTuJAfRshgdwAAAAN&#10;AQAADwAAAGRycy9kb3ducmV2LnhtbE2PzU7DMBCE70i8g7VIXFDrJC2UhDgVioTgVInQShzdeImj&#10;+ieK3Tbw9GxPcJzd0cw35Xqyhp1wDL13AtJ5Agxd61XvOgHbj5fZI7AQpVPSeIcCvjHAurq+KmWh&#10;/Nm946mJHaMQFwopQMc4FJyHVqOVYe4HdPT78qOVkeTYcTXKM4Vbw7MkeeBW9o4atByw1tgemqMV&#10;0C4PG/OsV5/N3c9b7af8dVvvFkLc3qTJE7CIU/wzwwWf0KEipr0/OhWYIZ3myxV5BVAPjbhYsnSR&#10;AdvTKcvvgVcl/7+i+gVQSwMEFAAAAAgAh07iQJmUHu+QAgAAJQUAAA4AAABkcnMvZTJvRG9jLnht&#10;bK1UzW7UMBC+I/EOlu90N1GWLKtmq2WXIqRCKxXE2es4m0j+w/b+lJdB4sZD8DiI1+Czk7bbwqEH&#10;LslM5ss3nm9mfHp2UJLshPOd0RXNTsaUCM1N3elNRT99PH8xpcQHpmsmjRYVvRGens2fPzvd25nI&#10;TWtkLRwBifazva1oG4KdjUaet0Ixf2Ks0Ag2xikW4LrNqHZsD3YlR/l4/HK0N662znDhPb6u+iAd&#10;GN1TCE3TdFysDN8qoUPP6oRkASX5trOeztNpm0bwcNk0XgQiK4pKQ3oiCex1fI7mp2y2ccy2HR+O&#10;wJ5yhEc1KdZpJL2jWrHAyNZ1f1GpjjvjTRNOuFGjvpCkCKrIxo+0uW6ZFakWSO3tnej+/9HyD7sr&#10;R7oak5CVlGim0PLf3378+vmdxC/QZ2/9DLBre+UGz8OMxR4ap+IbZZBDRacvs6LIoOxNRfO8LDPY&#10;SV9xCIQDAMKinFDCAcimeV5MYnx0T2SdD2+FUSQaFXVoX1KV7S586KG3kJjXG9nV552UyXGb9VI6&#10;smNodTEti+Xrgf0BTGqyR/a8HOOgnGGAGwwOTGUhgtcbSpjcYDN4cCn3g7/9cZL8zaRYZAkkt+q9&#10;qfvc5WQM7v60Az4V+YAolrFivu1/SaFeK9UFrJfsFPQEzx2T1CCJrejFj9ba1DdonjP9VHvLzzvQ&#10;XjAfrpjDGKNCLHq4xKORBmWbwaKkNe7rv75HPKYLUUr2WAtI8mXLnKBEvtOYu1doMWhDcopJmcNx&#10;x5H1cURv1dKgHRmuFMuTGfFB3pqNM+oz7oNFzIoQ0xy5e/EHZxn6dcWNwsVikWDYHcvChb62PJLH&#10;9muz2AbTdGlM7tUZRMP2pB4Mmx7X89hPqPvbbf4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fRsh&#10;gdwAAAANAQAADwAAAAAAAAABACAAAAAiAAAAZHJzL2Rvd25yZXYueG1sUEsBAhQAFAAAAAgAh07i&#10;QJmUHu+QAgAAJQUAAA4AAAAAAAAAAQAgAAAAKwEAAGRycy9lMm9Eb2MueG1sUEsFBgAAAAAGAAYA&#10;WQEAAC0GAAAAAA==&#10;">
                <v:fill on="t" focussize="0,0"/>
                <v:stroke weight="1pt" color="#2E54A1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6153150</wp:posOffset>
                </wp:positionH>
                <wp:positionV relativeFrom="paragraph">
                  <wp:posOffset>-306705</wp:posOffset>
                </wp:positionV>
                <wp:extent cx="590550" cy="409575"/>
                <wp:effectExtent l="0" t="0" r="0" b="0"/>
                <wp:wrapNone/>
                <wp:docPr id="60" name="文本框 60"/>
                <wp:cNvGraphicFramePr/>
                <a:graphic xmlns:a="http://schemas.openxmlformats.org/drawingml/2006/main">
                  <a:graphicData uri="http://schemas.microsoft.com/office/word/2010/wordprocessingShape">
                    <wps:wsp>
                      <wps:cNvSpPr txBox="1"/>
                      <wps:spPr>
                        <a:xfrm>
                          <a:off x="5944870" y="421005"/>
                          <a:ext cx="590550" cy="409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8"/>
                                <w:lang w:eastAsia="zh-CN"/>
                              </w:rPr>
                            </w:pPr>
                            <w:r>
                              <w:rPr>
                                <w:rFonts w:hint="eastAsia"/>
                                <w:b/>
                                <w:bCs/>
                                <w:sz w:val="28"/>
                                <w:szCs w:val="28"/>
                                <w:lang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4.5pt;margin-top:-24.15pt;height:32.25pt;width:46.5pt;z-index:251665408;mso-width-relative:page;mso-height-relative:page;" filled="f" stroked="f" coordsize="21600,21600" o:gfxdata="UEsDBAoAAAAAAIdO4kAAAAAAAAAAAAAAAAAEAAAAZHJzL1BLAwQUAAAACACHTuJAhF+wZ9wAAAAL&#10;AQAADwAAAGRycy9kb3ducmV2LnhtbE2PzU7DMBCE70i8g7VI3Fq7AaI0xKlQpAoJwaGlF26b2E0i&#10;4nWI3R94erYnuO3ujGa/KVZnN4ijnULvScNirkBYarzpqdWwe1/PMhAhIhkcPFkN3zbAqry+KjA3&#10;/kQbe9zGVnAIhRw1dDGOuZSh6azDMPejJdb2fnIYeZ1aaSY8cbgbZKJUKh32xB86HG3V2eZze3Aa&#10;Xqr1G27qxGU/Q/X8un8av3YfD1rf3izUI4hoz/HPDBd8RoeSmWp/IBPEoGGZLrlL1DC7z+5AXBwq&#10;TfhU85QmIMtC/u9Q/gJQSwMEFAAAAAgAh07iQC+GwMVDAgAAcgQAAA4AAABkcnMvZTJvRG9jLnht&#10;bK1Uy24TMRTdI/EPlvd0JiFpmyiTKjQqQqpopYBYOx5PZiS/sJ3OlA+AP2DFhj3fle/g2JO0obDo&#10;go1z7XPn3HuOrzO76JQkd8L5xuiCDk5ySoTmpmz0pqAfP1y9OqfEB6ZLJo0WBb0Xnl7MX76YtXYq&#10;hqY2shSOgET7aWsLWodgp1nmeS0U8yfGCg2wMk6xgK3bZKVjLdiVzIZ5fpq1xpXWGS68x+myB+me&#10;0T2H0FRVw8XS8K0SOvSsTkgWIMnXjfV0nrqtKsHDTVV5EYgsKJSGtKII4nVcs/mMTTeO2brh+xbY&#10;c1p4okmxRqPoA9WSBUa2rvmLSjXcGW+qcMKNynohyRGoGORPvFnVzIqkBVZ7+2C6/3+0/P3drSNN&#10;WdBTWKKZwo3vvn/b/fi1+/mV4AwGtdZPkbeyyAzdG9NhbA7nHodRd1c5FX+hiAAfT0aj8zMw3hd0&#10;NBzk+bh3WnSB8ITn4zFgHvF8Mj5LePbIY50Pb4VRJAYFdbjI5C+7u/YBPSH1kBLLanPVSJkuU2rS&#10;Qs1r0P+B4Aup8WFU03cdo9Ctu73EtSnvodCZfki85VcNil8zH26Zw1SgX7ybcIOlkgZFzD6ipDbu&#10;y7/OYz4uCyglLaasoP7zljlBiXyncY2TwWgE2pA2o/HZEBt3jKyPEb1VlwaDPMALtTyFMT/IQ1g5&#10;oz7heS1iVUBMc9QuaDiEl6GffTxPLhaLlIRBtCxc65Xlkbo3bbENpmqS09Gm3pu9exjFdAH7ZxNn&#10;/Xifsh7/Ku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RfsGfcAAAACwEAAA8AAAAAAAAAAQAg&#10;AAAAIgAAAGRycy9kb3ducmV2LnhtbFBLAQIUABQAAAAIAIdO4kAvhsDFQwIAAHIEAAAOAAAAAAAA&#10;AAEAIAAAACsBAABkcnMvZTJvRG9jLnhtbFBLBQYAAAAABgAGAFkBAADgBQAAAAA=&#10;">
                <v:fill on="f" focussize="0,0"/>
                <v:stroke on="f" weight="0.5pt"/>
                <v:imagedata o:title=""/>
                <o:lock v:ext="edit" aspectratio="f"/>
                <v:textbox>
                  <w:txbxContent>
                    <w:p>
                      <w:pPr>
                        <w:rPr>
                          <w:rFonts w:hint="eastAsia" w:eastAsia="宋体"/>
                          <w:b/>
                          <w:bCs/>
                          <w:sz w:val="28"/>
                          <w:szCs w:val="28"/>
                          <w:lang w:eastAsia="zh-CN"/>
                        </w:rPr>
                      </w:pPr>
                      <w:r>
                        <w:rPr>
                          <w:rFonts w:hint="eastAsia"/>
                          <w:b/>
                          <w:bCs/>
                          <w:sz w:val="28"/>
                          <w:szCs w:val="28"/>
                          <w:lang w:eastAsia="zh-CN"/>
                        </w:rPr>
                        <w:t>北</w:t>
                      </w:r>
                    </w:p>
                  </w:txbxContent>
                </v:textbox>
              </v:shape>
            </w:pict>
          </mc:Fallback>
        </mc:AlternateContent>
      </w: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6238875</wp:posOffset>
                </wp:positionH>
                <wp:positionV relativeFrom="paragraph">
                  <wp:posOffset>64770</wp:posOffset>
                </wp:positionV>
                <wp:extent cx="209550" cy="342900"/>
                <wp:effectExtent l="15240" t="8890" r="22860" b="10160"/>
                <wp:wrapNone/>
                <wp:docPr id="59" name="上箭头 59"/>
                <wp:cNvGraphicFramePr/>
                <a:graphic xmlns:a="http://schemas.openxmlformats.org/drawingml/2006/main">
                  <a:graphicData uri="http://schemas.microsoft.com/office/word/2010/wordprocessingShape">
                    <wps:wsp>
                      <wps:cNvSpPr/>
                      <wps:spPr>
                        <a:xfrm>
                          <a:off x="6973570" y="849630"/>
                          <a:ext cx="209550" cy="342900"/>
                        </a:xfrm>
                        <a:prstGeom prst="upArrow">
                          <a:avLst>
                            <a:gd name="adj1" fmla="val 40606"/>
                            <a:gd name="adj2" fmla="val 50000"/>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491.25pt;margin-top:5.1pt;height:27pt;width:16.5pt;z-index:251664384;v-text-anchor:middle;mso-width-relative:page;mso-height-relative:page;" fillcolor="#FFFFFF [3212]" filled="t" stroked="t" coordsize="21600,21600" o:gfxdata="UEsDBAoAAAAAAIdO4kAAAAAAAAAAAAAAAAAEAAAAZHJzL1BLAwQUAAAACACHTuJA/PhSgdYAAAAK&#10;AQAADwAAAGRycy9kb3ducmV2LnhtbE2PwU7DMAyG70i8Q2QkbixpxapRmk5jEhdubGjntPGaao1T&#10;mmwdb493gqP9//r8uVpf/SAuOMU+kIZsoUAgtcH21Gn42r8/rUDEZMiaIRBq+MEI6/r+rjKlDTN9&#10;4mWXOsEQiqXR4FIaSylj69CbuAgjEmfHMHmTeJw6aSczM9wPMleqkN70xBecGXHrsD3tzl5Dsd+0&#10;c/fxdjgettOmOX0X0cVC68eHTL2CSHhNf2W46bM61OzUhDPZKAYNL6t8yVUOVA7iVlDZkjcN459z&#10;kHUl/79Q/wJQSwMEFAAAAAgAh07iQATu57akAgAAVwUAAA4AAABkcnMvZTJvRG9jLnhtbK1UzW4T&#10;MRC+I/EOlu90N2mSNlE3VdQoCKmCSgVxdrze7CL/YTvZlEfgObjCiQMPBOI1+Ozdtmnh0AM5bGZ2&#10;Zr+Z7xuPz873SpKdcL4xuqCDo5wSobkpG70p6Lu3qxenlPjAdMmk0aKgN8LT8/nzZ2etnYmhqY0s&#10;hSMA0X7W2oLWIdhZlnleC8X8kbFCI1gZp1iA6zZZ6VgLdCWzYZ5Psta40jrDhfd4u+yCtEd0TwE0&#10;VdVwsTR8q4QOHaoTkgVQ8nVjPZ2nbqtK8PCmqrwIRBYUTEN6ogjsdXxm8zM22zhm64b3LbCntPCI&#10;k2KNRtE7qCULjGxd8xeUargz3lThiBuVdUSSImAxyB9pc10zKxIXSO3tnej+/8Hy17srR5qyoOMp&#10;JZopTPznj8+/v3399eU7wTsI1Fo/Q961vXK952FGtvvKqfgPHmRf0Mn05Hh8AmlvCno6mk6Oe33F&#10;PhCO+DCfjscIc8SPR8NpnuLZPY51PrwURpFoFHRrF86ZNgnLdpc+JIXLvk1WfhhQUimJge2YJKN8&#10;kk/6gR7kDA9zxjl+MQdFe0RYt2UjvDeyKVeNlMlxm/WFdATwBV2lX//xgzSpSYtVGp4Am3CGpahw&#10;GGEqC2G93lDC5AbbxoNLZB587Q+LxP7uOnyQFptcMl93zaRQR1Y1AQspGwXRD7+WGjTj7LppRWtt&#10;yhuM25luD7zlqwawl8yHK+agI/rH1RDe4FFJA1Kmtyipjfv0r/cxH+cRUUpaLBIIf9wyJyiRrzRO&#10;6nQwGgE2JGc0PhnCcYeR9WFEb9WFgdiYLLpLZswP8tasnFHvcYMsYlWEmOao3UnbOxehW3DcQVws&#10;FikN22ZZuNTXlkfwOFxtFttgqibE43CvTu9g39Ip6e+GuNCHfsq6vw/n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8+FKB1gAAAAoBAAAPAAAAAAAAAAEAIAAAACIAAABkcnMvZG93bnJldi54bWxQ&#10;SwECFAAUAAAACACHTuJABO7ntqQCAABXBQAADgAAAAAAAAABACAAAAAlAQAAZHJzL2Uyb0RvYy54&#10;bWxQSwUGAAAAAAYABgBZAQAAOwYAAAAA&#10;" adj="6600,6414">
                <v:fill on="t" focussize="0,0"/>
                <v:stroke weight="1pt" color="#000000 [3213]" miterlimit="8" joinstyle="miter"/>
                <v:imagedata o:title=""/>
                <o:lock v:ext="edit" aspectratio="f"/>
              </v:shape>
            </w:pict>
          </mc:Fallback>
        </mc:AlternateContent>
      </w:r>
      <w:r>
        <w:rPr>
          <w:color w:val="auto"/>
          <w:sz w:val="21"/>
        </w:rPr>
        <mc:AlternateContent>
          <mc:Choice Requires="wpg">
            <w:drawing>
              <wp:anchor distT="0" distB="0" distL="114300" distR="114300" simplePos="0" relativeHeight="251660288" behindDoc="0" locked="0" layoutInCell="1" allowOverlap="1">
                <wp:simplePos x="0" y="0"/>
                <wp:positionH relativeFrom="column">
                  <wp:posOffset>2065655</wp:posOffset>
                </wp:positionH>
                <wp:positionV relativeFrom="paragraph">
                  <wp:posOffset>-200025</wp:posOffset>
                </wp:positionV>
                <wp:extent cx="6520815" cy="5965190"/>
                <wp:effectExtent l="0" t="0" r="0" b="17145"/>
                <wp:wrapNone/>
                <wp:docPr id="28" name="组合 28"/>
                <wp:cNvGraphicFramePr/>
                <a:graphic xmlns:a="http://schemas.openxmlformats.org/drawingml/2006/main">
                  <a:graphicData uri="http://schemas.microsoft.com/office/word/2010/wordprocessingGroup">
                    <wpg:wgp>
                      <wpg:cNvGrpSpPr/>
                      <wpg:grpSpPr>
                        <a:xfrm>
                          <a:off x="0" y="0"/>
                          <a:ext cx="6520815" cy="5965190"/>
                          <a:chOff x="4693" y="1204"/>
                          <a:chExt cx="10269" cy="9394"/>
                        </a:xfrm>
                      </wpg:grpSpPr>
                      <wps:wsp>
                        <wps:cNvPr id="15" name="文本框 15"/>
                        <wps:cNvSpPr txBox="1"/>
                        <wps:spPr>
                          <a:xfrm>
                            <a:off x="11100" y="8587"/>
                            <a:ext cx="2911" cy="133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b/>
                                  <w:bCs/>
                                  <w:lang w:val="en-US" w:eastAsia="zh-CN"/>
                                </w:rPr>
                              </w:pPr>
                              <w:r>
                                <w:rPr>
                                  <w:rFonts w:hint="eastAsia"/>
                                  <w:b/>
                                  <w:bCs/>
                                  <w:lang w:val="en-US" w:eastAsia="zh-CN"/>
                                </w:rPr>
                                <w:t xml:space="preserve">图例：  </w:t>
                              </w:r>
                            </w:p>
                            <w:p>
                              <w:pPr>
                                <w:spacing w:line="240" w:lineRule="auto"/>
                                <w:ind w:firstLine="482" w:firstLineChars="200"/>
                                <w:rPr>
                                  <w:rFonts w:hint="eastAsia"/>
                                  <w:b/>
                                  <w:bCs/>
                                  <w:lang w:val="en-US" w:eastAsia="zh-CN"/>
                                </w:rPr>
                              </w:pPr>
                              <w:r>
                                <w:rPr>
                                  <w:rFonts w:hint="eastAsia"/>
                                  <w:b/>
                                  <w:bCs/>
                                  <w:lang w:val="en-US" w:eastAsia="zh-CN"/>
                                </w:rPr>
                                <w:t>厂区原有污水管网</w:t>
                              </w:r>
                            </w:p>
                            <w:p>
                              <w:pPr>
                                <w:spacing w:line="240" w:lineRule="auto"/>
                                <w:rPr>
                                  <w:rFonts w:hint="eastAsia"/>
                                  <w:b/>
                                  <w:bCs/>
                                  <w:lang w:val="en-US" w:eastAsia="zh-CN"/>
                                </w:rPr>
                              </w:pPr>
                              <w:r>
                                <w:rPr>
                                  <w:rFonts w:hint="eastAsia"/>
                                  <w:b/>
                                  <w:bCs/>
                                  <w:lang w:val="en-US" w:eastAsia="zh-CN"/>
                                </w:rPr>
                                <w:t xml:space="preserve">    新建污水管网</w:t>
                              </w:r>
                            </w:p>
                            <w:p>
                              <w:pPr>
                                <w:spacing w:line="240" w:lineRule="auto"/>
                                <w:rPr>
                                  <w:rFonts w:hint="default"/>
                                  <w:b/>
                                  <w:bCs/>
                                  <w:lang w:val="en-US" w:eastAsia="zh-CN"/>
                                </w:rPr>
                              </w:pPr>
                              <w:r>
                                <w:rPr>
                                  <w:rFonts w:hint="eastAsia"/>
                                  <w:b/>
                                  <w:bCs/>
                                  <w:lang w:val="en-US" w:eastAsia="zh-CN"/>
                                </w:rPr>
                                <w:t xml:space="preserve">    雨水管网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任意多边形 17"/>
                        <wps:cNvSpPr/>
                        <wps:spPr>
                          <a:xfrm>
                            <a:off x="11263" y="9135"/>
                            <a:ext cx="350" cy="12"/>
                          </a:xfrm>
                          <a:custGeom>
                            <a:avLst/>
                            <a:gdLst>
                              <a:gd name="connisteX0" fmla="*/ 0 w 222250"/>
                              <a:gd name="connsiteY0" fmla="*/ 0 h 7620"/>
                              <a:gd name="connisteX1" fmla="*/ 222250 w 222250"/>
                              <a:gd name="connsiteY1" fmla="*/ 7620 h 7620"/>
                            </a:gdLst>
                            <a:ahLst/>
                            <a:cxnLst>
                              <a:cxn ang="0">
                                <a:pos x="connisteX0" y="connsiteY0"/>
                              </a:cxn>
                              <a:cxn ang="0">
                                <a:pos x="connisteX1" y="connsiteY1"/>
                              </a:cxn>
                            </a:cxnLst>
                            <a:rect l="l" t="t" r="r" b="b"/>
                            <a:pathLst>
                              <a:path w="222250" h="7620">
                                <a:moveTo>
                                  <a:pt x="0" y="0"/>
                                </a:moveTo>
                                <a:lnTo>
                                  <a:pt x="222250" y="7620"/>
                                </a:lnTo>
                              </a:path>
                            </a:pathLst>
                          </a:custGeom>
                          <a:noFill/>
                          <a:ln w="19050">
                            <a:solidFill>
                              <a:srgbClr val="FF00FF"/>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8" name="任意多边形 18"/>
                        <wps:cNvSpPr/>
                        <wps:spPr>
                          <a:xfrm>
                            <a:off x="11250" y="9445"/>
                            <a:ext cx="350" cy="12"/>
                          </a:xfrm>
                          <a:custGeom>
                            <a:avLst/>
                            <a:gdLst>
                              <a:gd name="connisteX0" fmla="*/ 0 w 222250"/>
                              <a:gd name="connsiteY0" fmla="*/ 0 h 7620"/>
                              <a:gd name="connisteX1" fmla="*/ 222250 w 222250"/>
                              <a:gd name="connsiteY1" fmla="*/ 7620 h 7620"/>
                            </a:gdLst>
                            <a:ahLst/>
                            <a:cxnLst>
                              <a:cxn ang="0">
                                <a:pos x="connisteX0" y="connsiteY0"/>
                              </a:cxn>
                              <a:cxn ang="0">
                                <a:pos x="connisteX1" y="connsiteY1"/>
                              </a:cxn>
                            </a:cxnLst>
                            <a:rect l="l" t="t" r="r" b="b"/>
                            <a:pathLst>
                              <a:path w="222250" h="7620">
                                <a:moveTo>
                                  <a:pt x="0" y="0"/>
                                </a:moveTo>
                                <a:lnTo>
                                  <a:pt x="222250" y="7620"/>
                                </a:lnTo>
                              </a:path>
                            </a:pathLst>
                          </a:custGeom>
                          <a:noFill/>
                          <a:ln w="19050">
                            <a:solidFill>
                              <a:srgbClr val="FEFE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9" name="任意多边形 19"/>
                        <wps:cNvSpPr/>
                        <wps:spPr>
                          <a:xfrm>
                            <a:off x="11273" y="9761"/>
                            <a:ext cx="350" cy="12"/>
                          </a:xfrm>
                          <a:custGeom>
                            <a:avLst/>
                            <a:gdLst>
                              <a:gd name="connisteX0" fmla="*/ 0 w 222250"/>
                              <a:gd name="connsiteY0" fmla="*/ 0 h 7620"/>
                              <a:gd name="connisteX1" fmla="*/ 222250 w 222250"/>
                              <a:gd name="connsiteY1" fmla="*/ 7620 h 7620"/>
                            </a:gdLst>
                            <a:ahLst/>
                            <a:cxnLst>
                              <a:cxn ang="0">
                                <a:pos x="connisteX0" y="connsiteY0"/>
                              </a:cxn>
                              <a:cxn ang="0">
                                <a:pos x="connisteX1" y="connsiteY1"/>
                              </a:cxn>
                            </a:cxnLst>
                            <a:rect l="l" t="t" r="r" b="b"/>
                            <a:pathLst>
                              <a:path w="222250" h="7620">
                                <a:moveTo>
                                  <a:pt x="0" y="0"/>
                                </a:moveTo>
                                <a:lnTo>
                                  <a:pt x="222250" y="7620"/>
                                </a:lnTo>
                              </a:path>
                            </a:pathLst>
                          </a:custGeom>
                          <a:noFill/>
                          <a:ln w="190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20" name="文本框 20"/>
                        <wps:cNvSpPr txBox="1"/>
                        <wps:spPr>
                          <a:xfrm>
                            <a:off x="13528" y="3289"/>
                            <a:ext cx="1434" cy="4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color w:val="000000" w:themeColor="text1"/>
                                  <w:sz w:val="20"/>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0"/>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 name="文本框 21"/>
                        <wps:cNvSpPr txBox="1"/>
                        <wps:spPr>
                          <a:xfrm>
                            <a:off x="12756" y="4092"/>
                            <a:ext cx="1247" cy="4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 name="文本框 22"/>
                        <wps:cNvSpPr txBox="1"/>
                        <wps:spPr>
                          <a:xfrm>
                            <a:off x="9695" y="3048"/>
                            <a:ext cx="1247" cy="4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 name="任意多边形 23"/>
                        <wps:cNvSpPr/>
                        <wps:spPr>
                          <a:xfrm>
                            <a:off x="13500" y="3327"/>
                            <a:ext cx="1247" cy="366"/>
                          </a:xfrm>
                          <a:custGeom>
                            <a:avLst/>
                            <a:gdLst>
                              <a:gd name="connisteX0" fmla="*/ 0 w 791845"/>
                              <a:gd name="connsiteY0" fmla="*/ 0 h 232410"/>
                              <a:gd name="connisteX1" fmla="*/ 125095 w 791845"/>
                              <a:gd name="connsiteY1" fmla="*/ 226695 h 232410"/>
                              <a:gd name="connisteX2" fmla="*/ 791845 w 791845"/>
                              <a:gd name="connsiteY2" fmla="*/ 232410 h 232410"/>
                            </a:gdLst>
                            <a:ahLst/>
                            <a:cxnLst>
                              <a:cxn ang="0">
                                <a:pos x="connisteX0" y="connsiteY0"/>
                              </a:cxn>
                              <a:cxn ang="0">
                                <a:pos x="connisteX1" y="connsiteY1"/>
                              </a:cxn>
                              <a:cxn ang="0">
                                <a:pos x="connisteX2" y="connsiteY2"/>
                              </a:cxn>
                            </a:cxnLst>
                            <a:rect l="l" t="t" r="r" b="b"/>
                            <a:pathLst>
                              <a:path w="791845" h="232410">
                                <a:moveTo>
                                  <a:pt x="0" y="0"/>
                                </a:moveTo>
                                <a:lnTo>
                                  <a:pt x="125095" y="226695"/>
                                </a:lnTo>
                                <a:lnTo>
                                  <a:pt x="791845" y="232410"/>
                                </a:lnTo>
                              </a:path>
                            </a:pathLst>
                          </a:custGeom>
                          <a:noFill/>
                          <a:ln>
                            <a:solidFill>
                              <a:srgbClr val="FF00FF"/>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24" name="任意多边形 24"/>
                        <wps:cNvSpPr/>
                        <wps:spPr>
                          <a:xfrm>
                            <a:off x="5154" y="10066"/>
                            <a:ext cx="1012" cy="469"/>
                          </a:xfrm>
                          <a:custGeom>
                            <a:avLst/>
                            <a:gdLst>
                              <a:gd name="connisteX0" fmla="*/ 0 w 642620"/>
                              <a:gd name="connsiteY0" fmla="*/ 0 h 297815"/>
                              <a:gd name="connisteX1" fmla="*/ 65405 w 642620"/>
                              <a:gd name="connsiteY1" fmla="*/ 292100 h 297815"/>
                              <a:gd name="connisteX2" fmla="*/ 642620 w 642620"/>
                              <a:gd name="connsiteY2" fmla="*/ 297815 h 297815"/>
                            </a:gdLst>
                            <a:ahLst/>
                            <a:cxnLst>
                              <a:cxn ang="0">
                                <a:pos x="connisteX0" y="connsiteY0"/>
                              </a:cxn>
                              <a:cxn ang="0">
                                <a:pos x="connisteX1" y="connsiteY1"/>
                              </a:cxn>
                              <a:cxn ang="0">
                                <a:pos x="connisteX2" y="connsiteY2"/>
                              </a:cxn>
                            </a:cxnLst>
                            <a:rect l="l" t="t" r="r" b="b"/>
                            <a:pathLst>
                              <a:path w="642620" h="297815">
                                <a:moveTo>
                                  <a:pt x="0" y="0"/>
                                </a:moveTo>
                                <a:lnTo>
                                  <a:pt x="65405" y="292100"/>
                                </a:lnTo>
                                <a:lnTo>
                                  <a:pt x="642620" y="297815"/>
                                </a:lnTo>
                              </a:path>
                            </a:pathLst>
                          </a:custGeom>
                          <a:noFill/>
                          <a:ln>
                            <a:solidFill>
                              <a:srgbClr val="FF00FF"/>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25" name="文本框 25"/>
                        <wps:cNvSpPr txBox="1"/>
                        <wps:spPr>
                          <a:xfrm>
                            <a:off x="5228" y="10157"/>
                            <a:ext cx="1434" cy="4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隔油池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 name="文本框 26"/>
                        <wps:cNvSpPr txBox="1"/>
                        <wps:spPr>
                          <a:xfrm>
                            <a:off x="12868" y="1699"/>
                            <a:ext cx="1823" cy="4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排至市政污水管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 name="文本框 27"/>
                        <wps:cNvSpPr txBox="1"/>
                        <wps:spPr>
                          <a:xfrm>
                            <a:off x="4693" y="1204"/>
                            <a:ext cx="1823" cy="4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排至市政雨水管</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62.65pt;margin-top:-15.75pt;height:469.7pt;width:513.45pt;z-index:251660288;mso-width-relative:page;mso-height-relative:page;" coordorigin="4693,1204" coordsize="10269,9394" o:gfxdata="UEsDBAoAAAAAAIdO4kAAAAAAAAAAAAAAAAAEAAAAZHJzL1BLAwQUAAAACACHTuJAjv1c89wAAAAM&#10;AQAADwAAAGRycy9kb3ducmV2LnhtbE2PwWrDMBBE74X+g9hCb4kkG7eN63Uooe0pFJoUQm6KtbFN&#10;LMlYip38fZVTe1zmMfO2WF5Mx0YafOssgpwLYGQrp1tbI/xsP2YvwHxQVqvOWUK4kodleX9XqFy7&#10;yX7TuAk1iyXW5wqhCaHPOfdVQ0b5uevJxuzoBqNCPIea60FNsdx0PBHiiRvV2rjQqJ5WDVWnzdkg&#10;fE5qekvl+7g+HVfX/Tb72q0lIT4+SPEKLNAl/MFw04/qUEangztb7VmHkCZZGlGEWSozYDcizZIE&#10;2AFhIZ4XwMuC/3+i/AVQSwMEFAAAAAgAh07iQDQ6LnmyBgAAaioAAA4AAABkcnMvZTJvRG9jLnht&#10;bO1aTY/bRBi+I/EfLB+RaDyO7cRRs9W221RIFa3UIuDoOE5iYXvM2NmkPVfADU4cEBcQR/4AquDX&#10;0IWfwfPOjB3nY3fTFCq28h6ytmf8zrxfz8z7jG/fWaWJcR6JIubZ0GS3LNOIspBP4mw2ND95Ovqw&#10;bxpFGWSTIOFZNDSfRYV55+T9924v80Fk8zlPJpEwICQrBst8aM7LMh90OkU4j9KguMXzKEPjlIs0&#10;KHErZp2JCJaQniYd27K8zpKLSS54GBUFnp6pRlNLFIcI5NNpHEZnPFykUVYqqSJKghIqFfM4L8wT&#10;OdvpNArLR9NpEZVGMjShaSl/MQiux/TbObkdDGYiyOdxqKcQHDKFLZ3SIM4waC3qLCgDYyHiHVFp&#10;HApe8Gl5K+RpRykiLQItmLVlmweCL3Kpy2ywnOW10eGoLasfLTb8+PyxMOLJ0LTh9yxI4fG/Xr54&#10;9d03Bh7AOst8NkCnByJ/kj8W+sFM3ZHCq6lI6T9UMVbSrs9qu0ar0gjx0HNtq89c0wjR5vqey3xt&#10;+XAO99B7jud3TQPNzLYc5ZVwfl+/zyzb89XbfteXzZ1q5A5NsJ7PMkdQFmtLFW9mqSfzII+kAwoy&#10;grYUaaIsdfH91xc//nrx01cGnknbyH5kKaNc3eVQjFXPCzzcYzDGmIVghOZ9t99Tmld2s33GlNqs&#10;2/WorVY7GOSiKB9EPDXoYmgKhLqMwOD8YVGqrlUXGrbgSTwZxUkib8RsfC8RxnmAtBjJPy19o1uS&#10;GUt4r+taUvJGG8muRYyTIPxiVwJmm2SYNHlFqU9X5Wq80rYa88kzmEpwlZdFHo5iyH0YFOXjQCAR&#10;YRlAVfkIP9OEYzJcX5nGnIvn+55Tf3gdraaxRGIPzeLLRSAi00g+yhAPPnMcQgJ547g9Gzei2TJu&#10;tmSL9B6HkeAHzE5eUv8yqS6ngqefAtFOaVQ0BVmIsYdmWV3eKxXcABHD6PRUdkLu50H5MHuShySa&#10;XJLx00XJp7F0HZlJ2UZbDzFNqfg2grtXBfefL19evPj21S8//P3Hb69+/9lgMjppEkiFGgwqz1b5&#10;WCMBY7anUtpnXZkdwaAKbIooCQbM3orqcKGimkxSRTJQdYKYpkezic68kGdZXJTRZxA0TROEygcd&#10;wzKWho0/SEeAbfUu4jL6fLP33Oh5cP9uXykZLq8lK6nXim++QqKN9QjIhVqLYK5SNBiEq0xrhivE&#10;DpBd5VrOC4LFppqACLrVeqgMx1uk6DUvY1rNlyUkYT7yZfVfT4JAhFbKRK6UCGGErpAr5VhZCVFL&#10;c6cx6ZLgQRvcmA9NaU1qS5GmT7nsVW6tChhv3ZpkzV6VJMy18gt6qz64oAElAtaToLk34iXjhG/S&#10;mwq5sMzIQCMQmGJ7gJhL8wkAIZshO5MZ9j9hKXaxrdiER8sajXSY7kDgWVDMFYzKJmWlFKEmjCRO&#10;AeoW/em394ChynJyps7ut5Xm9Wq/k+Z62T88zcnG8JnvOG2aIyTbNFfYdMPS/P7ofp2o706aY9us&#10;tqo7ae4TKL3Oat7Tq3nPkwtIu5rrhbBdzfVafxNWc8u6S3sChVDvTJpTDbNdkaqNbSPBD65Iuy5x&#10;AVjRu3ZfosQ61ZnTddTO3XGqbWTFAFTV5oEF6c5ura4z6xa5+2vrxxtVP9ooNnZCsSZBdOV4cCja&#10;PdeToehYviwVG6FoOyhViVFqQ5F4jZbKqLczFaNp7wlFGUVHoKLv+aD9CBQtR1ZIbSS2pNouZb+f&#10;Mbaxdd6/DUfLa23DwZyparvbtbfYYlYDYtfbJoubNMlRtFrPZ/2qvN8g4fbSanbXdthBxBoDWee7&#10;INauHqBJrNm2h1wEtXb1KEj+mr5Twq8dpfmKEr4xyv+1tr+W/4NeAK6aPKw413+H/9OOI/5PO+R4&#10;BlBFg5yt8nJNnCmecLPCqEaGbutQkHtG6o2LIxhDu0f5FbaMIVhRvUpWqyk2/pdgmDyRa6ypGtEu&#10;OfFymQtRcBoOvhRQNZZSCycCalOHEz9VpVX1xRtjmOfY++n+/Rjm9+jMEnPYOkjYORzwXMciCLta&#10;/gaE+TaUJ3C5cpAmHinh147SfEUJ3xilhTAJCltHGNpxEsKUQ46HMBkMCsGkk69EsGpgQrA6EloE&#10;A5T8F+f29p5zezzTaPWapalra5KEWczd3om1LEl7yq6/b7qkIACrscOSyE17Yxk9nCXpe4qwY56/&#10;Tdj1qfZoWZL2g49sdkko1h98rL9mUqXlEaG45zOu6psP1kbizQVF+ZUdPkGUZZX+XJK+cWzeS6J+&#10;/YnoyT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nCQAAW0NvbnRlbnRfVHlwZXNdLnhtbFBLAQIUAAoAAAAAAIdO4kAAAAAAAAAAAAAAAAAGAAAA&#10;AAAAAAAAEAAAAAkIAABfcmVscy9QSwECFAAUAAAACACHTuJAihRmPNEAAACUAQAACwAAAAAAAAAB&#10;ACAAAAAtCAAAX3JlbHMvLnJlbHNQSwECFAAKAAAAAACHTuJAAAAAAAAAAAAAAAAABAAAAAAAAAAA&#10;ABAAAAAAAAAAZHJzL1BLAQIUABQAAAAIAIdO4kCO/Vzz3AAAAAwBAAAPAAAAAAAAAAEAIAAAACIA&#10;AABkcnMvZG93bnJldi54bWxQSwECFAAUAAAACACHTuJANDouebIGAABqKgAADgAAAAAAAAABACAA&#10;AAArAQAAZHJzL2Uyb0RvYy54bWxQSwUGAAAAAAYABgBZAQAATwoAAAAA&#10;">
                <o:lock v:ext="edit" aspectratio="f"/>
                <v:shape id="_x0000_s1026" o:spid="_x0000_s1026" o:spt="202" type="#_x0000_t202" style="position:absolute;left:11100;top:8587;height:1336;width:2911;" fillcolor="#FFFFFF [3201]" filled="t" stroked="t" coordsize="21600,21600" o:gfxdata="UEsDBAoAAAAAAIdO4kAAAAAAAAAAAAAAAAAEAAAAZHJzL1BLAwQUAAAACACHTuJA7IMhvrUAAADb&#10;AAAADwAAAGRycy9kb3ducmV2LnhtbEVPvQrCMBDeBd8hnOBmUxVFqlFQEMRN7eJ2NGdbbC4liVbf&#10;3giC2318v7favEwjnuR8bVnBOElBEBdW11wqyC/70QKED8gaG8uk4E0eNut+b4WZth2f6HkOpYgh&#10;7DNUUIXQZlL6oiKDPrEtceRu1hkMEbpSaoddDDeNnKTpXBqsOTZU2NKuouJ+fhgFh/k2XCnXRz2d&#10;TG2Xy8LdGq/UcDBOlyACvcJf/HMfdJw/g+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7IMhvr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rPr>
                            <w:rFonts w:hint="eastAsia"/>
                            <w:b/>
                            <w:bCs/>
                            <w:lang w:val="en-US" w:eastAsia="zh-CN"/>
                          </w:rPr>
                        </w:pPr>
                        <w:r>
                          <w:rPr>
                            <w:rFonts w:hint="eastAsia"/>
                            <w:b/>
                            <w:bCs/>
                            <w:lang w:val="en-US" w:eastAsia="zh-CN"/>
                          </w:rPr>
                          <w:t xml:space="preserve">图例：  </w:t>
                        </w:r>
                      </w:p>
                      <w:p>
                        <w:pPr>
                          <w:spacing w:line="240" w:lineRule="auto"/>
                          <w:ind w:firstLine="482" w:firstLineChars="200"/>
                          <w:rPr>
                            <w:rFonts w:hint="eastAsia"/>
                            <w:b/>
                            <w:bCs/>
                            <w:lang w:val="en-US" w:eastAsia="zh-CN"/>
                          </w:rPr>
                        </w:pPr>
                        <w:r>
                          <w:rPr>
                            <w:rFonts w:hint="eastAsia"/>
                            <w:b/>
                            <w:bCs/>
                            <w:lang w:val="en-US" w:eastAsia="zh-CN"/>
                          </w:rPr>
                          <w:t>厂区原有污水管网</w:t>
                        </w:r>
                      </w:p>
                      <w:p>
                        <w:pPr>
                          <w:spacing w:line="240" w:lineRule="auto"/>
                          <w:rPr>
                            <w:rFonts w:hint="eastAsia"/>
                            <w:b/>
                            <w:bCs/>
                            <w:lang w:val="en-US" w:eastAsia="zh-CN"/>
                          </w:rPr>
                        </w:pPr>
                        <w:r>
                          <w:rPr>
                            <w:rFonts w:hint="eastAsia"/>
                            <w:b/>
                            <w:bCs/>
                            <w:lang w:val="en-US" w:eastAsia="zh-CN"/>
                          </w:rPr>
                          <w:t xml:space="preserve">    新建污水管网</w:t>
                        </w:r>
                      </w:p>
                      <w:p>
                        <w:pPr>
                          <w:spacing w:line="240" w:lineRule="auto"/>
                          <w:rPr>
                            <w:rFonts w:hint="default"/>
                            <w:b/>
                            <w:bCs/>
                            <w:lang w:val="en-US" w:eastAsia="zh-CN"/>
                          </w:rPr>
                        </w:pPr>
                        <w:r>
                          <w:rPr>
                            <w:rFonts w:hint="eastAsia"/>
                            <w:b/>
                            <w:bCs/>
                            <w:lang w:val="en-US" w:eastAsia="zh-CN"/>
                          </w:rPr>
                          <w:t xml:space="preserve">    雨水管网</w:t>
                        </w:r>
                      </w:p>
                    </w:txbxContent>
                  </v:textbox>
                </v:shape>
                <v:shape id="_x0000_s1026" o:spid="_x0000_s1026" o:spt="100" style="position:absolute;left:11263;top:9135;height:12;width:350;" filled="f" stroked="t" coordsize="222250,7620" o:gfxdata="UEsDBAoAAAAAAIdO4kAAAAAAAAAAAAAAAAAEAAAAZHJzL1BLAwQUAAAACACHTuJA6dGAaroAAADb&#10;AAAADwAAAGRycy9kb3ducmV2LnhtbEVPS2vCQBC+F/wPywje6iYe2hJdPSiloSeTlJ6H7JgEs7Mx&#10;u+bx712h0Nt8fM/ZHSbTioF611hWEK8jEMSl1Q1XCn6Kz9cPEM4ja2wtk4KZHBz2i5cdJtqOnNGQ&#10;+0qEEHYJKqi97xIpXVmTQbe2HXHgLrY36APsK6l7HEO4aeUmit6kwYZDQ40dHWsqr/ndKDil41Do&#10;/PcUZ1/323z9HrONOSu1WsbRFoSnyf+L/9ypDvPf4flLOED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0YBqugAAANsA&#10;AAAPAAAAAAAAAAEAIAAAACIAAABkcnMvZG93bnJldi54bWxQSwECFAAUAAAACACHTuJAMy8FnjsA&#10;AAA5AAAAEAAAAAAAAAABACAAAAAJAQAAZHJzL3NoYXBleG1sLnhtbFBLBQYAAAAABgAGAFsBAACz&#10;AwAAAAA=&#10;" path="m0,0l222250,7620e">
                  <v:path o:connectlocs="0,0;350,12" o:connectangles="0,0"/>
                  <v:fill on="f" focussize="0,0"/>
                  <v:stroke weight="1.5pt" color="#FF00FF [2404]" miterlimit="8" joinstyle="miter"/>
                  <v:imagedata o:title=""/>
                  <o:lock v:ext="edit" aspectratio="f"/>
                </v:shape>
                <v:shape id="_x0000_s1026" o:spid="_x0000_s1026" o:spt="100" style="position:absolute;left:11250;top:9445;height:12;width:350;" filled="f" stroked="t" coordsize="222250,7620" o:gfxdata="UEsDBAoAAAAAAIdO4kAAAAAAAAAAAAAAAAAEAAAAZHJzL1BLAwQUAAAACACHTuJA6OiwmLoAAADb&#10;AAAADwAAAGRycy9kb3ducmV2LnhtbEWPMY/CMAyFdyT+Q+ST2CAtA4cKgQFdJVa4LmxW4zbVNU6v&#10;CZT79+cBic3We37v8/749L160Bi7wAbyVQaKuA6249ZA9V0ut6BiQrbYByYDfxTheJjP9ljYMPGF&#10;HtfUKgnhWKABl9JQaB1rRx7jKgzEojVh9JhkHVttR5wk3Pd6nWUb7bFjaXA40MlR/XO9ewOfv+7r&#10;dqliLE/NxNV5Xeqqz41ZfOTZDlSiZ3qbX9dnK/gCK7/IAPrw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6LCYugAAANsA&#10;AAAPAAAAAAAAAAEAIAAAACIAAABkcnMvZG93bnJldi54bWxQSwECFAAUAAAACACHTuJAMy8FnjsA&#10;AAA5AAAAEAAAAAAAAAABACAAAAAJAQAAZHJzL3NoYXBleG1sLnhtbFBLBQYAAAAABgAGAFsBAACz&#10;AwAAAAA=&#10;" path="m0,0l222250,7620e">
                  <v:path o:connectlocs="0,0;350,12" o:connectangles="0,0"/>
                  <v:fill on="f" focussize="0,0"/>
                  <v:stroke weight="1.5pt" color="#FEFE00 [2404]" miterlimit="8" joinstyle="miter"/>
                  <v:imagedata o:title=""/>
                  <o:lock v:ext="edit" aspectratio="f"/>
                </v:shape>
                <v:shape id="_x0000_s1026" o:spid="_x0000_s1026" o:spt="100" style="position:absolute;left:11273;top:9761;height:12;width:350;" filled="f" stroked="t" coordsize="222250,7620" o:gfxdata="UEsDBAoAAAAAAIdO4kAAAAAAAAAAAAAAAAAEAAAAZHJzL1BLAwQUAAAACACHTuJA8ljxybgAAADb&#10;AAAADwAAAGRycy9kb3ducmV2LnhtbEVPTYvCMBC9L+x/CLPgbU31ILYaPSwooqet9j40Y1PbTLpN&#10;rPrvzYLgbR7vc5bru23FQL2vHSuYjBMQxKXTNVcKTsfN9xyED8gaW8ek4EEe1qvPjyVm2t34l4Y8&#10;VCKGsM9QgQmhy6T0pSGLfuw64sidXW8xRNhXUvd4i+G2ldMkmUmLNccGgx39GCqb/GoV7IvjxjQH&#10;ai6Yp8O2uIa/PadKjb4myQJEoHt4i1/unY7zU/j/JR4gV0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8ljxybgAAADbAAAA&#10;DwAAAAAAAAABACAAAAAiAAAAZHJzL2Rvd25yZXYueG1sUEsBAhQAFAAAAAgAh07iQDMvBZ47AAAA&#10;OQAAABAAAAAAAAAAAQAgAAAABwEAAGRycy9zaGFwZXhtbC54bWxQSwUGAAAAAAYABgBbAQAAsQMA&#10;AAAA&#10;" path="m0,0l222250,7620e">
                  <v:path o:connectlocs="0,0;350,12" o:connectangles="0,0"/>
                  <v:fill on="f" focussize="0,0"/>
                  <v:stroke weight="1.5pt" color="#00B050 [2404]" miterlimit="8" joinstyle="miter"/>
                  <v:imagedata o:title=""/>
                  <o:lock v:ext="edit" aspectratio="f"/>
                </v:shape>
                <v:shape id="_x0000_s1026" o:spid="_x0000_s1026" o:spt="202" type="#_x0000_t202" style="position:absolute;left:13528;top:3289;height:441;width:1434;" filled="f" stroked="f" coordsize="21600,21600" o:gfxdata="UEsDBAoAAAAAAIdO4kAAAAAAAAAAAAAAAAAEAAAAZHJzL1BLAwQUAAAACACHTuJABUiDPboAAADb&#10;AAAADwAAAGRycy9kb3ducmV2LnhtbEVPy4rCMBTdD/gP4QruxtSCItVUpCAziLPwsXF3bW4f2NzU&#10;Jr7m681CcHk47/niYRpxo87VlhWMhhEI4tzqmksFh/3qewrCeWSNjWVS8CQHi7T3NcdE2ztv6bbz&#10;pQgh7BJUUHnfJlK6vCKDbmhb4sAVtjPoA+xKqTu8h3DTyDiKJtJgzaGhwpayivLz7moUrLPVH25P&#10;sZn+N9nPpli2l8NxrNSgP4pmIDw9/Ef8dv9qBXFYH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SIM9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spacing w:line="240" w:lineRule="auto"/>
                          <w:rPr>
                            <w:rFonts w:hint="eastAsia" w:eastAsiaTheme="minorEastAsia"/>
                            <w:color w:val="000000" w:themeColor="text1"/>
                            <w:sz w:val="20"/>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0"/>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污水处理站</w:t>
                        </w:r>
                      </w:p>
                    </w:txbxContent>
                  </v:textbox>
                </v:shape>
                <v:shape id="_x0000_s1026" o:spid="_x0000_s1026" o:spt="202" type="#_x0000_t202" style="position:absolute;left:12756;top:4092;height:441;width:1247;" filled="f" stroked="f" coordsize="21600,21600" o:gfxdata="UEsDBAoAAAAAAIdO4kAAAAAAAAAAAAAAAAAEAAAAZHJzL1BLAwQUAAAACACHTuJAagQmpr0AAADb&#10;AAAADwAAAGRycy9kb3ducmV2LnhtbEWPT4vCMBTE74LfIbyFvWnawopUoywFUUQPai/e3jbPtmzz&#10;Upv499ObhQWPw8z8hpnO76YRV+pcbVlBPIxAEBdW11wqyA+LwRiE88gaG8uk4EEO5rN+b4qptjfe&#10;0XXvSxEg7FJUUHnfplK6oiKDbmhb4uCdbGfQB9mVUnd4C3DTyCSKRtJgzWGhwpayiorf/cUoWGeL&#10;Le5+EjN+Ntlyc/puz/nxS6nPjziagPB09+/wf3ulFSQx/H0JP0DO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BCam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auto"/>
                          <w:rPr>
                            <w:rFonts w:hint="eastAsia" w:eastAsiaTheme="minorEastAsia"/>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化粪池</w:t>
                        </w:r>
                      </w:p>
                    </w:txbxContent>
                  </v:textbox>
                </v:shape>
                <v:shape id="_x0000_s1026" o:spid="_x0000_s1026" o:spt="202" type="#_x0000_t202" style="position:absolute;left:9695;top:3048;height:441;width:1247;" filled="f" stroked="f" coordsize="21600,21600" o:gfxdata="UEsDBAoAAAAAAIdO4kAAAAAAAAAAAAAAAAAEAAAAZHJzL1BLAwQUAAAACACHTuJAmta40b8AAADb&#10;AAAADwAAAGRycy9kb3ducmV2LnhtbEWPzWrDMBCE74W8g9hCb41sQ4txI5tiMC0lOcTJpbeNtbFN&#10;rJVjqfl7+qpQyHGYmW+YRXExgzjR5HrLCuJ5BIK4sbrnVsF2Uz2nIJxH1jhYJgVXclDks4cFZtqe&#10;eU2n2rciQNhlqKDzfsykdE1HBt3cjsTB29vJoA9yaqWe8BzgZpBJFL1Kgz2HhQ5HKjtqDvWPUfBV&#10;Vitc7xKT3obyY7l/H4/b7xelnh7j6A2Ep4u/h//bn1pBksDfl/ADZP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WuNG/&#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rPr>
                            <w:rFonts w:hint="eastAsia" w:eastAsiaTheme="minorEastAsia"/>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化粪池</w:t>
                        </w:r>
                      </w:p>
                    </w:txbxContent>
                  </v:textbox>
                </v:shape>
                <v:shape id="_x0000_s1026" o:spid="_x0000_s1026" o:spt="100" style="position:absolute;left:13500;top:3327;height:366;width:1247;" filled="f" stroked="t" coordsize="791845,232410" o:gfxdata="UEsDBAoAAAAAAIdO4kAAAAAAAAAAAAAAAAAEAAAAZHJzL1BLAwQUAAAACACHTuJA2fA5NbwAAADb&#10;AAAADwAAAGRycy9kb3ducmV2LnhtbEWPT2sCMRTE70K/Q3gFb5qsLsWuRkGh0IMgaqHXx+Z1s5i8&#10;LJv499ObQqHHYWZ+wyxWN+/EhfrYBtZQjBUI4jqYlhsNX8eP0QxETMgGXWDScKcIq+XLYIGVCVfe&#10;0+WQGpEhHCvUYFPqKiljbcljHIeOOHs/ofeYsuwbaXq8Zrh3cqLUm/TYcl6w2NHGUn06nL2GuP1+&#10;vJc749wmlqrcP2wxa9daD18LNQeR6Jb+w3/tT6NhMoXfL/kH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nwOTW8AAAA&#10;2wAAAA8AAAAAAAAAAQAgAAAAIgAAAGRycy9kb3ducmV2LnhtbFBLAQIUABQAAAAIAIdO4kAzLwWe&#10;OwAAADkAAAAQAAAAAAAAAAEAIAAAAAsBAABkcnMvc2hhcGV4bWwueG1sUEsFBgAAAAAGAAYAWwEA&#10;ALUDAAAAAA==&#10;" path="m0,0l125095,226695,791845,232410e">
                  <v:path o:connectlocs="0,0;197,357;1247,366" o:connectangles="0,0,0"/>
                  <v:fill on="f" focussize="0,0"/>
                  <v:stroke weight="1pt" color="#FF00FF [2404]" miterlimit="8" joinstyle="miter"/>
                  <v:imagedata o:title=""/>
                  <o:lock v:ext="edit" aspectratio="f"/>
                </v:shape>
                <v:shape id="_x0000_s1026" o:spid="_x0000_s1026" o:spt="100" style="position:absolute;left:5154;top:10066;height:469;width:1012;" filled="f" stroked="t" coordsize="642620,297815" o:gfxdata="UEsDBAoAAAAAAIdO4kAAAAAAAAAAAAAAAAAEAAAAZHJzL1BLAwQUAAAACACHTuJAh4uFLb8AAADb&#10;AAAADwAAAGRycy9kb3ducmV2LnhtbEWPW2sCMRSE3wv9D+EUfJGaVXqR1eiDIIqF2m4Lvh6T4+7q&#10;5mRJ4u3fm4LQx2FmvmHG04ttxIl8qB0r6PcyEMTamZpLBb8/8+chiBCRDTaOScGVAkwnjw9jzI07&#10;8zediliKBOGQo4IqxjaXMuiKLIaea4mTt3PeYkzSl9J4PCe4beQgy96kxZrTQoUtzSrSh+JoFaw/&#10;t6vNoukutR5+7f37R71+xUKpzlM/G4GIdIn/4Xt7aRQMXuDvS/oBcnI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eLhS2/&#10;AAAA2wAAAA8AAAAAAAAAAQAgAAAAIgAAAGRycy9kb3ducmV2LnhtbFBLAQIUABQAAAAIAIdO4kAz&#10;LwWeOwAAADkAAAAQAAAAAAAAAAEAIAAAAA4BAABkcnMvc2hhcGV4bWwueG1sUEsFBgAAAAAGAAYA&#10;WwEAALgDAAAAAA==&#10;" path="m0,0l65405,292100,642620,297815e">
                  <v:path o:connectlocs="0,0;103,460;1012,469" o:connectangles="0,0,0"/>
                  <v:fill on="f" focussize="0,0"/>
                  <v:stroke weight="1pt" color="#FF00FF [2404]" miterlimit="8" joinstyle="miter"/>
                  <v:imagedata o:title=""/>
                  <o:lock v:ext="edit" aspectratio="f"/>
                </v:shape>
                <v:shape id="_x0000_s1026" o:spid="_x0000_s1026" o:spt="202" type="#_x0000_t202" style="position:absolute;left:5228;top:10157;height:441;width:1434;" filled="f" stroked="f" coordsize="21600,21600" o:gfxdata="UEsDBAoAAAAAAIdO4kAAAAAAAAAAAAAAAAAEAAAAZHJzL1BLAwQUAAAACACHTuJAFT8gpb4AAADb&#10;AAAADwAAAGRycy9kb3ducmV2LnhtbEWPQWvCQBSE74X+h+UVvDUbA4qkrlICYhE9qLl4e80+k9Ds&#10;25jdmuivdwsFj8PMfMPMl4NpxJU6V1tWMI5iEMSF1TWXCvLj6n0GwnlkjY1lUnAjB8vF68scU217&#10;3tP14EsRIOxSVFB536ZSuqIigy6yLXHwzrYz6IPsSqk77APcNDKJ46k0WHNYqLClrKLi5/BrFGyy&#10;1Q7334mZ3ZtsvT1/tpf8NFFq9DaOP0B4Gvwz/N/+0gqSCfx9CT9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8gp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rPr>
                            <w:rFonts w:hint="eastAsia" w:eastAsiaTheme="minorEastAsia"/>
                            <w:b/>
                            <w:bCs/>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隔油池</w:t>
                        </w:r>
                      </w:p>
                    </w:txbxContent>
                  </v:textbox>
                </v:shape>
                <v:shape id="_x0000_s1026" o:spid="_x0000_s1026" o:spt="202" type="#_x0000_t202" style="position:absolute;left:12868;top:1699;height:441;width:1823;" filled="f" stroked="f" coordsize="21600,21600" o:gfxdata="UEsDBAoAAAAAAIdO4kAAAAAAAAAAAAAAAAAEAAAAZHJzL1BLAwQUAAAACACHTuJA5e2+0r0AAADb&#10;AAAADwAAAGRycy9kb3ducmV2LnhtbEWPS6vCMBSE94L/IRzBnaYWFKlGuRREEV342Lg7Nse23Oak&#10;NvFx7683guBymJlvmOn8aSpxp8aVlhUM+hEI4szqknMFx8OiNwbhPLLGyjIp+CMH81m7NcVE2wfv&#10;6L73uQgQdgkqKLyvEyldVpBB17c1cfAutjHog2xyqRt8BLipZBxFI2mw5LBQYE1pQdnv/mYUrNPF&#10;Fnfn2Iz/q3S5ufzU1+NpqFS3M4gmIDw9/Tf8aa+0gngE7y/hB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7b7S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auto"/>
                          <w:rPr>
                            <w:rFonts w:hint="eastAsia" w:eastAsiaTheme="minor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排至市政污水管</w:t>
                        </w:r>
                      </w:p>
                    </w:txbxContent>
                  </v:textbox>
                </v:shape>
                <v:shape id="_x0000_s1026" o:spid="_x0000_s1026" o:spt="202" type="#_x0000_t202" style="position:absolute;left:4693;top:1204;height:441;width:1823;" filled="f" stroked="f" coordsize="21600,21600" o:gfxdata="UEsDBAoAAAAAAIdO4kAAAAAAAAAAAAAAAAAEAAAAZHJzL1BLAwQUAAAACACHTuJAiqEbSb4AAADb&#10;AAAADwAAAGRycy9kb3ducmV2LnhtbEWPS4vCQBCE74L/YWjBm04MuCvRUSQgiqwHHxdvbaZNgpme&#10;mBlf++t3hAWPRVV9RU1mT1OJOzWutKxg0I9AEGdWl5wrOOwXvREI55E1VpZJwYsczKbt1gQTbR+8&#10;pfvO5yJA2CWooPC+TqR0WUEGXd/WxME728agD7LJpW7wEeCmknEUfUmDJYeFAmtKC8ouu5tRsE4X&#10;G9yeYjP6rdLlz3leXw/HoVLdziAag/D09J/wf3ulFcTf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EbS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rPr>
                            <w:rFonts w:hint="eastAsia" w:eastAsiaTheme="minor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排至市政雨水管</w:t>
                        </w:r>
                      </w:p>
                    </w:txbxContent>
                  </v:textbox>
                </v:shape>
              </v:group>
            </w:pict>
          </mc:Fallback>
        </mc:AlternateContent>
      </w:r>
      <w:r>
        <w:rPr>
          <w:color w:val="auto"/>
        </w:rPr>
        <w:drawing>
          <wp:inline distT="0" distB="0" distL="114300" distR="114300">
            <wp:extent cx="7047865" cy="5694045"/>
            <wp:effectExtent l="0" t="0" r="8255" b="571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38"/>
                    <a:srcRect b="2224"/>
                    <a:stretch>
                      <a:fillRect/>
                    </a:stretch>
                  </pic:blipFill>
                  <pic:spPr>
                    <a:xfrm>
                      <a:off x="0" y="0"/>
                      <a:ext cx="7047865" cy="5694045"/>
                    </a:xfrm>
                    <a:prstGeom prst="rect">
                      <a:avLst/>
                    </a:prstGeom>
                    <a:noFill/>
                    <a:ln>
                      <a:noFill/>
                    </a:ln>
                  </pic:spPr>
                </pic:pic>
              </a:graphicData>
            </a:graphic>
          </wp:inline>
        </w:drawing>
      </w:r>
    </w:p>
    <w:p>
      <w:pPr>
        <w:pStyle w:val="6"/>
        <w:bidi w:val="0"/>
        <w:jc w:val="center"/>
        <w:outlineLvl w:val="0"/>
        <w:rPr>
          <w:rFonts w:hint="default" w:ascii="Times New Roman" w:hAnsi="Times New Roman" w:eastAsia="宋体"/>
          <w:color w:val="auto"/>
          <w:lang w:val="en-US" w:eastAsia="zh-CN"/>
        </w:rPr>
        <w:sectPr>
          <w:pgSz w:w="16838" w:h="11906" w:orient="landscape"/>
          <w:pgMar w:top="1236" w:right="1157" w:bottom="952" w:left="1157" w:header="851" w:footer="992" w:gutter="0"/>
          <w:pgBorders>
            <w:top w:val="none" w:sz="0" w:space="0"/>
            <w:left w:val="none" w:sz="0" w:space="0"/>
            <w:bottom w:val="none" w:sz="0" w:space="0"/>
            <w:right w:val="none" w:sz="0" w:space="0"/>
          </w:pgBorders>
          <w:cols w:space="425" w:num="1"/>
          <w:docGrid w:type="lines" w:linePitch="312" w:charSpace="0"/>
        </w:sectPr>
      </w:pPr>
      <w:bookmarkStart w:id="59" w:name="_Toc1004"/>
      <w:bookmarkStart w:id="60" w:name="_Toc8148"/>
      <w:r>
        <w:rPr>
          <w:rFonts w:hint="eastAsia" w:ascii="Times New Roman" w:hAnsi="Times New Roman" w:eastAsia="宋体"/>
          <w:color w:val="auto"/>
          <w:lang w:val="en-US" w:eastAsia="zh-CN"/>
        </w:rPr>
        <w:t>附图</w:t>
      </w:r>
      <w:r>
        <w:rPr>
          <w:rFonts w:hint="eastAsia"/>
          <w:color w:val="auto"/>
          <w:lang w:val="en-US" w:eastAsia="zh-CN"/>
        </w:rPr>
        <w:t>4</w:t>
      </w:r>
      <w:r>
        <w:rPr>
          <w:rFonts w:hint="eastAsia" w:ascii="Times New Roman" w:hAnsi="Times New Roman" w:eastAsia="宋体"/>
          <w:color w:val="auto"/>
          <w:lang w:val="en-US" w:eastAsia="zh-CN"/>
        </w:rPr>
        <w:t xml:space="preserve"> 项目雨污管网图</w:t>
      </w:r>
      <w:bookmarkEnd w:id="59"/>
      <w:bookmarkEnd w:id="60"/>
    </w:p>
    <w:p>
      <w:pPr>
        <w:jc w:val="center"/>
        <w:rPr>
          <w:rFonts w:hint="default"/>
          <w:color w:val="auto"/>
          <w:lang w:val="en-US" w:eastAsia="zh-CN"/>
        </w:rPr>
      </w:pPr>
      <w:r>
        <w:rPr>
          <w:color w:val="auto"/>
        </w:rPr>
        <w:drawing>
          <wp:inline distT="0" distB="0" distL="114300" distR="114300">
            <wp:extent cx="8306435" cy="5480685"/>
            <wp:effectExtent l="0" t="0" r="12065" b="571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9"/>
                    <a:stretch>
                      <a:fillRect/>
                    </a:stretch>
                  </pic:blipFill>
                  <pic:spPr>
                    <a:xfrm>
                      <a:off x="0" y="0"/>
                      <a:ext cx="8306435" cy="5480685"/>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7210425</wp:posOffset>
                </wp:positionH>
                <wp:positionV relativeFrom="paragraph">
                  <wp:posOffset>287655</wp:posOffset>
                </wp:positionV>
                <wp:extent cx="504825" cy="400050"/>
                <wp:effectExtent l="0" t="0" r="0" b="0"/>
                <wp:wrapNone/>
                <wp:docPr id="62" name="文本框 62"/>
                <wp:cNvGraphicFramePr/>
                <a:graphic xmlns:a="http://schemas.openxmlformats.org/drawingml/2006/main">
                  <a:graphicData uri="http://schemas.microsoft.com/office/word/2010/wordprocessingShape">
                    <wps:wsp>
                      <wps:cNvSpPr txBox="1"/>
                      <wps:spPr>
                        <a:xfrm>
                          <a:off x="7887970" y="1062990"/>
                          <a:ext cx="504825"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color w:val="FFFFFF" w:themeColor="background1"/>
                                <w:sz w:val="28"/>
                                <w:szCs w:val="28"/>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7.75pt;margin-top:22.65pt;height:31.5pt;width:39.75pt;z-index:251667456;mso-width-relative:page;mso-height-relative:page;" filled="f" stroked="f" coordsize="21600,21600" o:gfxdata="UEsDBAoAAAAAAIdO4kAAAAAAAAAAAAAAAAAEAAAAZHJzL1BLAwQUAAAACACHTuJAu8IwJtsAAAAM&#10;AQAADwAAAGRycy9kb3ducmV2LnhtbE2Py07DMBBF90j8gzVI7KidhKAoxKlQpAoJwaKlG3ZO7CYR&#10;9jjE7oN+facr2M3VHN1HtTw5yw5mDqNHCclCADPYeT1iL2H7uXoogIWoUCvr0Uj4NQGW9e1NpUrt&#10;j7g2h03sGZlgKJWEIcap5Dx0g3EqLPxkkH47PzsVSc4917M6krmzPBXiiTs1IiUMajLNYLrvzd5J&#10;eGtWH2rdpq442+b1ffcy/Wy/cinv7xLxDCyaU/yD4VqfqkNNnVq/Rx2YJZ1keU6shMc8A3Yl0iSn&#10;eS1dosiA1xX/P6K+AFBLAwQUAAAACACHTuJAI4GBR0YCAABzBAAADgAAAGRycy9lMm9Eb2MueG1s&#10;rVTLbhMxFN0j8Q+W93QmIWke6qQKjYqQKlqpINaOx9MZyS9spzPlA+APWLFhz3f1Ozj2TNpQWHTB&#10;xrn2PXOuz7nXOTntlCS3wvnG6IKOjnJKhOambPRNQT9+OH81p8QHpksmjRYFvROenq5evjhp7VKM&#10;TW1kKRwBifbL1ha0DsEus8zzWijmj4wVGsnKOMUCtu4mKx1rwa5kNs7z46w1rrTOcOE9Tjd9kg6M&#10;7jmEpqoaLjaG75TQoWd1QrIASb5urKerdNuqEjxcVpUXgciCQmlIK4og3sY1W52w5Y1jtm74cAX2&#10;nCs80aRYo1H0gWrDAiM71/xFpRrujDdVOOJGZb2Q5AhUjPIn3lzXzIqkBVZ7+2C6/3+0/P3tlSNN&#10;WdDjMSWaKXT8/vu3+x+/7n9+JTiDQa31S+CuLZChe2M6jM3+3OMw6u4qp+IvFBHkZ/P5bDGDyXfA&#10;5sfjxWKwWnSBcACm+WQ+nlLCAZjkeT5N+eyRyDof3gqjSAwK6tDJZDC7vfABlwJ0D4l1tTlvpEzd&#10;lJq0kPMalH9k8IXU+DDK6a8do9Btu0Hj1pR3kOhMPyXe8vMGxS+YD1fMYSygBw8nXGKppEERM0SU&#10;1MZ9+dd5xKNbyFLSYswK6j/vmBOUyHcafVyMJpM4l2kzmc7G2LjDzPYwo3fqzGCSR3iilqcw4oPc&#10;h5Uz6hPe1zpWRYppjtoFDfvwLPTDj/fJxXqdQJhEy8KFvrY8UvemrXfBVE1yOtrUezO4h1lMDRje&#10;TRz2w31CPf5XrH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u8IwJtsAAAAMAQAADwAAAAAAAAAB&#10;ACAAAAAiAAAAZHJzL2Rvd25yZXYueG1sUEsBAhQAFAAAAAgAh07iQCOBgUdGAgAAcwQAAA4AAAAA&#10;AAAAAQAgAAAAKgEAAGRycy9lMm9Eb2MueG1sUEsFBgAAAAAGAAYAWQEAAOIFAAAAAA==&#10;">
                <v:fill on="f" focussize="0,0"/>
                <v:stroke on="f" weight="0.5pt"/>
                <v:imagedata o:title=""/>
                <o:lock v:ext="edit" aspectratio="f"/>
                <v:textbox>
                  <w:txbxContent>
                    <w:p>
                      <w:pPr>
                        <w:rPr>
                          <w:rFonts w:hint="eastAsia" w:eastAsia="宋体"/>
                          <w:color w:val="FFFFFF" w:themeColor="background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color w:val="FFFFFF" w:themeColor="background1"/>
                          <w:sz w:val="28"/>
                          <w:szCs w:val="28"/>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北</w:t>
                      </w:r>
                    </w:p>
                  </w:txbxContent>
                </v:textbox>
              </v:shape>
            </w:pict>
          </mc:Fallback>
        </mc:AlternateContent>
      </w:r>
      <w:r>
        <w:rPr>
          <w:color w:val="auto"/>
          <w:sz w:val="21"/>
        </w:rPr>
        <mc:AlternateContent>
          <mc:Choice Requires="wpg">
            <w:drawing>
              <wp:anchor distT="0" distB="0" distL="114300" distR="114300" simplePos="0" relativeHeight="251659264" behindDoc="0" locked="0" layoutInCell="1" allowOverlap="1">
                <wp:simplePos x="0" y="0"/>
                <wp:positionH relativeFrom="column">
                  <wp:posOffset>1908810</wp:posOffset>
                </wp:positionH>
                <wp:positionV relativeFrom="paragraph">
                  <wp:posOffset>374015</wp:posOffset>
                </wp:positionV>
                <wp:extent cx="4635500" cy="4937125"/>
                <wp:effectExtent l="0" t="0" r="0" b="0"/>
                <wp:wrapNone/>
                <wp:docPr id="13" name="组合 13"/>
                <wp:cNvGraphicFramePr/>
                <a:graphic xmlns:a="http://schemas.openxmlformats.org/drawingml/2006/main">
                  <a:graphicData uri="http://schemas.microsoft.com/office/word/2010/wordprocessingGroup">
                    <wpg:wgp>
                      <wpg:cNvGrpSpPr/>
                      <wpg:grpSpPr>
                        <a:xfrm>
                          <a:off x="0" y="0"/>
                          <a:ext cx="4635500" cy="4937125"/>
                          <a:chOff x="6545" y="2303"/>
                          <a:chExt cx="7300" cy="7775"/>
                        </a:xfrm>
                      </wpg:grpSpPr>
                      <wps:wsp>
                        <wps:cNvPr id="9" name="文本框 2"/>
                        <wps:cNvSpPr txBox="1"/>
                        <wps:spPr>
                          <a:xfrm>
                            <a:off x="10013" y="7297"/>
                            <a:ext cx="1217" cy="5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sz w:val="18"/>
                                  <w:szCs w:val="21"/>
                                  <w:lang w:eastAsia="zh-CN"/>
                                </w:rPr>
                              </w:pPr>
                              <w:r>
                                <w:rPr>
                                  <w:rFonts w:hint="eastAsia"/>
                                  <w:b/>
                                  <w:bCs/>
                                  <w:color w:val="FF0000"/>
                                  <w:sz w:val="18"/>
                                  <w:szCs w:val="21"/>
                                  <w:lang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3"/>
                        <wps:cNvSpPr txBox="1"/>
                        <wps:spPr>
                          <a:xfrm>
                            <a:off x="9542" y="6613"/>
                            <a:ext cx="109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安民村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 name="文本框 4"/>
                        <wps:cNvSpPr txBox="1"/>
                        <wps:spPr>
                          <a:xfrm>
                            <a:off x="8236" y="6566"/>
                            <a:ext cx="161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龙江松安小学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文本框 5"/>
                        <wps:cNvSpPr txBox="1"/>
                        <wps:spPr>
                          <a:xfrm>
                            <a:off x="7140" y="7421"/>
                            <a:ext cx="1410" cy="80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北京师范大学</w:t>
                              </w:r>
                            </w:p>
                            <w:p>
                              <w:pPr>
                                <w:spacing w:line="240" w:lineRule="auto"/>
                                <w:jc w:val="center"/>
                                <w:rPr>
                                  <w:rFonts w:hint="eastAsia" w:eastAsiaTheme="minor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附属学校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文本框 6"/>
                        <wps:cNvSpPr txBox="1"/>
                        <wps:spPr>
                          <a:xfrm>
                            <a:off x="7014" y="8380"/>
                            <a:ext cx="109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塘东</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5" name="文本框 7"/>
                        <wps:cNvSpPr txBox="1"/>
                        <wps:spPr>
                          <a:xfrm>
                            <a:off x="6713" y="9607"/>
                            <a:ext cx="109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东南村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 name="文本框 8"/>
                        <wps:cNvSpPr txBox="1"/>
                        <wps:spPr>
                          <a:xfrm>
                            <a:off x="7638" y="5874"/>
                            <a:ext cx="109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松峰村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 name="文本框 9"/>
                        <wps:cNvSpPr txBox="1"/>
                        <wps:spPr>
                          <a:xfrm>
                            <a:off x="6545" y="5240"/>
                            <a:ext cx="109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B0F0"/>
                                  <w:sz w:val="18"/>
                                  <w:szCs w:val="21"/>
                                  <w:lang w:eastAsia="zh-CN"/>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龙江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文本框 10"/>
                        <wps:cNvSpPr txBox="1"/>
                        <wps:spPr>
                          <a:xfrm>
                            <a:off x="11329" y="2303"/>
                            <a:ext cx="109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龙江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 name="文本框 11"/>
                        <wps:cNvSpPr txBox="1"/>
                        <wps:spPr>
                          <a:xfrm>
                            <a:off x="12750" y="8748"/>
                            <a:ext cx="109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桂巷</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 name="文本框 12"/>
                        <wps:cNvSpPr txBox="1"/>
                        <wps:spPr>
                          <a:xfrm>
                            <a:off x="11929" y="5169"/>
                            <a:ext cx="1095" cy="4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李厝村</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50.3pt;margin-top:29.45pt;height:388.75pt;width:365pt;z-index:251659264;mso-width-relative:page;mso-height-relative:page;" coordorigin="6545,2303" coordsize="7300,7775" o:gfxdata="UEsDBAoAAAAAAIdO4kAAAAAAAAAAAAAAAAAEAAAAZHJzL1BLAwQUAAAACACHTuJAQSX1R9kAAAAL&#10;AQAADwAAAGRycy9kb3ducmV2LnhtbE2PwUrDQBCG74LvsIzgze7G2JKmmRQp6qkItoJ42ybTJDQ7&#10;G7LbpH17Nyd7nJmfb74/W19MKwbqXWMZIZopEMSFLRuuEL73708JCOc1l7q1TAhXcrDO7+8ynZZ2&#10;5C8adr4SAcIu1Qi1910qpStqMtrNbEccbkfbG+3D2Fey7PUY4KaVz0otpNENhw+17mhTU3HanQ3C&#10;x6jH1zh6G7an4+b6u59//mwjQnx8iNQKhKeL/w/DpB/UIQ9OB3vm0okWIQ70EEWYJ0sQU0DF0+aA&#10;kMSLF5B5Jm875H9QSwMEFAAAAAgAh07iQKyWW2gLBAAA+h4AAA4AAABkcnMvZTJvRG9jLnhtbO1Z&#10;y27jNhTdF+g/ENo3FvW0hDiDdNIEBYJOgHQwa4amLAGSyJJ05HRdtF121VU33fcP+j3N/MZcUpJt&#10;KB7AcYEuCm5siu97eO65fJy/2TQ1emRSVbxdePjM9xBrKV9W7Wrhvf/++qu5h5Qm7ZLUvGUL74kp&#10;783Fl1+cdyJnAS95vWQSQSetyjux8EqtRT6bKVqyhqgzLlgLhQWXDdHwKVezpSQd9N7Us8D3k1nH&#10;5VJITplSkHvVF3pDj/KYDnlRVJRdcbpuWKv7XiWriQaTVFkJ5V3Y2RYFo/pdUSimUb3wwFJtf2EQ&#10;SD+Y39nFOclXkoiyosMUyDFTmNjUkKqFQbddXRFN0FpWL7pqKiq54oU+o7yZ9YZYRMAK7E+wuZF8&#10;Lawtq7xbiS3osFAT1E/uln73eCdRtQQmhB5qSQMr/vHvn/757VcEGYBOJ1Y5VLqR4l7cySFj1X8Z&#10;gzeFbMw/mII2FtenLa5soxGFzCgJ49gHyCmURVmY4iDukaclLI9pl8RR7CEoDkLfjktyWn4ztE/D&#10;sXGaprblbBx4Zua3nU4ngJNqB5T6d0Ddl0Qwi78yGAxAZSNOz7//8vzHX89//oyCHilby8CE9OZr&#10;DlbhMV9B5gG0sO8b2MHsNMjSHpIRNBzgtEcsjm3R1maSC6n0DeMNMomFJ4Hmln3k8VZpWCOoOlYx&#10;o7b8uqprS/W6RR2gHca+bbAtgRZ1Cw0Ngv1kTUpvHjZ2yVX+wJdPYJjkvQspQa8rGPyWKH1HJPgM&#10;LC+oin4HP0XNYRA+pDxUcvnjoXxTH1YISj3UgQ8uPPXDmkjmofrbFtYuw1FknNZ+RHEawIfcL3nY&#10;L2nXzVsObo5BvwS1SVNf12OykLz5AOJzaUaFItJSGHvh6TH5VvfKAOJF2eWlrQRuKoi+be8FNV33&#10;cF6uNS8qi7SBqcdmQA/4Z7zmPyAiBkt7j90xcfDZVzMxi6PAEjFJer8n+ZaIfgauaV03tYR2RHRE&#10;BH7vFBEDdaZEjEbpg2qvkcR5ECY9EeMkmShigh0RnSLabePh0IyBOlMi2v2C0eNXEjHFJvaY0BwF&#10;Vvb2FDHCUGQUce670AxbOheabcTfKWJwYJNo1ewUIvo4skSch/PhwOJCs9sjTg+LhxUxhIg5VUQr&#10;WScQMUmHw0qW9LK3p4huj+gOK8ONzmeIeCA0z0/cI6ZJCJdUEH7jeWr3mY6I7tT88vrsM0SEW5Wp&#10;ImYnEnF7axUHsFm0FywuNLvQfGRoBg2bEhHOFcN92ytPKxiHZs8Jmri7QHVUdFQ8kooHjitwu3gi&#10;FYMUbpcNFSE62xDvwrMLz8eGZ3Pp8kIVT35fwdmgijFObJB3VPxfUNE++8GTqH3qGp5vzZvr/rd9&#10;j9k9WV98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0GAABbQ29udGVudF9UeXBlc10ueG1sUEsBAhQACgAAAAAAh07iQAAAAAAAAAAAAAAAAAYA&#10;AAAAAAAAAAAQAAAAXwUAAF9yZWxzL1BLAQIUABQAAAAIAIdO4kCKFGY80QAAAJQBAAALAAAAAAAA&#10;AAEAIAAAAIMFAABfcmVscy8ucmVsc1BLAQIUAAoAAAAAAIdO4kAAAAAAAAAAAAAAAAAEAAAAAAAA&#10;AAAAEAAAAAAAAABkcnMvUEsBAhQAFAAAAAgAh07iQEEl9UfZAAAACwEAAA8AAAAAAAAAAQAgAAAA&#10;IgAAAGRycy9kb3ducmV2LnhtbFBLAQIUABQAAAAIAIdO4kCslltoCwQAAPoeAAAOAAAAAAAAAAEA&#10;IAAAACgBAABkcnMvZTJvRG9jLnhtbFBLBQYAAAAABgAGAFkBAAClBwAAAAA=&#10;">
                <o:lock v:ext="edit" aspectratio="f"/>
                <v:shape id="文本框 2" o:spid="_x0000_s1026" o:spt="202" type="#_x0000_t202" style="position:absolute;left:10013;top:7297;height:557;width:1217;" filled="f" stroked="f" coordsize="21600,21600" o:gfxdata="UEsDBAoAAAAAAIdO4kAAAAAAAAAAAAAAAAAEAAAAZHJzL1BLAwQUAAAACACHTuJAPQQjGb4AAADa&#10;AAAADwAAAGRycy9kb3ducmV2LnhtbEWPT2vCQBTE74LfYXmCN91EaNHoKhKQFqkH/1x6e80+k2D2&#10;bcxuk7Sf3i0UPA4z8xtmtelNJVpqXGlZQTyNQBBnVpecK7icd5M5COeRNVaWScEPOdish4MVJtp2&#10;fKT25HMRIOwSVFB4XydSuqwgg25qa+LgXW1j0AfZ5FI32AW4qeQsil6lwZLDQoE1pQVlt9O3UbBP&#10;dwc8fs3M/LdK3z6u2/p++XxRajyKoyUIT71/hv/b71rBAv6uhBsg1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QjGb4A&#10;AADa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b/>
                            <w:bCs/>
                            <w:color w:val="FF0000"/>
                            <w:sz w:val="18"/>
                            <w:szCs w:val="21"/>
                            <w:lang w:eastAsia="zh-CN"/>
                          </w:rPr>
                        </w:pPr>
                        <w:r>
                          <w:rPr>
                            <w:rFonts w:hint="eastAsia"/>
                            <w:b/>
                            <w:bCs/>
                            <w:color w:val="FF0000"/>
                            <w:sz w:val="18"/>
                            <w:szCs w:val="21"/>
                            <w:lang w:eastAsia="zh-CN"/>
                          </w:rPr>
                          <w:t>本项目</w:t>
                        </w:r>
                      </w:p>
                    </w:txbxContent>
                  </v:textbox>
                </v:shape>
                <v:shape id="文本框 3" o:spid="_x0000_s1026" o:spt="202" type="#_x0000_t202" style="position:absolute;left:9542;top:6613;height:471;width:1095;" filled="f" stroked="f" coordsize="21600,21600" o:gfxdata="UEsDBAoAAAAAAIdO4kAAAAAAAAAAAAAAAAAEAAAAZHJzL1BLAwQUAAAACACHTuJApGjsG70AAADb&#10;AAAADwAAAGRycy9kb3ducmV2LnhtbEVPTWvCQBC9F/wPyxR6q5sILSF1E0pAWoo9GL30NmbHJJid&#10;jdltov31XUHwNo/3Ocv8bDox0uBaywrieQSCuLK65VrBbrt6TkA4j6yxs0wKLuQgz2YPS0y1nXhD&#10;Y+lrEULYpaig8b5PpXRVQwbd3PbEgTvYwaAPcKilHnAK4aaTiyh6lQZbDg0N9lQ0VB3LX6Pgq1h9&#10;42a/MMlfV3ysD+/9affzotTTYxy9gfB09nfxzf2pw/wYrr+EA2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aOwb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安民村</w:t>
                        </w:r>
                      </w:p>
                    </w:txbxContent>
                  </v:textbox>
                </v:shape>
                <v:shape id="文本框 4" o:spid="_x0000_s1026" o:spt="202" type="#_x0000_t202" style="position:absolute;left:8236;top:6566;height:471;width:1615;" filled="f" stroked="f" coordsize="21600,21600" o:gfxdata="UEsDBAoAAAAAAIdO4kAAAAAAAAAAAAAAAAAEAAAAZHJzL1BLAwQUAAAACACHTuJAVLpybLoAAADb&#10;AAAADwAAAGRycy9kb3ducmV2LnhtbEVPy6rCMBDdC/5DGMGdphYUqUaRgijiXeh1425sxrbYTGoT&#10;X/frjSDc3RzOc6bzp6nEnRpXWlYw6EcgiDOrS84VHH6XvTEI55E1VpZJwYsczGft1hQTbR+8o/ve&#10;5yKEsEtQQeF9nUjpsoIMur6tiQN3to1BH2CTS93gI4SbSsZRNJIGSw4NBdaUFpRd9jejYJMuf3B3&#10;is34r0pX2/Oivh6OQ6W6nUE0AeHp6f/FX/dah/kxfH4JB8jZ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unJs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spacing w:line="240" w:lineRule="auto"/>
                          <w:rPr>
                            <w:rFonts w:hint="eastAsia" w:eastAsiaTheme="minor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龙江松安小学</w:t>
                        </w:r>
                      </w:p>
                    </w:txbxContent>
                  </v:textbox>
                </v:shape>
                <v:shape id="文本框 5" o:spid="_x0000_s1026" o:spt="202" type="#_x0000_t202" style="position:absolute;left:7140;top:7421;height:807;width:1410;" filled="f" stroked="f" coordsize="21600,21600" o:gfxdata="UEsDBAoAAAAAAIdO4kAAAAAAAAAAAAAAAAAEAAAAZHJzL1BLAwQUAAAACACHTuJAK4F0b7sAAADb&#10;AAAADwAAAGRycy9kb3ducmV2LnhtbEVPS4vCMBC+L/gfwgje1lRBkWoqUhAXcQ8+Lt7GZvrAZlKb&#10;rK9fvxEEb/PxPWc2v5taXKl1lWUFg34EgjizuuJCwWG//J6AcB5ZY22ZFDzIwTzpfM0w1vbGW7ru&#10;fCFCCLsYFZTeN7GULivJoOvbhjhwuW0N+gDbQuoWbyHc1HIYRWNpsOLQUGJDaUnZefdnFKzT5S9u&#10;T0MzedbpapMvmsvhOFKq1x1EUxCe7v4jfrt/dJg/htcv4QCZ/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4F0b7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spacing w:line="240" w:lineRule="auto"/>
                          <w:jc w:val="cente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北京师范大学</w:t>
                        </w:r>
                      </w:p>
                      <w:p>
                        <w:pPr>
                          <w:spacing w:line="240" w:lineRule="auto"/>
                          <w:jc w:val="center"/>
                          <w:rPr>
                            <w:rFonts w:hint="eastAsia" w:eastAsiaTheme="minor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附属学校</w:t>
                        </w:r>
                      </w:p>
                    </w:txbxContent>
                  </v:textbox>
                </v:shape>
                <v:shape id="文本框 6" o:spid="_x0000_s1026" o:spt="202" type="#_x0000_t202" style="position:absolute;left:7014;top:8380;height:471;width:1095;" filled="f" stroked="f" coordsize="21600,21600" o:gfxdata="UEsDBAoAAAAAAIdO4kAAAAAAAAAAAAAAAAAEAAAAZHJzL1BLAwQUAAAACACHTuJAlHIqoL8AAADb&#10;AAAADwAAAGRycy9kb3ducmV2LnhtbEWPQWvCQBSE7wX/w/IKvdWNgRaNrlICYin2kJhLb6/ZZxLM&#10;vo3Z1cT++m6h4HGYmW+Y1WY0rbhS7xrLCmbTCARxaXXDlYLisH2eg3AeWWNrmRTcyMFmPXlYYaLt&#10;wBldc1+JAGGXoILa+y6R0pU1GXRT2xEH72h7gz7IvpK6xyHATSvjKHqVBhsOCzV2lNZUnvKLUfCR&#10;bj8x+47N/KdNd/vjW3cuvl6UenqcRUsQnkZ/D/+337WCeAF/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yKq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塘东</w:t>
                        </w:r>
                      </w:p>
                    </w:txbxContent>
                  </v:textbox>
                </v:shape>
                <v:shape id="文本框 7" o:spid="_x0000_s1026" o:spt="202" type="#_x0000_t202" style="position:absolute;left:6713;top:9607;height:471;width:1095;" filled="f" stroked="f" coordsize="21600,21600" o:gfxdata="UEsDBAoAAAAAAIdO4kAAAAAAAAAAAAAAAAAEAAAAZHJzL1BLAwQUAAAACACHTuJAkOa2eL8AAADb&#10;AAAADwAAAGRycy9kb3ducmV2LnhtbEWPQWvCQBSE7wX/w/IEb3UTS4pE1yABaRF70Hrx9sw+k2D2&#10;bcxuNfrr3UKhx2FmvmHmWW8acaXO1ZYVxOMIBHFhdc2lgv336nUKwnlkjY1lUnAnB9li8DLHVNsb&#10;b+m686UIEHYpKqi8b1MpXVGRQTe2LXHwTrYz6IPsSqk7vAW4aeQkit6lwZrDQoUt5RUV592PUbDO&#10;V1+4PU7M9NHkH5vTsr3sD4lSo2EczUB46v1/+K/9qRW8Jf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mtni/&#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东南村</w:t>
                        </w:r>
                      </w:p>
                    </w:txbxContent>
                  </v:textbox>
                </v:shape>
                <v:shape id="文本框 8" o:spid="_x0000_s1026" o:spt="202" type="#_x0000_t202" style="position:absolute;left:7638;top:5874;height:471;width:1095;" filled="f" stroked="f" coordsize="21600,21600" o:gfxdata="UEsDBAoAAAAAAIdO4kAAAAAAAAAAAAAAAAAEAAAAZHJzL1BLAwQUAAAACACHTuJAYDQoD78AAADb&#10;AAAADwAAAGRycy9kb3ducmV2LnhtbEWPQWvCQBSE7wX/w/IEb3UTS0Wia5CAtIgeTL14e2afSTD7&#10;Nma3Gvvr3UKhx2FmvmEWaW8acaPO1ZYVxOMIBHFhdc2lgsPX+nUGwnlkjY1lUvAgB+ly8LLARNs7&#10;7+mW+1IECLsEFVTet4mUrqjIoBvbljh4Z9sZ9EF2pdQd3gPcNHISRVNpsOawUGFLWUXFJf82CjbZ&#10;eof708TMfprsY3tetdfD8V2p0TCO5iA89f4//Nf+1Arepv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A0K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松峰村</w:t>
                        </w:r>
                      </w:p>
                    </w:txbxContent>
                  </v:textbox>
                </v:shape>
                <v:shape id="文本框 9" o:spid="_x0000_s1026" o:spt="202" type="#_x0000_t202" style="position:absolute;left:6545;top:5240;height:471;width:1095;" filled="f" stroked="f" coordsize="21600,21600" o:gfxdata="UEsDBAoAAAAAAIdO4kAAAAAAAAAAAAAAAAAEAAAAZHJzL1BLAwQUAAAACACHTuJAD3iNlL4AAADb&#10;AAAADwAAAGRycy9kb3ducmV2LnhtbEWPT4vCMBTE78J+h/AWvGmqoluqUaQgiqwHXS97e9s822Lz&#10;Upv4bz+9EQSPw8z8hpnMbqYSF2pcaVlBrxuBIM6sLjlXsP9ZdGIQziNrrCyTgjs5mE0/WhNMtL3y&#10;li47n4sAYZeggsL7OpHSZQUZdF1bEwfvYBuDPsgml7rBa4CbSvajaCQNlhwWCqwpLSg77s5GwTpd&#10;bHD71zfxf5Uuvw/z+rT/HSrV/uxFYxCebv4dfrVXWsHgC5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3iNl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b/>
                            <w:bCs/>
                            <w:color w:val="00B0F0"/>
                            <w:sz w:val="18"/>
                            <w:szCs w:val="21"/>
                            <w:lang w:eastAsia="zh-CN"/>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龙江</w:t>
                        </w:r>
                      </w:p>
                    </w:txbxContent>
                  </v:textbox>
                </v:shape>
                <v:shape id="文本框 10" o:spid="_x0000_s1026" o:spt="202" type="#_x0000_t202" style="position:absolute;left:11329;top:2303;height:471;width:1095;" filled="f" stroked="f" coordsize="21600,21600" o:gfxdata="UEsDBAoAAAAAAIdO4kAAAAAAAAAAAAAAAAAEAAAAZHJzL1BLAwQUAAAACACHTuJAfucZ5rsAAADb&#10;AAAADwAAAGRycy9kb3ducmV2LnhtbEVPy4rCMBTdC/MP4Qqz09QO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ucZ5r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eastAsia" w:eastAsiaTheme="minor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龙江</w:t>
                        </w:r>
                      </w:p>
                    </w:txbxContent>
                  </v:textbox>
                </v:shape>
                <v:shape id="文本框 11" o:spid="_x0000_s1026" o:spt="202" type="#_x0000_t202" style="position:absolute;left:12750;top:8748;height:471;width:1095;" filled="f" stroked="f" coordsize="21600,21600" o:gfxdata="UEsDBAoAAAAAAIdO4kAAAAAAAAAAAAAAAAAEAAAAZHJzL1BLAwQUAAAACACHTuJAEau8fb4AAADb&#10;AAAADwAAAGRycy9kb3ducmV2LnhtbEWPS4vCQBCE7wv+h6EFb+tEZUWjo0hAFNGDj4u3NtMmwUxP&#10;zIyP9dfvLAgei6r6ihpPn6YUd6pdYVlBpx2BIE6tLjhTcNjPvwcgnEfWWFomBb/kYDppfI0x1vbB&#10;W7rvfCYChF2MCnLvq1hKl+Zk0LVtRRy8s60N+iDrTOoaHwFuStmNor40WHBYyLGiJKf0srsZBatk&#10;vsHtqWsGrzJZrM+z6no4/ijVanaiEQhPT/8Jv9tLraA3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u8f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桂巷</w:t>
                        </w:r>
                      </w:p>
                    </w:txbxContent>
                  </v:textbox>
                </v:shape>
                <v:shape id="文本框 12" o:spid="_x0000_s1026" o:spt="202" type="#_x0000_t202" style="position:absolute;left:11929;top:5169;height:471;width:1095;" filled="f" stroked="f" coordsize="21600,21600" o:gfxdata="UEsDBAoAAAAAAIdO4kAAAAAAAAAAAAAAAAAEAAAAZHJzL1BLAwQUAAAACACHTuJA2JdmnbsAAADb&#10;AAAADwAAAGRycy9kb3ducmV2LnhtbEVPy4rCMBTdC/MP4Qqz09Qy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Jdmnb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spacing w:line="240" w:lineRule="auto"/>
                          <w:rPr>
                            <w:rFonts w:hint="eastAsia" w:eastAsiaTheme="minorEastAsia"/>
                            <w:b/>
                            <w:bCs/>
                            <w:color w:val="FFFF00"/>
                            <w:sz w:val="18"/>
                            <w:szCs w:val="21"/>
                            <w:lang w:eastAsia="zh-CN"/>
                          </w:rPr>
                        </w:pPr>
                        <w:r>
                          <w:rPr>
                            <w:rFonts w:hint="eastAsia"/>
                            <w:b/>
                            <w:bCs/>
                            <w:color w:val="FFFF00"/>
                            <w:sz w:val="18"/>
                            <w:szCs w:val="21"/>
                            <w:lang w:eastAsia="zh-CN"/>
                          </w:rPr>
                          <w:t>李厝村</w:t>
                        </w:r>
                      </w:p>
                    </w:txbxContent>
                  </v:textbox>
                </v:shape>
              </v:group>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7315200</wp:posOffset>
                </wp:positionH>
                <wp:positionV relativeFrom="paragraph">
                  <wp:posOffset>636270</wp:posOffset>
                </wp:positionV>
                <wp:extent cx="209550" cy="342900"/>
                <wp:effectExtent l="15240" t="8890" r="22860" b="10160"/>
                <wp:wrapNone/>
                <wp:docPr id="61" name="上箭头 61"/>
                <wp:cNvGraphicFramePr/>
                <a:graphic xmlns:a="http://schemas.openxmlformats.org/drawingml/2006/main">
                  <a:graphicData uri="http://schemas.microsoft.com/office/word/2010/wordprocessingShape">
                    <wps:wsp>
                      <wps:cNvSpPr/>
                      <wps:spPr>
                        <a:xfrm>
                          <a:off x="0" y="0"/>
                          <a:ext cx="209550" cy="342900"/>
                        </a:xfrm>
                        <a:prstGeom prst="upArrow">
                          <a:avLst>
                            <a:gd name="adj1" fmla="val 40606"/>
                            <a:gd name="adj2" fmla="val 50000"/>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576pt;margin-top:50.1pt;height:27pt;width:16.5pt;z-index:251666432;v-text-anchor:middle;mso-width-relative:page;mso-height-relative:page;" fillcolor="#FFFFFF [3212]" filled="t" stroked="t" coordsize="21600,21600" o:gfxdata="UEsDBAoAAAAAAIdO4kAAAAAAAAAAAAAAAAAEAAAAZHJzL1BLAwQUAAAACACHTuJAdlq8/dcAAAAN&#10;AQAADwAAAGRycy9kb3ducmV2LnhtbE1PQW7CMBC8V+ofrK3UW7ETNREKcRAg9dJboeLsxCaOiNfB&#10;NoT+vsupvc3sjGZn6vXdjexmQhw8SsgWApjBzusBewnfh4+3JbCYFGo1ejQSfkyEdfP8VKtK+xm/&#10;zG2fekYhGCslwaY0VZzHzhqn4sJPBkk7+eBUIhp6roOaKdyNPBei5E4NSB+smszOmu68vzoJ5WHT&#10;zf3n9ng67sKmPV/KaGMp5etLJlbAkrmnPzM86lN1aKhT66+oIxuJZ0VOYxIhIXJgD0u2LOjUEire&#10;c+BNzf+vaH4BUEsDBBQAAAAIAIdO4kDNNCe5mAIAAEwFAAAOAAAAZHJzL2Uyb0RvYy54bWytVM1u&#10;EzEQviPxDpbvdDchSduomypqFIRU0UoFcXa83uwi/2E72ZRH4Dm4wokDDwTiNfjs3aZp4dADe/DO&#10;eMbfzHzj8dn5TkmyFc43Rhd0cJRTIjQ3ZaPXBX33dvnihBIfmC6ZNFoU9FZ4ej57/uystVMxNLWR&#10;pXAEINpPW1vQOgQ7zTLPa6GYPzJWaBgr4xQLUN06Kx1rga5kNszzSdYaV1pnuPAeu4vOSHtE9xRA&#10;U1UNFwvDN0ro0KE6IVlASb5urKezlG1VCR6uqsqLQGRBUWlIK4JAXsU1m52x6doxWze8T4E9JYVH&#10;NSnWaATdQy1YYGTjmr+gVMOd8aYKR9yorCskMYIqBvkjbm5qZkWqBVR7uyfd/z9Y/mZ77UhTFnQy&#10;oEQzhY7//PH597evv758J9gDQa31U/jd2GvXax5irHZXORX/qIPsEqm3e1LFLhCOzWF+Oh6Dbg7T&#10;y9HwNE+kZ/eHrfPhlTCKRKGgGzt3zrSJTba99CHRWva5sfID8qyURJe2TJJRPsknfRcPfIaHPuMc&#10;X/RB0B4R0l3YCO+NbMplI2VS3Hp1IR0BfEGX6esPP3CTmrSYn+ExsAlnmIQKNxCismDT6zUlTK4x&#10;Yjy4VMyD0/4wSMxvn+EDt5jkgvm6SyaZumJVEzCFslEFPTk8LTXKjA3rWhSllSlv0WNnusvvLV82&#10;gL1kPlwzBx6RP96DcIWlkgZFmV6ipDbu07/2oz8uIayUtJgeFPxxw5ygRL7WuJ6ng9EIsCEpo/Hx&#10;EIo7tKwOLXqjLgzIRmeRXRKjf5B3YuWMeo9nYx6jwsQ0R+yO2l65CN1U4+HhYj5Pbhgxy8KlvrE8&#10;gsfmajPfBFM1IV6He3Z6BUOWbkn/IMQpPtST1/0jOPs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dlq8/dcAAAANAQAADwAAAAAAAAABACAAAAAiAAAAZHJzL2Rvd25yZXYueG1sUEsBAhQAFAAAAAgA&#10;h07iQM00J7mYAgAATAUAAA4AAAAAAAAAAQAgAAAAJgEAAGRycy9lMm9Eb2MueG1sUEsFBgAAAAAG&#10;AAYAWQEAADAGAAAAAA==&#10;" adj="6600,6414">
                <v:fill on="t" focussize="0,0"/>
                <v:stroke weight="1pt" color="#000000 [3213]" miterlimit="8" joinstyle="miter"/>
                <v:imagedata o:title=""/>
                <o:lock v:ext="edit" aspectratio="f"/>
              </v:shape>
            </w:pict>
          </mc:Fallback>
        </mc:AlternateContent>
      </w:r>
      <w:bookmarkStart w:id="61" w:name="_Toc12823"/>
      <w:bookmarkStart w:id="62" w:name="_Toc25122"/>
      <w:r>
        <w:rPr>
          <w:rFonts w:hint="default"/>
          <w:color w:val="auto"/>
          <w:lang w:eastAsia="zh-CN"/>
        </w:rPr>
        <w:t>附图</w:t>
      </w:r>
      <w:r>
        <w:rPr>
          <w:rFonts w:hint="eastAsia"/>
          <w:color w:val="auto"/>
          <w:lang w:val="en-US" w:eastAsia="zh-CN"/>
        </w:rPr>
        <w:t xml:space="preserve">5 </w:t>
      </w:r>
      <w:r>
        <w:rPr>
          <w:rFonts w:hint="default"/>
          <w:color w:val="auto"/>
          <w:lang w:val="en-US" w:eastAsia="zh-CN"/>
        </w:rPr>
        <w:t xml:space="preserve"> 环境敏感目标图</w:t>
      </w:r>
      <w:bookmarkEnd w:id="61"/>
      <w:bookmarkEnd w:id="62"/>
      <w:bookmarkStart w:id="63" w:name="_Toc17614"/>
      <w:bookmarkStart w:id="64" w:name="_Toc25270"/>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eastAsia"/>
          <w:color w:val="auto"/>
          <w:lang w:val="en-US" w:eastAsia="zh-CN"/>
        </w:rPr>
      </w:pPr>
      <w:bookmarkStart w:id="65" w:name="_GoBack"/>
      <w:bookmarkEnd w:id="65"/>
      <w:r>
        <w:rPr>
          <w:rFonts w:hint="eastAsia"/>
          <w:color w:val="auto"/>
          <w:lang w:val="en-US" w:eastAsia="zh-CN"/>
        </w:rPr>
        <w:t>附件13：环境影响报告表公开文本删除内容、删除依据的说明</w:t>
      </w:r>
      <w:bookmarkEnd w:id="63"/>
      <w:bookmarkEnd w:id="64"/>
    </w:p>
    <w:p>
      <w:pPr>
        <w:spacing w:beforeLines="0" w:afterLines="0" w:line="360" w:lineRule="auto"/>
        <w:rPr>
          <w:rFonts w:hint="default" w:ascii="Times New Roman" w:hAnsi="Times New Roman" w:eastAsia="Times New Roman"/>
          <w:color w:val="auto"/>
          <w:sz w:val="24"/>
          <w:szCs w:val="24"/>
          <w:lang w:val="zh-CN"/>
        </w:rPr>
      </w:pPr>
      <w:r>
        <w:rPr>
          <w:color w:val="auto"/>
        </w:rPr>
        <w:drawing>
          <wp:inline distT="0" distB="0" distL="114300" distR="114300">
            <wp:extent cx="5676265" cy="6259830"/>
            <wp:effectExtent l="0" t="0" r="8255" b="3810"/>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40"/>
                    <a:stretch>
                      <a:fillRect/>
                    </a:stretch>
                  </pic:blipFill>
                  <pic:spPr>
                    <a:xfrm>
                      <a:off x="0" y="0"/>
                      <a:ext cx="5676265" cy="6259830"/>
                    </a:xfrm>
                    <a:prstGeom prst="rect">
                      <a:avLst/>
                    </a:prstGeom>
                    <a:noFill/>
                    <a:ln>
                      <a:noFill/>
                    </a:ln>
                  </pic:spPr>
                </pic:pic>
              </a:graphicData>
            </a:graphic>
          </wp:inline>
        </w:drawing>
      </w:r>
    </w:p>
    <w:p>
      <w:pPr>
        <w:spacing w:beforeLines="0" w:afterLines="0" w:line="360" w:lineRule="auto"/>
        <w:ind w:firstLine="480"/>
        <w:rPr>
          <w:rFonts w:hint="default" w:ascii="Times New Roman" w:hAnsi="Times New Roman" w:eastAsia="Times New Roman"/>
          <w:color w:val="auto"/>
          <w:sz w:val="24"/>
          <w:szCs w:val="24"/>
          <w:lang w:val="zh-CN"/>
        </w:rPr>
        <w:sectPr>
          <w:pgSz w:w="11906" w:h="16838"/>
          <w:pgMar w:top="1440" w:right="1800" w:bottom="1440" w:left="1800" w:header="720" w:footer="720" w:gutter="0"/>
          <w:pgBorders>
            <w:top w:val="none" w:sz="0" w:space="0"/>
            <w:left w:val="none" w:sz="0" w:space="0"/>
            <w:bottom w:val="none" w:sz="0" w:space="0"/>
            <w:right w:val="none" w:sz="0" w:space="0"/>
          </w:pgBorders>
          <w:lnNumType w:countBy="0" w:distance="360"/>
          <w:cols w:space="720" w:num="1"/>
          <w:docGrid w:type="lines" w:linePitch="312" w:charSpace="0"/>
        </w:sectPr>
      </w:pPr>
    </w:p>
    <w:p>
      <w:pPr>
        <w:pStyle w:val="10"/>
        <w:rPr>
          <w:rFonts w:hint="default"/>
          <w:color w:val="auto"/>
          <w:lang w:val="zh-CN"/>
        </w:rPr>
        <w:sectPr>
          <w:pgSz w:w="11906" w:h="16838"/>
          <w:pgMar w:top="1440" w:right="1800" w:bottom="1440" w:left="1800" w:header="720" w:footer="720" w:gutter="0"/>
          <w:pgBorders>
            <w:top w:val="none" w:sz="0" w:space="0"/>
            <w:left w:val="none" w:sz="0" w:space="0"/>
            <w:bottom w:val="none" w:sz="0" w:space="0"/>
            <w:right w:val="none" w:sz="0" w:space="0"/>
          </w:pgBorders>
          <w:lnNumType w:countBy="0" w:distance="360"/>
          <w:cols w:space="720" w:num="1"/>
          <w:docGrid w:type="lines" w:linePitch="312" w:charSpace="0"/>
        </w:sectPr>
      </w:pPr>
      <w:r>
        <w:rPr>
          <w:color w:val="auto"/>
        </w:rPr>
        <w:drawing>
          <wp:inline distT="0" distB="0" distL="114300" distR="114300">
            <wp:extent cx="4396740" cy="5897880"/>
            <wp:effectExtent l="0" t="0" r="7620" b="0"/>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41"/>
                    <a:stretch>
                      <a:fillRect/>
                    </a:stretch>
                  </pic:blipFill>
                  <pic:spPr>
                    <a:xfrm>
                      <a:off x="0" y="0"/>
                      <a:ext cx="4396740" cy="5897880"/>
                    </a:xfrm>
                    <a:prstGeom prst="rect">
                      <a:avLst/>
                    </a:prstGeom>
                    <a:noFill/>
                    <a:ln>
                      <a:noFill/>
                    </a:ln>
                  </pic:spPr>
                </pic:pic>
              </a:graphicData>
            </a:graphic>
          </wp:inline>
        </w:drawing>
      </w:r>
    </w:p>
    <w:p>
      <w:pPr>
        <w:pStyle w:val="6"/>
        <w:bidi w:val="0"/>
        <w:jc w:val="center"/>
        <w:outlineLvl w:val="0"/>
        <w:rPr>
          <w:rFonts w:hint="eastAsia"/>
          <w:color w:val="auto"/>
        </w:rPr>
      </w:pPr>
    </w:p>
    <w:sectPr>
      <w:pgSz w:w="16838" w:h="11906" w:orient="landscape"/>
      <w:pgMar w:top="1406" w:right="1440" w:bottom="1236"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方正小标宋简体">
    <w:panose1 w:val="03000509000000000000"/>
    <w:charset w:val="86"/>
    <w:family w:val="script"/>
    <w:pitch w:val="default"/>
    <w:sig w:usb0="00000001" w:usb1="080E0000" w:usb2="00000000" w:usb3="00000000" w:csb0="00040000" w:csb1="00000000"/>
  </w:font>
  <w:font w:name="新宋体">
    <w:panose1 w:val="02010609030101010101"/>
    <w:charset w:val="86"/>
    <w:family w:val="auto"/>
    <w:pitch w:val="default"/>
    <w:sig w:usb0="00000003" w:usb1="288F0000" w:usb2="00000006" w:usb3="00000000" w:csb0="00040001" w:csb1="00000000"/>
  </w:font>
  <w:font w:name="Tahoma">
    <w:panose1 w:val="020B0604030504040204"/>
    <w:charset w:val="00"/>
    <w:family w:val="auto"/>
    <w:pitch w:val="default"/>
    <w:sig w:usb0="E1002EFF" w:usb1="C000605B" w:usb2="00000029" w:usb3="00000000" w:csb0="200101FF" w:csb1="20280000"/>
  </w:font>
  <w:font w:name="华文中宋">
    <w:altName w:val="宋体"/>
    <w:panose1 w:val="02010600040101010101"/>
    <w:charset w:val="86"/>
    <w:family w:val="auto"/>
    <w:pitch w:val="default"/>
    <w:sig w:usb0="00000000" w:usb1="00000000" w:usb2="00000000" w:usb3="00000000" w:csb0="0004009F" w:csb1="DFD70000"/>
  </w:font>
  <w:font w:name="仿宋_GB2312">
    <w:panose1 w:val="02010609030101010101"/>
    <w:charset w:val="86"/>
    <w:family w:val="auto"/>
    <w:pitch w:val="default"/>
    <w:sig w:usb0="00000001" w:usb1="080E0000" w:usb2="00000000" w:usb3="00000000" w:csb0="00040000" w:csb1="00000000"/>
  </w:font>
  <w:font w:name="Wingdings 2">
    <w:panose1 w:val="05020102010507070707"/>
    <w:charset w:val="02"/>
    <w:family w:val="auto"/>
    <w:pitch w:val="default"/>
    <w:sig w:usb0="00000000" w:usb1="00000000" w:usb2="00000000" w:usb3="00000000" w:csb0="80000000" w:csb1="00000000"/>
  </w:font>
  <w:font w:name="Cambria Math">
    <w:panose1 w:val="02040503050406030204"/>
    <w:charset w:val="00"/>
    <w:family w:val="auto"/>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35A5D5"/>
    <w:multiLevelType w:val="singleLevel"/>
    <w:tmpl w:val="8835A5D5"/>
    <w:lvl w:ilvl="0" w:tentative="0">
      <w:start w:val="2"/>
      <w:numFmt w:val="chineseCounting"/>
      <w:suff w:val="nothing"/>
      <w:lvlText w:val="%1、"/>
      <w:lvlJc w:val="left"/>
      <w:rPr>
        <w:rFonts w:hint="eastAsia"/>
      </w:rPr>
    </w:lvl>
  </w:abstractNum>
  <w:abstractNum w:abstractNumId="1">
    <w:nsid w:val="FF942BB5"/>
    <w:multiLevelType w:val="singleLevel"/>
    <w:tmpl w:val="FF942BB5"/>
    <w:lvl w:ilvl="0" w:tentative="0">
      <w:start w:val="2"/>
      <w:numFmt w:val="decimal"/>
      <w:suff w:val="nothing"/>
      <w:lvlText w:val="（%1）"/>
      <w:lvlJc w:val="left"/>
    </w:lvl>
  </w:abstractNum>
  <w:abstractNum w:abstractNumId="2">
    <w:nsid w:val="2C7C3A53"/>
    <w:multiLevelType w:val="singleLevel"/>
    <w:tmpl w:val="2C7C3A53"/>
    <w:lvl w:ilvl="0" w:tentative="0">
      <w:start w:val="1"/>
      <w:numFmt w:val="decimal"/>
      <w:suff w:val="nothing"/>
      <w:lvlText w:val="（%1）"/>
      <w:lvlJc w:val="left"/>
    </w:lvl>
  </w:abstractNum>
  <w:abstractNum w:abstractNumId="3">
    <w:nsid w:val="56AF4760"/>
    <w:multiLevelType w:val="multilevel"/>
    <w:tmpl w:val="56AF4760"/>
    <w:lvl w:ilvl="0" w:tentative="0">
      <w:start w:val="1"/>
      <w:numFmt w:val="chineseCountingThousand"/>
      <w:suff w:val="nothing"/>
      <w:lvlText w:val="%1、"/>
      <w:lvlJc w:val="left"/>
      <w:pPr>
        <w:ind w:left="993" w:firstLine="0"/>
      </w:pPr>
      <w:rPr>
        <w:rFonts w:hint="eastAsia"/>
      </w:rPr>
    </w:lvl>
    <w:lvl w:ilvl="1" w:tentative="0">
      <w:start w:val="1"/>
      <w:numFmt w:val="decimal"/>
      <w:pStyle w:val="3"/>
      <w:isLgl/>
      <w:suff w:val="space"/>
      <w:lvlText w:val="%1.%2"/>
      <w:lvlJc w:val="left"/>
      <w:pPr>
        <w:ind w:left="0" w:firstLine="0"/>
      </w:pPr>
      <w:rPr>
        <w:rFonts w:hint="eastAsia"/>
      </w:rPr>
    </w:lvl>
    <w:lvl w:ilvl="2" w:tentative="0">
      <w:start w:val="1"/>
      <w:numFmt w:val="decimal"/>
      <w:isLgl/>
      <w:suff w:val="space"/>
      <w:lvlText w:val="%1.%2.%3"/>
      <w:lvlJc w:val="left"/>
      <w:pPr>
        <w:ind w:left="0" w:firstLine="0"/>
      </w:pPr>
      <w:rPr>
        <w:b/>
        <w:bCs w:val="0"/>
        <w:i w:val="0"/>
        <w:iCs w:val="0"/>
        <w:caps w:val="0"/>
        <w:smallCaps w:val="0"/>
        <w:strike w:val="0"/>
        <w:dstrike w:val="0"/>
        <w:vanish w:val="0"/>
        <w:spacing w:val="0"/>
        <w:position w:val="0"/>
        <w:u w:val="none"/>
        <w:vertAlign w:val="baseline"/>
      </w:rPr>
    </w:lvl>
    <w:lvl w:ilvl="3" w:tentative="0">
      <w:start w:val="1"/>
      <w:numFmt w:val="decimal"/>
      <w:isLgl/>
      <w:suff w:val="space"/>
      <w:lvlText w:val="%1.%2.%3.%4"/>
      <w:lvlJc w:val="left"/>
      <w:pPr>
        <w:ind w:left="0" w:firstLine="0"/>
      </w:pPr>
      <w:rPr>
        <w:rFonts w:hint="eastAsia"/>
      </w:rPr>
    </w:lvl>
    <w:lvl w:ilvl="4" w:tentative="0">
      <w:start w:val="1"/>
      <w:numFmt w:val="decimal"/>
      <w:lvlRestart w:val="2"/>
      <w:isLgl/>
      <w:suff w:val="space"/>
      <w:lvlText w:val="表%1.%2-%5"/>
      <w:lvlJc w:val="left"/>
      <w:pPr>
        <w:ind w:left="0" w:firstLine="0"/>
      </w:pPr>
    </w:lvl>
    <w:lvl w:ilvl="5" w:tentative="0">
      <w:start w:val="1"/>
      <w:numFmt w:val="decimal"/>
      <w:lvlRestart w:val="2"/>
      <w:isLgl/>
      <w:suff w:val="space"/>
      <w:lvlText w:val="图%1.%2-%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4">
    <w:nsid w:val="5FE46ACD"/>
    <w:multiLevelType w:val="multilevel"/>
    <w:tmpl w:val="5FE46ACD"/>
    <w:lvl w:ilvl="0" w:tentative="0">
      <w:start w:val="1"/>
      <w:numFmt w:val="chineseCounting"/>
      <w:suff w:val="space"/>
      <w:lvlText w:val="%1、"/>
      <w:lvlJc w:val="left"/>
      <w:pPr>
        <w:tabs>
          <w:tab w:val="left" w:pos="0"/>
        </w:tabs>
        <w:ind w:left="0" w:firstLine="0"/>
      </w:pPr>
      <w:rPr>
        <w:rFonts w:hint="eastAsia" w:ascii="Times New Roman" w:hAnsi="Times New Roman" w:eastAsia="黑体" w:cs="宋体"/>
        <w:b/>
        <w:sz w:val="30"/>
      </w:rPr>
    </w:lvl>
    <w:lvl w:ilvl="1" w:tentative="0">
      <w:start w:val="1"/>
      <w:numFmt w:val="decimal"/>
      <w:isLgl/>
      <w:suff w:val="space"/>
      <w:lvlText w:val="%1.%2"/>
      <w:lvlJc w:val="left"/>
      <w:pPr>
        <w:tabs>
          <w:tab w:val="left" w:pos="420"/>
        </w:tabs>
        <w:ind w:left="0" w:firstLine="0"/>
      </w:pPr>
      <w:rPr>
        <w:rFonts w:hint="eastAsia" w:ascii="Times New Roman" w:hAnsi="Times New Roman" w:eastAsia="宋体" w:cs="宋体"/>
        <w:b/>
        <w:sz w:val="30"/>
      </w:rPr>
    </w:lvl>
    <w:lvl w:ilvl="2" w:tentative="0">
      <w:start w:val="1"/>
      <w:numFmt w:val="decimal"/>
      <w:isLgl/>
      <w:suff w:val="space"/>
      <w:lvlText w:val="%1.%2.%3"/>
      <w:lvlJc w:val="left"/>
      <w:pPr>
        <w:tabs>
          <w:tab w:val="left" w:pos="704"/>
        </w:tabs>
        <w:ind w:left="1277" w:hanging="993"/>
      </w:pPr>
      <w:rPr>
        <w:rFonts w:hint="eastAsia" w:ascii="Times New Roman" w:hAnsi="Times New Roman" w:eastAsia="宋体" w:cs="宋体"/>
        <w:b/>
        <w:sz w:val="28"/>
      </w:rPr>
    </w:lvl>
    <w:lvl w:ilvl="3" w:tentative="0">
      <w:start w:val="1"/>
      <w:numFmt w:val="decimal"/>
      <w:lvlRestart w:val="2"/>
      <w:isLgl/>
      <w:suff w:val="space"/>
      <w:lvlText w:val="%1.%2.%3.%4"/>
      <w:lvlJc w:val="left"/>
      <w:pPr>
        <w:tabs>
          <w:tab w:val="left" w:pos="420"/>
        </w:tabs>
        <w:ind w:left="3545" w:hanging="2504"/>
      </w:pPr>
      <w:rPr>
        <w:rFonts w:hint="eastAsia" w:ascii="Times New Roman" w:hAnsi="Times New Roman" w:eastAsia="宋体" w:cs="宋体"/>
        <w:b/>
        <w:sz w:val="24"/>
      </w:rPr>
    </w:lvl>
    <w:lvl w:ilvl="4" w:tentative="0">
      <w:start w:val="1"/>
      <w:numFmt w:val="decimal"/>
      <w:lvlRestart w:val="2"/>
      <w:pStyle w:val="56"/>
      <w:isLgl/>
      <w:suff w:val="space"/>
      <w:lvlText w:val="表%1.%2-%5"/>
      <w:lvlJc w:val="center"/>
      <w:pPr>
        <w:tabs>
          <w:tab w:val="left" w:pos="1701"/>
        </w:tabs>
        <w:ind w:left="2901" w:firstLine="0"/>
      </w:pPr>
      <w:rPr>
        <w:rFonts w:hint="eastAsia" w:ascii="Times New Roman" w:hAnsi="Times New Roman" w:eastAsia="宋体" w:cs="宋体"/>
        <w:b/>
        <w:sz w:val="24"/>
      </w:rPr>
    </w:lvl>
    <w:lvl w:ilvl="5" w:tentative="0">
      <w:start w:val="1"/>
      <w:numFmt w:val="decimal"/>
      <w:lvlRestart w:val="2"/>
      <w:pStyle w:val="68"/>
      <w:isLgl/>
      <w:suff w:val="space"/>
      <w:lvlText w:val="图%1.%2-%6"/>
      <w:lvlJc w:val="left"/>
      <w:pPr>
        <w:tabs>
          <w:tab w:val="left" w:pos="0"/>
        </w:tabs>
        <w:ind w:left="0" w:firstLine="0"/>
      </w:pPr>
      <w:rPr>
        <w:rFonts w:hint="eastAsia" w:ascii="Times New Roman" w:hAnsi="Times New Roman" w:eastAsia="宋体" w:cs="宋体"/>
        <w:b/>
        <w:sz w:val="24"/>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dkOTMzYjFjODYxNGQ5NmJmNDJiMWZiZGNmZTdlOWEifQ=="/>
  </w:docVars>
  <w:rsids>
    <w:rsidRoot w:val="00172A27"/>
    <w:rsid w:val="03DD6157"/>
    <w:rsid w:val="10E92BAF"/>
    <w:rsid w:val="15701EA3"/>
    <w:rsid w:val="18B3042C"/>
    <w:rsid w:val="1C5E03BC"/>
    <w:rsid w:val="1D7746A1"/>
    <w:rsid w:val="22795DD3"/>
    <w:rsid w:val="2CF77874"/>
    <w:rsid w:val="2D4A2327"/>
    <w:rsid w:val="2F7A5D6D"/>
    <w:rsid w:val="348C275A"/>
    <w:rsid w:val="39427C18"/>
    <w:rsid w:val="419B4A6B"/>
    <w:rsid w:val="457B2B2E"/>
    <w:rsid w:val="47A30116"/>
    <w:rsid w:val="4D4F6F26"/>
    <w:rsid w:val="501A102A"/>
    <w:rsid w:val="50F637D5"/>
    <w:rsid w:val="51BC28DD"/>
    <w:rsid w:val="526C3EBC"/>
    <w:rsid w:val="539F0E25"/>
    <w:rsid w:val="53C91C8C"/>
    <w:rsid w:val="5A7D628D"/>
    <w:rsid w:val="64BF14FE"/>
    <w:rsid w:val="738B47C2"/>
    <w:rsid w:val="78872734"/>
    <w:rsid w:val="79DD15E2"/>
    <w:rsid w:val="7BBF0338"/>
    <w:rsid w:val="7D5E13B5"/>
    <w:rsid w:val="7F617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qFormat="1"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76"/>
    <w:qFormat/>
    <w:uiPriority w:val="99"/>
    <w:pPr>
      <w:keepNext/>
      <w:overflowPunct w:val="0"/>
      <w:snapToGrid w:val="0"/>
      <w:spacing w:line="360" w:lineRule="auto"/>
      <w:ind w:left="0" w:firstLine="0"/>
      <w:outlineLvl w:val="0"/>
    </w:pPr>
    <w:rPr>
      <w:rFonts w:eastAsia="黑体"/>
      <w:b/>
      <w:bCs/>
      <w:color w:val="000000"/>
      <w:kern w:val="44"/>
      <w:sz w:val="30"/>
      <w:szCs w:val="30"/>
    </w:rPr>
  </w:style>
  <w:style w:type="paragraph" w:styleId="3">
    <w:name w:val="heading 2"/>
    <w:basedOn w:val="1"/>
    <w:next w:val="1"/>
    <w:qFormat/>
    <w:uiPriority w:val="0"/>
    <w:pPr>
      <w:numPr>
        <w:ilvl w:val="1"/>
        <w:numId w:val="1"/>
      </w:numPr>
      <w:spacing w:line="360" w:lineRule="auto"/>
      <w:outlineLvl w:val="1"/>
    </w:pPr>
    <w:rPr>
      <w:rFonts w:ascii="Times New Roman" w:hAnsi="Times New Roman" w:eastAsia="宋体"/>
      <w:b/>
      <w:bCs/>
      <w:kern w:val="0"/>
      <w:sz w:val="28"/>
      <w:szCs w:val="28"/>
    </w:rPr>
  </w:style>
  <w:style w:type="paragraph" w:styleId="4">
    <w:name w:val="heading 3"/>
    <w:basedOn w:val="1"/>
    <w:next w:val="1"/>
    <w:link w:val="84"/>
    <w:unhideWhenUsed/>
    <w:qFormat/>
    <w:uiPriority w:val="0"/>
    <w:pPr>
      <w:keepNext/>
      <w:keepLines/>
      <w:spacing w:beforeLines="0" w:beforeAutospacing="0" w:afterLines="0" w:afterAutospacing="0" w:line="360" w:lineRule="auto"/>
      <w:outlineLvl w:val="2"/>
    </w:pPr>
    <w:rPr>
      <w:rFonts w:ascii="Times New Roman" w:hAnsi="Times New Roman" w:eastAsia="宋体"/>
      <w:b/>
      <w:sz w:val="24"/>
    </w:rPr>
  </w:style>
  <w:style w:type="paragraph" w:styleId="5">
    <w:name w:val="heading 4"/>
    <w:basedOn w:val="1"/>
    <w:next w:val="1"/>
    <w:link w:val="80"/>
    <w:unhideWhenUsed/>
    <w:qFormat/>
    <w:uiPriority w:val="0"/>
    <w:pPr>
      <w:keepNext/>
      <w:keepLines/>
      <w:ind w:firstLine="0" w:firstLineChars="0"/>
      <w:outlineLvl w:val="3"/>
    </w:pPr>
    <w:rPr>
      <w:rFonts w:ascii="Times New Roman" w:hAnsi="Times New Roman" w:eastAsia="宋体"/>
      <w:b/>
      <w:bCs/>
    </w:rPr>
  </w:style>
  <w:style w:type="paragraph" w:styleId="6">
    <w:name w:val="heading 5"/>
    <w:basedOn w:val="1"/>
    <w:next w:val="1"/>
    <w:link w:val="81"/>
    <w:unhideWhenUsed/>
    <w:qFormat/>
    <w:uiPriority w:val="0"/>
    <w:pPr>
      <w:keepNext/>
      <w:keepLines/>
      <w:spacing w:beforeLines="0" w:beforeAutospacing="0" w:afterLines="0" w:afterAutospacing="0" w:line="240" w:lineRule="auto"/>
      <w:outlineLvl w:val="4"/>
    </w:pPr>
    <w:rPr>
      <w:rFonts w:ascii="Times New Roman" w:hAnsi="Times New Roman" w:eastAsia="宋体"/>
      <w:b/>
      <w:sz w:val="21"/>
      <w:szCs w:val="21"/>
    </w:rPr>
  </w:style>
  <w:style w:type="paragraph" w:styleId="7">
    <w:name w:val="heading 6"/>
    <w:basedOn w:val="1"/>
    <w:next w:val="1"/>
    <w:link w:val="85"/>
    <w:semiHidden/>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character" w:default="1" w:styleId="28">
    <w:name w:val="Default Paragraph Font"/>
    <w:semiHidden/>
    <w:qFormat/>
    <w:uiPriority w:val="0"/>
  </w:style>
  <w:style w:type="table" w:default="1" w:styleId="26">
    <w:name w:val="Normal Table"/>
    <w:semiHidden/>
    <w:qFormat/>
    <w:uiPriority w:val="0"/>
    <w:tblPr>
      <w:tblCellMar>
        <w:top w:w="0" w:type="dxa"/>
        <w:left w:w="108" w:type="dxa"/>
        <w:bottom w:w="0" w:type="dxa"/>
        <w:right w:w="108" w:type="dxa"/>
      </w:tblCellMar>
    </w:tblPr>
  </w:style>
  <w:style w:type="paragraph" w:styleId="8">
    <w:name w:val="table of authorities"/>
    <w:basedOn w:val="1"/>
    <w:next w:val="1"/>
    <w:semiHidden/>
    <w:qFormat/>
    <w:uiPriority w:val="0"/>
    <w:pPr>
      <w:ind w:left="420" w:leftChars="200"/>
    </w:pPr>
  </w:style>
  <w:style w:type="paragraph" w:styleId="9">
    <w:name w:val="Note Heading"/>
    <w:basedOn w:val="1"/>
    <w:next w:val="1"/>
    <w:qFormat/>
    <w:uiPriority w:val="0"/>
    <w:pPr>
      <w:widowControl w:val="0"/>
      <w:tabs>
        <w:tab w:val="left" w:pos="1980"/>
        <w:tab w:val="left" w:pos="3825"/>
        <w:tab w:val="left" w:pos="4680"/>
      </w:tabs>
    </w:pPr>
    <w:rPr>
      <w:rFonts w:ascii="Times New Roman" w:hAnsi="Times New Roman"/>
      <w:kern w:val="2"/>
    </w:rPr>
  </w:style>
  <w:style w:type="paragraph" w:styleId="10">
    <w:name w:val="Normal Indent"/>
    <w:basedOn w:val="1"/>
    <w:next w:val="11"/>
    <w:qFormat/>
    <w:uiPriority w:val="0"/>
    <w:pPr>
      <w:ind w:firstLine="420"/>
    </w:pPr>
  </w:style>
  <w:style w:type="paragraph" w:styleId="11">
    <w:name w:val="Body Text First Indent 2"/>
    <w:basedOn w:val="12"/>
    <w:next w:val="13"/>
    <w:qFormat/>
    <w:uiPriority w:val="0"/>
    <w:pPr>
      <w:ind w:firstLine="420" w:firstLineChars="200"/>
    </w:pPr>
    <w:rPr>
      <w:rFonts w:ascii="Times New Roman" w:hAnsi="Times New Roman" w:eastAsia="宋体" w:cs="Times New Roman"/>
      <w:lang w:val="en-US" w:eastAsia="zh-CN" w:bidi="ar-SA"/>
    </w:rPr>
  </w:style>
  <w:style w:type="paragraph" w:styleId="12">
    <w:name w:val="Body Text Indent"/>
    <w:basedOn w:val="1"/>
    <w:next w:val="11"/>
    <w:qFormat/>
    <w:uiPriority w:val="0"/>
    <w:pPr>
      <w:spacing w:after="120"/>
      <w:ind w:left="420" w:leftChars="200"/>
    </w:pPr>
    <w:rPr>
      <w:kern w:val="0"/>
      <w:szCs w:val="20"/>
    </w:rPr>
  </w:style>
  <w:style w:type="paragraph" w:styleId="13">
    <w:name w:val="Body Text First Indent"/>
    <w:basedOn w:val="14"/>
    <w:next w:val="1"/>
    <w:qFormat/>
    <w:uiPriority w:val="0"/>
    <w:pPr>
      <w:overflowPunct w:val="0"/>
      <w:autoSpaceDE w:val="0"/>
      <w:autoSpaceDN w:val="0"/>
      <w:adjustRightInd w:val="0"/>
      <w:spacing w:line="360" w:lineRule="auto"/>
      <w:ind w:firstLine="539"/>
      <w:textAlignment w:val="baseline"/>
    </w:pPr>
    <w:rPr>
      <w:kern w:val="0"/>
      <w:sz w:val="28"/>
      <w:szCs w:val="20"/>
    </w:rPr>
  </w:style>
  <w:style w:type="paragraph" w:styleId="14">
    <w:name w:val="Body Text"/>
    <w:basedOn w:val="1"/>
    <w:next w:val="9"/>
    <w:qFormat/>
    <w:uiPriority w:val="0"/>
    <w:pPr>
      <w:widowControl/>
      <w:snapToGrid w:val="0"/>
      <w:spacing w:before="60" w:after="160" w:line="259" w:lineRule="auto"/>
      <w:ind w:right="113"/>
    </w:pPr>
    <w:rPr>
      <w:kern w:val="0"/>
      <w:sz w:val="18"/>
      <w:szCs w:val="20"/>
    </w:rPr>
  </w:style>
  <w:style w:type="paragraph" w:styleId="15">
    <w:name w:val="annotation text"/>
    <w:basedOn w:val="1"/>
    <w:qFormat/>
    <w:uiPriority w:val="0"/>
    <w:pPr>
      <w:jc w:val="left"/>
    </w:pPr>
  </w:style>
  <w:style w:type="paragraph" w:styleId="16">
    <w:name w:val="Salutation"/>
    <w:next w:val="1"/>
    <w:unhideWhenUsed/>
    <w:qFormat/>
    <w:uiPriority w:val="99"/>
    <w:pPr>
      <w:widowControl w:val="0"/>
      <w:spacing w:line="307" w:lineRule="auto"/>
      <w:jc w:val="both"/>
    </w:pPr>
    <w:rPr>
      <w:rFonts w:ascii="Times New Roman" w:hAnsi="Times New Roman" w:eastAsia="宋体" w:cs="Times New Roman"/>
      <w:kern w:val="2"/>
      <w:sz w:val="21"/>
      <w:szCs w:val="24"/>
      <w:lang w:val="en-US" w:eastAsia="zh-CN" w:bidi="ar-SA"/>
    </w:rPr>
  </w:style>
  <w:style w:type="paragraph" w:styleId="17">
    <w:name w:val="List 2"/>
    <w:basedOn w:val="1"/>
    <w:qFormat/>
    <w:uiPriority w:val="0"/>
    <w:pPr>
      <w:spacing w:line="240" w:lineRule="auto"/>
      <w:ind w:left="0" w:leftChars="0" w:firstLine="0" w:firstLineChars="0"/>
      <w:jc w:val="center"/>
    </w:pPr>
    <w:rPr>
      <w:rFonts w:ascii="Times New Roman" w:hAnsi="Times New Roman"/>
      <w:sz w:val="21"/>
    </w:rPr>
  </w:style>
  <w:style w:type="paragraph" w:styleId="18">
    <w:name w:val="Body Text Indent 2"/>
    <w:basedOn w:val="1"/>
    <w:qFormat/>
    <w:uiPriority w:val="0"/>
    <w:pPr>
      <w:widowControl/>
      <w:spacing w:line="360" w:lineRule="auto"/>
      <w:ind w:firstLine="560"/>
      <w:jc w:val="left"/>
    </w:pPr>
    <w:rPr>
      <w:rFonts w:ascii="Times New Roman" w:hAnsi="Times New Roman"/>
      <w:sz w:val="24"/>
    </w:rPr>
  </w:style>
  <w:style w:type="paragraph" w:styleId="19">
    <w:name w:val="footer"/>
    <w:basedOn w:val="1"/>
    <w:qFormat/>
    <w:uiPriority w:val="99"/>
    <w:pPr>
      <w:tabs>
        <w:tab w:val="center" w:pos="4153"/>
        <w:tab w:val="right" w:pos="8306"/>
      </w:tabs>
      <w:snapToGrid w:val="0"/>
      <w:jc w:val="left"/>
    </w:pPr>
    <w:rPr>
      <w:kern w:val="0"/>
      <w:sz w:val="18"/>
      <w:szCs w:val="20"/>
    </w:rPr>
  </w:style>
  <w:style w:type="paragraph" w:styleId="20">
    <w:name w:val="header"/>
    <w:basedOn w:val="1"/>
    <w:next w:val="21"/>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1">
    <w:name w:val="样式5"/>
    <w:basedOn w:val="1"/>
    <w:qFormat/>
    <w:uiPriority w:val="0"/>
    <w:pPr>
      <w:widowControl/>
      <w:adjustRightInd w:val="0"/>
      <w:snapToGrid w:val="0"/>
      <w:spacing w:line="240" w:lineRule="exact"/>
      <w:ind w:firstLine="200" w:firstLineChars="200"/>
    </w:pPr>
    <w:rPr>
      <w:rFonts w:ascii="Times New Roman" w:hAnsi="宋体" w:eastAsia="宋体" w:cs="Times New Roman"/>
      <w:spacing w:val="-10"/>
      <w:kern w:val="0"/>
      <w:sz w:val="18"/>
      <w:szCs w:val="24"/>
      <w:lang w:bidi="en-US"/>
    </w:rPr>
  </w:style>
  <w:style w:type="paragraph" w:styleId="22">
    <w:name w:val="toc 1"/>
    <w:basedOn w:val="1"/>
    <w:next w:val="1"/>
    <w:qFormat/>
    <w:uiPriority w:val="0"/>
  </w:style>
  <w:style w:type="paragraph" w:styleId="23">
    <w:name w:val="Subtitle"/>
    <w:basedOn w:val="1"/>
    <w:next w:val="1"/>
    <w:qFormat/>
    <w:uiPriority w:val="11"/>
    <w:pPr>
      <w:spacing w:line="240" w:lineRule="auto"/>
      <w:ind w:firstLine="0" w:firstLineChars="0"/>
      <w:jc w:val="center"/>
    </w:pPr>
    <w:rPr>
      <w:bCs/>
      <w:kern w:val="28"/>
      <w:sz w:val="21"/>
      <w:szCs w:val="32"/>
    </w:rPr>
  </w:style>
  <w:style w:type="paragraph" w:styleId="24">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5">
    <w:name w:val="Title"/>
    <w:basedOn w:val="1"/>
    <w:next w:val="1"/>
    <w:qFormat/>
    <w:uiPriority w:val="0"/>
    <w:pPr>
      <w:spacing w:before="240" w:after="60"/>
      <w:jc w:val="center"/>
      <w:outlineLvl w:val="0"/>
    </w:pPr>
    <w:rPr>
      <w:rFonts w:ascii="Cambria" w:hAnsi="Cambria" w:eastAsia="方正小标宋简体"/>
      <w:bCs/>
      <w:spacing w:val="0"/>
      <w:kern w:val="0"/>
      <w:sz w:val="36"/>
      <w:szCs w:val="32"/>
    </w:rPr>
  </w:style>
  <w:style w:type="table" w:styleId="27">
    <w:name w:val="Table Grid"/>
    <w:basedOn w:val="26"/>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annotation reference"/>
    <w:qFormat/>
    <w:uiPriority w:val="0"/>
    <w:rPr>
      <w:rFonts w:ascii="宋体" w:hAnsi="宋体" w:eastAsia="宋体" w:cs="Courier New"/>
      <w:sz w:val="21"/>
      <w:szCs w:val="32"/>
    </w:rPr>
  </w:style>
  <w:style w:type="paragraph" w:customStyle="1" w:styleId="30">
    <w:name w:val="样式 正文文本缩进 + 行距: 1.5 倍行距"/>
    <w:basedOn w:val="1"/>
    <w:qFormat/>
    <w:uiPriority w:val="0"/>
    <w:pPr>
      <w:spacing w:after="120" w:line="360" w:lineRule="auto"/>
      <w:ind w:left="90" w:leftChars="32" w:firstLine="560" w:firstLineChars="200"/>
    </w:pPr>
    <w:rPr>
      <w:rFonts w:cs="宋体"/>
      <w:sz w:val="24"/>
    </w:rPr>
  </w:style>
  <w:style w:type="paragraph" w:customStyle="1" w:styleId="31">
    <w:name w:val="图表标题"/>
    <w:basedOn w:val="1"/>
    <w:next w:val="1"/>
    <w:qFormat/>
    <w:uiPriority w:val="0"/>
    <w:pPr>
      <w:spacing w:line="240" w:lineRule="auto"/>
      <w:ind w:firstLine="0" w:firstLineChars="0"/>
      <w:jc w:val="center"/>
    </w:pPr>
    <w:rPr>
      <w:b/>
    </w:rPr>
  </w:style>
  <w:style w:type="paragraph" w:customStyle="1" w:styleId="32">
    <w:name w:val="表格内容"/>
    <w:basedOn w:val="33"/>
    <w:qFormat/>
    <w:uiPriority w:val="0"/>
    <w:pPr>
      <w:spacing w:line="240" w:lineRule="auto"/>
      <w:ind w:firstLine="0" w:firstLineChars="0"/>
      <w:jc w:val="center"/>
    </w:pPr>
    <w:rPr>
      <w:sz w:val="18"/>
    </w:rPr>
  </w:style>
  <w:style w:type="paragraph" w:customStyle="1" w:styleId="33">
    <w:name w:val="表头"/>
    <w:basedOn w:val="34"/>
    <w:next w:val="1"/>
    <w:qFormat/>
    <w:uiPriority w:val="0"/>
    <w:pPr>
      <w:adjustRightInd w:val="0"/>
      <w:spacing w:line="360" w:lineRule="auto"/>
      <w:ind w:firstLine="0" w:firstLineChars="0"/>
      <w:jc w:val="center"/>
    </w:pPr>
    <w:rPr>
      <w:rFonts w:eastAsia="新宋体"/>
      <w:b/>
      <w:kern w:val="0"/>
    </w:rPr>
  </w:style>
  <w:style w:type="paragraph" w:customStyle="1" w:styleId="34">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35">
    <w:name w:val="正文的格式52"/>
    <w:basedOn w:val="1"/>
    <w:qFormat/>
    <w:uiPriority w:val="0"/>
    <w:pPr>
      <w:ind w:firstLine="200" w:firstLineChars="200"/>
    </w:pPr>
    <w:rPr>
      <w:szCs w:val="20"/>
    </w:rPr>
  </w:style>
  <w:style w:type="paragraph" w:customStyle="1" w:styleId="36">
    <w:name w:val="表头111"/>
    <w:basedOn w:val="37"/>
    <w:qFormat/>
    <w:uiPriority w:val="0"/>
    <w:pPr>
      <w:autoSpaceDE w:val="0"/>
      <w:autoSpaceDN w:val="0"/>
      <w:adjustRightInd w:val="0"/>
      <w:ind w:firstLine="0" w:firstLineChars="0"/>
      <w:jc w:val="center"/>
      <w:textAlignment w:val="baseline"/>
    </w:pPr>
    <w:rPr>
      <w:rFonts w:eastAsia="黑体"/>
      <w:szCs w:val="20"/>
    </w:rPr>
  </w:style>
  <w:style w:type="paragraph" w:customStyle="1" w:styleId="37">
    <w:name w:val="正文格式"/>
    <w:basedOn w:val="38"/>
    <w:qFormat/>
    <w:uiPriority w:val="0"/>
  </w:style>
  <w:style w:type="paragraph" w:customStyle="1" w:styleId="38">
    <w:name w:val="lin正文"/>
    <w:basedOn w:val="14"/>
    <w:qFormat/>
    <w:uiPriority w:val="0"/>
    <w:pPr>
      <w:widowControl w:val="0"/>
      <w:spacing w:line="560" w:lineRule="exact"/>
      <w:ind w:firstLine="200" w:firstLineChars="200"/>
    </w:pPr>
    <w:rPr>
      <w:rFonts w:ascii="Tahoma" w:hAnsi="Tahoma"/>
      <w:color w:val="000000"/>
      <w:szCs w:val="24"/>
    </w:rPr>
  </w:style>
  <w:style w:type="paragraph" w:customStyle="1" w:styleId="39">
    <w:name w:val="环评 表格"/>
    <w:basedOn w:val="40"/>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40">
    <w:name w:val="无间隔1"/>
    <w:qFormat/>
    <w:uiPriority w:val="1"/>
    <w:pPr>
      <w:widowControl w:val="0"/>
      <w:ind w:firstLine="200" w:firstLineChars="200"/>
      <w:jc w:val="both"/>
    </w:pPr>
    <w:rPr>
      <w:rFonts w:ascii="Calibri" w:hAnsi="Calibri" w:eastAsia="宋体" w:cs="Calibri"/>
      <w:kern w:val="2"/>
      <w:sz w:val="24"/>
      <w:szCs w:val="24"/>
      <w:lang w:val="en-US" w:eastAsia="zh-CN" w:bidi="ar-SA"/>
    </w:rPr>
  </w:style>
  <w:style w:type="paragraph" w:customStyle="1" w:styleId="41">
    <w:name w:val="表格内文字"/>
    <w:next w:val="1"/>
    <w:qFormat/>
    <w:uiPriority w:val="99"/>
    <w:pPr>
      <w:widowControl w:val="0"/>
      <w:adjustRightInd w:val="0"/>
      <w:snapToGrid w:val="0"/>
    </w:pPr>
    <w:rPr>
      <w:rFonts w:ascii="Times New Roman" w:hAnsi="Times New Roman" w:eastAsia="宋体" w:cs="Times New Roman"/>
      <w:spacing w:val="6"/>
      <w:sz w:val="21"/>
      <w:szCs w:val="24"/>
      <w:lang w:val="en-US" w:eastAsia="zh-CN" w:bidi="ar-SA"/>
    </w:rPr>
  </w:style>
  <w:style w:type="paragraph" w:customStyle="1" w:styleId="42">
    <w:name w:val="6表格"/>
    <w:basedOn w:val="1"/>
    <w:qFormat/>
    <w:uiPriority w:val="0"/>
    <w:pPr>
      <w:jc w:val="center"/>
    </w:pPr>
  </w:style>
  <w:style w:type="character" w:customStyle="1" w:styleId="43">
    <w:name w:val="宗兴表文字"/>
    <w:basedOn w:val="28"/>
    <w:qFormat/>
    <w:uiPriority w:val="0"/>
    <w:rPr>
      <w:rFonts w:ascii="Times New Roman" w:hAnsi="Times New Roman" w:eastAsia="宋体"/>
      <w:color w:val="000000"/>
      <w:sz w:val="21"/>
    </w:rPr>
  </w:style>
  <w:style w:type="paragraph" w:customStyle="1" w:styleId="44">
    <w:name w:val="表格固定文字"/>
    <w:basedOn w:val="1"/>
    <w:qFormat/>
    <w:uiPriority w:val="0"/>
    <w:pPr>
      <w:ind w:firstLine="0"/>
    </w:pPr>
    <w:rPr>
      <w:rFonts w:eastAsia="宋体"/>
      <w:sz w:val="21"/>
      <w:szCs w:val="24"/>
    </w:rPr>
  </w:style>
  <w:style w:type="paragraph" w:customStyle="1" w:styleId="45">
    <w:name w:val="木易正文"/>
    <w:basedOn w:val="1"/>
    <w:qFormat/>
    <w:uiPriority w:val="0"/>
    <w:pPr>
      <w:spacing w:line="520" w:lineRule="exact"/>
      <w:ind w:firstLine="200" w:firstLineChars="200"/>
    </w:pPr>
    <w:rPr>
      <w:color w:val="003366"/>
      <w:sz w:val="24"/>
    </w:rPr>
  </w:style>
  <w:style w:type="paragraph" w:customStyle="1" w:styleId="46">
    <w:name w:val="常用"/>
    <w:basedOn w:val="1"/>
    <w:qFormat/>
    <w:uiPriority w:val="0"/>
    <w:pPr>
      <w:widowControl/>
      <w:spacing w:line="360" w:lineRule="auto"/>
      <w:ind w:firstLine="200" w:firstLineChars="200"/>
      <w:jc w:val="left"/>
    </w:pPr>
    <w:rPr>
      <w:rFonts w:ascii="宋体" w:hAnsi="宋体" w:eastAsia="宋体"/>
      <w:kern w:val="0"/>
      <w:szCs w:val="28"/>
    </w:rPr>
  </w:style>
  <w:style w:type="paragraph" w:customStyle="1" w:styleId="47">
    <w:name w:val="a表格"/>
    <w:basedOn w:val="1"/>
    <w:qFormat/>
    <w:uiPriority w:val="0"/>
    <w:pPr>
      <w:snapToGrid w:val="0"/>
      <w:ind w:firstLine="0"/>
      <w:jc w:val="center"/>
    </w:pPr>
    <w:rPr>
      <w:rFonts w:eastAsia="宋体"/>
      <w:sz w:val="21"/>
      <w:szCs w:val="24"/>
    </w:rPr>
  </w:style>
  <w:style w:type="paragraph" w:customStyle="1" w:styleId="48">
    <w:name w:val="表正文"/>
    <w:basedOn w:val="1"/>
    <w:qFormat/>
    <w:uiPriority w:val="0"/>
    <w:pPr>
      <w:spacing w:line="360" w:lineRule="auto"/>
      <w:ind w:firstLine="200" w:firstLineChars="200"/>
    </w:pPr>
    <w:rPr>
      <w:sz w:val="24"/>
    </w:rPr>
  </w:style>
  <w:style w:type="paragraph" w:customStyle="1" w:styleId="49">
    <w:name w:val="表格正文"/>
    <w:basedOn w:val="1"/>
    <w:qFormat/>
    <w:uiPriority w:val="0"/>
    <w:pPr>
      <w:spacing w:line="240" w:lineRule="auto"/>
      <w:ind w:firstLine="0" w:firstLineChars="0"/>
      <w:jc w:val="center"/>
    </w:pPr>
    <w:rPr>
      <w:sz w:val="21"/>
    </w:rPr>
  </w:style>
  <w:style w:type="table" w:customStyle="1" w:styleId="50">
    <w:name w:val="网格型7"/>
    <w:basedOn w:val="26"/>
    <w:qFormat/>
    <w:uiPriority w:val="0"/>
    <w:pPr>
      <w:widowControl w:val="0"/>
      <w:jc w:val="both"/>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51">
    <w:name w:val="表头aaaa"/>
    <w:basedOn w:val="1"/>
    <w:next w:val="1"/>
    <w:qFormat/>
    <w:uiPriority w:val="0"/>
    <w:pPr>
      <w:widowControl w:val="0"/>
      <w:adjustRightInd w:val="0"/>
      <w:snapToGrid w:val="0"/>
      <w:spacing w:line="360" w:lineRule="auto"/>
      <w:jc w:val="center"/>
    </w:pPr>
    <w:rPr>
      <w:b/>
      <w:sz w:val="24"/>
    </w:rPr>
  </w:style>
  <w:style w:type="paragraph" w:customStyle="1" w:styleId="52">
    <w:name w:val="正文-规范文本"/>
    <w:basedOn w:val="1"/>
    <w:qFormat/>
    <w:uiPriority w:val="0"/>
    <w:pPr>
      <w:wordWrap w:val="0"/>
      <w:autoSpaceDE w:val="0"/>
      <w:autoSpaceDN w:val="0"/>
      <w:adjustRightInd w:val="0"/>
      <w:snapToGrid w:val="0"/>
      <w:spacing w:line="360" w:lineRule="auto"/>
      <w:ind w:firstLine="720" w:firstLineChars="200"/>
      <w:jc w:val="left"/>
    </w:pPr>
    <w:rPr>
      <w:rFonts w:hint="eastAsia" w:ascii="Times New Roman" w:hAnsi="Times New Roman" w:eastAsia="宋体" w:cs="宋体"/>
      <w:kern w:val="0"/>
      <w:szCs w:val="21"/>
    </w:rPr>
  </w:style>
  <w:style w:type="paragraph" w:customStyle="1" w:styleId="53">
    <w:name w:val="屠彪标题"/>
    <w:basedOn w:val="1"/>
    <w:qFormat/>
    <w:uiPriority w:val="0"/>
    <w:pPr>
      <w:adjustRightInd w:val="0"/>
      <w:snapToGrid w:val="0"/>
      <w:spacing w:before="10" w:beforeLines="10" w:after="10" w:afterLines="10"/>
      <w:jc w:val="center"/>
    </w:pPr>
    <w:rPr>
      <w:rFonts w:ascii="Times New Roman" w:hAnsi="Times New Roman" w:eastAsia="宋体"/>
      <w:b/>
      <w:kern w:val="0"/>
      <w:sz w:val="24"/>
      <w:szCs w:val="20"/>
    </w:rPr>
  </w:style>
  <w:style w:type="paragraph" w:customStyle="1" w:styleId="54">
    <w:name w:val="标题2"/>
    <w:basedOn w:val="8"/>
    <w:qFormat/>
    <w:uiPriority w:val="0"/>
    <w:pPr>
      <w:spacing w:beforeLines="50" w:afterLines="50"/>
      <w:ind w:left="0" w:leftChars="0" w:firstLine="0" w:firstLineChars="0"/>
      <w:jc w:val="both"/>
    </w:pPr>
    <w:rPr>
      <w:rFonts w:ascii="宋体" w:hAnsi="宋体"/>
      <w:b/>
      <w:sz w:val="28"/>
      <w:szCs w:val="28"/>
    </w:rPr>
  </w:style>
  <w:style w:type="paragraph" w:customStyle="1" w:styleId="55">
    <w:name w:val="正文-小四"/>
    <w:basedOn w:val="1"/>
    <w:qFormat/>
    <w:uiPriority w:val="0"/>
    <w:pPr>
      <w:wordWrap w:val="0"/>
      <w:autoSpaceDE w:val="0"/>
      <w:autoSpaceDN w:val="0"/>
      <w:adjustRightInd w:val="0"/>
      <w:snapToGrid w:val="0"/>
      <w:spacing w:line="360" w:lineRule="auto"/>
      <w:ind w:firstLine="720" w:firstLineChars="200"/>
      <w:jc w:val="left"/>
    </w:pPr>
    <w:rPr>
      <w:rFonts w:hint="eastAsia" w:ascii="Times New Roman" w:hAnsi="Times New Roman" w:eastAsia="宋体" w:cs="宋体"/>
      <w:kern w:val="0"/>
      <w:szCs w:val="21"/>
    </w:rPr>
  </w:style>
  <w:style w:type="paragraph" w:customStyle="1" w:styleId="56">
    <w:name w:val="表格标题"/>
    <w:basedOn w:val="1"/>
    <w:next w:val="57"/>
    <w:qFormat/>
    <w:uiPriority w:val="0"/>
    <w:pPr>
      <w:numPr>
        <w:ilvl w:val="4"/>
        <w:numId w:val="2"/>
      </w:numPr>
      <w:tabs>
        <w:tab w:val="left" w:pos="0"/>
      </w:tabs>
      <w:adjustRightInd/>
      <w:spacing w:line="360" w:lineRule="auto"/>
      <w:ind w:left="0" w:firstLineChars="0"/>
      <w:jc w:val="center"/>
    </w:pPr>
    <w:rPr>
      <w:rFonts w:ascii="Times New Roman" w:hAnsi="Times New Roman" w:eastAsia="宋体"/>
      <w:b/>
    </w:rPr>
  </w:style>
  <w:style w:type="paragraph" w:customStyle="1" w:styleId="57">
    <w:name w:val="5段落"/>
    <w:basedOn w:val="1"/>
    <w:qFormat/>
    <w:uiPriority w:val="0"/>
    <w:pPr>
      <w:spacing w:line="360" w:lineRule="auto"/>
      <w:ind w:firstLine="480" w:firstLineChars="200"/>
    </w:pPr>
    <w:rPr>
      <w:color w:val="000000"/>
      <w:sz w:val="24"/>
    </w:rPr>
  </w:style>
  <w:style w:type="paragraph" w:customStyle="1" w:styleId="58">
    <w:name w:val="表格的字"/>
    <w:basedOn w:val="59"/>
    <w:next w:val="1"/>
    <w:qFormat/>
    <w:uiPriority w:val="0"/>
    <w:pPr>
      <w:adjustRightInd/>
      <w:spacing w:line="240" w:lineRule="auto"/>
      <w:ind w:firstLine="0" w:firstLineChars="0"/>
      <w:jc w:val="center"/>
    </w:pPr>
    <w:rPr>
      <w:sz w:val="21"/>
      <w:szCs w:val="24"/>
    </w:rPr>
  </w:style>
  <w:style w:type="paragraph" w:customStyle="1" w:styleId="59">
    <w:name w:val="项目基本情况的字"/>
    <w:basedOn w:val="1"/>
    <w:qFormat/>
    <w:uiPriority w:val="0"/>
    <w:pPr>
      <w:jc w:val="center"/>
    </w:pPr>
    <w:rPr>
      <w:rFonts w:cs="宋体"/>
    </w:rPr>
  </w:style>
  <w:style w:type="paragraph" w:customStyle="1" w:styleId="60">
    <w:name w:val="表内文字"/>
    <w:basedOn w:val="57"/>
    <w:qFormat/>
    <w:uiPriority w:val="0"/>
    <w:pPr>
      <w:spacing w:line="240" w:lineRule="auto"/>
      <w:ind w:firstLine="0" w:firstLineChars="0"/>
      <w:jc w:val="center"/>
    </w:pPr>
    <w:rPr>
      <w:sz w:val="21"/>
      <w:szCs w:val="21"/>
    </w:rPr>
  </w:style>
  <w:style w:type="paragraph" w:customStyle="1" w:styleId="61">
    <w:name w:val="正文-3"/>
    <w:basedOn w:val="1"/>
    <w:qFormat/>
    <w:uiPriority w:val="0"/>
    <w:pPr>
      <w:wordWrap w:val="0"/>
      <w:topLinePunct/>
      <w:spacing w:line="360" w:lineRule="auto"/>
      <w:ind w:firstLine="480" w:firstLineChars="200"/>
    </w:pPr>
    <w:rPr>
      <w:rFonts w:ascii="Times New Roman" w:hAnsi="Times New Roman" w:eastAsia="宋体"/>
      <w:color w:val="000000"/>
    </w:rPr>
  </w:style>
  <w:style w:type="paragraph" w:customStyle="1" w:styleId="62">
    <w:name w:val="正文-22"/>
    <w:basedOn w:val="1"/>
    <w:next w:val="63"/>
    <w:qFormat/>
    <w:uiPriority w:val="0"/>
    <w:pPr>
      <w:wordWrap w:val="0"/>
      <w:autoSpaceDE w:val="0"/>
      <w:autoSpaceDN w:val="0"/>
      <w:adjustRightInd w:val="0"/>
      <w:snapToGrid w:val="0"/>
      <w:spacing w:line="360" w:lineRule="auto"/>
      <w:ind w:firstLine="720" w:firstLineChars="200"/>
      <w:jc w:val="left"/>
    </w:pPr>
    <w:rPr>
      <w:rFonts w:hint="eastAsia" w:ascii="Times New Roman" w:hAnsi="Times New Roman" w:eastAsia="宋体" w:cs="宋体"/>
      <w:kern w:val="0"/>
      <w:szCs w:val="21"/>
    </w:rPr>
  </w:style>
  <w:style w:type="paragraph" w:customStyle="1" w:styleId="63">
    <w:name w:val="正文-1"/>
    <w:basedOn w:val="1"/>
    <w:qFormat/>
    <w:uiPriority w:val="0"/>
    <w:pPr>
      <w:wordWrap w:val="0"/>
      <w:topLinePunct/>
      <w:spacing w:line="360" w:lineRule="auto"/>
      <w:ind w:firstLine="480" w:firstLineChars="200"/>
    </w:pPr>
    <w:rPr>
      <w:rFonts w:ascii="Times New Roman" w:hAnsi="Times New Roman" w:eastAsia="宋体"/>
      <w:color w:val="000000"/>
    </w:rPr>
  </w:style>
  <w:style w:type="paragraph" w:customStyle="1" w:styleId="64">
    <w:name w:val="文本-正文"/>
    <w:basedOn w:val="1"/>
    <w:qFormat/>
    <w:uiPriority w:val="0"/>
    <w:pPr>
      <w:wordWrap w:val="0"/>
      <w:spacing w:line="360" w:lineRule="auto"/>
      <w:ind w:firstLine="200" w:firstLineChars="200"/>
    </w:pPr>
    <w:rPr>
      <w:rFonts w:ascii="Times New Roman" w:hAnsi="Times New Roman" w:eastAsia="宋体"/>
      <w:sz w:val="24"/>
      <w:szCs w:val="20"/>
    </w:rPr>
  </w:style>
  <w:style w:type="paragraph" w:customStyle="1" w:styleId="65">
    <w:name w:val="正文-yss"/>
    <w:basedOn w:val="1"/>
    <w:qFormat/>
    <w:uiPriority w:val="0"/>
    <w:pPr>
      <w:wordWrap w:val="0"/>
      <w:autoSpaceDE w:val="0"/>
      <w:autoSpaceDN w:val="0"/>
      <w:adjustRightInd w:val="0"/>
      <w:snapToGrid w:val="0"/>
      <w:spacing w:line="360" w:lineRule="auto"/>
      <w:ind w:firstLine="720" w:firstLineChars="200"/>
      <w:jc w:val="left"/>
    </w:pPr>
    <w:rPr>
      <w:rFonts w:hint="eastAsia" w:ascii="Times New Roman" w:hAnsi="Times New Roman" w:eastAsia="宋体" w:cs="宋体"/>
      <w:kern w:val="0"/>
      <w:szCs w:val="21"/>
    </w:rPr>
  </w:style>
  <w:style w:type="paragraph" w:customStyle="1" w:styleId="66">
    <w:name w:val="样式 首行缩进:  2 字符1"/>
    <w:basedOn w:val="1"/>
    <w:qFormat/>
    <w:uiPriority w:val="0"/>
    <w:pPr>
      <w:adjustRightInd w:val="0"/>
      <w:snapToGrid w:val="0"/>
      <w:spacing w:line="360" w:lineRule="auto"/>
      <w:ind w:firstLine="480" w:firstLineChars="200"/>
    </w:pPr>
    <w:rPr>
      <w:color w:val="000000"/>
    </w:rPr>
  </w:style>
  <w:style w:type="paragraph" w:customStyle="1" w:styleId="67">
    <w:name w:val="正文-2"/>
    <w:basedOn w:val="1"/>
    <w:qFormat/>
    <w:uiPriority w:val="0"/>
    <w:pPr>
      <w:wordWrap w:val="0"/>
      <w:autoSpaceDE w:val="0"/>
      <w:autoSpaceDN w:val="0"/>
      <w:adjustRightInd w:val="0"/>
      <w:snapToGrid w:val="0"/>
      <w:spacing w:line="360" w:lineRule="auto"/>
      <w:ind w:firstLine="720" w:firstLineChars="200"/>
      <w:jc w:val="left"/>
    </w:pPr>
    <w:rPr>
      <w:rFonts w:hint="eastAsia" w:cs="宋体"/>
      <w:kern w:val="0"/>
      <w:szCs w:val="21"/>
    </w:rPr>
  </w:style>
  <w:style w:type="paragraph" w:customStyle="1" w:styleId="68">
    <w:name w:val="图件标题"/>
    <w:basedOn w:val="1"/>
    <w:qFormat/>
    <w:uiPriority w:val="0"/>
    <w:pPr>
      <w:numPr>
        <w:ilvl w:val="5"/>
        <w:numId w:val="2"/>
      </w:numPr>
      <w:jc w:val="center"/>
    </w:pPr>
    <w:rPr>
      <w:b/>
    </w:rPr>
  </w:style>
  <w:style w:type="paragraph" w:customStyle="1" w:styleId="69">
    <w:name w:val="表格内容（）"/>
    <w:basedOn w:val="1"/>
    <w:qFormat/>
    <w:uiPriority w:val="0"/>
    <w:pPr>
      <w:widowControl w:val="0"/>
      <w:spacing w:line="240" w:lineRule="auto"/>
      <w:ind w:firstLine="0" w:firstLineChars="0"/>
      <w:jc w:val="center"/>
    </w:pPr>
    <w:rPr>
      <w:color w:val="00B0F0"/>
      <w:sz w:val="21"/>
      <w:szCs w:val="21"/>
    </w:rPr>
  </w:style>
  <w:style w:type="character" w:customStyle="1" w:styleId="70">
    <w:name w:val="font11"/>
    <w:basedOn w:val="28"/>
    <w:qFormat/>
    <w:uiPriority w:val="0"/>
    <w:rPr>
      <w:rFonts w:hint="default" w:ascii="Times New Roman" w:hAnsi="Times New Roman" w:cs="Times New Roman"/>
      <w:color w:val="000000"/>
      <w:sz w:val="18"/>
      <w:szCs w:val="18"/>
      <w:u w:val="none"/>
    </w:rPr>
  </w:style>
  <w:style w:type="character" w:customStyle="1" w:styleId="71">
    <w:name w:val="font21"/>
    <w:basedOn w:val="28"/>
    <w:qFormat/>
    <w:uiPriority w:val="0"/>
    <w:rPr>
      <w:rFonts w:hint="default" w:ascii="Times New Roman" w:hAnsi="Times New Roman" w:cs="Times New Roman"/>
      <w:color w:val="000000"/>
      <w:sz w:val="21"/>
      <w:szCs w:val="21"/>
      <w:u w:val="none"/>
    </w:rPr>
  </w:style>
  <w:style w:type="paragraph" w:customStyle="1" w:styleId="72">
    <w:name w:val="表格的格式"/>
    <w:basedOn w:val="1"/>
    <w:qFormat/>
    <w:uiPriority w:val="0"/>
    <w:pPr>
      <w:jc w:val="center"/>
    </w:pPr>
    <w:rPr>
      <w:kern w:val="0"/>
      <w:sz w:val="20"/>
      <w:szCs w:val="21"/>
    </w:rPr>
  </w:style>
  <w:style w:type="paragraph" w:customStyle="1" w:styleId="73">
    <w:name w:val="这才是正文"/>
    <w:basedOn w:val="74"/>
    <w:qFormat/>
    <w:uiPriority w:val="0"/>
    <w:pPr>
      <w:spacing w:line="360" w:lineRule="auto"/>
    </w:pPr>
    <w:rPr>
      <w:sz w:val="24"/>
    </w:rPr>
  </w:style>
  <w:style w:type="paragraph" w:customStyle="1" w:styleId="74">
    <w:name w:val="[正文格式]"/>
    <w:basedOn w:val="1"/>
    <w:qFormat/>
    <w:uiPriority w:val="0"/>
    <w:pPr>
      <w:spacing w:line="440" w:lineRule="exact"/>
      <w:ind w:firstLine="500"/>
    </w:pPr>
    <w:rPr>
      <w:rFonts w:ascii="Calibri" w:hAnsi="Calibri"/>
      <w:sz w:val="25"/>
      <w:szCs w:val="20"/>
    </w:rPr>
  </w:style>
  <w:style w:type="paragraph" w:customStyle="1" w:styleId="75">
    <w:name w:val="Default"/>
    <w:qFormat/>
    <w:uiPriority w:val="0"/>
    <w:pPr>
      <w:widowControl w:val="0"/>
      <w:autoSpaceDE w:val="0"/>
      <w:autoSpaceDN w:val="0"/>
      <w:adjustRightInd w:val="0"/>
    </w:pPr>
    <w:rPr>
      <w:rFonts w:ascii="华文中宋" w:hAnsi="Times New Roman" w:eastAsia="华文中宋" w:cs="华文中宋"/>
      <w:color w:val="000000"/>
      <w:sz w:val="24"/>
      <w:szCs w:val="24"/>
      <w:lang w:val="en-US" w:eastAsia="zh-CN" w:bidi="ar-SA"/>
    </w:rPr>
  </w:style>
  <w:style w:type="character" w:customStyle="1" w:styleId="76">
    <w:name w:val="标题 1 Char"/>
    <w:link w:val="2"/>
    <w:qFormat/>
    <w:uiPriority w:val="0"/>
    <w:rPr>
      <w:rFonts w:eastAsia="黑体"/>
      <w:b/>
      <w:bCs/>
      <w:color w:val="000000"/>
      <w:kern w:val="44"/>
      <w:sz w:val="30"/>
      <w:szCs w:val="30"/>
    </w:rPr>
  </w:style>
  <w:style w:type="paragraph" w:customStyle="1" w:styleId="77">
    <w:name w:val="表格文本"/>
    <w:basedOn w:val="1"/>
    <w:qFormat/>
    <w:uiPriority w:val="0"/>
    <w:pPr>
      <w:autoSpaceDE w:val="0"/>
      <w:autoSpaceDN w:val="0"/>
      <w:spacing w:line="320" w:lineRule="exact"/>
      <w:jc w:val="center"/>
      <w:textAlignment w:val="baseline"/>
    </w:pPr>
    <w:rPr>
      <w:rFonts w:ascii="Times New Roman" w:hAnsi="Times New Roman" w:eastAsia="宋体"/>
      <w:kern w:val="0"/>
      <w:sz w:val="21"/>
      <w:szCs w:val="20"/>
    </w:rPr>
  </w:style>
  <w:style w:type="paragraph" w:customStyle="1" w:styleId="78">
    <w:name w:val="表格名称"/>
    <w:basedOn w:val="1"/>
    <w:next w:val="41"/>
    <w:qFormat/>
    <w:uiPriority w:val="0"/>
    <w:pPr>
      <w:widowControl/>
      <w:snapToGrid w:val="0"/>
      <w:jc w:val="center"/>
    </w:pPr>
    <w:rPr>
      <w:rFonts w:hint="default" w:ascii="Times New Roman" w:hAnsi="Times New Roman"/>
      <w:b/>
      <w:kern w:val="0"/>
      <w:sz w:val="24"/>
      <w:szCs w:val="20"/>
    </w:rPr>
  </w:style>
  <w:style w:type="paragraph" w:customStyle="1" w:styleId="79">
    <w:name w:val="Table Paragraph"/>
    <w:basedOn w:val="1"/>
    <w:unhideWhenUsed/>
    <w:qFormat/>
    <w:uiPriority w:val="0"/>
    <w:pPr>
      <w:widowControl w:val="0"/>
      <w:autoSpaceDE w:val="0"/>
      <w:autoSpaceDN w:val="0"/>
      <w:adjustRightInd w:val="0"/>
      <w:jc w:val="left"/>
    </w:pPr>
    <w:rPr>
      <w:rFonts w:hint="eastAsia" w:ascii="宋体"/>
      <w:sz w:val="24"/>
    </w:rPr>
  </w:style>
  <w:style w:type="character" w:customStyle="1" w:styleId="80">
    <w:name w:val="标题 4 Char"/>
    <w:link w:val="5"/>
    <w:qFormat/>
    <w:uiPriority w:val="0"/>
    <w:rPr>
      <w:rFonts w:ascii="Times New Roman" w:hAnsi="Times New Roman" w:eastAsia="宋体"/>
      <w:b/>
      <w:bCs/>
    </w:rPr>
  </w:style>
  <w:style w:type="character" w:customStyle="1" w:styleId="81">
    <w:name w:val="标题 5 Char"/>
    <w:link w:val="6"/>
    <w:qFormat/>
    <w:uiPriority w:val="0"/>
    <w:rPr>
      <w:rFonts w:ascii="Times New Roman" w:hAnsi="Times New Roman" w:eastAsia="宋体"/>
      <w:b/>
      <w:sz w:val="21"/>
      <w:szCs w:val="21"/>
    </w:rPr>
  </w:style>
  <w:style w:type="paragraph" w:customStyle="1" w:styleId="82">
    <w:name w:val="WPSOffice手动目录 1"/>
    <w:qFormat/>
    <w:uiPriority w:val="0"/>
    <w:pPr>
      <w:ind w:leftChars="0"/>
    </w:pPr>
    <w:rPr>
      <w:rFonts w:ascii="Times New Roman" w:hAnsi="Times New Roman" w:eastAsia="宋体" w:cs="Times New Roman"/>
      <w:sz w:val="20"/>
      <w:szCs w:val="20"/>
    </w:rPr>
  </w:style>
  <w:style w:type="paragraph" w:customStyle="1" w:styleId="83">
    <w:name w:val="WPSOffice手动目录 2"/>
    <w:qFormat/>
    <w:uiPriority w:val="0"/>
    <w:pPr>
      <w:ind w:leftChars="200"/>
    </w:pPr>
    <w:rPr>
      <w:rFonts w:ascii="Times New Roman" w:hAnsi="Times New Roman" w:eastAsia="宋体" w:cs="Times New Roman"/>
      <w:sz w:val="20"/>
      <w:szCs w:val="20"/>
    </w:rPr>
  </w:style>
  <w:style w:type="character" w:customStyle="1" w:styleId="84">
    <w:name w:val="标题 3 Char"/>
    <w:link w:val="4"/>
    <w:uiPriority w:val="0"/>
    <w:rPr>
      <w:rFonts w:ascii="Times New Roman" w:hAnsi="Times New Roman" w:eastAsia="宋体"/>
      <w:b/>
      <w:sz w:val="24"/>
    </w:rPr>
  </w:style>
  <w:style w:type="character" w:customStyle="1" w:styleId="85">
    <w:name w:val="标题 6 Char"/>
    <w:link w:val="7"/>
    <w:qFormat/>
    <w:uiPriority w:val="0"/>
    <w:rPr>
      <w:rFonts w:ascii="Arial" w:hAnsi="Arial" w:eastAsia="黑体"/>
      <w:b/>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wmf"/><Relationship Id="rId24" Type="http://schemas.openxmlformats.org/officeDocument/2006/relationships/oleObject" Target="embeddings/oleObject4.bin"/><Relationship Id="rId23" Type="http://schemas.openxmlformats.org/officeDocument/2006/relationships/image" Target="media/image14.wmf"/><Relationship Id="rId22" Type="http://schemas.openxmlformats.org/officeDocument/2006/relationships/oleObject" Target="embeddings/oleObject3.bin"/><Relationship Id="rId21" Type="http://schemas.openxmlformats.org/officeDocument/2006/relationships/image" Target="media/image13.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wmf"/><Relationship Id="rId17" Type="http://schemas.openxmlformats.org/officeDocument/2006/relationships/oleObject" Target="embeddings/oleObject1.bin"/><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105</Pages>
  <Words>48969</Words>
  <Characters>56107</Characters>
  <Lines>0</Lines>
  <Paragraphs>0</Paragraphs>
  <TotalTime>1</TotalTime>
  <ScaleCrop>false</ScaleCrop>
  <LinksUpToDate>false</LinksUpToDate>
  <CharactersWithSpaces>56469</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2024-08-28T11:54:00Z</dcterms:created>
  <dc:creator>LLL</dc:creator>
  <cp:lastModifiedBy>NTKO</cp:lastModifiedBy>
  <dcterms:modified xsi:type="dcterms:W3CDTF">2024-11-12T08:55:30Z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C11C69F717DA4D80884565DE828BEBCE_13</vt:lpwstr>
  </property>
</Properties>
</file>