
<file path=[Content_Types].xml><?xml version="1.0" encoding="utf-8"?>
<Types xmlns="http://schemas.openxmlformats.org/package/2006/content-types">
  <Default Extension="xml" ContentType="application/xml"/>
  <Default Extension="pptx" ContentType="application/vnd.openxmlformats-officedocument.presentationml.presentation"/>
  <Default Extension="sldx" ContentType="application/vnd.openxmlformats-officedocument.presentationml.slide"/>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color w:val="000000" w:themeColor="text1"/>
          <w14:textFill>
            <w14:solidFill>
              <w14:schemeClr w14:val="tx1"/>
            </w14:solidFill>
          </w14:textFill>
        </w:rPr>
        <w:sectPr>
          <w:headerReference r:id="rId5" w:type="default"/>
          <w:footerReference r:id="rId6" w:type="default"/>
          <w:footerReference r:id="rId7" w:type="even"/>
          <w:pgSz w:w="11906" w:h="16838"/>
          <w:pgMar w:top="1701" w:right="1531" w:bottom="1701" w:left="1531" w:header="851" w:footer="1077" w:gutter="0"/>
          <w:pgNumType w:start="1"/>
          <w:cols w:space="720" w:num="1"/>
          <w:docGrid w:linePitch="312" w:charSpace="0"/>
        </w:sectPr>
      </w:pPr>
      <w:r>
        <w:rPr>
          <w:color w:val="000000" w:themeColor="text1"/>
          <w14:textFill>
            <w14:solidFill>
              <w14:schemeClr w14:val="tx1"/>
            </w14:solidFill>
          </w14:textFill>
        </w:rPr>
        <w:drawing>
          <wp:anchor distT="0" distB="0" distL="114300" distR="114300" simplePos="0" relativeHeight="251777024" behindDoc="1" locked="0" layoutInCell="1" allowOverlap="1">
            <wp:simplePos x="0" y="0"/>
            <wp:positionH relativeFrom="column">
              <wp:posOffset>-981710</wp:posOffset>
            </wp:positionH>
            <wp:positionV relativeFrom="paragraph">
              <wp:posOffset>-1091565</wp:posOffset>
            </wp:positionV>
            <wp:extent cx="7579995" cy="10694670"/>
            <wp:effectExtent l="0" t="0" r="1905" b="11430"/>
            <wp:wrapNone/>
            <wp:docPr id="199" name="图片 199" descr="1号车间环评检测材料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1号车间环评检测材料_1"/>
                    <pic:cNvPicPr>
                      <a:picLocks noChangeAspect="1"/>
                    </pic:cNvPicPr>
                  </pic:nvPicPr>
                  <pic:blipFill>
                    <a:blip r:embed="rId16"/>
                    <a:stretch>
                      <a:fillRect/>
                    </a:stretch>
                  </pic:blipFill>
                  <pic:spPr>
                    <a:xfrm>
                      <a:off x="0" y="0"/>
                      <a:ext cx="7579995" cy="10694670"/>
                    </a:xfrm>
                    <a:prstGeom prst="rect">
                      <a:avLst/>
                    </a:prstGeom>
                  </pic:spPr>
                </pic:pic>
              </a:graphicData>
            </a:graphic>
          </wp:anchor>
        </w:drawing>
      </w:r>
      <w:r>
        <w:rPr>
          <w:color w:val="000000" w:themeColor="text1"/>
          <w14:textFill>
            <w14:solidFill>
              <w14:schemeClr w14:val="tx1"/>
            </w14:solidFill>
          </w14:textFill>
        </w:rPr>
        <w:br w:type="page"/>
      </w:r>
    </w:p>
    <w:p>
      <w:pPr>
        <w:pStyle w:val="29"/>
        <w:widowControl w:val="0"/>
        <w:topLinePunct/>
        <w:spacing w:before="0" w:beforeAutospacing="0" w:after="0" w:afterAutospacing="0" w:line="240" w:lineRule="auto"/>
        <w:jc w:val="center"/>
        <w:outlineLvl w:val="0"/>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headerReference r:id="rId8" w:type="default"/>
          <w:footerReference r:id="rId9" w:type="default"/>
          <w:pgSz w:w="11906" w:h="16838"/>
          <w:pgMar w:top="1417" w:right="1417" w:bottom="1417" w:left="1417" w:header="992" w:footer="992" w:gutter="0"/>
          <w:pgNumType w:start="1"/>
          <w:cols w:space="720" w:num="1"/>
          <w:docGrid w:linePitch="312" w:charSpace="0"/>
        </w:sectPr>
      </w:pPr>
      <w:bookmarkStart w:id="0" w:name="_Toc27258"/>
      <w:r>
        <w:rPr>
          <w:sz w:val="32"/>
        </w:rPr>
        <mc:AlternateContent>
          <mc:Choice Requires="wps">
            <w:drawing>
              <wp:anchor distT="0" distB="0" distL="114300" distR="114300" simplePos="0" relativeHeight="251777024" behindDoc="0" locked="0" layoutInCell="1" allowOverlap="1">
                <wp:simplePos x="0" y="0"/>
                <wp:positionH relativeFrom="column">
                  <wp:posOffset>1506855</wp:posOffset>
                </wp:positionH>
                <wp:positionV relativeFrom="paragraph">
                  <wp:posOffset>6313170</wp:posOffset>
                </wp:positionV>
                <wp:extent cx="1357630" cy="230505"/>
                <wp:effectExtent l="12700" t="12700" r="20320" b="23495"/>
                <wp:wrapNone/>
                <wp:docPr id="201" name="矩形 201"/>
                <wp:cNvGraphicFramePr/>
                <a:graphic xmlns:a="http://schemas.openxmlformats.org/drawingml/2006/main">
                  <a:graphicData uri="http://schemas.microsoft.com/office/word/2010/wordprocessingShape">
                    <wps:wsp>
                      <wps:cNvSpPr/>
                      <wps:spPr>
                        <a:xfrm>
                          <a:off x="2406650" y="7212965"/>
                          <a:ext cx="1357630" cy="23050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65pt;margin-top:497.1pt;height:18.15pt;width:106.9pt;z-index:251777024;v-text-anchor:middle;mso-width-relative:page;mso-height-relative:page;" fillcolor="#4F81BD [3204]" filled="t" stroked="t" coordsize="21600,21600" o:gfxdata="UEsDBAoAAAAAAIdO4kAAAAAAAAAAAAAAAAAEAAAAZHJzL1BLAwQUAAAACACHTuJAqbN/IdsAAAAM&#10;AQAADwAAAGRycy9kb3ducmV2LnhtbE2Py07DMBBF90j8gzVI7KidpAEa4nQBAqmIDSmoYufG0yQi&#10;Hkex+/p7hhUsR/fo3jPl8uQGccAp9J40JDMFAqnxtqdWw8f6+eYeRIiGrBk8oYYzBlhWlxelKaw/&#10;0jse6tgKLqFQGA1djGMhZWg6dCbM/IjE2c5PzkQ+p1bayRy53A0yVepWOtMTL3RmxMcOm+967zRs&#10;XvH8slnF/PNpvVLZ+PWG9S5ofX2VqAcQEU/xD4ZffVaHip22fk82iEFDmt1ljGpYLOYpCCbmeZKA&#10;2DKqMpWDrEr5/4nqB1BLAwQUAAAACACHTuJArSeoeIQCAAAPBQAADgAAAGRycy9lMm9Eb2MueG1s&#10;rVTLbtQwFN0j8Q+W9zSZdzuaTDV0NAip0EoFsfY4ziSSX9ieR/kZJHZ8BJ+D+A2OnbSdtiy6YJPc&#10;Gx+f43t8b2bnByXJTjjfGF3Q3klOidDclI3eFPTzp9WbU0p8YLpk0mhR0Fvh6fn89avZ3k5F39RG&#10;lsIRkGg/3duC1iHYaZZ5XgvF/ImxQmOxMk6xgNRtstKxPdiVzPp5Ps72xpXWGS68x9dlu0g7RvcS&#10;QlNVDRdLw7dK6NCyOiFZQEm+bqyn83TaqhI8XFWVF4HIgqLSkJ4QQbyOz2w+Y9ONY7ZueHcE9pIj&#10;PKlJsUZD9J5qyQIjW9c8o1INd8abKpxwo7K2kOQIqujlT7y5qZkVqRZY7e296f7/0fKPu2tHmrKg&#10;0KdEM4Ur//P95+9fP0j8An/21k8Bu7HXrss8wljsoXIqvlEGOYBhmI/HIzh7W9BJv9c/G49af8Uh&#10;EA5AbzCajAcAcCD6g3yUJ0D2wGSdD++EUSQGBXW4v2Qr2136AHVA7yBR2BvZlKtGypS4zfpCOrJj&#10;uOvh6rT3dhnlseURTGqyh/pomMeDMHRwhc5BqCxc8HpDCZMbjAYPLmk/2u2PRQaTcX7WTyC5VR9M&#10;2WpPRjm4O+kW//wYsYwl83W7JWl0W6QGOpre2hyjtSlvcU3OtP3rLV812H/JfLhmDg2LUjDS4QqP&#10;ShrUZ7qIktq4b//6HvHoI6xSsscAoPavW+YEJfK9Roed9YZD0IaUDEeTPhJ3vLI+XtFbdWHgO3oI&#10;p0thxAd5F1bOqC+Y/EVUxRLTHNqty11yEdrBxL+Di8UiwTAlloVLfWN5JI/3rM1iG0zVpH54cKcz&#10;DXOSzO5mOg7icZ5QD/+x+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ps38h2wAAAAwBAAAPAAAA&#10;AAAAAAEAIAAAACIAAABkcnMvZG93bnJldi54bWxQSwECFAAUAAAACACHTuJArSeoeIQCAAAPBQAA&#10;DgAAAAAAAAABACAAAAAqAQAAZHJzL2Uyb0RvYy54bWxQSwUGAAAAAAYABgBZAQAAIAY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-908050</wp:posOffset>
            </wp:positionH>
            <wp:positionV relativeFrom="paragraph">
              <wp:posOffset>-894080</wp:posOffset>
            </wp:positionV>
            <wp:extent cx="7588250" cy="10725785"/>
            <wp:effectExtent l="0" t="0" r="12700" b="18415"/>
            <wp:wrapNone/>
            <wp:docPr id="65" name="图片 65" descr="资质扫描材料(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资质扫描材料(1)_1"/>
                    <pic:cNvPicPr>
                      <a:picLocks noChangeAspect="1"/>
                    </pic:cNvPicPr>
                  </pic:nvPicPr>
                  <pic:blipFill>
                    <a:blip r:embed="rId17"/>
                    <a:stretch>
                      <a:fillRect/>
                    </a:stretch>
                  </pic:blipFill>
                  <pic:spPr>
                    <a:xfrm>
                      <a:off x="0" y="0"/>
                      <a:ext cx="7588250" cy="10725785"/>
                    </a:xfrm>
                    <a:prstGeom prst="rect">
                      <a:avLst/>
                    </a:prstGeom>
                  </pic:spPr>
                </pic:pic>
              </a:graphicData>
            </a:graphic>
          </wp:anchor>
        </w:drawing>
      </w:r>
    </w:p>
    <w:p>
      <w:pPr>
        <w:pStyle w:val="29"/>
        <w:widowControl w:val="0"/>
        <w:topLinePunct/>
        <w:spacing w:before="0" w:beforeAutospacing="0" w:after="0" w:afterAutospacing="0" w:line="240" w:lineRule="auto"/>
        <w:jc w:val="center"/>
        <w:outlineLvl w:val="0"/>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pgSz w:w="11906" w:h="16838"/>
          <w:pgMar w:top="1417" w:right="1417" w:bottom="1417" w:left="1417" w:header="992" w:footer="992" w:gutter="0"/>
          <w:pgNumType w:start="1"/>
          <w:cols w:space="720" w:num="1"/>
          <w:docGrid w:linePitch="312" w:charSpace="0"/>
        </w:sectPr>
      </w:pPr>
      <w:r>
        <w:rPr>
          <w:sz w:val="32"/>
        </w:rPr>
        <mc:AlternateContent>
          <mc:Choice Requires="wps">
            <w:drawing>
              <wp:anchor distT="0" distB="0" distL="114300" distR="114300" simplePos="0" relativeHeight="251780096" behindDoc="0" locked="0" layoutInCell="1" allowOverlap="1">
                <wp:simplePos x="0" y="0"/>
                <wp:positionH relativeFrom="column">
                  <wp:posOffset>2778760</wp:posOffset>
                </wp:positionH>
                <wp:positionV relativeFrom="paragraph">
                  <wp:posOffset>5264785</wp:posOffset>
                </wp:positionV>
                <wp:extent cx="571500" cy="198755"/>
                <wp:effectExtent l="12700" t="12700" r="25400" b="17145"/>
                <wp:wrapNone/>
                <wp:docPr id="209" name="矩形 209"/>
                <wp:cNvGraphicFramePr/>
                <a:graphic xmlns:a="http://schemas.openxmlformats.org/drawingml/2006/main">
                  <a:graphicData uri="http://schemas.microsoft.com/office/word/2010/wordprocessingShape">
                    <wps:wsp>
                      <wps:cNvSpPr/>
                      <wps:spPr>
                        <a:xfrm>
                          <a:off x="0" y="0"/>
                          <a:ext cx="571500" cy="19875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8pt;margin-top:414.55pt;height:15.65pt;width:45pt;z-index:251780096;v-text-anchor:middle;mso-width-relative:page;mso-height-relative:page;" fillcolor="#4F81BD [3204]" filled="t" stroked="t" coordsize="21600,21600" o:gfxdata="UEsDBAoAAAAAAIdO4kAAAAAAAAAAAAAAAAAEAAAAZHJzL1BLAwQUAAAACACHTuJAF+yiZ9oAAAAL&#10;AQAADwAAAGRycy9kb3ducmV2LnhtbE2PTU/DMAyG70j8h8hI3FjSbiujNN0BBNIQFzrQxC1rvLai&#10;caom+/r3eCc4+vWj14+L5cn14oBj6DxpSCYKBFLtbUeNhs/1y90CRIiGrOk9oYYzBliW11eFya0/&#10;0gceqtgILqGQGw1tjEMuZahbdCZM/IDEu50fnYk8jo20ozlyuetlqlQmnemIL7RmwKcW659q7zRs&#10;3vD8ulnF+dfzeqWmw/c7Vrug9e1Noh5BRDzFPxgu+qwOJTtt/Z5sEL2G2fQ+Y1TDIn1IQDAxTy/J&#10;lpNMzUCWhfz/Q/kLUEsDBBQAAAAIAIdO4kD1PGWnegIAAAIFAAAOAAAAZHJzL2Uyb0RvYy54bWyt&#10;VMFuEzEQvSPxD5bvdHdD0jRRNlVoFIRUaKWCODteO7uS7TG2k035GSRufASfg/gNxt5tmhQOPXDZ&#10;nfGM3/g9z3h2udeK7ITzDZiSFmc5JcJwqBqzKemnj6tXF5T4wEzFFBhR0nvh6eX85YtZa6diADWo&#10;SjiCIMZPW1vSOgQ7zTLPa6GZPwMrDAYlOM0Cum6TVY61iK5VNsjz86wFV1kHXHiPq8suSHtE9xxA&#10;kLLhYgl8q4UJHaoTigWk5OvGejpPp5VS8HAjpReBqJIi05C+WATtdfxm8xmbbhyzdcP7I7DnHOEJ&#10;J80ag0UPUEsWGNm65i8o3XAHHmQ446CzjkhSBFkU+RNt7mpmReKCUnt7EN3/P1j+YXfrSFOVdJBP&#10;KDFM45X//vbj18/vJK6gPq31U0y7s7eu9zyakexeOh3/SIPsk6b3B03FPhCOi6NxMcpRbY6hYnIx&#10;Ho0iZva42Tof3grQJBoldXhlSUm2u/ahS31IibU8qKZaNUolx23WV8qRHcPrHa4uijfLHv0kTRnS&#10;IsHRMB2EYdNKbBY8k7ZI3JsNJUxtcBp4cKn2yW5/XOT1+DyfDFKS2ur3UHW1x8gxNRMS6/MTyROg&#10;SGPJfN1tSaH+tMpgdtS5UzZaa6ju8WYcdC3rLV81uP+a+XDLHPYoaopTHG7wIxUgP+gtSmpwX/+1&#10;HvOxdTBKSYs9j9y/bJkTlKh3BptqUgyHcUiSMxyNB+i448j6OGK2+gpQ9wLfC8uTGfODejClA/0Z&#10;h30Rq2KIGY61O5V75yp0s4jPBReLRUrDwbAsXJs7yyN4vGcDi20A2aR+eFSnFw1HI4ndj3GcvWM/&#10;ZT0+Xf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F+yiZ9oAAAALAQAADwAAAAAAAAABACAAAAAi&#10;AAAAZHJzL2Rvd25yZXYueG1sUEsBAhQAFAAAAAgAh07iQPU8Zad6AgAAAgUAAA4AAAAAAAAAAQAg&#10;AAAAKQEAAGRycy9lMm9Eb2MueG1sUEsFBgAAAAAGAAYAWQEAABUGAAAAAA==&#10;">
                <v:fill on="t" focussize="0,0"/>
                <v:stroke weight="2pt" color="#376092 [2404]" joinstyle="round"/>
                <v:imagedata o:title=""/>
                <o:lock v:ext="edit" aspectratio="f"/>
              </v:rect>
            </w:pict>
          </mc:Fallback>
        </mc:AlternateContent>
      </w:r>
      <w:r>
        <w:rPr>
          <w:sz w:val="32"/>
        </w:rPr>
        <mc:AlternateContent>
          <mc:Choice Requires="wps">
            <w:drawing>
              <wp:anchor distT="0" distB="0" distL="114300" distR="114300" simplePos="0" relativeHeight="251779072" behindDoc="0" locked="0" layoutInCell="1" allowOverlap="1">
                <wp:simplePos x="0" y="0"/>
                <wp:positionH relativeFrom="column">
                  <wp:posOffset>4039235</wp:posOffset>
                </wp:positionH>
                <wp:positionV relativeFrom="paragraph">
                  <wp:posOffset>4858385</wp:posOffset>
                </wp:positionV>
                <wp:extent cx="571500" cy="198755"/>
                <wp:effectExtent l="12700" t="12700" r="25400" b="17145"/>
                <wp:wrapNone/>
                <wp:docPr id="207" name="矩形 207"/>
                <wp:cNvGraphicFramePr/>
                <a:graphic xmlns:a="http://schemas.openxmlformats.org/drawingml/2006/main">
                  <a:graphicData uri="http://schemas.microsoft.com/office/word/2010/wordprocessingShape">
                    <wps:wsp>
                      <wps:cNvSpPr/>
                      <wps:spPr>
                        <a:xfrm>
                          <a:off x="4939030" y="5758180"/>
                          <a:ext cx="571500" cy="19875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8.05pt;margin-top:382.55pt;height:15.65pt;width:45pt;z-index:251779072;v-text-anchor:middle;mso-width-relative:page;mso-height-relative:page;" fillcolor="#4F81BD [3204]" filled="t" stroked="t" coordsize="21600,21600" o:gfxdata="UEsDBAoAAAAAAIdO4kAAAAAAAAAAAAAAAAAEAAAAZHJzL1BLAwQUAAAACACHTuJAU9ewjNoAAAAL&#10;AQAADwAAAGRycy9kb3ducmV2LnhtbE2PzU7DMBCE70i8g7VI3KiTlrolxOkBBFJRL6RUFTc33iYR&#10;8TqK3b+3Z3uC2+zOaPbbfHF2nTjiEFpPGtJRAgKp8ralWsPX+u1hDiJEQ9Z0nlDDBQMsitub3GTW&#10;n+gTj2WsBZdQyIyGJsY+kzJUDToTRr5HYm/vB2cij0Mt7WBOXO46OU4SJZ1piS80pseXBquf8uA0&#10;bD/w8r5dxunmdb1MJv33Cst90Pr+Lk2eQUQ8x78wXPEZHQpm2vkD2SA6DWqiUo5qmKkpC07MxtfN&#10;jsWTegRZ5PL/D8UvUEsDBBQAAAAIAIdO4kCIt8d1hwIAAA4FAAAOAAAAZHJzL2Uyb0RvYy54bWyt&#10;VEtu2zAQ3RfoHQjuG0mOFdmG5cCN4aJA2gRIi65pirQI8FeStpxepkB2PUSPU/QaHVJK4qRdZNGN&#10;NMMZvuF7nOH8/KAk2jPnhdE1Lk5yjJimphF6W+PPn9ZvJhj5QHRDpNGsxrfM4/PF61fzzs7YyLRG&#10;NswhANF+1tkatyHYWZZ52jJF/ImxTEOQG6dIANdts8aRDtCVzEZ5fpZ1xjXWGcq8h9VVH8QDonsJ&#10;oOFcULYydKeYDj2qY5IEoORbYT1epNNyzmi44tyzgGSNgWlIXygC9iZ+s8WczLaO2FbQ4QjkJUd4&#10;xkkRoaHoA9SKBIJ2TvwFpQR1xhseTqhRWU8kKQIsivyZNjctsSxxAam9fRDd/z9Y+nF/7ZBoajzK&#10;K4w0UXDlv7//+PXzDsUV0KezfgZpN/baDZ4HM5I9cKfiH2igQ43H09NpfgrK3ta4rMpJMRn0ZYeA&#10;KCSUVVHmEKeQUEwnVVlG/OwRyDof3jGjUDRq7OD6kqpkf+lDn3qfEut6I0WzFlImx203F9KhPYGr&#10;Hq8nxdvVgP4kTWrUAdlynA5CoIE5NA6cSVkQwestRkRuYTJocKn2k93+uMhpdZZPRylJ7tQH0/S1&#10;K+CYiAOxIT+RfAIUaayIb/stKTScVmrIjpr3KkdrY5pbuCVn+vb1lq4F7L8kPlwTB/0KmsJEhyv4&#10;cGmAnxksjFrjvv1rPeZDG0EUow76H7h/3RHHMJLvNTTYtBiPATYkZ1xWI3DccWRzHNE7dWFA9wLe&#10;DkuTGfODvDe5M+oLDP4yVoUQ0RRq9yoPzkXo5xKeDsqWy5QGQ2JJuNQ3lkbweM/aLHfBcJH64VGd&#10;QTQYkyT2MNJxDo/9lPX4jC3+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PXsIzaAAAACwEAAA8A&#10;AAAAAAAAAQAgAAAAIgAAAGRycy9kb3ducmV2LnhtbFBLAQIUABQAAAAIAIdO4kCIt8d1hwIAAA4F&#10;AAAOAAAAAAAAAAEAIAAAACkBAABkcnMvZTJvRG9jLnhtbFBLBQYAAAAABgAGAFkBAAAiBgAAAAA=&#10;">
                <v:fill on="t" focussize="0,0"/>
                <v:stroke weight="2pt" color="#376092 [2404]" joinstyle="round"/>
                <v:imagedata o:title=""/>
                <o:lock v:ext="edit" aspectratio="f"/>
              </v:rect>
            </w:pict>
          </mc:Fallback>
        </mc:AlternateContent>
      </w:r>
      <w:r>
        <w:rPr>
          <w:sz w:val="32"/>
        </w:rPr>
        <mc:AlternateContent>
          <mc:Choice Requires="wps">
            <w:drawing>
              <wp:anchor distT="0" distB="0" distL="114300" distR="114300" simplePos="0" relativeHeight="251778048" behindDoc="0" locked="0" layoutInCell="1" allowOverlap="1">
                <wp:simplePos x="0" y="0"/>
                <wp:positionH relativeFrom="column">
                  <wp:posOffset>467360</wp:posOffset>
                </wp:positionH>
                <wp:positionV relativeFrom="paragraph">
                  <wp:posOffset>4827905</wp:posOffset>
                </wp:positionV>
                <wp:extent cx="2230120" cy="254000"/>
                <wp:effectExtent l="12700" t="12700" r="24130" b="19050"/>
                <wp:wrapNone/>
                <wp:docPr id="204" name="矩形 204"/>
                <wp:cNvGraphicFramePr/>
                <a:graphic xmlns:a="http://schemas.openxmlformats.org/drawingml/2006/main">
                  <a:graphicData uri="http://schemas.microsoft.com/office/word/2010/wordprocessingShape">
                    <wps:wsp>
                      <wps:cNvSpPr/>
                      <wps:spPr>
                        <a:xfrm>
                          <a:off x="1367155" y="5727700"/>
                          <a:ext cx="2230120" cy="2540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pt;margin-top:380.15pt;height:20pt;width:175.6pt;z-index:251778048;v-text-anchor:middle;mso-width-relative:page;mso-height-relative:page;" fillcolor="#4F81BD [3204]" filled="t" stroked="t" coordsize="21600,21600" o:gfxdata="UEsDBAoAAAAAAIdO4kAAAAAAAAAAAAAAAAAEAAAAZHJzL1BLAwQUAAAACACHTuJA4PssmNoAAAAK&#10;AQAADwAAAGRycy9kb3ducmV2LnhtbE2PzU7DMBCE70i8g7VI3KjdpoQqxOkBBFJRL02LKm5uvE0i&#10;4nUUu39vz/ZET6vdGc1+k8/PrhNHHELrScN4pEAgVd62VGvYrD+eZiBCNGRN5wk1XDDAvLi/y01m&#10;/YlWeCxjLTiEQmY0NDH2mZShatCZMPI9Emt7PzgTeR1qaQdz4nDXyYlSqXSmJf7QmB7fGqx+y4PT&#10;sP3Cy+d2EZ+/39cLlfQ/Syz3QevHh7F6BRHxHP/NcMVndCiYaecPZIPoNLwkKTt5pioBwYbpZMpd&#10;dhpmii+yyOVtheIPUEsDBBQAAAAIAIdO4kCMQjlfggIAAA8FAAAOAAAAZHJzL2Uyb0RvYy54bWyt&#10;VEtu2zAQ3RfoHQjuG8mKHSdG5MCN4aJA2gRIi65pirIE8FeS/qSXKdBdD9HjFL1GHykldpIusuhG&#10;muE8zufNDM8vdkqSjXC+Nbqkg6OcEqG5qVq9KunnT4s3p5T4wHTFpNGipHfC04vp61fnWzsRhWmM&#10;rIQjcKL9ZGtL2oRgJ1nmeSMU80fGCg1jbZxiAapbZZVjW3hXMivy/CTbGldZZ7jwHqfzzkh7j+4l&#10;Dk1dt1zMDV8roUPn1QnJAkryTWs9naZs61rwcF3XXgQiS4pKQ/oiCORl/GbTczZZOWablvcpsJek&#10;8KQmxVqNoA+u5iwwsnbtM1eq5c54U4cjblTWFZIYQRWD/Ak3tw2zItUCqr19IN3/P7f84+bGkbYq&#10;aZEPKdFMoeV/vv/8/esHiSfgZ2v9BLBbe+N6zUOMxe5qp+IfZZAdZun4ZDwYjSi5K+loXIzHec+v&#10;2AXCASiK43xQgHoORDEa5h0g23uyzod3wigShZI69C/RyjZXPiA6oPeQGNgb2VaLVsqkuNXyUjqy&#10;Yej1cHE6eDuP6ePKI5jUZNtHRyIME1xjciAqCxa8XlHC5AqrwYNLsR/d9odBjscn+VmRQHKtPpiq&#10;iz0e7Qvr8c/TiGXMmW+6KylGn63UQEfSO5qjtDTVHdrkTDe/3vJFi/tXzIcb5jCw4BQrHa7xqaVB&#10;faaXKGmM+/av84jHHMFKyRYLgNq/rpkTlMj3GhN2NhgO48YkZYh+QnGHluWhRa/VpQHvAzwelicx&#10;4oO8F2tn1Bds/ixGhYlpjtgdy71yGbrFxNvBxWyWYNgSy8KVvrU8Oo991ma2DqZu0zzs2elJw54k&#10;svudjot4qCfU/h2b/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g+yyY2gAAAAoBAAAPAAAAAAAA&#10;AAEAIAAAACIAAABkcnMvZG93bnJldi54bWxQSwECFAAUAAAACACHTuJAjEI5X4ICAAAPBQAADgAA&#10;AAAAAAABACAAAAApAQAAZHJzL2Uyb0RvYy54bWxQSwUGAAAAAAYABgBZAQAAHQY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-893445</wp:posOffset>
            </wp:positionH>
            <wp:positionV relativeFrom="paragraph">
              <wp:posOffset>-901065</wp:posOffset>
            </wp:positionV>
            <wp:extent cx="7547610" cy="10668635"/>
            <wp:effectExtent l="0" t="0" r="15240" b="18415"/>
            <wp:wrapNone/>
            <wp:docPr id="192" name="图片 192" descr="资质扫描材料(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资质扫描材料(1)_2"/>
                    <pic:cNvPicPr>
                      <a:picLocks noChangeAspect="1"/>
                    </pic:cNvPicPr>
                  </pic:nvPicPr>
                  <pic:blipFill>
                    <a:blip r:embed="rId18"/>
                    <a:stretch>
                      <a:fillRect/>
                    </a:stretch>
                  </pic:blipFill>
                  <pic:spPr>
                    <a:xfrm>
                      <a:off x="0" y="0"/>
                      <a:ext cx="7547610" cy="10668635"/>
                    </a:xfrm>
                    <a:prstGeom prst="rect">
                      <a:avLst/>
                    </a:prstGeom>
                  </pic:spPr>
                </pic:pic>
              </a:graphicData>
            </a:graphic>
          </wp:anchor>
        </w:drawing>
      </w:r>
    </w:p>
    <w:p>
      <w:pPr>
        <w:pStyle w:val="29"/>
        <w:widowControl w:val="0"/>
        <w:topLinePunct/>
        <w:spacing w:before="0" w:beforeAutospacing="0" w:after="0" w:afterAutospacing="0" w:line="240" w:lineRule="auto"/>
        <w:jc w:val="center"/>
        <w:outlineLvl w:val="0"/>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pgSz w:w="11906" w:h="16838"/>
          <w:pgMar w:top="1417" w:right="1417" w:bottom="1417" w:left="1417" w:header="992" w:footer="992" w:gutter="0"/>
          <w:pgNumType w:start="1"/>
          <w:cols w:space="720" w:num="1"/>
          <w:docGrid w:linePitch="312" w:charSpace="0"/>
        </w:sectPr>
      </w:pP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-886460</wp:posOffset>
            </wp:positionH>
            <wp:positionV relativeFrom="paragraph">
              <wp:posOffset>-886460</wp:posOffset>
            </wp:positionV>
            <wp:extent cx="7552690" cy="10675620"/>
            <wp:effectExtent l="0" t="0" r="10160" b="11430"/>
            <wp:wrapNone/>
            <wp:docPr id="193" name="图片 193" descr="资质扫描材料(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资质扫描材料(1)_4"/>
                    <pic:cNvPicPr>
                      <a:picLocks noChangeAspect="1"/>
                    </pic:cNvPicPr>
                  </pic:nvPicPr>
                  <pic:blipFill>
                    <a:blip r:embed="rId19"/>
                    <a:stretch>
                      <a:fillRect/>
                    </a:stretch>
                  </pic:blipFill>
                  <pic:spPr>
                    <a:xfrm>
                      <a:off x="0" y="0"/>
                      <a:ext cx="7552690" cy="10675620"/>
                    </a:xfrm>
                    <a:prstGeom prst="rect">
                      <a:avLst/>
                    </a:prstGeom>
                  </pic:spPr>
                </pic:pic>
              </a:graphicData>
            </a:graphic>
          </wp:anchor>
        </w:drawing>
      </w:r>
    </w:p>
    <w:p>
      <w:pPr>
        <w:pStyle w:val="29"/>
        <w:widowControl w:val="0"/>
        <w:topLinePunct/>
        <w:spacing w:before="0" w:beforeAutospacing="0" w:after="0" w:afterAutospacing="0" w:line="240" w:lineRule="auto"/>
        <w:jc w:val="center"/>
        <w:outlineLvl w:val="0"/>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pgSz w:w="11906" w:h="16838"/>
          <w:pgMar w:top="1417" w:right="1417" w:bottom="1417" w:left="1417" w:header="992" w:footer="992" w:gutter="0"/>
          <w:pgNumType w:start="1"/>
          <w:cols w:space="720" w:num="1"/>
          <w:docGrid w:linePitch="312" w:charSpace="0"/>
        </w:sectPr>
      </w:pPr>
      <w:r>
        <w:rPr>
          <w:sz w:val="32"/>
        </w:rPr>
        <mc:AlternateContent>
          <mc:Choice Requires="wps">
            <w:drawing>
              <wp:anchor distT="0" distB="0" distL="114300" distR="114300" simplePos="0" relativeHeight="251781120" behindDoc="0" locked="0" layoutInCell="1" allowOverlap="1">
                <wp:simplePos x="0" y="0"/>
                <wp:positionH relativeFrom="column">
                  <wp:posOffset>3144520</wp:posOffset>
                </wp:positionH>
                <wp:positionV relativeFrom="paragraph">
                  <wp:posOffset>1991360</wp:posOffset>
                </wp:positionV>
                <wp:extent cx="1294130" cy="198755"/>
                <wp:effectExtent l="12700" t="12700" r="26670" b="17145"/>
                <wp:wrapNone/>
                <wp:docPr id="210" name="矩形 210"/>
                <wp:cNvGraphicFramePr/>
                <a:graphic xmlns:a="http://schemas.openxmlformats.org/drawingml/2006/main">
                  <a:graphicData uri="http://schemas.microsoft.com/office/word/2010/wordprocessingShape">
                    <wps:wsp>
                      <wps:cNvSpPr/>
                      <wps:spPr>
                        <a:xfrm>
                          <a:off x="0" y="0"/>
                          <a:ext cx="1294130" cy="19875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7.6pt;margin-top:156.8pt;height:15.65pt;width:101.9pt;z-index:251781120;v-text-anchor:middle;mso-width-relative:page;mso-height-relative:page;" fillcolor="#4F81BD [3204]" filled="t" stroked="t" coordsize="21600,21600" o:gfxdata="UEsDBAoAAAAAAIdO4kAAAAAAAAAAAAAAAAAEAAAAZHJzL1BLAwQUAAAACACHTuJAzYA6VNsAAAAL&#10;AQAADwAAAGRycy9kb3ducmV2LnhtbE2PTU/DMAyG70j8h8hI3FjStatoaboDCKQhLnRM025Z67UV&#10;jVM12de/x5zgaPvR6+ctlhc7iBNOvnekIZopEEi1a3pqNXytXx8eQfhgqDGDI9RwRQ/L8vamMHnj&#10;zvSJpyq0gkPI50ZDF8KYS+nrDq3xMzci8e3gJmsCj1Mrm8mcOdwOcq5UKq3piT90ZsTnDuvv6mg1&#10;bN/x+rZdhcXmZb1S8bj7wOrgtb6/i9QTiICX8AfDrz6rQ8lOe3ekxotBQ5It5oxqiKM4BcFEmmXc&#10;bs+bJMlAloX836H8AVBLAwQUAAAACACHTuJA0r6odXoCAAADBQAADgAAAGRycy9lMm9Eb2MueG1s&#10;rVRLbtswEN0X6B0I7htJjh3HRuTAjeGiQNoESIuuaYqyBPBXkv6klymQXQ/R4xS9Rh8pJXHSLrLo&#10;RprhDN/wPc7w7HyvJNkK51ujS1oc5ZQIzU3V6nVJP39avjmlxAemKyaNFiW9FZ6ez16/OtvZqRiY&#10;xshKOAIQ7ac7W9ImBDvNMs8boZg/MlZoBGvjFAtw3TqrHNsBXclskOcn2c64yjrDhfdYXXRB2iO6&#10;lwCaum65WBi+UUKHDtUJyQIo+aa1ns7Saeta8HBV114EIksKpiF9UQT2Kn6z2Rmbrh2zTcv7I7CX&#10;HOEZJ8VajaIPUAsWGNm49i8o1XJnvKnDETcq64gkRcCiyJ9pc9MwKxIXSO3tg+j+/8Hyj9trR9qq&#10;pIMCmmimcOW/v//49fOOxBXos7N+irQbe+16z8OMZPe1U/EPGmSfNL190FTsA+FYLAaTYXEMaI5Y&#10;MTkdj0YRNHvcbZ0P74RRJBoldbizJCXbXvrQpd6nxGLeyLZatlImx61XF9KRLcP9DpenxdtFj/4k&#10;TWqyA8PRMI8HYejaGt0CU1kw93pNCZNrjAMPLtV+stsfFjken+STQUqSG/XBVF3t8SgHdnfaPj+R&#10;fAIUaSyYb7otKdRvkRrZUehO2mitTHWLq3Gm61lv+bLF/kvmwzVzaFJQwRiHK3xqacDP9BYljXHf&#10;/rUe89E7iFKyQ9OD+9cNc4IS+V6jqybFcAjYkJzhaDyA4w4jq8OI3qgLA90LPBiWJzPmB3lv1s6o&#10;L5j2eayKENMctTuVe+cidMOI94KL+TylYTIsC5f6xvIIHu9Zm/kmmLpN/fCoTi8aZiOJ3c9xHL5D&#10;P2U9vl2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2AOlTbAAAACwEAAA8AAAAAAAAAAQAgAAAA&#10;IgAAAGRycy9kb3ducmV2LnhtbFBLAQIUABQAAAAIAIdO4kDSvqh1egIAAAMFAAAOAAAAAAAAAAEA&#10;IAAAACoBAABkcnMvZTJvRG9jLnhtbFBLBQYAAAAABgAGAFkBAAAWBg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-893445</wp:posOffset>
            </wp:positionH>
            <wp:positionV relativeFrom="paragraph">
              <wp:posOffset>-908685</wp:posOffset>
            </wp:positionV>
            <wp:extent cx="7581900" cy="10716895"/>
            <wp:effectExtent l="0" t="0" r="0" b="8255"/>
            <wp:wrapNone/>
            <wp:docPr id="194" name="图片 194" descr="资质扫描材料(1)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资质扫描材料(1)_3"/>
                    <pic:cNvPicPr>
                      <a:picLocks noChangeAspect="1"/>
                    </pic:cNvPicPr>
                  </pic:nvPicPr>
                  <pic:blipFill>
                    <a:blip r:embed="rId20"/>
                    <a:stretch>
                      <a:fillRect/>
                    </a:stretch>
                  </pic:blipFill>
                  <pic:spPr>
                    <a:xfrm>
                      <a:off x="0" y="0"/>
                      <a:ext cx="7581900" cy="10716895"/>
                    </a:xfrm>
                    <a:prstGeom prst="rect">
                      <a:avLst/>
                    </a:prstGeom>
                  </pic:spPr>
                </pic:pic>
              </a:graphicData>
            </a:graphic>
          </wp:anchor>
        </w:drawing>
      </w:r>
    </w:p>
    <w:p>
      <w:pPr>
        <w:pStyle w:val="29"/>
        <w:widowControl w:val="0"/>
        <w:topLinePunct/>
        <w:spacing w:before="0" w:beforeAutospacing="0" w:after="0" w:afterAutospacing="0" w:line="240" w:lineRule="auto"/>
        <w:jc w:val="center"/>
        <w:outlineLvl w:val="0"/>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pgSz w:w="11906" w:h="16838"/>
          <w:pgMar w:top="1417" w:right="1417" w:bottom="1417" w:left="1417" w:header="992" w:footer="992" w:gutter="0"/>
          <w:pgNumType w:start="1"/>
          <w:cols w:space="720" w:num="1"/>
          <w:docGrid w:linePitch="312" w:charSpace="0"/>
        </w:sectPr>
      </w:pP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-901065</wp:posOffset>
            </wp:positionH>
            <wp:positionV relativeFrom="paragraph">
              <wp:posOffset>-901065</wp:posOffset>
            </wp:positionV>
            <wp:extent cx="7552690" cy="10676255"/>
            <wp:effectExtent l="0" t="0" r="10160" b="10795"/>
            <wp:wrapNone/>
            <wp:docPr id="195" name="图片 195" descr="资质扫描材料(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资质扫描材料(1)_5"/>
                    <pic:cNvPicPr>
                      <a:picLocks noChangeAspect="1"/>
                    </pic:cNvPicPr>
                  </pic:nvPicPr>
                  <pic:blipFill>
                    <a:blip r:embed="rId21"/>
                    <a:stretch>
                      <a:fillRect/>
                    </a:stretch>
                  </pic:blipFill>
                  <pic:spPr>
                    <a:xfrm rot="10800000">
                      <a:off x="0" y="0"/>
                      <a:ext cx="7552690" cy="10676255"/>
                    </a:xfrm>
                    <a:prstGeom prst="rect">
                      <a:avLst/>
                    </a:prstGeom>
                  </pic:spPr>
                </pic:pic>
              </a:graphicData>
            </a:graphic>
          </wp:anchor>
        </w:drawing>
      </w:r>
    </w:p>
    <w:p>
      <w:pPr>
        <w:pStyle w:val="29"/>
        <w:widowControl w:val="0"/>
        <w:topLinePunct/>
        <w:spacing w:before="0" w:beforeAutospacing="0" w:after="0" w:afterAutospacing="0" w:line="240" w:lineRule="auto"/>
        <w:jc w:val="center"/>
        <w:outlineLvl w:val="0"/>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pgSz w:w="11906" w:h="16838"/>
          <w:pgMar w:top="1417" w:right="1417" w:bottom="1417" w:left="1417" w:header="992" w:footer="992" w:gutter="0"/>
          <w:pgNumType w:start="1"/>
          <w:cols w:space="720" w:num="1"/>
          <w:docGrid w:linePitch="312" w:charSpace="0"/>
        </w:sectPr>
      </w:pPr>
      <w:r>
        <w:rPr>
          <w:sz w:val="32"/>
        </w:rPr>
        <mc:AlternateContent>
          <mc:Choice Requires="wps">
            <w:drawing>
              <wp:anchor distT="0" distB="0" distL="114300" distR="114300" simplePos="0" relativeHeight="251782144" behindDoc="0" locked="0" layoutInCell="1" allowOverlap="1">
                <wp:simplePos x="0" y="0"/>
                <wp:positionH relativeFrom="column">
                  <wp:posOffset>1102360</wp:posOffset>
                </wp:positionH>
                <wp:positionV relativeFrom="paragraph">
                  <wp:posOffset>7205345</wp:posOffset>
                </wp:positionV>
                <wp:extent cx="1404620" cy="142875"/>
                <wp:effectExtent l="12700" t="12700" r="30480" b="15875"/>
                <wp:wrapNone/>
                <wp:docPr id="211" name="矩形 211"/>
                <wp:cNvGraphicFramePr/>
                <a:graphic xmlns:a="http://schemas.openxmlformats.org/drawingml/2006/main">
                  <a:graphicData uri="http://schemas.microsoft.com/office/word/2010/wordprocessingShape">
                    <wps:wsp>
                      <wps:cNvSpPr/>
                      <wps:spPr>
                        <a:xfrm>
                          <a:off x="2002155" y="8105140"/>
                          <a:ext cx="1404620" cy="14287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6.8pt;margin-top:567.35pt;height:11.25pt;width:110.6pt;z-index:251782144;v-text-anchor:middle;mso-width-relative:page;mso-height-relative:page;" fillcolor="#4F81BD [3204]" filled="t" stroked="t" coordsize="21600,21600" o:gfxdata="UEsDBAoAAAAAAIdO4kAAAAAAAAAAAAAAAAAEAAAAZHJzL1BLAwQUAAAACACHTuJAZ+9zEtsAAAAN&#10;AQAADwAAAGRycy9kb3ducmV2LnhtbE2PzU7DMBCE70i8g7VI3Kidpm0gxOkBBFIRF1JQxc2Nt0lE&#10;vI5i9+/t2Z7gtrM7mv2mWJ5cLw44hs6ThmSiQCDV3nbUaPhcv9zdgwjRkDW9J9RwxgDL8vqqMLn1&#10;R/rAQxUbwSEUcqOhjXHIpQx1i86EiR+Q+LbzozOR5dhIO5ojh7teTpVaSGc64g+tGfCpxfqn2jsN&#10;mzc8v25Wcf71vF6pdPh+x2oXtL69SdQjiIin+GeGCz6jQ8lMW78nG0TPOksXbOUhSWcZCLakDzNu&#10;s72s5tkUZFnI/y3KX1BLAwQUAAAACACHTuJAiL9l8YUCAAAPBQAADgAAAGRycy9lMm9Eb2MueG1s&#10;rVTNbhMxEL4j8Q6W73R/2G3SKJsqNApCKrRSQZwdr5215D9sJ5vyMkjceAgeB/EajL3bNi0ceuCy&#10;GXs+fzPzzUzm5wcl0Z45L4xucHGSY8Q0Na3Q2wZ/+rh+NcXIB6JbIo1mDb5lHp8vXr6Y93bGStMZ&#10;2TKHgET7WW8b3IVgZ1nmaccU8SfGMg1ObpwiAY5um7WO9MCuZFbm+WnWG9daZyjzHm5XgxOPjO45&#10;hIZzQdnK0J1iOgysjkkSoCTfCevxImXLOaPhinPPApINhkpD+kIQsDfxmy3mZLZ1xHaCjimQ56Tw&#10;pCZFhIag91QrEgjaOfEXlRLUGW94OKFGZUMhSRGoosifaHPTEctSLSC1t/ei+/9HSz/srx0SbYPL&#10;osBIEwUt//3tx6+f31G8AX1662cAu7HXbjx5MGOxB+5U/IUy0AEY8rws6hqj2wZPi7wuqlFfdgiI&#10;AgAuqtMSpKeAKKpyOqljgOyByTof3jKjUDQa7KB/SVayv/RhgN5BYmBvpGjXQsp0cNvNhXRoT6DX&#10;1XpavFmN7I9gUqMecq2rPCZCYII5TA6YyoIKXm8xInILq0GDS7EfvfbHQV5PTvOzMoHkTr037RB7&#10;UufAPWQ74lORj4hiGSviu+FJco1PpAZ0FH2QOVob095Cm5wZ5tdbuhbw/pL4cE0cDCyUAisdruDD&#10;pYH6zGhh1Bn39V/3EQ9zBF6MelgAqP3LjjiGkXynYcLOigr6h0I6VPUk9s0dezbHHr1TFwZ0hxmC&#10;7JIZ8UHemdwZ9Rk2fxmjgotoCrEHlcfDRRgWE/47KFsuEwy2xJJwqW8sjeSxz9osd8FwkebhQZ1R&#10;NNiTJPa403ERj88J9fA/tvg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Z+9zEtsAAAANAQAADwAA&#10;AAAAAAABACAAAAAiAAAAZHJzL2Rvd25yZXYueG1sUEsBAhQAFAAAAAgAh07iQIi/ZfGFAgAADwUA&#10;AA4AAAAAAAAAAQAgAAAAKgEAAGRycy9lMm9Eb2MueG1sUEsFBgAAAAAGAAYAWQEAACEGA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-908050</wp:posOffset>
            </wp:positionH>
            <wp:positionV relativeFrom="paragraph">
              <wp:posOffset>-908050</wp:posOffset>
            </wp:positionV>
            <wp:extent cx="7580630" cy="10716260"/>
            <wp:effectExtent l="0" t="0" r="1270" b="8890"/>
            <wp:wrapNone/>
            <wp:docPr id="196" name="图片 196" descr="资质扫描材料(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资质扫描材料(1)_6"/>
                    <pic:cNvPicPr>
                      <a:picLocks noChangeAspect="1"/>
                    </pic:cNvPicPr>
                  </pic:nvPicPr>
                  <pic:blipFill>
                    <a:blip r:embed="rId22"/>
                    <a:stretch>
                      <a:fillRect/>
                    </a:stretch>
                  </pic:blipFill>
                  <pic:spPr>
                    <a:xfrm>
                      <a:off x="0" y="0"/>
                      <a:ext cx="7580630" cy="10716260"/>
                    </a:xfrm>
                    <a:prstGeom prst="rect">
                      <a:avLst/>
                    </a:prstGeom>
                  </pic:spPr>
                </pic:pic>
              </a:graphicData>
            </a:graphic>
          </wp:anchor>
        </w:drawing>
      </w:r>
    </w:p>
    <w:p>
      <w:pPr>
        <w:pStyle w:val="29"/>
        <w:widowControl w:val="0"/>
        <w:topLinePunct/>
        <w:spacing w:before="0" w:beforeAutospacing="0" w:after="0" w:afterAutospacing="0" w:line="240" w:lineRule="auto"/>
        <w:jc w:val="center"/>
        <w:outlineLvl w:val="0"/>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pgSz w:w="11906" w:h="16838"/>
          <w:pgMar w:top="1417" w:right="1417" w:bottom="1417" w:left="1417" w:header="992" w:footer="992" w:gutter="0"/>
          <w:pgNumType w:start="1"/>
          <w:cols w:space="720" w:num="1"/>
          <w:docGrid w:linePitch="312" w:charSpace="0"/>
        </w:sectPr>
      </w:pPr>
      <w:r>
        <w:rPr>
          <w:sz w:val="32"/>
        </w:rPr>
        <mc:AlternateContent>
          <mc:Choice Requires="wps">
            <w:drawing>
              <wp:anchor distT="0" distB="0" distL="114300" distR="114300" simplePos="0" relativeHeight="251785216" behindDoc="0" locked="0" layoutInCell="1" allowOverlap="1">
                <wp:simplePos x="0" y="0"/>
                <wp:positionH relativeFrom="column">
                  <wp:posOffset>3844290</wp:posOffset>
                </wp:positionH>
                <wp:positionV relativeFrom="paragraph">
                  <wp:posOffset>2769870</wp:posOffset>
                </wp:positionV>
                <wp:extent cx="929005" cy="165735"/>
                <wp:effectExtent l="12700" t="12700" r="29845" b="31115"/>
                <wp:wrapNone/>
                <wp:docPr id="214" name="矩形 214"/>
                <wp:cNvGraphicFramePr/>
                <a:graphic xmlns:a="http://schemas.openxmlformats.org/drawingml/2006/main">
                  <a:graphicData uri="http://schemas.microsoft.com/office/word/2010/wordprocessingShape">
                    <wps:wsp>
                      <wps:cNvSpPr/>
                      <wps:spPr>
                        <a:xfrm>
                          <a:off x="0" y="0"/>
                          <a:ext cx="929005" cy="16573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7pt;margin-top:218.1pt;height:13.05pt;width:73.15pt;z-index:251785216;v-text-anchor:middle;mso-width-relative:page;mso-height-relative:page;" fillcolor="#4F81BD [3204]" filled="t" stroked="t" coordsize="21600,21600" o:gfxdata="UEsDBAoAAAAAAIdO4kAAAAAAAAAAAAAAAAAEAAAAZHJzL1BLAwQUAAAACACHTuJAckzYi9sAAAAL&#10;AQAADwAAAGRycy9kb3ducmV2LnhtbE2PTU/DMAyG70j8h8hI3FjSdu2m0nQHEEhDXOhA025Z67UV&#10;jVM12de/x5zgaPvR6+ctVhc7iBNOvnekIZopEEi1a3pqNXxuXh6WIHww1JjBEWq4oodVeXtTmLxx&#10;Z/rAUxVawSHkc6OhC2HMpfR1h9b4mRuR+HZwkzWBx6mVzWTOHG4HGSuVSWt64g+dGfGpw/q7OloN&#10;2ze8vm7XIf163qxVMu7esTp4re/vIvUIIuAl/MHwq8/qULLT3h2p8WLQkKl0zqiGeZLFIJhYpNEC&#10;xJ43WZyALAv5v0P5A1BLAwQUAAAACACHTuJA239vOXsCAAACBQAADgAAAGRycy9lMm9Eb2MueG1s&#10;rVTNbhMxEL4j8Q6W73R306Rpomyq0CgIqdBKBXF2vHZ2Jf8xdrIpL4PUGw/B4yBeg7F32yaFQw9c&#10;dmc842/8fZ7x7GKvFdkJ8I01JS1OckqE4bZqzKaknz+t3pxT4gMzFVPWiJLeCU8v5q9fzVo3FQNb&#10;W1UJIAhi/LR1Ja1DcNMs87wWmvkT64TBoLSgWUAXNlkFrEV0rbJBnp9lrYXKgeXCe1xddkHaI8JL&#10;AK2UDRdLy7damNChglAsICVfN87TeTqtlIKHaym9CESVFJmG9MUiaK/jN5vP2HQDzNUN74/AXnKE&#10;Z5w0awwWfYRassDIFpq/oHTDwXorwwm3OuuIJEWQRZE/0+a2Zk4kLii1d4+i+/8Hyz/uboA0VUkH&#10;xZASwzRe+e/vP379vCdxBfVpnZ9i2q27gd7zaEayewk6/pEG2SdN7x41FftAOC5OBpM8H1HCMVSc&#10;jcano4iZPW124MM7YTWJRkkBrywpyXZXPnSpDymxlreqqVaNUsmBzfpSAdkxvN7h6rx4u+zRj9KU&#10;IS0SHA1zvHbOsGklNgua2iFxbzaUMLXBaeABUu2j3f6wyOn4LJ8MUpLa6g+26mqPRzlid6ft8xPJ&#10;I6BIY8l83W1JoX6LMpgdde6UjdbaVnd4M2C7lvWOrxrcf8V8uGGAPYpUcIrDNX6kssjP9hYltYVv&#10;/1qP+dg6GKWkxZ5H7l+3DAQl6r3BppoUw2EckuQMR+MBOnAYWR9GzFZfWtS9wPfC8WTG/KAeTAlW&#10;f8FhX8SqGGKGY+1O5d65DN0s4nPBxWKR0nAwHAtX5tbxCB7v2djFNljZpH54UqcXDUcjid2PcZy9&#10;Qz9lPT1d8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yTNiL2wAAAAsBAAAPAAAAAAAAAAEAIAAA&#10;ACIAAABkcnMvZG93bnJldi54bWxQSwECFAAUAAAACACHTuJA239vOXsCAAACBQAADgAAAAAAAAAB&#10;ACAAAAAqAQAAZHJzL2Uyb0RvYy54bWxQSwUGAAAAAAYABgBZAQAAFwYAAAAA&#10;">
                <v:fill on="t" focussize="0,0"/>
                <v:stroke weight="2pt" color="#376092 [2404]" joinstyle="round"/>
                <v:imagedata o:title=""/>
                <o:lock v:ext="edit" aspectratio="f"/>
              </v:rect>
            </w:pict>
          </mc:Fallback>
        </mc:AlternateContent>
      </w:r>
      <w:r>
        <w:rPr>
          <w:sz w:val="32"/>
        </w:rPr>
        <mc:AlternateContent>
          <mc:Choice Requires="wps">
            <w:drawing>
              <wp:anchor distT="0" distB="0" distL="114300" distR="114300" simplePos="0" relativeHeight="251784192" behindDoc="0" locked="0" layoutInCell="1" allowOverlap="1">
                <wp:simplePos x="0" y="0"/>
                <wp:positionH relativeFrom="column">
                  <wp:posOffset>5374640</wp:posOffset>
                </wp:positionH>
                <wp:positionV relativeFrom="paragraph">
                  <wp:posOffset>2799715</wp:posOffset>
                </wp:positionV>
                <wp:extent cx="929005" cy="920115"/>
                <wp:effectExtent l="12700" t="12700" r="29845" b="19685"/>
                <wp:wrapNone/>
                <wp:docPr id="213" name="矩形 213"/>
                <wp:cNvGraphicFramePr/>
                <a:graphic xmlns:a="http://schemas.openxmlformats.org/drawingml/2006/main">
                  <a:graphicData uri="http://schemas.microsoft.com/office/word/2010/wordprocessingShape">
                    <wps:wsp>
                      <wps:cNvSpPr/>
                      <wps:spPr>
                        <a:xfrm>
                          <a:off x="0" y="0"/>
                          <a:ext cx="929005" cy="92011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3.2pt;margin-top:220.45pt;height:72.45pt;width:73.15pt;z-index:251784192;v-text-anchor:middle;mso-width-relative:page;mso-height-relative:page;" fillcolor="#4F81BD [3204]" filled="t" stroked="t" coordsize="21600,21600" o:gfxdata="UEsDBAoAAAAAAIdO4kAAAAAAAAAAAAAAAAAEAAAAZHJzL1BLAwQUAAAACACHTuJAeV9eb9wAAAAL&#10;AQAADwAAAGRycy9kb3ducmV2LnhtbE2Py07DMBBF90j8gzVI7KjdkpQkZNIFCKSibkipqu7cZJpE&#10;xOModl9/j1nBcnSP7j2TLy6mFycaXWcZYTpRIIgrW3fcIHyt3x4SEM5rrnVvmRCu5GBR3N7kOqvt&#10;mT/pVPpGhBJ2mUZovR8yKV3VktFuYgfikB3saLQP59jIetTnUG56OVNqLo3uOCy0eqCXlqrv8mgQ&#10;th90fd8ufbx5XS/V47BbUXlwiPd3U/UMwtPF/8Hwqx/UoQhOe3vk2okeIYnmUUARokilIAKRprMn&#10;EHuEOIkTkEUu//9Q/ABQSwMEFAAAAAgAh07iQPuPzfl6AgAAAgUAAA4AAABkcnMvZTJvRG9jLnht&#10;bK1UwW4TMRC9I/EPlu90d9OENlE3VWgUhFRopYI4O147a8n2GNvJpvwMEjc+gs9B/AZj77ZNC4ce&#10;uOzOeMZv/J5nfHa+N5rshA8KbE2ro5ISYTk0ym5q+unj6tUpJSEy2zANVtT0VgR6Pn/54qxzMzGC&#10;FnQjPEEQG2adq2kbo5sVReCtMCwcgRMWgxK8YRFdvykazzpEN7oYleXrogPfOA9chICryz5IB0T/&#10;HECQUnGxBL41wsYe1QvNIlIKrXKBzvNppRQ8XkkZRCS6psg05i8WQXudvsX8jM02nrlW8eEI7DlH&#10;eMLJMGWx6D3UkkVGtl79BWUU9xBAxiMOpuiJZEWQRVU+0eamZU5kLih1cPeih/8Hyz/srj1RTU1H&#10;1TEllhm88t/ffvz6+Z2kFdSnc2GGaTfu2g9eQDOR3Utv0h9pkH3W9PZeU7GPhOPidDQtywklHENT&#10;5FhNEmbxsNn5EN8KMCQZNfV4ZVlJtrsMsU+9S0m1AmjVrJTW2fGb9YX2ZMfweser0+rNckB/lKYt&#10;6ZDgZFzitXOGTSuxWdA0DokHu6GE6Q1OA48+1360OxwWOT55XU5HOUlvzXto+tonkxKx+9MO+Znk&#10;I6BEY8lC22/JoWGLtpiddO6VTdYamlu8GQ99ywbHVwr3X7IQr5nHHkUqOMXxCj9SA/KDwaKkBf/1&#10;X+spH1sHo5R02PPI/cuWeUGJfmexqabVeJyGJDvjyckIHX8YWR9G7NZcAOpe4XvheDZTftR3pvRg&#10;PuOwL1JVDDHLsXav8uBcxH4W8bngYrHIaTgYjsVLe+N4Ak/3bGGxjSBV7ocHdQbRcDSy2MMYp9k7&#10;9HPWw9M1/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5X15v3AAAAAsBAAAPAAAAAAAAAAEAIAAA&#10;ACIAAABkcnMvZG93bnJldi54bWxQSwECFAAUAAAACACHTuJA+4/N+XoCAAACBQAADgAAAAAAAAAB&#10;ACAAAAArAQAAZHJzL2Uyb0RvYy54bWxQSwUGAAAAAAYABgBZAQAAFwYAAAAA&#10;">
                <v:fill on="t" focussize="0,0"/>
                <v:stroke weight="2pt" color="#376092 [2404]" joinstyle="round"/>
                <v:imagedata o:title=""/>
                <o:lock v:ext="edit" aspectratio="f"/>
              </v:rect>
            </w:pict>
          </mc:Fallback>
        </mc:AlternateContent>
      </w:r>
      <w:r>
        <w:rPr>
          <w:sz w:val="32"/>
        </w:rPr>
        <mc:AlternateContent>
          <mc:Choice Requires="wps">
            <w:drawing>
              <wp:anchor distT="0" distB="0" distL="114300" distR="114300" simplePos="0" relativeHeight="251783168" behindDoc="0" locked="0" layoutInCell="1" allowOverlap="1">
                <wp:simplePos x="0" y="0"/>
                <wp:positionH relativeFrom="column">
                  <wp:posOffset>70485</wp:posOffset>
                </wp:positionH>
                <wp:positionV relativeFrom="paragraph">
                  <wp:posOffset>1036320</wp:posOffset>
                </wp:positionV>
                <wp:extent cx="1277620" cy="754380"/>
                <wp:effectExtent l="12700" t="12700" r="24130" b="13970"/>
                <wp:wrapNone/>
                <wp:docPr id="212" name="矩形 212"/>
                <wp:cNvGraphicFramePr/>
                <a:graphic xmlns:a="http://schemas.openxmlformats.org/drawingml/2006/main">
                  <a:graphicData uri="http://schemas.microsoft.com/office/word/2010/wordprocessingShape">
                    <wps:wsp>
                      <wps:cNvSpPr/>
                      <wps:spPr>
                        <a:xfrm>
                          <a:off x="970280" y="1936115"/>
                          <a:ext cx="1277620" cy="75438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pt;margin-top:81.6pt;height:59.4pt;width:100.6pt;z-index:251783168;v-text-anchor:middle;mso-width-relative:page;mso-height-relative:page;" fillcolor="#4F81BD [3204]" filled="t" stroked="t" coordsize="21600,21600" o:gfxdata="UEsDBAoAAAAAAIdO4kAAAAAAAAAAAAAAAAAEAAAAZHJzL1BLAwQUAAAACACHTuJASUuO3NgAAAAK&#10;AQAADwAAAGRycy9kb3ducmV2LnhtbE2PzU7DMBCE70i8g7VI3KgdR1RVGqcHEEhFXEhBFTc33iZR&#10;43UUu39vz3KC0+5oRrPflquLH8QJp9gHMpDNFAikJrieWgOfm5eHBYiYLDk7BEIDV4ywqm5vSlu4&#10;cKYPPNWpFVxCsbAGupTGQsrYdOhtnIURib19mLxNLKdWusmeudwPUis1l972xBc6O+JTh82hPnoD&#10;2ze8vm7X6fHrebNW+fj9jvU+GnN/l6kliISX9BeGX3xGh4qZduFILoqBdZZxkuc81yA4oDOdg9jx&#10;stAKZFXK/y9UP1BLAwQUAAAACACHTuJAV+dNDocCAAAOBQAADgAAAGRycy9lMm9Eb2MueG1srVTL&#10;btQwFN0j8Q+W9zSPzqMzagYNHQ1CKrRSQaw9jjOJ5NjG9kym/AwSOz6Cz0H8BsdO2k4Liy7YJNe5&#10;x+f6HN+b89eHVpK9sK7RqqDZSUqJUFyXjdoW9NPH9aszSpxnqmRSK1HQW+Ho68XLF+edmYtc11qW&#10;whKQKDfvTEFr7808SRyvRcvciTZCIVlp2zKPpd0mpWUd2FuZ5Gk6STptS2M1F87h66pP0oHRPodQ&#10;V1XDxUrzXSuU71mtkMxDkqsb4+ginraqBPdXVeWEJ7KgUOrjE0UQb8IzWZyz+dYyUzd8OAJ7zhGe&#10;aGpZo1D0nmrFPCM72/xF1Tbcaqcrf8J1m/RCoiNQkaVPvLmpmRFRC6x25t509/9o+Yf9tSVNWdA8&#10;yylRrMWV//7249fP7yR8gT+dcXPAbsy1HVYOYRB7qGwb3pBBDgWdTdP8DMbeoq1mp5MsG/f2ioMn&#10;HPksn04nOQAciOl4dAowGJMHImOdfyt0S0JQUIvri66y/aXzPfQOEuo6LZty3UgZF3a7uZCW7Bmu&#10;erQ+y96sBvZHMKlIB7HjURoOwtDAFRoHYWtgglNbSpjcYjK4t7H2o93uuMjpdJLO8giSu/a9Lvva&#10;03EK7v60Az6KfEQUZKyYq/stMTVskQro4Hnvcog2urzFLVndt68zfN1g/yVz/ppZ9CukYKL9FR6V&#10;1NCnh4iSWtuv//oe8GgjZCnp0P/Q/mXHrKBEvlNosFk2GoHWx8VoPA33Zo8zm+OM2rUXGr5n+HcY&#10;HsOA9/IurKxuP2Pwl6EqUkxx1O5dHhYXvp9L/Dq4WC4jDENimL9UN4YH8nDPSi93XldN7IcHdwbT&#10;MCbR7GGkwxweryPq4Te2+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JS47c2AAAAAoBAAAPAAAA&#10;AAAAAAEAIAAAACIAAABkcnMvZG93bnJldi54bWxQSwECFAAUAAAACACHTuJAV+dNDocCAAAOBQAA&#10;DgAAAAAAAAABACAAAAAnAQAAZHJzL2Uyb0RvYy54bWxQSwUGAAAAAAYABgBZAQAAIAY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-901065</wp:posOffset>
            </wp:positionH>
            <wp:positionV relativeFrom="paragraph">
              <wp:posOffset>-908685</wp:posOffset>
            </wp:positionV>
            <wp:extent cx="7546340" cy="10677525"/>
            <wp:effectExtent l="0" t="0" r="16510" b="9525"/>
            <wp:wrapNone/>
            <wp:docPr id="197" name="图片 197" descr="资质扫描材料(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资质扫描材料(1)_8"/>
                    <pic:cNvPicPr>
                      <a:picLocks noChangeAspect="1"/>
                    </pic:cNvPicPr>
                  </pic:nvPicPr>
                  <pic:blipFill>
                    <a:blip r:embed="rId23"/>
                    <a:stretch>
                      <a:fillRect/>
                    </a:stretch>
                  </pic:blipFill>
                  <pic:spPr>
                    <a:xfrm>
                      <a:off x="0" y="0"/>
                      <a:ext cx="7546340" cy="10677525"/>
                    </a:xfrm>
                    <a:prstGeom prst="rect">
                      <a:avLst/>
                    </a:prstGeom>
                  </pic:spPr>
                </pic:pic>
              </a:graphicData>
            </a:graphic>
          </wp:anchor>
        </w:drawing>
      </w:r>
    </w:p>
    <w:p>
      <w:pPr>
        <w:pStyle w:val="29"/>
        <w:widowControl w:val="0"/>
        <w:topLinePunct/>
        <w:spacing w:before="0" w:beforeAutospacing="0" w:after="0" w:afterAutospacing="0" w:line="24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r>
        <w:rPr>
          <w:rFonts w:ascii="Times New Roman" w:hAnsi="Times New Roman" w:eastAsia="宋体" w:cs="Times New Roman"/>
          <w:b/>
          <w:bCs/>
          <w:snapToGrid w:val="0"/>
          <w:color w:val="000000" w:themeColor="text1"/>
          <w:sz w:val="32"/>
          <w:szCs w:val="32"/>
          <w14:textFill>
            <w14:solidFill>
              <w14:schemeClr w14:val="tx1"/>
            </w14:solidFill>
          </w14:textFill>
        </w:rPr>
        <w:t>一、建设项目基本情况</w:t>
      </w:r>
      <w:bookmarkEnd w:id="0"/>
    </w:p>
    <w:tbl>
      <w:tblPr>
        <w:tblStyle w:val="37"/>
        <w:tblpPr w:leftFromText="180" w:rightFromText="180" w:vertAnchor="text" w:horzAnchor="page" w:tblpX="1469" w:tblpY="212"/>
        <w:tblOverlap w:val="never"/>
        <w:tblW w:w="498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37"/>
        <w:gridCol w:w="2975"/>
        <w:gridCol w:w="1777"/>
        <w:gridCol w:w="31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建设项目</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名称</w:t>
            </w:r>
          </w:p>
        </w:tc>
        <w:tc>
          <w:tcPr>
            <w:tcW w:w="4373" w:type="pct"/>
            <w:gridSpan w:val="3"/>
            <w:vAlign w:val="center"/>
          </w:tcPr>
          <w:p>
            <w:pPr>
              <w:pStyle w:val="96"/>
              <w:widowControl w:val="0"/>
              <w:topLinePunct/>
              <w:spacing w:after="0" w:line="240" w:lineRule="auto"/>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中压预制式电缆附件车间扩建项目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9"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项目代码</w:t>
            </w:r>
          </w:p>
        </w:tc>
        <w:tc>
          <w:tcPr>
            <w:tcW w:w="4373" w:type="pct"/>
            <w:gridSpan w:val="3"/>
            <w:vAlign w:val="center"/>
          </w:tcPr>
          <w:p>
            <w:pPr>
              <w:pStyle w:val="96"/>
              <w:widowControl w:val="0"/>
              <w:topLinePunct/>
              <w:spacing w:after="0" w:line="240" w:lineRule="auto"/>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2409-350181-07-02-781447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建设单位</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联系人</w:t>
            </w:r>
          </w:p>
        </w:tc>
        <w:tc>
          <w:tcPr>
            <w:tcW w:w="163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姚嘉</w:t>
            </w:r>
          </w:p>
        </w:tc>
        <w:tc>
          <w:tcPr>
            <w:tcW w:w="97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联系方式</w:t>
            </w:r>
          </w:p>
        </w:tc>
        <w:tc>
          <w:tcPr>
            <w:tcW w:w="175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bookmarkStart w:id="17" w:name="_GoBack"/>
            <w:bookmarkEnd w:id="17"/>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建设地点</w:t>
            </w:r>
          </w:p>
        </w:tc>
        <w:tc>
          <w:tcPr>
            <w:tcW w:w="4373" w:type="pct"/>
            <w:gridSpan w:val="3"/>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福建省福州市福清市融侨经济技术开发区宏路街道周店村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6" w:type="pct"/>
            <w:tcBorders>
              <w:bottom w:val="single" w:color="auto" w:sz="4" w:space="0"/>
            </w:tcBorders>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地理坐标</w:t>
            </w:r>
          </w:p>
        </w:tc>
        <w:tc>
          <w:tcPr>
            <w:tcW w:w="4373" w:type="pct"/>
            <w:gridSpan w:val="3"/>
            <w:tcBorders>
              <w:bottom w:val="single" w:color="auto" w:sz="4" w:space="0"/>
            </w:tcBorders>
            <w:vAlign w:val="center"/>
          </w:tcPr>
          <w:p>
            <w:pPr>
              <w:widowControl w:val="0"/>
              <w:topLinePunct/>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东经119°18′30.194″，北纬25°40′40.421″（来源于：</w:t>
            </w:r>
            <w:r>
              <w:rPr>
                <w:rFonts w:hint="eastAsia" w:ascii="Times New Roman" w:hAnsi="Times New Roman" w:eastAsia="宋体" w:cs="Times New Roman"/>
                <w:color w:val="000000" w:themeColor="text1"/>
                <w:szCs w:val="24"/>
                <w14:textFill>
                  <w14:solidFill>
                    <w14:schemeClr w14:val="tx1"/>
                  </w14:solidFill>
                </w14:textFill>
              </w:rPr>
              <w:t>91卫图</w:t>
            </w:r>
            <w:r>
              <w:rPr>
                <w:rFonts w:ascii="Times New Roman" w:hAnsi="Times New Roman" w:eastAsia="宋体" w:cs="Times New Roman"/>
                <w:color w:val="000000" w:themeColor="text1"/>
                <w:szCs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26" w:type="pct"/>
            <w:tcBorders>
              <w:top w:val="single" w:color="auto" w:sz="4" w:space="0"/>
              <w:left w:val="single" w:color="auto" w:sz="4" w:space="0"/>
              <w:bottom w:val="single" w:color="auto" w:sz="4" w:space="0"/>
            </w:tcBorders>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国民经济</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行业类别</w:t>
            </w:r>
          </w:p>
        </w:tc>
        <w:tc>
          <w:tcPr>
            <w:tcW w:w="1639" w:type="pct"/>
            <w:tcBorders>
              <w:top w:val="single" w:color="auto" w:sz="4" w:space="0"/>
              <w:bottom w:val="single" w:color="auto" w:sz="4" w:space="0"/>
            </w:tcBorders>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C3829其他输配电及控制设备制造</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C2913橡胶零件制造</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C2929塑料零件及其他塑料制品制造</w:t>
            </w:r>
          </w:p>
        </w:tc>
        <w:tc>
          <w:tcPr>
            <w:tcW w:w="979" w:type="pct"/>
            <w:tcBorders>
              <w:top w:val="single" w:color="auto" w:sz="4" w:space="0"/>
              <w:bottom w:val="single" w:color="auto" w:sz="4" w:space="0"/>
            </w:tcBorders>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bookmarkStart w:id="1" w:name="_Hlk49843745"/>
            <w:r>
              <w:rPr>
                <w:rFonts w:ascii="Times New Roman" w:hAnsi="Times New Roman" w:eastAsia="宋体" w:cs="Times New Roman"/>
                <w:color w:val="000000" w:themeColor="text1"/>
                <w:szCs w:val="24"/>
                <w14:textFill>
                  <w14:solidFill>
                    <w14:schemeClr w14:val="tx1"/>
                  </w14:solidFill>
                </w14:textFill>
              </w:rPr>
              <w:t>建设项目</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行业类别</w:t>
            </w:r>
            <w:bookmarkEnd w:id="1"/>
          </w:p>
        </w:tc>
        <w:tc>
          <w:tcPr>
            <w:tcW w:w="1754" w:type="pct"/>
            <w:tcBorders>
              <w:top w:val="single" w:color="auto" w:sz="4" w:space="0"/>
              <w:bottom w:val="single" w:color="auto" w:sz="4" w:space="0"/>
              <w:right w:val="single" w:color="auto" w:sz="4" w:space="0"/>
            </w:tcBorders>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三十五、电气机械和器材制造业38：输配电及控制设备制造382</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二十六、橡胶和塑料制品业：橡胶制品业291；塑料制品业292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626" w:type="pct"/>
            <w:tcBorders>
              <w:top w:val="single" w:color="auto" w:sz="4" w:space="0"/>
            </w:tcBorders>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建设性质</w:t>
            </w:r>
          </w:p>
        </w:tc>
        <w:tc>
          <w:tcPr>
            <w:tcW w:w="1639" w:type="pct"/>
            <w:tcBorders>
              <w:top w:val="single" w:color="auto" w:sz="4" w:space="0"/>
            </w:tcBorders>
            <w:vAlign w:val="center"/>
          </w:tcPr>
          <w:p>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新建（迁建）</w:t>
            </w:r>
          </w:p>
          <w:p>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改建</w:t>
            </w:r>
          </w:p>
          <w:p>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52"/>
            </w:r>
            <w:r>
              <w:rPr>
                <w:rFonts w:ascii="Times New Roman" w:hAnsi="Times New Roman" w:eastAsia="宋体" w:cs="Times New Roman"/>
                <w:color w:val="000000" w:themeColor="text1"/>
                <w:szCs w:val="24"/>
                <w14:textFill>
                  <w14:solidFill>
                    <w14:schemeClr w14:val="tx1"/>
                  </w14:solidFill>
                </w14:textFill>
              </w:rPr>
              <w:t>扩建</w:t>
            </w:r>
          </w:p>
          <w:p>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技术改造</w:t>
            </w:r>
          </w:p>
        </w:tc>
        <w:tc>
          <w:tcPr>
            <w:tcW w:w="979" w:type="pct"/>
            <w:tcBorders>
              <w:top w:val="single" w:color="auto" w:sz="4" w:space="0"/>
            </w:tcBorders>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建设项目</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申报情形</w:t>
            </w:r>
          </w:p>
        </w:tc>
        <w:tc>
          <w:tcPr>
            <w:tcW w:w="1754" w:type="pct"/>
            <w:tcBorders>
              <w:top w:val="single" w:color="auto" w:sz="4" w:space="0"/>
            </w:tcBorders>
            <w:vAlign w:val="center"/>
          </w:tcPr>
          <w:p>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52"/>
            </w:r>
            <w:r>
              <w:rPr>
                <w:rFonts w:ascii="Times New Roman" w:hAnsi="Times New Roman" w:eastAsia="宋体" w:cs="Times New Roman"/>
                <w:color w:val="000000" w:themeColor="text1"/>
                <w:szCs w:val="24"/>
                <w14:textFill>
                  <w14:solidFill>
                    <w14:schemeClr w14:val="tx1"/>
                  </w14:solidFill>
                </w14:textFill>
              </w:rPr>
              <w:t xml:space="preserve">首次申报项目             </w:t>
            </w:r>
          </w:p>
          <w:p>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不予批准后再次申报项目</w:t>
            </w:r>
          </w:p>
          <w:p>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超五年重新审核项目</w:t>
            </w:r>
          </w:p>
          <w:p>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项目审批（核准/备案）部门（选填）</w:t>
            </w:r>
          </w:p>
        </w:tc>
        <w:tc>
          <w:tcPr>
            <w:tcW w:w="163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福清市工业和信息化局</w:t>
            </w:r>
          </w:p>
        </w:tc>
        <w:tc>
          <w:tcPr>
            <w:tcW w:w="97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项目审批（核准/</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备案）文号（选填）</w:t>
            </w:r>
          </w:p>
        </w:tc>
        <w:tc>
          <w:tcPr>
            <w:tcW w:w="175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闽工信备[2024]A060098号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总投资</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（万元）</w:t>
            </w:r>
          </w:p>
        </w:tc>
        <w:tc>
          <w:tcPr>
            <w:tcW w:w="163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1500</w:t>
            </w:r>
          </w:p>
        </w:tc>
        <w:tc>
          <w:tcPr>
            <w:tcW w:w="979"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环保投资（万元）</w:t>
            </w:r>
          </w:p>
        </w:tc>
        <w:tc>
          <w:tcPr>
            <w:tcW w:w="175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204.5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环保投资</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占比（%）</w:t>
            </w:r>
          </w:p>
        </w:tc>
        <w:tc>
          <w:tcPr>
            <w:tcW w:w="163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13.6</w:t>
            </w:r>
          </w:p>
        </w:tc>
        <w:tc>
          <w:tcPr>
            <w:tcW w:w="979"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施工工期</w:t>
            </w:r>
          </w:p>
        </w:tc>
        <w:tc>
          <w:tcPr>
            <w:tcW w:w="175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6" w:type="pct"/>
            <w:tcMar>
              <w:top w:w="16" w:type="dxa"/>
              <w:left w:w="16" w:type="dxa"/>
              <w:right w:w="16" w:type="dxa"/>
            </w:tcMar>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是否开工</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w:t>
            </w:r>
          </w:p>
        </w:tc>
        <w:tc>
          <w:tcPr>
            <w:tcW w:w="1639" w:type="pct"/>
            <w:vAlign w:val="center"/>
          </w:tcPr>
          <w:p>
            <w:pPr>
              <w:widowControl w:val="0"/>
              <w:topLinePunct/>
              <w:adjustRightInd w:val="0"/>
              <w:snapToGrid w:val="0"/>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F052"/>
            </w:r>
            <w:r>
              <w:rPr>
                <w:rFonts w:ascii="Times New Roman" w:hAnsi="Times New Roman" w:eastAsia="宋体" w:cs="Times New Roman"/>
                <w:color w:val="000000" w:themeColor="text1"/>
                <w:szCs w:val="24"/>
                <w14:textFill>
                  <w14:solidFill>
                    <w14:schemeClr w14:val="tx1"/>
                  </w14:solidFill>
                </w14:textFill>
              </w:rPr>
              <w:t>否</w:t>
            </w:r>
          </w:p>
          <w:p>
            <w:pPr>
              <w:widowControl w:val="0"/>
              <w:topLinePunct/>
              <w:adjustRightInd w:val="0"/>
              <w:snapToGrid w:val="0"/>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是：</w:t>
            </w:r>
            <w:r>
              <w:rPr>
                <w:rFonts w:ascii="Times New Roman" w:hAnsi="Times New Roman" w:eastAsia="宋体" w:cs="Times New Roman"/>
                <w:color w:val="000000" w:themeColor="text1"/>
                <w:szCs w:val="24"/>
                <w:u w:val="single"/>
                <w14:textFill>
                  <w14:solidFill>
                    <w14:schemeClr w14:val="tx1"/>
                  </w14:solidFill>
                </w14:textFill>
              </w:rPr>
              <w:t xml:space="preserve">           </w:t>
            </w:r>
          </w:p>
        </w:tc>
        <w:tc>
          <w:tcPr>
            <w:tcW w:w="979" w:type="pct"/>
            <w:tcMar>
              <w:top w:w="16" w:type="dxa"/>
              <w:left w:w="16" w:type="dxa"/>
              <w:right w:w="16" w:type="dxa"/>
            </w:tcMar>
            <w:vAlign w:val="center"/>
          </w:tcPr>
          <w:p>
            <w:pPr>
              <w:widowControl w:val="0"/>
              <w:topLinePunct/>
              <w:adjustRightInd w:val="0"/>
              <w:snapToGrid w:val="0"/>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用地面积（m</w:t>
            </w:r>
            <w:r>
              <w:rPr>
                <w:rFonts w:ascii="Times New Roman" w:hAnsi="Times New Roman" w:eastAsia="宋体" w:cs="Times New Roman"/>
                <w:color w:val="000000" w:themeColor="text1"/>
                <w:szCs w:val="24"/>
                <w:vertAlign w:val="super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w:t>
            </w:r>
          </w:p>
        </w:tc>
        <w:tc>
          <w:tcPr>
            <w:tcW w:w="1754" w:type="pct"/>
            <w:vAlign w:val="center"/>
          </w:tcPr>
          <w:p>
            <w:pPr>
              <w:pStyle w:val="35"/>
              <w:widowControl w:val="0"/>
              <w:topLinePunct/>
              <w:jc w:val="center"/>
              <w:rPr>
                <w:rFonts w:ascii="Times New Roman" w:hAnsi="Times New Roman" w:eastAsia="宋体" w:cs="Times New Roman"/>
                <w:color w:val="000000" w:themeColor="text1"/>
                <w:spacing w:val="0"/>
                <w:sz w:val="24"/>
                <w:szCs w:val="24"/>
                <w14:textFill>
                  <w14:solidFill>
                    <w14:schemeClr w14:val="tx1"/>
                  </w14:solidFill>
                </w14:textFill>
              </w:rPr>
            </w:pPr>
            <w:r>
              <w:rPr>
                <w:rFonts w:hint="eastAsia" w:ascii="Times New Roman" w:hAnsi="Times New Roman" w:eastAsia="宋体" w:cs="Times New Roman"/>
                <w:color w:val="000000" w:themeColor="text1"/>
                <w:spacing w:val="0"/>
                <w:sz w:val="24"/>
                <w:szCs w:val="24"/>
                <w14:textFill>
                  <w14:solidFill>
                    <w14:schemeClr w14:val="tx1"/>
                  </w14:solidFill>
                </w14:textFill>
              </w:rPr>
              <w:t>不新增用地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26" w:type="pct"/>
            <w:vAlign w:val="center"/>
          </w:tcPr>
          <w:p>
            <w:pPr>
              <w:widowControl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专项评价设置情况</w:t>
            </w:r>
          </w:p>
        </w:tc>
        <w:tc>
          <w:tcPr>
            <w:tcW w:w="4373" w:type="pct"/>
            <w:gridSpan w:val="3"/>
            <w:vAlign w:val="center"/>
          </w:tcPr>
          <w:p>
            <w:pPr>
              <w:widowControl w:val="0"/>
              <w:topLinePunct/>
              <w:adjustRightInd w:val="0"/>
              <w:snapToGri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对照《建设项目环境影响报告表编制建设指南——污染影响类》专项评价设置原则表，本项目专题评价设置情况判定如表1.1-1，经判定，本项目无需设置专项评价。</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表1.1-1  项目专项评价设置情况一览表</w:t>
            </w:r>
          </w:p>
          <w:tbl>
            <w:tblPr>
              <w:tblStyle w:val="16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3269"/>
              <w:gridCol w:w="2380"/>
              <w:gridCol w:w="10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专项评价类别</w:t>
                  </w:r>
                </w:p>
              </w:tc>
              <w:tc>
                <w:tcPr>
                  <w:tcW w:w="2118" w:type="pct"/>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设置原则</w:t>
                  </w:r>
                </w:p>
              </w:tc>
              <w:tc>
                <w:tcPr>
                  <w:tcW w:w="1542" w:type="pct"/>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项目情况</w:t>
                  </w:r>
                </w:p>
              </w:tc>
              <w:tc>
                <w:tcPr>
                  <w:tcW w:w="684" w:type="pct"/>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判定</w:t>
                  </w:r>
                </w:p>
                <w:p>
                  <w:pPr>
                    <w:pStyle w:val="221"/>
                    <w:rPr>
                      <w:b/>
                      <w:color w:val="000000" w:themeColor="text1"/>
                      <w14:textFill>
                        <w14:solidFill>
                          <w14:schemeClr w14:val="tx1"/>
                        </w14:solidFill>
                      </w14:textFill>
                    </w:rPr>
                  </w:pPr>
                  <w:r>
                    <w:rPr>
                      <w:b/>
                      <w:color w:val="000000" w:themeColor="text1"/>
                      <w14:textFill>
                        <w14:solidFill>
                          <w14:schemeClr w14:val="tx1"/>
                        </w14:solidFill>
                      </w14:textFill>
                    </w:rPr>
                    <w:t>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211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排放废气含有毒有害污染物、二噁英、苯并芘、氰化物、氯气，且厂界外500米范围内有环境空气保护目标的项目</w:t>
                  </w:r>
                </w:p>
              </w:tc>
              <w:tc>
                <w:tcPr>
                  <w:tcW w:w="154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废气排放不含有毒有害污染物、二噁英、苯并芘、氰化物、氯气</w:t>
                  </w:r>
                </w:p>
              </w:tc>
              <w:tc>
                <w:tcPr>
                  <w:tcW w:w="6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8" w:hRule="atLeast"/>
              </w:trPr>
              <w:tc>
                <w:tcPr>
                  <w:tcW w:w="65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211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新增工业废水直排建设项目（槽罐车外送污水处理厂的除外），新增废水直排的污水集中处理厂</w:t>
                  </w:r>
                </w:p>
              </w:tc>
              <w:tc>
                <w:tcPr>
                  <w:tcW w:w="154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本项目清洗废水经自建污水处理站处理后回用于清洗工序和冷却塔冷却用水，不外排</w:t>
                  </w:r>
                </w:p>
              </w:tc>
              <w:tc>
                <w:tcPr>
                  <w:tcW w:w="6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环境</w:t>
                  </w:r>
                </w:p>
                <w:p>
                  <w:pPr>
                    <w:pStyle w:val="221"/>
                    <w:rPr>
                      <w:color w:val="000000" w:themeColor="text1"/>
                      <w14:textFill>
                        <w14:solidFill>
                          <w14:schemeClr w14:val="tx1"/>
                        </w14:solidFill>
                      </w14:textFill>
                    </w:rPr>
                  </w:pPr>
                  <w:r>
                    <w:rPr>
                      <w:color w:val="000000" w:themeColor="text1"/>
                      <w14:textFill>
                        <w14:solidFill>
                          <w14:schemeClr w14:val="tx1"/>
                        </w14:solidFill>
                      </w14:textFill>
                    </w:rPr>
                    <w:t>风险</w:t>
                  </w:r>
                </w:p>
              </w:tc>
              <w:tc>
                <w:tcPr>
                  <w:tcW w:w="211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有毒有害和易燃易爆危险物质存储量超过临界量的建设项目</w:t>
                  </w:r>
                </w:p>
              </w:tc>
              <w:tc>
                <w:tcPr>
                  <w:tcW w:w="154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项目有毒有害危险物质存储量未超过临界量</w:t>
                  </w:r>
                </w:p>
              </w:tc>
              <w:tc>
                <w:tcPr>
                  <w:tcW w:w="6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生态</w:t>
                  </w:r>
                </w:p>
              </w:tc>
              <w:tc>
                <w:tcPr>
                  <w:tcW w:w="211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取水口下游500米范围内有重要水生生物的自然产卵场、索饵场、越冬场和洄游通道的新增河道取水的污染类建设项目</w:t>
                  </w:r>
                </w:p>
              </w:tc>
              <w:tc>
                <w:tcPr>
                  <w:tcW w:w="154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项目使用园区自来水，无设置取水口</w:t>
                  </w:r>
                </w:p>
              </w:tc>
              <w:tc>
                <w:tcPr>
                  <w:tcW w:w="6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海洋</w:t>
                  </w:r>
                </w:p>
              </w:tc>
              <w:tc>
                <w:tcPr>
                  <w:tcW w:w="211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直接向海排放污染物的海洋工程建设项目</w:t>
                  </w:r>
                </w:p>
              </w:tc>
              <w:tc>
                <w:tcPr>
                  <w:tcW w:w="154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本项目不属于海洋工程建设项目</w:t>
                  </w:r>
                </w:p>
              </w:tc>
              <w:tc>
                <w:tcPr>
                  <w:tcW w:w="6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bl>
          <w:p>
            <w:pPr>
              <w:pStyle w:val="14"/>
              <w:widowControl w:val="0"/>
              <w:topLinePunct/>
              <w:ind w:firstLine="0" w:firstLineChars="0"/>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626"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规划情况</w:t>
            </w:r>
          </w:p>
        </w:tc>
        <w:tc>
          <w:tcPr>
            <w:tcW w:w="4373" w:type="pct"/>
            <w:gridSpan w:val="3"/>
            <w:vAlign w:val="center"/>
          </w:tcPr>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规划文件名称：《福清融侨经济技术开发区总体规划（2018-2035年）》</w:t>
            </w:r>
          </w:p>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审批机关：福清市人民政府</w:t>
            </w:r>
          </w:p>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审批文件名称及文号：《福清市人民政府关于同意融侨经济技术开发区总体规划（2018-2035年）编制范围的批复》（融政综〔2019〕189号）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26" w:type="pct"/>
            <w:vAlign w:val="center"/>
          </w:tcPr>
          <w:p>
            <w:pPr>
              <w:widowControl w:val="0"/>
              <w:topLinePunct/>
              <w:adjustRightInd w:val="0"/>
              <w:snapToGrid w:val="0"/>
              <w:spacing w:after="0" w:line="36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规划环境影响评价情况</w:t>
            </w:r>
          </w:p>
        </w:tc>
        <w:tc>
          <w:tcPr>
            <w:tcW w:w="4373" w:type="pct"/>
            <w:gridSpan w:val="3"/>
            <w:vAlign w:val="center"/>
          </w:tcPr>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规划环评名称：《福清融侨经济技术开发区总体规划环境影响报告书（2018-2035年）》</w:t>
            </w:r>
          </w:p>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召集审查机关：中华人民共和国生态环境部</w:t>
            </w:r>
          </w:p>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审批文件名称及文号：《关于印发&lt;福清融侨经济技术开发区总体规划环境影响报告书（2018-2035年）&gt;的审查意见》（环审〔2020〕80号）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626" w:type="pct"/>
            <w:vAlign w:val="center"/>
          </w:tcPr>
          <w:p>
            <w:pPr>
              <w:widowControl w:val="0"/>
              <w:topLinePunct/>
              <w:adjustRightInd w:val="0"/>
              <w:snapToGrid w:val="0"/>
              <w:spacing w:after="0" w:line="36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规划及规划环境影响评价符合性分析</w:t>
            </w:r>
          </w:p>
        </w:tc>
        <w:tc>
          <w:tcPr>
            <w:tcW w:w="4373" w:type="pct"/>
            <w:gridSpan w:val="3"/>
            <w:vAlign w:val="center"/>
          </w:tcPr>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福建省福州市福清市融侨经济技术开发区宏路街道周店村，属福清融侨经济开发区范围内。因此本项目进行与《福清融侨经济技术开发区总体规划（2018-2035年）》相符性分析以及与《关于印发&lt;福清融侨经济技术开发区总体规划环境影响报告书（2018-2035年）&gt;的审查意见》（环审〔2020〕80号）相符性分析。</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一、与《福清融侨经济技术开发区总体规划（2018-2035年）》相符性分析</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根据《福清融侨经济技术开发区总体规划(2018-2035年)》的“产业发展-第二十二条构建“3+1”的产业体系：</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1、三大支柱产业</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电子信息产业：显示科技、云计算、电子元器件、光电科技、计算机与智能终端设备等。</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精密汽车部件产业：汽车电气电子装置、动力传动装置、汽车轴承、新能源动力电池等。</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光学产业：光学部件、光通讯技术、电子光学、虚拟现实装置等在三大支柱产业基础之上，完善与其相关的配套产业。</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2、一项新兴产业</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现代服务业：金融商务、总部经济、科技研发、文化创意、物流展销都市型产业与服务型制造业。</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本项目主要属于其他输配电及控制设备制造行业，属于三大支柱产业基础的相关配套产业，因此项目选址和产业定位符合《福清融侨经济技术开发区总体规划(2018-2035年)》要求。</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二、与《关于印发&lt;福清融侨经济技术开发区总体规划环境影响报告书（2018-2035年）&gt;的审查意见》（环审〔2020〕80号）相符性分析</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福清融侨经济技术开发区总体规划环境影响报告书(2018-2035年)》中规划区主导产业环境准入清单及其审查意见(环审[2020180号)，融侨经济技术开发区主要以电子信息：显示科技、光电科技、电子元器件、通讯设备、计算机与智能终端设备等。机械电气：数控机床、精密磨具、光机电一体化等。汽车雾配件：汽配玻璃、汽车雩部件、变速器、汽车轴承等。根据开发区对主导产业发展方向的定位，对照《国民经济行业分类》（GB/T4754-2017），主导行业涉及国民经济类别主要包括C29、C304、C33、C34、C35、C36、C38、C39、C40。禁止新建含电镀工艺、冶炼工艺、电解铝的项目，现有生产能力一定期限内搬迁；包装印刷业禁止使用不符合环保要求的油墨、胶黏剂。</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本项目属于其他输配电及控制设备制造行业，属于C38类别，符合开发区对主导产业发展方向的定位要求。</w:t>
            </w:r>
          </w:p>
          <w:p>
            <w:pPr>
              <w:widowControl w:val="0"/>
              <w:topLinePunct/>
              <w:spacing w:after="0" w:line="360" w:lineRule="auto"/>
              <w:ind w:firstLine="480" w:firstLineChars="200"/>
              <w:jc w:val="both"/>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本次扩建项目</w:t>
            </w:r>
            <w:r>
              <w:rPr>
                <w:rFonts w:ascii="Times New Roman" w:hAnsi="Times New Roman" w:eastAsia="宋体" w:cs="Times New Roman"/>
                <w:bCs/>
                <w:color w:val="000000" w:themeColor="text1"/>
                <w:szCs w:val="24"/>
                <w14:textFill>
                  <w14:solidFill>
                    <w14:schemeClr w14:val="tx1"/>
                  </w14:solidFill>
                </w14:textFill>
              </w:rPr>
              <w:t>与规划区配套及其他行业环境准入清单符合性分析见表1.1-2。</w:t>
            </w:r>
          </w:p>
          <w:p>
            <w:pPr>
              <w:pStyle w:val="222"/>
              <w:spacing w:before="120"/>
              <w:rPr>
                <w:color w:val="000000" w:themeColor="text1"/>
                <w:sz w:val="21"/>
                <w:szCs w:val="21"/>
                <w14:textFill>
                  <w14:solidFill>
                    <w14:schemeClr w14:val="tx1"/>
                  </w14:solidFill>
                </w14:textFill>
              </w:rPr>
            </w:pPr>
            <w:r>
              <w:rPr>
                <w:color w:val="000000" w:themeColor="text1"/>
                <w14:textFill>
                  <w14:solidFill>
                    <w14:schemeClr w14:val="tx1"/>
                  </w14:solidFill>
                </w14:textFill>
              </w:rPr>
              <w:t>表1.1-2 与规划环评、审查意见中环境准入清单符合性分析表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5"/>
              <w:gridCol w:w="599"/>
              <w:gridCol w:w="2872"/>
              <w:gridCol w:w="3183"/>
              <w:gridCol w:w="4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一、规划环评中规划区环境准入条件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tcBorders>
                    <w:tl2br w:val="nil"/>
                    <w:tr2bl w:val="nil"/>
                  </w:tcBorders>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类别名称</w:t>
                  </w:r>
                </w:p>
              </w:tc>
              <w:tc>
                <w:tcPr>
                  <w:tcW w:w="2248" w:type="pct"/>
                  <w:gridSpan w:val="2"/>
                  <w:tcBorders>
                    <w:tl2br w:val="nil"/>
                    <w:tr2bl w:val="nil"/>
                  </w:tcBorders>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产业准入条件</w:t>
                  </w:r>
                </w:p>
              </w:tc>
              <w:tc>
                <w:tcPr>
                  <w:tcW w:w="2061" w:type="pct"/>
                  <w:tcBorders>
                    <w:tl2br w:val="nil"/>
                    <w:tr2bl w:val="nil"/>
                  </w:tcBorders>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本项目</w:t>
                  </w:r>
                </w:p>
              </w:tc>
              <w:tc>
                <w:tcPr>
                  <w:tcW w:w="312" w:type="pct"/>
                  <w:tcBorders>
                    <w:tl2br w:val="nil"/>
                    <w:tr2bl w:val="nil"/>
                  </w:tcBorders>
                  <w:vAlign w:val="center"/>
                </w:tcPr>
                <w:p>
                  <w:pPr>
                    <w:pStyle w:val="193"/>
                    <w:widowControl w:val="0"/>
                    <w:topLinePunct/>
                    <w:spacing w:before="0" w:beforeLines="0" w:after="0" w:afterLines="0" w:line="240" w:lineRule="auto"/>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产业导向</w:t>
                  </w:r>
                </w:p>
              </w:tc>
              <w:tc>
                <w:tcPr>
                  <w:tcW w:w="2248" w:type="pct"/>
                  <w:gridSpan w:val="2"/>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1、符合国家及地方产业政策；2、符合所属行业有关发展规划</w:t>
                  </w:r>
                </w:p>
              </w:tc>
              <w:tc>
                <w:tcPr>
                  <w:tcW w:w="2061" w:type="pct"/>
                  <w:tcBorders>
                    <w:tl2br w:val="nil"/>
                    <w:tr2bl w:val="nil"/>
                  </w:tcBorders>
                  <w:vAlign w:val="center"/>
                </w:tcPr>
                <w:p>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本项目符合国家及地方产业政策、行业有关发展规划，已获得备案（闽工</w:t>
                  </w:r>
                  <w:r>
                    <w:rPr>
                      <w:color w:val="000000" w:themeColor="text1"/>
                      <w:spacing w:val="4"/>
                      <w:position w:val="2"/>
                      <w14:textFill>
                        <w14:solidFill>
                          <w14:schemeClr w14:val="tx1"/>
                        </w14:solidFill>
                      </w14:textFill>
                    </w:rPr>
                    <w:t>信备</w:t>
                  </w:r>
                  <w:r>
                    <w:rPr>
                      <w:rFonts w:eastAsia="Times New Roman"/>
                      <w:color w:val="000000" w:themeColor="text1"/>
                      <w:spacing w:val="4"/>
                      <w:position w:val="2"/>
                      <w14:textFill>
                        <w14:solidFill>
                          <w14:schemeClr w14:val="tx1"/>
                        </w14:solidFill>
                      </w14:textFill>
                    </w:rPr>
                    <w:t>[202</w:t>
                  </w:r>
                  <w:r>
                    <w:rPr>
                      <w:color w:val="000000" w:themeColor="text1"/>
                      <w:spacing w:val="4"/>
                      <w:position w:val="2"/>
                      <w14:textFill>
                        <w14:solidFill>
                          <w14:schemeClr w14:val="tx1"/>
                        </w14:solidFill>
                      </w14:textFill>
                    </w:rPr>
                    <w:t>4</w:t>
                  </w:r>
                  <w:r>
                    <w:rPr>
                      <w:rFonts w:eastAsia="Times New Roman"/>
                      <w:color w:val="000000" w:themeColor="text1"/>
                      <w:spacing w:val="4"/>
                      <w:position w:val="2"/>
                      <w14:textFill>
                        <w14:solidFill>
                          <w14:schemeClr w14:val="tx1"/>
                        </w14:solidFill>
                      </w14:textFill>
                    </w:rPr>
                    <w:t>]A0600</w:t>
                  </w:r>
                  <w:r>
                    <w:rPr>
                      <w:color w:val="000000" w:themeColor="text1"/>
                      <w:spacing w:val="4"/>
                      <w:position w:val="2"/>
                      <w14:textFill>
                        <w14:solidFill>
                          <w14:schemeClr w14:val="tx1"/>
                        </w14:solidFill>
                      </w14:textFill>
                    </w:rPr>
                    <w:t>98</w:t>
                  </w:r>
                  <w:r>
                    <w:rPr>
                      <w:rFonts w:eastAsia="Times New Roman"/>
                      <w:color w:val="000000" w:themeColor="text1"/>
                      <w:spacing w:val="4"/>
                      <w:position w:val="2"/>
                      <w14:textFill>
                        <w14:solidFill>
                          <w14:schemeClr w14:val="tx1"/>
                        </w14:solidFill>
                      </w14:textFill>
                    </w:rPr>
                    <w:t xml:space="preserve"> </w:t>
                  </w:r>
                  <w:r>
                    <w:rPr>
                      <w:color w:val="000000" w:themeColor="text1"/>
                      <w:spacing w:val="4"/>
                      <w:position w:val="2"/>
                      <w14:textFill>
                        <w14:solidFill>
                          <w14:schemeClr w14:val="tx1"/>
                        </w14:solidFill>
                      </w14:textFill>
                    </w:rPr>
                    <w:t>号）</w:t>
                  </w:r>
                </w:p>
              </w:tc>
              <w:tc>
                <w:tcPr>
                  <w:tcW w:w="312" w:type="pct"/>
                  <w:tcBorders>
                    <w:tl2br w:val="nil"/>
                    <w:tr2bl w:val="nil"/>
                  </w:tcBorders>
                  <w:vAlign w:val="center"/>
                </w:tcPr>
                <w:p>
                  <w:pPr>
                    <w:pStyle w:val="193"/>
                    <w:widowControl w:val="0"/>
                    <w:topLinePunct/>
                    <w:spacing w:before="0" w:beforeLines="0" w:after="0" w:afterLines="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规划选址</w:t>
                  </w:r>
                </w:p>
              </w:tc>
              <w:tc>
                <w:tcPr>
                  <w:tcW w:w="2248" w:type="pct"/>
                  <w:gridSpan w:val="2"/>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选址符合规划区范围内各单元控制性详细规划</w:t>
                  </w:r>
                </w:p>
              </w:tc>
              <w:tc>
                <w:tcPr>
                  <w:tcW w:w="2061" w:type="pct"/>
                  <w:tcBorders>
                    <w:tl2br w:val="nil"/>
                    <w:tr2bl w:val="nil"/>
                  </w:tcBorders>
                  <w:vAlign w:val="center"/>
                </w:tcPr>
                <w:p>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项目位于福建省福州市福清市融侨经济技术开发区宏路街道周店村，符合</w:t>
                  </w:r>
                  <w:r>
                    <w:rPr>
                      <w:color w:val="000000" w:themeColor="text1"/>
                      <w:spacing w:val="7"/>
                      <w14:textFill>
                        <w14:solidFill>
                          <w14:schemeClr w14:val="tx1"/>
                        </w14:solidFill>
                      </w14:textFill>
                    </w:rPr>
                    <w:t>单元区规划</w:t>
                  </w:r>
                </w:p>
              </w:tc>
              <w:tc>
                <w:tcPr>
                  <w:tcW w:w="312" w:type="pct"/>
                  <w:tcBorders>
                    <w:tl2br w:val="nil"/>
                    <w:tr2bl w:val="nil"/>
                  </w:tcBorders>
                  <w:vAlign w:val="center"/>
                </w:tcPr>
                <w:p>
                  <w:pPr>
                    <w:pStyle w:val="193"/>
                    <w:widowControl w:val="0"/>
                    <w:topLinePunct/>
                    <w:spacing w:before="0" w:beforeLines="0" w:after="0" w:afterLines="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tcBorders>
                    <w:tl2br w:val="nil"/>
                    <w:tr2bl w:val="nil"/>
                  </w:tcBorders>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清洁生</w:t>
                  </w:r>
                  <w:r>
                    <w:rPr>
                      <w:color w:val="000000" w:themeColor="text1"/>
                      <w:spacing w:val="1"/>
                      <w14:textFill>
                        <w14:solidFill>
                          <w14:schemeClr w14:val="tx1"/>
                        </w14:solidFill>
                      </w14:textFill>
                    </w:rPr>
                    <w:t xml:space="preserve"> </w:t>
                  </w:r>
                  <w:r>
                    <w:rPr>
                      <w:color w:val="000000" w:themeColor="text1"/>
                      <w14:textFill>
                        <w14:solidFill>
                          <w14:schemeClr w14:val="tx1"/>
                        </w14:solidFill>
                      </w14:textFill>
                    </w:rPr>
                    <w:t>产</w:t>
                  </w:r>
                </w:p>
              </w:tc>
              <w:tc>
                <w:tcPr>
                  <w:tcW w:w="2248" w:type="pct"/>
                  <w:gridSpan w:val="2"/>
                  <w:tcBorders>
                    <w:tl2br w:val="nil"/>
                    <w:tr2bl w:val="nil"/>
                  </w:tcBorders>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入区项目生产工艺、</w:t>
                  </w:r>
                  <w:r>
                    <w:rPr>
                      <w:color w:val="000000" w:themeColor="text1"/>
                      <w:spacing w:val="24"/>
                      <w14:textFill>
                        <w14:solidFill>
                          <w14:schemeClr w14:val="tx1"/>
                        </w14:solidFill>
                      </w14:textFill>
                    </w:rPr>
                    <w:t>装备技术水平等应达到国内同行业领</w:t>
                  </w:r>
                  <w:r>
                    <w:rPr>
                      <w:color w:val="000000" w:themeColor="text1"/>
                      <w14:textFill>
                        <w14:solidFill>
                          <w14:schemeClr w14:val="tx1"/>
                        </w14:solidFill>
                      </w14:textFill>
                    </w:rPr>
                    <w:t>先水平；水耗、能耗</w:t>
                  </w:r>
                  <w:r>
                    <w:rPr>
                      <w:color w:val="000000" w:themeColor="text1"/>
                      <w:spacing w:val="24"/>
                      <w14:textFill>
                        <w14:solidFill>
                          <w14:schemeClr w14:val="tx1"/>
                        </w14:solidFill>
                      </w14:textFill>
                    </w:rPr>
                    <w:t>指标应设定在清洁</w:t>
                  </w:r>
                  <w:r>
                    <w:rPr>
                      <w:color w:val="000000" w:themeColor="text1"/>
                      <w:spacing w:val="-1"/>
                      <w14:textFill>
                        <w14:solidFill>
                          <w14:schemeClr w14:val="tx1"/>
                        </w14:solidFill>
                      </w14:textFill>
                    </w:rPr>
                    <w:t>生产一级水平（国际先进水平）或二级水</w:t>
                  </w:r>
                  <w:r>
                    <w:rPr>
                      <w:color w:val="000000" w:themeColor="text1"/>
                      <w:spacing w:val="7"/>
                      <w14:textFill>
                        <w14:solidFill>
                          <w14:schemeClr w14:val="tx1"/>
                        </w14:solidFill>
                      </w14:textFill>
                    </w:rPr>
                    <w:t>平（国内先进水平）</w:t>
                  </w:r>
                </w:p>
              </w:tc>
              <w:tc>
                <w:tcPr>
                  <w:tcW w:w="2061" w:type="pct"/>
                  <w:tcBorders>
                    <w:tl2br w:val="nil"/>
                    <w:tr2bl w:val="nil"/>
                  </w:tcBorders>
                  <w:vAlign w:val="center"/>
                </w:tcPr>
                <w:p>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项目工艺简单，水耗、能耗较少，清洁生产水平可达国内先进水平</w:t>
                  </w:r>
                </w:p>
              </w:tc>
              <w:tc>
                <w:tcPr>
                  <w:tcW w:w="312" w:type="pct"/>
                  <w:tcBorders>
                    <w:tl2br w:val="nil"/>
                    <w:tr2bl w:val="nil"/>
                  </w:tcBorders>
                  <w:vAlign w:val="center"/>
                </w:tcPr>
                <w:p>
                  <w:pPr>
                    <w:pStyle w:val="193"/>
                    <w:widowControl w:val="0"/>
                    <w:topLinePunct/>
                    <w:spacing w:before="0" w:beforeLines="0" w:after="0" w:afterLines="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环境保护</w:t>
                  </w:r>
                </w:p>
              </w:tc>
              <w:tc>
                <w:tcPr>
                  <w:tcW w:w="2248" w:type="pct"/>
                  <w:gridSpan w:val="2"/>
                  <w:tcBorders>
                    <w:tl2br w:val="nil"/>
                    <w:tr2bl w:val="nil"/>
                  </w:tcBorders>
                  <w:vAlign w:val="center"/>
                </w:tcPr>
                <w:p>
                  <w:pPr>
                    <w:pStyle w:val="221"/>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1</w:t>
                  </w:r>
                  <w:r>
                    <w:rPr>
                      <w:color w:val="000000" w:themeColor="text1"/>
                      <w:spacing w:val="6"/>
                      <w14:textFill>
                        <w14:solidFill>
                          <w14:schemeClr w14:val="tx1"/>
                        </w14:solidFill>
                      </w14:textFill>
                    </w:rPr>
                    <w:t>、符合行业环境准</w:t>
                  </w:r>
                  <w:r>
                    <w:rPr>
                      <w:color w:val="000000" w:themeColor="text1"/>
                      <w:spacing w:val="5"/>
                      <w14:textFill>
                        <w14:solidFill>
                          <w14:schemeClr w14:val="tx1"/>
                        </w14:solidFill>
                      </w14:textFill>
                    </w:rPr>
                    <w:t>入要求。</w:t>
                  </w:r>
                </w:p>
                <w:p>
                  <w:pPr>
                    <w:pStyle w:val="221"/>
                    <w:rPr>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2</w:t>
                  </w:r>
                  <w:r>
                    <w:rPr>
                      <w:color w:val="000000" w:themeColor="text1"/>
                      <w:spacing w:val="8"/>
                      <w14:textFill>
                        <w14:solidFill>
                          <w14:schemeClr w14:val="tx1"/>
                        </w14:solidFill>
                      </w14:textFill>
                    </w:rPr>
                    <w:t>、建设项目排放污</w:t>
                  </w:r>
                  <w:r>
                    <w:rPr>
                      <w:color w:val="000000" w:themeColor="text1"/>
                      <w:spacing w:val="-1"/>
                      <w14:textFill>
                        <w14:solidFill>
                          <w14:schemeClr w14:val="tx1"/>
                        </w14:solidFill>
                      </w14:textFill>
                    </w:rPr>
                    <w:t>染物符合国家、省规</w:t>
                  </w:r>
                  <w:r>
                    <w:rPr>
                      <w:color w:val="000000" w:themeColor="text1"/>
                      <w:spacing w:val="3"/>
                      <w14:textFill>
                        <w14:solidFill>
                          <w14:schemeClr w14:val="tx1"/>
                        </w14:solidFill>
                      </w14:textFill>
                    </w:rPr>
                    <w:t xml:space="preserve"> </w:t>
                  </w:r>
                  <w:r>
                    <w:rPr>
                      <w:color w:val="000000" w:themeColor="text1"/>
                      <w:spacing w:val="24"/>
                      <w14:textFill>
                        <w14:solidFill>
                          <w14:schemeClr w14:val="tx1"/>
                        </w14:solidFill>
                      </w14:textFill>
                    </w:rPr>
                    <w:t>定的污染物排放标</w:t>
                  </w:r>
                  <w:r>
                    <w:rPr>
                      <w:color w:val="000000" w:themeColor="text1"/>
                      <w:spacing w:val="-1"/>
                      <w14:textFill>
                        <w14:solidFill>
                          <w14:schemeClr w14:val="tx1"/>
                        </w14:solidFill>
                      </w14:textFill>
                    </w:rPr>
                    <w:t>准。</w:t>
                  </w:r>
                </w:p>
                <w:p>
                  <w:pPr>
                    <w:pStyle w:val="221"/>
                    <w:rPr>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3</w:t>
                  </w:r>
                  <w:r>
                    <w:rPr>
                      <w:color w:val="000000" w:themeColor="text1"/>
                      <w:spacing w:val="8"/>
                      <w14:textFill>
                        <w14:solidFill>
                          <w14:schemeClr w14:val="tx1"/>
                        </w14:solidFill>
                      </w14:textFill>
                    </w:rPr>
                    <w:t>、建设项目新增主</w:t>
                  </w:r>
                  <w:r>
                    <w:rPr>
                      <w:color w:val="000000" w:themeColor="text1"/>
                      <w:spacing w:val="24"/>
                      <w14:textFill>
                        <w14:solidFill>
                          <w14:schemeClr w14:val="tx1"/>
                        </w14:solidFill>
                      </w14:textFill>
                    </w:rPr>
                    <w:t>要污染物排放量符合总量控制和污染</w:t>
                  </w:r>
                  <w:r>
                    <w:rPr>
                      <w:color w:val="000000" w:themeColor="text1"/>
                      <w:spacing w:val="6"/>
                      <w14:textFill>
                        <w14:solidFill>
                          <w14:schemeClr w14:val="tx1"/>
                        </w14:solidFill>
                      </w14:textFill>
                    </w:rPr>
                    <w:t>物减排要求。</w:t>
                  </w:r>
                </w:p>
                <w:p>
                  <w:pPr>
                    <w:pStyle w:val="221"/>
                    <w:rPr>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4</w:t>
                  </w:r>
                  <w:r>
                    <w:rPr>
                      <w:color w:val="000000" w:themeColor="text1"/>
                      <w:spacing w:val="8"/>
                      <w14:textFill>
                        <w14:solidFill>
                          <w14:schemeClr w14:val="tx1"/>
                        </w14:solidFill>
                      </w14:textFill>
                    </w:rPr>
                    <w:t>、废水集中纳管排</w:t>
                  </w:r>
                  <w:r>
                    <w:rPr>
                      <w:color w:val="000000" w:themeColor="text1"/>
                      <w14:textFill>
                        <w14:solidFill>
                          <w14:schemeClr w14:val="tx1"/>
                        </w14:solidFill>
                      </w14:textFill>
                    </w:rPr>
                    <w:t>放。</w:t>
                  </w:r>
                </w:p>
                <w:p>
                  <w:pPr>
                    <w:pStyle w:val="221"/>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5</w:t>
                  </w:r>
                  <w:r>
                    <w:rPr>
                      <w:color w:val="000000" w:themeColor="text1"/>
                      <w:spacing w:val="7"/>
                      <w14:textFill>
                        <w14:solidFill>
                          <w14:schemeClr w14:val="tx1"/>
                        </w14:solidFill>
                      </w14:textFill>
                    </w:rPr>
                    <w:t>、实施技改项目的</w:t>
                  </w:r>
                  <w:r>
                    <w:rPr>
                      <w:color w:val="000000" w:themeColor="text1"/>
                      <w:spacing w:val="24"/>
                      <w14:textFill>
                        <w14:solidFill>
                          <w14:schemeClr w14:val="tx1"/>
                        </w14:solidFill>
                      </w14:textFill>
                    </w:rPr>
                    <w:t>企业近三年未发生</w:t>
                  </w:r>
                  <w:r>
                    <w:rPr>
                      <w:color w:val="000000" w:themeColor="text1"/>
                      <w:spacing w:val="-1"/>
                      <w14:textFill>
                        <w14:solidFill>
                          <w14:schemeClr w14:val="tx1"/>
                        </w14:solidFill>
                      </w14:textFill>
                    </w:rPr>
                    <w:t>重大污染事故，未发</w:t>
                  </w:r>
                  <w:r>
                    <w:rPr>
                      <w:color w:val="000000" w:themeColor="text1"/>
                      <w:spacing w:val="24"/>
                      <w14:textFill>
                        <w14:solidFill>
                          <w14:schemeClr w14:val="tx1"/>
                        </w14:solidFill>
                      </w14:textFill>
                    </w:rPr>
                    <w:t>生因环境污染引起</w:t>
                  </w:r>
                  <w:r>
                    <w:rPr>
                      <w:color w:val="000000" w:themeColor="text1"/>
                      <w:spacing w:val="7"/>
                      <w14:textFill>
                        <w14:solidFill>
                          <w14:schemeClr w14:val="tx1"/>
                        </w14:solidFill>
                      </w14:textFill>
                    </w:rPr>
                    <w:t>的群体事件</w:t>
                  </w:r>
                </w:p>
              </w:tc>
              <w:tc>
                <w:tcPr>
                  <w:tcW w:w="2061"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1、本项目为电缆附件加工生产，不属于禁止引进的行业，经对照规划环评中的“规划区配套及其他行业环境准入清单”，项目建设符合园区行业环境准入要求；</w:t>
                  </w:r>
                </w:p>
                <w:p>
                  <w:pPr>
                    <w:pStyle w:val="221"/>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2</w:t>
                  </w:r>
                  <w:r>
                    <w:rPr>
                      <w:color w:val="000000" w:themeColor="text1"/>
                      <w:spacing w:val="7"/>
                      <w14:textFill>
                        <w14:solidFill>
                          <w14:schemeClr w14:val="tx1"/>
                        </w14:solidFill>
                      </w14:textFill>
                    </w:rPr>
                    <w:t>、项目废气各污染物经处理后可达标排</w:t>
                  </w:r>
                  <w:r>
                    <w:rPr>
                      <w:color w:val="000000" w:themeColor="text1"/>
                      <w14:textFill>
                        <w14:solidFill>
                          <w14:schemeClr w14:val="tx1"/>
                        </w14:solidFill>
                      </w14:textFill>
                    </w:rPr>
                    <w:t>放；</w:t>
                  </w:r>
                </w:p>
                <w:p>
                  <w:pPr>
                    <w:pStyle w:val="221"/>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3</w:t>
                  </w:r>
                  <w:r>
                    <w:rPr>
                      <w:color w:val="000000" w:themeColor="text1"/>
                      <w:spacing w:val="6"/>
                      <w14:textFill>
                        <w14:solidFill>
                          <w14:schemeClr w14:val="tx1"/>
                        </w14:solidFill>
                      </w14:textFill>
                    </w:rPr>
                    <w:t>、新增主要污染物排放量符合总量控</w:t>
                  </w:r>
                  <w:r>
                    <w:rPr>
                      <w:color w:val="000000" w:themeColor="text1"/>
                      <w:spacing w:val="7"/>
                      <w14:textFill>
                        <w14:solidFill>
                          <w14:schemeClr w14:val="tx1"/>
                        </w14:solidFill>
                      </w14:textFill>
                    </w:rPr>
                    <w:t>制和污染物减排要求；</w:t>
                  </w:r>
                </w:p>
                <w:p>
                  <w:pPr>
                    <w:pStyle w:val="221"/>
                    <w:rPr>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4</w:t>
                  </w:r>
                  <w:r>
                    <w:rPr>
                      <w:color w:val="000000" w:themeColor="text1"/>
                      <w:spacing w:val="5"/>
                      <w14:textFill>
                        <w14:solidFill>
                          <w14:schemeClr w14:val="tx1"/>
                        </w14:solidFill>
                      </w14:textFill>
                    </w:rPr>
                    <w:t>、项目无生产废水产生；生活污水经</w:t>
                  </w:r>
                  <w:r>
                    <w:rPr>
                      <w:color w:val="000000" w:themeColor="text1"/>
                      <w:spacing w:val="9"/>
                      <w14:textFill>
                        <w14:solidFill>
                          <w14:schemeClr w14:val="tx1"/>
                        </w14:solidFill>
                      </w14:textFill>
                    </w:rPr>
                    <w:t>三级化粪池处理后通过污水管网排入</w:t>
                  </w:r>
                  <w:r>
                    <w:rPr>
                      <w:color w:val="000000" w:themeColor="text1"/>
                      <w:spacing w:val="7"/>
                      <w14:textFill>
                        <w14:solidFill>
                          <w14:schemeClr w14:val="tx1"/>
                        </w14:solidFill>
                      </w14:textFill>
                    </w:rPr>
                    <w:t>污水处理厂处理；</w:t>
                  </w:r>
                </w:p>
                <w:p>
                  <w:pPr>
                    <w:pStyle w:val="221"/>
                    <w:rPr>
                      <w:color w:val="000000" w:themeColor="text1"/>
                      <w14:textFill>
                        <w14:solidFill>
                          <w14:schemeClr w14:val="tx1"/>
                        </w14:solidFill>
                      </w14:textFill>
                    </w:rPr>
                  </w:pPr>
                  <w:r>
                    <w:rPr>
                      <w:rFonts w:eastAsia="Times New Roman"/>
                      <w:color w:val="000000" w:themeColor="text1"/>
                      <w:spacing w:val="4"/>
                      <w14:textFill>
                        <w14:solidFill>
                          <w14:schemeClr w14:val="tx1"/>
                        </w14:solidFill>
                      </w14:textFill>
                    </w:rPr>
                    <w:t>5</w:t>
                  </w:r>
                  <w:r>
                    <w:rPr>
                      <w:color w:val="000000" w:themeColor="text1"/>
                      <w:spacing w:val="4"/>
                      <w14:textFill>
                        <w14:solidFill>
                          <w14:schemeClr w14:val="tx1"/>
                        </w14:solidFill>
                      </w14:textFill>
                    </w:rPr>
                    <w:t>、项目近三年未发生重大污染事故，</w:t>
                  </w:r>
                  <w:r>
                    <w:rPr>
                      <w:color w:val="000000" w:themeColor="text1"/>
                      <w:spacing w:val="9"/>
                      <w14:textFill>
                        <w14:solidFill>
                          <w14:schemeClr w14:val="tx1"/>
                        </w14:solidFill>
                      </w14:textFill>
                    </w:rPr>
                    <w:t>未发生因环境污染引起的群体事件</w:t>
                  </w:r>
                </w:p>
              </w:tc>
              <w:tc>
                <w:tcPr>
                  <w:tcW w:w="312" w:type="pct"/>
                  <w:tcBorders>
                    <w:tl2br w:val="nil"/>
                    <w:tr2bl w:val="nil"/>
                  </w:tcBorders>
                  <w:vAlign w:val="center"/>
                </w:tcPr>
                <w:p>
                  <w:pPr>
                    <w:pStyle w:val="193"/>
                    <w:widowControl w:val="0"/>
                    <w:topLinePunct/>
                    <w:spacing w:before="0" w:beforeLines="0" w:after="0" w:afterLines="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二、</w:t>
                  </w:r>
                  <w:r>
                    <w:rPr>
                      <w:rFonts w:hint="eastAsia"/>
                      <w:color w:val="000000" w:themeColor="text1"/>
                      <w14:textFill>
                        <w14:solidFill>
                          <w14:schemeClr w14:val="tx1"/>
                        </w14:solidFill>
                      </w14:textFill>
                    </w:rPr>
                    <w:t>与规划区主导产业环境准入清单及审查意见分析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tcBorders>
                    <w:tl2br w:val="nil"/>
                    <w:tr2bl w:val="nil"/>
                  </w:tcBorders>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类别名称</w:t>
                  </w:r>
                </w:p>
              </w:tc>
              <w:tc>
                <w:tcPr>
                  <w:tcW w:w="388" w:type="pct"/>
                  <w:tcBorders>
                    <w:tl2br w:val="nil"/>
                    <w:tr2bl w:val="nil"/>
                  </w:tcBorders>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类型</w:t>
                  </w:r>
                </w:p>
              </w:tc>
              <w:tc>
                <w:tcPr>
                  <w:tcW w:w="1860" w:type="pct"/>
                  <w:tcBorders>
                    <w:tl2br w:val="nil"/>
                    <w:tr2bl w:val="nil"/>
                  </w:tcBorders>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要求</w:t>
                  </w:r>
                </w:p>
              </w:tc>
              <w:tc>
                <w:tcPr>
                  <w:tcW w:w="2061" w:type="pct"/>
                  <w:tcBorders>
                    <w:tl2br w:val="nil"/>
                    <w:tr2bl w:val="nil"/>
                  </w:tcBorders>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本项目</w:t>
                  </w:r>
                </w:p>
              </w:tc>
              <w:tc>
                <w:tcPr>
                  <w:tcW w:w="312" w:type="pct"/>
                  <w:tcBorders>
                    <w:tl2br w:val="nil"/>
                    <w:tr2bl w:val="nil"/>
                  </w:tcBorders>
                  <w:vAlign w:val="center"/>
                </w:tcPr>
                <w:p>
                  <w:pPr>
                    <w:pStyle w:val="193"/>
                    <w:widowControl w:val="0"/>
                    <w:topLinePunct/>
                    <w:spacing w:before="0" w:beforeLines="0" w:after="0" w:afterLines="0" w:line="240" w:lineRule="auto"/>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restar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主导行业</w:t>
                  </w:r>
                </w:p>
              </w:tc>
              <w:tc>
                <w:tcPr>
                  <w:tcW w:w="388"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空间布局约束</w:t>
                  </w:r>
                </w:p>
              </w:tc>
              <w:tc>
                <w:tcPr>
                  <w:tcW w:w="1860" w:type="pct"/>
                  <w:tcBorders>
                    <w:tl2br w:val="nil"/>
                    <w:tr2bl w:val="nil"/>
                  </w:tcBorders>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禁止新建：1、使用有机涂层的(喷塑、电泳及高端项目配套除外)。2、涉及熔炼、电镀工艺。3、涉及钝化工艺的热镀锌。4、油性漆使用量超过10t/a喷漆工艺。5、使用火焰法除旧漆，使用干喷砂除锈。6、采用煤、油、生物质等非清洁能源。7、铅酸蓄电池制造。8、印刷电路板(高密度印刷电路板和柔性电路板除外)现有生产能力允许企业在一定期限内采取措施改造升级。</w:t>
                  </w:r>
                </w:p>
              </w:tc>
              <w:tc>
                <w:tcPr>
                  <w:tcW w:w="2061"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本项目属于主导行业，</w:t>
                  </w:r>
                  <w:r>
                    <w:rPr>
                      <w:rFonts w:hint="eastAsia"/>
                      <w:color w:val="000000" w:themeColor="text1"/>
                      <w14:textFill>
                        <w14:solidFill>
                          <w14:schemeClr w14:val="tx1"/>
                        </w14:solidFill>
                      </w14:textFill>
                    </w:rPr>
                    <w:t>不使用有机涂层、不涉及禁止工艺，不使用油性漆，采用电能。</w:t>
                  </w:r>
                </w:p>
              </w:tc>
              <w:tc>
                <w:tcPr>
                  <w:tcW w:w="312" w:type="pct"/>
                  <w:tcBorders>
                    <w:tl2br w:val="nil"/>
                    <w:tr2bl w:val="nil"/>
                  </w:tcBorders>
                  <w:vAlign w:val="center"/>
                </w:tcPr>
                <w:p>
                  <w:pPr>
                    <w:pStyle w:val="193"/>
                    <w:widowControl w:val="0"/>
                    <w:topLinePunct/>
                    <w:spacing w:before="0" w:beforeLines="0" w:after="0" w:afterLines="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tcBorders>
                    <w:tl2br w:val="nil"/>
                    <w:tr2bl w:val="nil"/>
                  </w:tcBorders>
                  <w:vAlign w:val="center"/>
                </w:tcPr>
                <w:p>
                  <w:pPr>
                    <w:pStyle w:val="221"/>
                    <w:rPr>
                      <w:color w:val="000000" w:themeColor="text1"/>
                      <w14:textFill>
                        <w14:solidFill>
                          <w14:schemeClr w14:val="tx1"/>
                        </w14:solidFill>
                      </w14:textFill>
                    </w:rPr>
                  </w:pPr>
                </w:p>
              </w:tc>
              <w:tc>
                <w:tcPr>
                  <w:tcW w:w="388"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环境风险防控</w:t>
                  </w:r>
                </w:p>
              </w:tc>
              <w:tc>
                <w:tcPr>
                  <w:tcW w:w="1860" w:type="pct"/>
                  <w:tcBorders>
                    <w:tl2br w:val="nil"/>
                    <w:tr2bl w:val="nil"/>
                  </w:tcBorders>
                  <w:vAlign w:val="center"/>
                </w:tcPr>
                <w:p>
                  <w:pPr>
                    <w:pStyle w:val="221"/>
                    <w:jc w:val="left"/>
                    <w:rPr>
                      <w:color w:val="000000" w:themeColor="text1"/>
                      <w14:textFill>
                        <w14:solidFill>
                          <w14:schemeClr w14:val="tx1"/>
                        </w14:solidFill>
                      </w14:textFill>
                    </w:rPr>
                  </w:pPr>
                  <w:r>
                    <w:rPr>
                      <w:color w:val="000000" w:themeColor="text1"/>
                      <w14:textFill>
                        <w14:solidFill>
                          <w14:schemeClr w14:val="tx1"/>
                        </w14:solidFill>
                      </w14:textFill>
                    </w:rPr>
                    <w:t>1、必须规范配套应急池，建设企业、园区和周边水系三级环境风险防控工程，确保有效拦截、降污和倒流；受园区排污影响的周边水系应建设应急闸门，防止泄漏物和消防水等排入外环境。</w:t>
                  </w:r>
                </w:p>
                <w:p>
                  <w:pPr>
                    <w:pStyle w:val="221"/>
                    <w:jc w:val="left"/>
                    <w:rPr>
                      <w:color w:val="000000" w:themeColor="text1"/>
                      <w14:textFill>
                        <w14:solidFill>
                          <w14:schemeClr w14:val="tx1"/>
                        </w14:solidFill>
                      </w14:textFill>
                    </w:rPr>
                  </w:pPr>
                  <w:r>
                    <w:rPr>
                      <w:color w:val="000000" w:themeColor="text1"/>
                      <w14:textFill>
                        <w14:solidFill>
                          <w14:schemeClr w14:val="tx1"/>
                        </w14:solidFill>
                      </w14:textFill>
                    </w:rPr>
                    <w:t>2、开发区内污水处理设施应采取必要的防渗处理，不得污染地下水环境。</w:t>
                  </w:r>
                </w:p>
              </w:tc>
              <w:tc>
                <w:tcPr>
                  <w:tcW w:w="2061"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项目化粪池进行了防渗处理，经化粪池处理后排入市政污水管网送往福清市融元污水处理厂集中处理。</w:t>
                  </w:r>
                </w:p>
              </w:tc>
              <w:tc>
                <w:tcPr>
                  <w:tcW w:w="312" w:type="pct"/>
                  <w:tcBorders>
                    <w:tl2br w:val="nil"/>
                    <w:tr2bl w:val="nil"/>
                  </w:tcBorders>
                  <w:vAlign w:val="center"/>
                </w:tcPr>
                <w:p>
                  <w:pPr>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tcBorders>
                    <w:tl2br w:val="nil"/>
                    <w:tr2bl w:val="nil"/>
                  </w:tcBorders>
                  <w:vAlign w:val="center"/>
                </w:tcPr>
                <w:p>
                  <w:pPr>
                    <w:pStyle w:val="221"/>
                    <w:rPr>
                      <w:color w:val="000000" w:themeColor="text1"/>
                      <w14:textFill>
                        <w14:solidFill>
                          <w14:schemeClr w14:val="tx1"/>
                        </w14:solidFill>
                      </w14:textFill>
                    </w:rPr>
                  </w:pPr>
                </w:p>
              </w:tc>
              <w:tc>
                <w:tcPr>
                  <w:tcW w:w="388"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污染物排放管控</w:t>
                  </w:r>
                </w:p>
              </w:tc>
              <w:tc>
                <w:tcPr>
                  <w:tcW w:w="1860" w:type="pct"/>
                  <w:tcBorders>
                    <w:tl2br w:val="nil"/>
                    <w:tr2bl w:val="nil"/>
                  </w:tcBorders>
                  <w:vAlign w:val="center"/>
                </w:tcPr>
                <w:p>
                  <w:pPr>
                    <w:pStyle w:val="221"/>
                    <w:jc w:val="left"/>
                    <w:rPr>
                      <w:color w:val="000000" w:themeColor="text1"/>
                      <w14:textFill>
                        <w14:solidFill>
                          <w14:schemeClr w14:val="tx1"/>
                        </w14:solidFill>
                      </w14:textFill>
                    </w:rPr>
                  </w:pPr>
                  <w:r>
                    <w:rPr>
                      <w:color w:val="000000" w:themeColor="text1"/>
                      <w14:textFill>
                        <w14:solidFill>
                          <w14:schemeClr w14:val="tx1"/>
                        </w14:solidFill>
                      </w14:textFill>
                    </w:rPr>
                    <w:t>1、新、改、扩建项目新增大气污染物（现阶段指SO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、NOx）排放量实行1.5倍削减替代（不含使用天然气、液化石油气等作为燃料的非火电锅炉和工业炉窑）。</w:t>
                  </w:r>
                </w:p>
                <w:p>
                  <w:pPr>
                    <w:pStyle w:val="221"/>
                    <w:jc w:val="left"/>
                    <w:rPr>
                      <w:color w:val="000000" w:themeColor="text1"/>
                      <w14:textFill>
                        <w14:solidFill>
                          <w14:schemeClr w14:val="tx1"/>
                        </w14:solidFill>
                      </w14:textFill>
                    </w:rPr>
                  </w:pPr>
                  <w:r>
                    <w:rPr>
                      <w:color w:val="000000" w:themeColor="text1"/>
                      <w14:textFill>
                        <w14:solidFill>
                          <w14:schemeClr w14:val="tx1"/>
                        </w14:solidFill>
                      </w14:textFill>
                    </w:rPr>
                    <w:t>2、新、改、扩建项目新增VOCs排放量实行倍量削减替代。</w:t>
                  </w:r>
                </w:p>
                <w:p>
                  <w:pPr>
                    <w:pStyle w:val="221"/>
                    <w:jc w:val="left"/>
                    <w:rPr>
                      <w:color w:val="000000" w:themeColor="text1"/>
                      <w14:textFill>
                        <w14:solidFill>
                          <w14:schemeClr w14:val="tx1"/>
                        </w14:solidFill>
                      </w14:textFill>
                    </w:rPr>
                  </w:pPr>
                  <w:r>
                    <w:rPr>
                      <w:color w:val="000000" w:themeColor="text1"/>
                      <w14:textFill>
                        <w14:solidFill>
                          <w14:schemeClr w14:val="tx1"/>
                        </w14:solidFill>
                      </w14:textFill>
                    </w:rPr>
                    <w:t>3、工业企业废水全部纳管进入污水厂集中处理后达标排放。</w:t>
                  </w:r>
                </w:p>
              </w:tc>
              <w:tc>
                <w:tcPr>
                  <w:tcW w:w="2061" w:type="pct"/>
                  <w:tcBorders>
                    <w:tl2br w:val="nil"/>
                    <w:tr2bl w:val="nil"/>
                  </w:tcBorders>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本项目新增VOCs排放量实行倍量削减替代，生活污水经化粪池处理后排入市政污水管网送往福清市第二污水处理厂集中处理。</w:t>
                  </w:r>
                </w:p>
              </w:tc>
              <w:tc>
                <w:tcPr>
                  <w:tcW w:w="312" w:type="pct"/>
                  <w:tcBorders>
                    <w:tl2br w:val="nil"/>
                    <w:tr2bl w:val="nil"/>
                  </w:tcBorders>
                  <w:vAlign w:val="center"/>
                </w:tcPr>
                <w:p>
                  <w:pPr>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bl>
          <w:p>
            <w:pPr>
              <w:widowControl w:val="0"/>
              <w:topLinePunct/>
              <w:spacing w:after="0" w:line="360" w:lineRule="auto"/>
              <w:ind w:firstLine="480" w:firstLineChars="200"/>
              <w:jc w:val="both"/>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因此，本项目建设符合规划环评及其审查意见。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26" w:type="pct"/>
            <w:vAlign w:val="center"/>
          </w:tcPr>
          <w:p>
            <w:pPr>
              <w:widowControl w:val="0"/>
              <w:topLinePunct/>
              <w:adjustRightInd w:val="0"/>
              <w:snapToGrid w:val="0"/>
              <w:spacing w:after="0" w:line="36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其他符合性分析</w:t>
            </w:r>
          </w:p>
        </w:tc>
        <w:tc>
          <w:tcPr>
            <w:tcW w:w="4373" w:type="pct"/>
            <w:gridSpan w:val="3"/>
            <w:vAlign w:val="center"/>
          </w:tcPr>
          <w:p>
            <w:pPr>
              <w:pStyle w:val="14"/>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1、产业政策符合性分析</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属于其他输配电及控制设备制造，项目不属于《产业结构调整指导目录（2024年本）》中限制和淘汰类的项目，通过了福清市工业和信息化局的备案（闽工信备[2024]A060098号，详见附件2），因此项目的建设内容符合国家和地方相关产业政策要求。</w:t>
            </w:r>
          </w:p>
          <w:p>
            <w:pPr>
              <w:widowControl w:val="0"/>
              <w:topLinePunct/>
              <w:spacing w:after="0" w:line="360" w:lineRule="auto"/>
              <w:ind w:firstLine="482" w:firstLineChars="200"/>
              <w:jc w:val="both"/>
              <w:rPr>
                <w:rFonts w:ascii="Times New Roman" w:hAnsi="Times New Roman" w:eastAsia="宋体" w:cs="Times New Roman"/>
                <w:b/>
                <w:bCs/>
                <w:color w:val="000000" w:themeColor="text1"/>
                <w:kern w:val="21"/>
                <w:szCs w:val="24"/>
                <w14:textFill>
                  <w14:solidFill>
                    <w14:schemeClr w14:val="tx1"/>
                  </w14:solidFill>
                </w14:textFill>
              </w:rPr>
            </w:pPr>
            <w:r>
              <w:rPr>
                <w:rFonts w:ascii="Times New Roman" w:hAnsi="Times New Roman" w:eastAsia="宋体" w:cs="Times New Roman"/>
                <w:b/>
                <w:bCs/>
                <w:color w:val="000000" w:themeColor="text1"/>
                <w:kern w:val="21"/>
                <w:szCs w:val="24"/>
                <w14:textFill>
                  <w14:solidFill>
                    <w14:schemeClr w14:val="tx1"/>
                  </w14:solidFill>
                </w14:textFill>
              </w:rPr>
              <w:t>2、土地利用总体规划符合性分析</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本项目位于福建省福州市福清市融侨经济技术开发区宏路街道周店村</w:t>
            </w:r>
            <w:r>
              <w:rPr>
                <w:rFonts w:hint="eastAsia" w:ascii="Times New Roman" w:hAnsi="Times New Roman" w:eastAsia="宋体" w:cs="Times New Roman"/>
                <w:color w:val="000000" w:themeColor="text1"/>
                <w:szCs w:val="24"/>
                <w14:textFill>
                  <w14:solidFill>
                    <w14:schemeClr w14:val="tx1"/>
                  </w14:solidFill>
                </w14:textFill>
              </w:rPr>
              <w:t>，项目用地分为三个地块，其中本项目依托的行政楼位于A地块（产权证编号：闽（2020）福清市不动产第0004954），依托的食堂、宿舍楼4~10#、及本项目使用的1#车间位于B地块（产权证编号：闽（2020）福清市不动产第0004953），依托的宿舍楼1-3#位于C地块（产权证编号：闽（2017）福清市不动产第0013572），</w:t>
            </w:r>
            <w:r>
              <w:rPr>
                <w:rFonts w:ascii="Times New Roman" w:hAnsi="Times New Roman" w:eastAsia="宋体" w:cs="Times New Roman"/>
                <w:color w:val="000000" w:themeColor="text1"/>
                <w:szCs w:val="24"/>
                <w14:textFill>
                  <w14:solidFill>
                    <w14:schemeClr w14:val="tx1"/>
                  </w14:solidFill>
                </w14:textFill>
              </w:rPr>
              <w:t>项目</w:t>
            </w:r>
            <w:r>
              <w:rPr>
                <w:rFonts w:hint="eastAsia" w:ascii="Times New Roman" w:hAnsi="Times New Roman" w:eastAsia="宋体" w:cs="Times New Roman"/>
                <w:color w:val="000000" w:themeColor="text1"/>
                <w:szCs w:val="24"/>
                <w14:textFill>
                  <w14:solidFill>
                    <w14:schemeClr w14:val="tx1"/>
                  </w14:solidFill>
                </w14:textFill>
              </w:rPr>
              <w:t>产权证</w:t>
            </w:r>
            <w:r>
              <w:rPr>
                <w:rFonts w:ascii="Times New Roman" w:hAnsi="Times New Roman" w:eastAsia="宋体" w:cs="Times New Roman"/>
                <w:color w:val="000000" w:themeColor="text1"/>
                <w:szCs w:val="24"/>
                <w14:textFill>
                  <w14:solidFill>
                    <w14:schemeClr w14:val="tx1"/>
                  </w14:solidFill>
                </w14:textFill>
              </w:rPr>
              <w:t>见附件</w:t>
            </w:r>
            <w:r>
              <w:rPr>
                <w:rFonts w:hint="eastAsia" w:ascii="Times New Roman" w:hAnsi="Times New Roman" w:eastAsia="宋体" w:cs="Times New Roman"/>
                <w:color w:val="000000" w:themeColor="text1"/>
                <w:szCs w:val="24"/>
                <w14:textFill>
                  <w14:solidFill>
                    <w14:schemeClr w14:val="tx1"/>
                  </w14:solidFill>
                </w14:textFill>
              </w:rPr>
              <w:t>6</w:t>
            </w:r>
            <w:r>
              <w:rPr>
                <w:rFonts w:ascii="Times New Roman" w:hAnsi="Times New Roman" w:eastAsia="宋体" w:cs="Times New Roman"/>
                <w:color w:val="000000" w:themeColor="text1"/>
                <w:szCs w:val="24"/>
                <w14:textFill>
                  <w14:solidFill>
                    <w14:schemeClr w14:val="tx1"/>
                  </w14:solidFill>
                </w14:textFill>
              </w:rPr>
              <w:t>，项目建设用地性质</w:t>
            </w:r>
            <w:r>
              <w:rPr>
                <w:rFonts w:hint="eastAsia" w:ascii="Times New Roman" w:hAnsi="Times New Roman" w:eastAsia="宋体" w:cs="Times New Roman"/>
                <w:color w:val="000000" w:themeColor="text1"/>
                <w:szCs w:val="24"/>
                <w14:textFill>
                  <w14:solidFill>
                    <w14:schemeClr w14:val="tx1"/>
                  </w14:solidFill>
                </w14:textFill>
              </w:rPr>
              <w:t>均</w:t>
            </w:r>
            <w:r>
              <w:rPr>
                <w:rFonts w:ascii="Times New Roman" w:hAnsi="Times New Roman" w:eastAsia="宋体" w:cs="Times New Roman"/>
                <w:color w:val="000000" w:themeColor="text1"/>
                <w:szCs w:val="24"/>
                <w14:textFill>
                  <w14:solidFill>
                    <w14:schemeClr w14:val="tx1"/>
                  </w14:solidFill>
                </w14:textFill>
              </w:rPr>
              <w:t>为工业用地，</w:t>
            </w:r>
            <w:r>
              <w:rPr>
                <w:rFonts w:ascii="Times New Roman" w:hAnsi="Times New Roman" w:eastAsia="宋体" w:cs="Times New Roman"/>
                <w:color w:val="000000" w:themeColor="text1"/>
                <w:szCs w:val="24"/>
                <w14:textFill>
                  <w14:solidFill>
                    <w14:schemeClr w14:val="tx1"/>
                  </w14:solidFill>
                </w14:textFill>
              </w:rPr>
              <w:drawing>
                <wp:inline distT="0" distB="0" distL="114300" distR="114300">
                  <wp:extent cx="0" cy="0"/>
                  <wp:effectExtent l="0" t="0" r="0" b="0"/>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24"/>
                          <a:stretch>
                            <a:fillRect/>
                          </a:stretch>
                        </pic:blipFill>
                        <pic:spPr>
                          <a:xfrm>
                            <a:off x="0" y="0"/>
                            <a:ext cx="0" cy="0"/>
                          </a:xfrm>
                          <a:prstGeom prst="rect">
                            <a:avLst/>
                          </a:prstGeom>
                          <a:noFill/>
                          <a:ln>
                            <a:noFill/>
                          </a:ln>
                        </pic:spPr>
                      </pic:pic>
                    </a:graphicData>
                  </a:graphic>
                </wp:inline>
              </w:drawing>
            </w:r>
            <w:r>
              <w:rPr>
                <w:rFonts w:ascii="Times New Roman" w:hAnsi="Times New Roman" w:eastAsia="宋体" w:cs="Times New Roman"/>
                <w:color w:val="000000" w:themeColor="text1"/>
                <w:szCs w:val="24"/>
                <w14:textFill>
                  <w14:solidFill>
                    <w14:schemeClr w14:val="tx1"/>
                  </w14:solidFill>
                </w14:textFill>
              </w:rPr>
              <w:t>本项目建设符合城市土地利用规划，项目选址合理。</w:t>
            </w:r>
          </w:p>
          <w:p>
            <w:pPr>
              <w:pStyle w:val="14"/>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3、所在地“三线一单”分析</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（1）所在地“三线一单”分析</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①</w:t>
            </w:r>
            <w:r>
              <w:rPr>
                <w:rFonts w:ascii="Times New Roman" w:hAnsi="Times New Roman" w:eastAsia="宋体" w:cs="Times New Roman"/>
                <w:color w:val="000000" w:themeColor="text1"/>
                <w:szCs w:val="24"/>
                <w14:textFill>
                  <w14:solidFill>
                    <w14:schemeClr w14:val="tx1"/>
                  </w14:solidFill>
                </w14:textFill>
              </w:rPr>
              <w:t>生态保护红线符合性分析</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对照《福建省生态保护红线划定方案》及其调整方案，本项目位于福清市融侨经济技术开发区宏路街道周店村，属于福清融侨经济开发区范围内，</w:t>
            </w:r>
            <w:r>
              <w:rPr>
                <w:rFonts w:ascii="Times New Roman" w:hAnsi="Times New Roman" w:eastAsia="宋体" w:cs="Times New Roman"/>
                <w:color w:val="000000" w:themeColor="text1"/>
                <w:szCs w:val="24"/>
                <w:lang w:bidi="ar"/>
                <w14:textFill>
                  <w14:solidFill>
                    <w14:schemeClr w14:val="tx1"/>
                  </w14:solidFill>
                </w14:textFill>
              </w:rPr>
              <w:t>本评价范围内不涉及重要生态保护红线</w:t>
            </w:r>
            <w:r>
              <w:rPr>
                <w:rFonts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（环境管控</w:t>
            </w:r>
            <w:r>
              <w:rPr>
                <w:rFonts w:ascii="Times New Roman" w:hAnsi="Times New Roman" w:cs="Times New Roman"/>
                <w:color w:val="000000" w:themeColor="text1"/>
                <w:szCs w:val="24"/>
                <w:lang w:bidi="ar"/>
                <w14:textFill>
                  <w14:solidFill>
                    <w14:schemeClr w14:val="tx1"/>
                  </w14:solidFill>
                </w14:textFill>
              </w:rPr>
              <w:t>名称：福清融侨经济开发区重点管控单元，</w:t>
            </w:r>
            <w:r>
              <w:rPr>
                <w:rFonts w:ascii="Times New Roman" w:hAnsi="Times New Roman" w:eastAsia="宋体" w:cs="Times New Roman"/>
                <w:color w:val="000000" w:themeColor="text1"/>
                <w:szCs w:val="24"/>
                <w:lang w:bidi="ar"/>
                <w14:textFill>
                  <w14:solidFill>
                    <w14:schemeClr w14:val="tx1"/>
                  </w14:solidFill>
                </w14:textFill>
              </w:rPr>
              <w:t>环境管控单元编码</w:t>
            </w:r>
            <w:r>
              <w:rPr>
                <w:rFonts w:ascii="Times New Roman" w:hAnsi="Times New Roman" w:cs="Times New Roman"/>
                <w:color w:val="000000" w:themeColor="text1"/>
                <w:szCs w:val="24"/>
                <w:lang w:bidi="ar"/>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ZH35018120003</w:t>
            </w:r>
            <w:r>
              <w:rPr>
                <w:rFonts w:ascii="Times New Roman" w:hAnsi="Times New Roman" w:cs="Times New Roman"/>
                <w:color w:val="000000" w:themeColor="text1"/>
                <w:szCs w:val="24"/>
                <w:lang w:bidi="ar"/>
                <w14:textFill>
                  <w14:solidFill>
                    <w14:schemeClr w14:val="tx1"/>
                  </w14:solidFill>
                </w14:textFill>
              </w:rPr>
              <w:t>，详见附件9</w:t>
            </w:r>
            <w:r>
              <w:rPr>
                <w:rFonts w:ascii="Times New Roman" w:hAnsi="Times New Roman" w:eastAsia="宋体" w:cs="Times New Roman"/>
                <w:color w:val="000000" w:themeColor="text1"/>
                <w:szCs w:val="24"/>
                <w:lang w:bidi="ar"/>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②</w:t>
            </w:r>
            <w:r>
              <w:rPr>
                <w:rFonts w:ascii="Times New Roman" w:hAnsi="Times New Roman" w:eastAsia="宋体" w:cs="Times New Roman"/>
                <w:color w:val="000000" w:themeColor="text1"/>
                <w:szCs w:val="24"/>
                <w14:textFill>
                  <w14:solidFill>
                    <w14:schemeClr w14:val="tx1"/>
                  </w14:solidFill>
                </w14:textFill>
              </w:rPr>
              <w:t>环境质量底线符合性分析</w:t>
            </w:r>
          </w:p>
          <w:p>
            <w:pPr>
              <w:widowControl w:val="0"/>
              <w:topLinePunct/>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周边水系关溪属于龙江流域，各因子均符合《地表水环境质量标准》（GB3838-2002）中IV类标准；项目所在区域的环境空气质量现状符合《环境空气质量标准》（GB3095-2012）二级标准，属于达标区；项目所在区域声环境质量现状符合《声环境质量标准》（GB3096-2008）中3类标准。因此，项目所在区域环境现状质量良好。</w:t>
            </w:r>
          </w:p>
          <w:p>
            <w:pPr>
              <w:widowControl w:val="0"/>
              <w:topLinePunct/>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次扩建项目运营期清洗废水经自建污水处理站处理后回用于清洗工序和冷却塔冷却用水；项目废气对周围大气环境影响较小；各生产设备产生的噪声经隔声、减震等降噪措施处理后也不会对周边声环境造成重大影响。综上分析，项目在采取本环评提出的防治措施后，运营期排放的污染物不会对区域环境质量底线造成冲击。</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③</w:t>
            </w:r>
            <w:r>
              <w:rPr>
                <w:rFonts w:ascii="Times New Roman" w:hAnsi="Times New Roman" w:eastAsia="宋体" w:cs="Times New Roman"/>
                <w:color w:val="000000" w:themeColor="text1"/>
                <w:szCs w:val="24"/>
                <w14:textFill>
                  <w14:solidFill>
                    <w14:schemeClr w14:val="tx1"/>
                  </w14:solidFill>
                </w14:textFill>
              </w:rPr>
              <w:t>资源利用上线符合性分析</w:t>
            </w:r>
          </w:p>
          <w:p>
            <w:pPr>
              <w:pStyle w:val="172"/>
              <w:spacing w:after="0" w:line="360" w:lineRule="auto"/>
              <w:ind w:firstLine="480" w:firstLineChars="200"/>
              <w:jc w:val="both"/>
              <w:rPr>
                <w:rFonts w:ascii="Times New Roman" w:hAnsi="Times New Roman" w:eastAsia="宋体" w:cs="Times New Roman"/>
                <w:color w:val="000000" w:themeColor="text1"/>
                <w:szCs w:val="24"/>
                <w:lang w:eastAsia="zh-CN"/>
                <w14:textFill>
                  <w14:solidFill>
                    <w14:schemeClr w14:val="tx1"/>
                  </w14:solidFill>
                </w14:textFill>
              </w:rPr>
            </w:pPr>
            <w:r>
              <w:rPr>
                <w:rFonts w:ascii="Times New Roman" w:hAnsi="Times New Roman" w:eastAsia="宋体" w:cs="Times New Roman"/>
                <w:color w:val="000000" w:themeColor="text1"/>
                <w:szCs w:val="24"/>
                <w:lang w:eastAsia="zh-CN"/>
                <w14:textFill>
                  <w14:solidFill>
                    <w14:schemeClr w14:val="tx1"/>
                  </w14:solidFill>
                </w14:textFill>
              </w:rPr>
              <w:t>本项目原料均从正规合法单位购得，水和电等公共资源由当地相关单位供应，</w:t>
            </w:r>
            <w:r>
              <w:rPr>
                <w:rFonts w:ascii="Times New Roman" w:hAnsi="Times New Roman" w:cs="Times New Roman"/>
                <w:color w:val="000000" w:themeColor="text1"/>
                <w:spacing w:val="3"/>
                <w:lang w:eastAsia="zh-CN"/>
                <w14:textFill>
                  <w14:solidFill>
                    <w14:schemeClr w14:val="tx1"/>
                  </w14:solidFill>
                </w14:textFill>
              </w:rPr>
              <w:t>设备选择、原辅材料的选用和管理、污染治理等多方面采取合理可</w:t>
            </w:r>
            <w:r>
              <w:rPr>
                <w:rFonts w:ascii="Times New Roman" w:hAnsi="Times New Roman" w:cs="Times New Roman"/>
                <w:color w:val="000000" w:themeColor="text1"/>
                <w:spacing w:val="13"/>
                <w:lang w:eastAsia="zh-CN"/>
                <w14:textFill>
                  <w14:solidFill>
                    <w14:schemeClr w14:val="tx1"/>
                  </w14:solidFill>
                </w14:textFill>
              </w:rPr>
              <w:t xml:space="preserve"> </w:t>
            </w:r>
            <w:r>
              <w:rPr>
                <w:rFonts w:ascii="Times New Roman" w:hAnsi="Times New Roman" w:cs="Times New Roman"/>
                <w:color w:val="000000" w:themeColor="text1"/>
                <w:spacing w:val="-3"/>
                <w:lang w:eastAsia="zh-CN"/>
                <w14:textFill>
                  <w14:solidFill>
                    <w14:schemeClr w14:val="tx1"/>
                  </w14:solidFill>
                </w14:textFill>
              </w:rPr>
              <w:t>行的防治措施，以“节能、降耗、减污</w:t>
            </w:r>
            <w:r>
              <w:rPr>
                <w:rFonts w:ascii="Times New Roman" w:hAnsi="Times New Roman" w:cs="Times New Roman"/>
                <w:color w:val="000000" w:themeColor="text1"/>
                <w:spacing w:val="-86"/>
                <w:lang w:eastAsia="zh-CN"/>
                <w14:textFill>
                  <w14:solidFill>
                    <w14:schemeClr w14:val="tx1"/>
                  </w14:solidFill>
                </w14:textFill>
              </w:rPr>
              <w:t xml:space="preserve"> </w:t>
            </w:r>
            <w:r>
              <w:rPr>
                <w:rFonts w:ascii="Times New Roman" w:hAnsi="Times New Roman" w:cs="Times New Roman"/>
                <w:color w:val="000000" w:themeColor="text1"/>
                <w:spacing w:val="-3"/>
                <w:lang w:eastAsia="zh-CN"/>
                <w14:textFill>
                  <w14:solidFill>
                    <w14:schemeClr w14:val="tx1"/>
                  </w14:solidFill>
                </w14:textFill>
              </w:rPr>
              <w:t>”为目标，有效的控制污染。</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1"/>
                <w:lang w:eastAsia="zh-CN"/>
                <w14:textFill>
                  <w14:solidFill>
                    <w14:schemeClr w14:val="tx1"/>
                  </w14:solidFill>
                </w14:textFill>
              </w:rPr>
              <w:t>项目的水、电等资源利用不会突破区域的资源利用上线</w:t>
            </w:r>
            <w:r>
              <w:rPr>
                <w:rFonts w:ascii="Times New Roman" w:hAnsi="Times New Roman" w:eastAsia="宋体" w:cs="Times New Roman"/>
                <w:color w:val="000000" w:themeColor="text1"/>
                <w:szCs w:val="24"/>
                <w:lang w:eastAsia="zh-CN"/>
                <w14:textFill>
                  <w14:solidFill>
                    <w14:schemeClr w14:val="tx1"/>
                  </w14:solidFill>
                </w14:textFill>
              </w:rPr>
              <w:t>。</w:t>
            </w:r>
          </w:p>
          <w:p>
            <w:pPr>
              <w:pStyle w:val="14"/>
              <w:widowControl w:val="0"/>
              <w:numPr>
                <w:ilvl w:val="0"/>
                <w:numId w:val="2"/>
              </w:numPr>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环境准入清单</w:t>
            </w:r>
          </w:p>
          <w:p>
            <w:pPr>
              <w:pStyle w:val="172"/>
              <w:spacing w:after="0" w:line="360" w:lineRule="auto"/>
              <w:ind w:firstLine="488" w:firstLineChars="200"/>
              <w:rPr>
                <w:rFonts w:ascii="Times New Roman" w:hAnsi="Times New Roman" w:cs="Times New Roman"/>
                <w:color w:val="000000" w:themeColor="text1"/>
                <w:lang w:eastAsia="zh-CN"/>
                <w14:textFill>
                  <w14:solidFill>
                    <w14:schemeClr w14:val="tx1"/>
                  </w14:solidFill>
                </w14:textFill>
              </w:rPr>
            </w:pPr>
            <w:r>
              <w:rPr>
                <w:rFonts w:hint="eastAsia" w:eastAsia="宋体"/>
                <w:color w:val="000000" w:themeColor="text1"/>
                <w:spacing w:val="2"/>
                <w:lang w:eastAsia="zh-CN"/>
                <w14:textFill>
                  <w14:solidFill>
                    <w14:schemeClr w14:val="tx1"/>
                  </w14:solidFill>
                </w14:textFill>
              </w:rPr>
              <w:t>①</w:t>
            </w:r>
            <w:r>
              <w:rPr>
                <w:rFonts w:ascii="Times New Roman" w:hAnsi="Times New Roman" w:cs="Times New Roman"/>
                <w:color w:val="000000" w:themeColor="text1"/>
                <w:spacing w:val="2"/>
                <w:lang w:eastAsia="zh-CN"/>
                <w14:textFill>
                  <w14:solidFill>
                    <w14:schemeClr w14:val="tx1"/>
                  </w14:solidFill>
                </w14:textFill>
              </w:rPr>
              <w:t>与《福建省人民政府关于实施“三线一单</w:t>
            </w:r>
            <w:r>
              <w:rPr>
                <w:rFonts w:ascii="Times New Roman" w:hAnsi="Times New Roman" w:cs="Times New Roman"/>
                <w:color w:val="000000" w:themeColor="text1"/>
                <w:spacing w:val="-69"/>
                <w:lang w:eastAsia="zh-CN"/>
                <w14:textFill>
                  <w14:solidFill>
                    <w14:schemeClr w14:val="tx1"/>
                  </w14:solidFill>
                </w14:textFill>
              </w:rPr>
              <w:t xml:space="preserve"> </w:t>
            </w:r>
            <w:r>
              <w:rPr>
                <w:rFonts w:ascii="Times New Roman" w:hAnsi="Times New Roman" w:cs="Times New Roman"/>
                <w:color w:val="000000" w:themeColor="text1"/>
                <w:spacing w:val="2"/>
                <w:lang w:eastAsia="zh-CN"/>
                <w14:textFill>
                  <w14:solidFill>
                    <w14:schemeClr w14:val="tx1"/>
                  </w14:solidFill>
                </w14:textFill>
              </w:rPr>
              <w:t>”生态环境分区管</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1"/>
                <w:lang w:eastAsia="zh-CN"/>
                <w14:textFill>
                  <w14:solidFill>
                    <w14:schemeClr w14:val="tx1"/>
                  </w14:solidFill>
                </w14:textFill>
              </w:rPr>
              <w:t>控的通知》符合性分析</w:t>
            </w:r>
          </w:p>
          <w:p>
            <w:pPr>
              <w:pStyle w:val="172"/>
              <w:spacing w:after="0" w:line="360" w:lineRule="auto"/>
              <w:ind w:firstLine="488" w:firstLineChars="20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项目与《福建省人民政府关于实施“三线一单</w:t>
            </w:r>
            <w:r>
              <w:rPr>
                <w:rFonts w:ascii="Times New Roman" w:hAnsi="Times New Roman" w:cs="Times New Roman"/>
                <w:color w:val="000000" w:themeColor="text1"/>
                <w:spacing w:val="-76"/>
                <w:lang w:eastAsia="zh-CN"/>
                <w14:textFill>
                  <w14:solidFill>
                    <w14:schemeClr w14:val="tx1"/>
                  </w14:solidFill>
                </w14:textFill>
              </w:rPr>
              <w:t xml:space="preserve"> </w:t>
            </w:r>
            <w:r>
              <w:rPr>
                <w:rFonts w:ascii="Times New Roman" w:hAnsi="Times New Roman" w:cs="Times New Roman"/>
                <w:color w:val="000000" w:themeColor="text1"/>
                <w:spacing w:val="2"/>
                <w:lang w:eastAsia="zh-CN"/>
                <w14:textFill>
                  <w14:solidFill>
                    <w14:schemeClr w14:val="tx1"/>
                  </w14:solidFill>
                </w14:textFill>
              </w:rPr>
              <w:t>”生态环境分区</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6"/>
                <w:lang w:eastAsia="zh-CN"/>
                <w14:textFill>
                  <w14:solidFill>
                    <w14:schemeClr w14:val="tx1"/>
                  </w14:solidFill>
                </w14:textFill>
              </w:rPr>
              <w:t>管控的通知》（闽政</w:t>
            </w:r>
            <w:r>
              <w:rPr>
                <w:rFonts w:ascii="Times New Roman" w:hAnsi="Times New Roman" w:eastAsia="Times New Roman" w:cs="Times New Roman"/>
                <w:color w:val="000000" w:themeColor="text1"/>
                <w:spacing w:val="-6"/>
                <w:lang w:eastAsia="zh-CN"/>
                <w14:textFill>
                  <w14:solidFill>
                    <w14:schemeClr w14:val="tx1"/>
                  </w14:solidFill>
                </w14:textFill>
              </w:rPr>
              <w:t>[2020]</w:t>
            </w:r>
            <w:r>
              <w:rPr>
                <w:rFonts w:ascii="Times New Roman" w:hAnsi="Times New Roman" w:eastAsia="Times New Roman" w:cs="Times New Roman"/>
                <w:color w:val="000000" w:themeColor="text1"/>
                <w:spacing w:val="-31"/>
                <w:lang w:eastAsia="zh-CN"/>
                <w14:textFill>
                  <w14:solidFill>
                    <w14:schemeClr w14:val="tx1"/>
                  </w14:solidFill>
                </w14:textFill>
              </w:rPr>
              <w:t xml:space="preserve"> </w:t>
            </w:r>
            <w:r>
              <w:rPr>
                <w:rFonts w:ascii="Times New Roman" w:hAnsi="Times New Roman" w:eastAsia="Times New Roman" w:cs="Times New Roman"/>
                <w:color w:val="000000" w:themeColor="text1"/>
                <w:spacing w:val="-6"/>
                <w:lang w:eastAsia="zh-CN"/>
                <w14:textFill>
                  <w14:solidFill>
                    <w14:schemeClr w14:val="tx1"/>
                  </w14:solidFill>
                </w14:textFill>
              </w:rPr>
              <w:t>12</w:t>
            </w:r>
            <w:r>
              <w:rPr>
                <w:rFonts w:ascii="Times New Roman" w:hAnsi="Times New Roman" w:eastAsia="Times New Roman" w:cs="Times New Roman"/>
                <w:color w:val="000000" w:themeColor="text1"/>
                <w:spacing w:val="13"/>
                <w:lang w:eastAsia="zh-CN"/>
                <w14:textFill>
                  <w14:solidFill>
                    <w14:schemeClr w14:val="tx1"/>
                  </w14:solidFill>
                </w14:textFill>
              </w:rPr>
              <w:t xml:space="preserve"> </w:t>
            </w:r>
            <w:r>
              <w:rPr>
                <w:rFonts w:ascii="Times New Roman" w:hAnsi="Times New Roman" w:cs="Times New Roman"/>
                <w:color w:val="000000" w:themeColor="text1"/>
                <w:spacing w:val="-6"/>
                <w:lang w:eastAsia="zh-CN"/>
                <w14:textFill>
                  <w14:solidFill>
                    <w14:schemeClr w14:val="tx1"/>
                  </w14:solidFill>
                </w14:textFill>
              </w:rPr>
              <w:t>号）相关要求</w:t>
            </w:r>
            <w:r>
              <w:rPr>
                <w:rFonts w:ascii="Times New Roman" w:hAnsi="Times New Roman" w:cs="Times New Roman"/>
                <w:color w:val="000000" w:themeColor="text1"/>
                <w:spacing w:val="-7"/>
                <w:lang w:eastAsia="zh-CN"/>
                <w14:textFill>
                  <w14:solidFill>
                    <w14:schemeClr w14:val="tx1"/>
                  </w14:solidFill>
                </w14:textFill>
              </w:rPr>
              <w:t>分析见表</w:t>
            </w:r>
            <w:r>
              <w:rPr>
                <w:rFonts w:ascii="Times New Roman" w:hAnsi="Times New Roman" w:cs="Times New Roman"/>
                <w:color w:val="000000" w:themeColor="text1"/>
                <w:spacing w:val="-32"/>
                <w:lang w:eastAsia="zh-CN"/>
                <w14:textFill>
                  <w14:solidFill>
                    <w14:schemeClr w14:val="tx1"/>
                  </w14:solidFill>
                </w14:textFill>
              </w:rPr>
              <w:t xml:space="preserve"> </w:t>
            </w:r>
            <w:r>
              <w:rPr>
                <w:rFonts w:ascii="Times New Roman" w:hAnsi="Times New Roman" w:eastAsia="宋体" w:cs="Times New Roman"/>
                <w:color w:val="000000" w:themeColor="text1"/>
                <w:spacing w:val="-7"/>
                <w:lang w:eastAsia="zh-CN"/>
                <w14:textFill>
                  <w14:solidFill>
                    <w14:schemeClr w14:val="tx1"/>
                  </w14:solidFill>
                </w14:textFill>
              </w:rPr>
              <w:t>1.1-3</w:t>
            </w:r>
            <w:r>
              <w:rPr>
                <w:rFonts w:ascii="Times New Roman" w:hAnsi="Times New Roman" w:cs="Times New Roman"/>
                <w:color w:val="000000" w:themeColor="text1"/>
                <w:spacing w:val="-7"/>
                <w:lang w:eastAsia="zh-CN"/>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eastAsia="Times New Roman"/>
                <w:color w:val="000000" w:themeColor="text1"/>
                <w14:textFill>
                  <w14:solidFill>
                    <w14:schemeClr w14:val="tx1"/>
                  </w14:solidFill>
                </w14:textFill>
              </w:rPr>
              <w:t>1</w:t>
            </w:r>
            <w:r>
              <w:rPr>
                <w:color w:val="000000" w:themeColor="text1"/>
                <w14:textFill>
                  <w14:solidFill>
                    <w14:schemeClr w14:val="tx1"/>
                  </w14:solidFill>
                </w14:textFill>
              </w:rPr>
              <w:t>.1</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3与全省生态环境总体准入要求的符合性分析</w:t>
            </w:r>
          </w:p>
          <w:tbl>
            <w:tblPr>
              <w:tblStyle w:val="16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3"/>
              <w:gridCol w:w="648"/>
              <w:gridCol w:w="3665"/>
              <w:gridCol w:w="2064"/>
              <w:gridCol w:w="6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96" w:hRule="atLeast"/>
              </w:trPr>
              <w:tc>
                <w:tcPr>
                  <w:tcW w:w="475" w:type="pct"/>
                  <w:vAlign w:val="center"/>
                </w:tcPr>
                <w:p>
                  <w:pPr>
                    <w:pStyle w:val="221"/>
                    <w:rPr>
                      <w:b/>
                      <w:color w:val="000000" w:themeColor="text1"/>
                      <w14:textFill>
                        <w14:solidFill>
                          <w14:schemeClr w14:val="tx1"/>
                        </w14:solidFill>
                      </w14:textFill>
                    </w:rPr>
                  </w:pPr>
                  <w:r>
                    <w:rPr>
                      <w:b/>
                      <w:color w:val="000000" w:themeColor="text1"/>
                      <w14:textFill>
                        <w14:solidFill>
                          <w14:schemeClr w14:val="tx1"/>
                        </w14:solidFill>
                      </w14:textFill>
                    </w:rPr>
                    <w:t xml:space="preserve">适用 </w:t>
                  </w:r>
                  <w:r>
                    <w:rPr>
                      <w:b/>
                      <w:color w:val="000000" w:themeColor="text1"/>
                      <w:spacing w:val="2"/>
                      <w14:textFill>
                        <w14:solidFill>
                          <w14:schemeClr w14:val="tx1"/>
                        </w14:solidFill>
                      </w14:textFill>
                    </w:rPr>
                    <w:t>范围</w:t>
                  </w:r>
                </w:p>
              </w:tc>
              <w:tc>
                <w:tcPr>
                  <w:tcW w:w="2793" w:type="pct"/>
                  <w:gridSpan w:val="2"/>
                  <w:vAlign w:val="center"/>
                </w:tcPr>
                <w:p>
                  <w:pPr>
                    <w:pStyle w:val="221"/>
                    <w:rPr>
                      <w:b/>
                      <w:color w:val="000000" w:themeColor="text1"/>
                      <w14:textFill>
                        <w14:solidFill>
                          <w14:schemeClr w14:val="tx1"/>
                        </w14:solidFill>
                      </w14:textFill>
                    </w:rPr>
                  </w:pPr>
                  <w:r>
                    <w:rPr>
                      <w:b/>
                      <w:color w:val="000000" w:themeColor="text1"/>
                      <w:spacing w:val="6"/>
                      <w14:textFill>
                        <w14:solidFill>
                          <w14:schemeClr w14:val="tx1"/>
                        </w14:solidFill>
                      </w14:textFill>
                    </w:rPr>
                    <w:t>准入要求</w:t>
                  </w:r>
                </w:p>
              </w:tc>
              <w:tc>
                <w:tcPr>
                  <w:tcW w:w="1336" w:type="pct"/>
                  <w:vAlign w:val="center"/>
                </w:tcPr>
                <w:p>
                  <w:pPr>
                    <w:pStyle w:val="221"/>
                    <w:rPr>
                      <w:b/>
                      <w:color w:val="000000" w:themeColor="text1"/>
                      <w14:textFill>
                        <w14:solidFill>
                          <w14:schemeClr w14:val="tx1"/>
                        </w14:solidFill>
                      </w14:textFill>
                    </w:rPr>
                  </w:pPr>
                  <w:r>
                    <w:rPr>
                      <w:b/>
                      <w:color w:val="000000" w:themeColor="text1"/>
                      <w:spacing w:val="7"/>
                      <w14:textFill>
                        <w14:solidFill>
                          <w14:schemeClr w14:val="tx1"/>
                        </w14:solidFill>
                      </w14:textFill>
                    </w:rPr>
                    <w:t>本项目情况</w:t>
                  </w:r>
                </w:p>
              </w:tc>
              <w:tc>
                <w:tcPr>
                  <w:tcW w:w="394" w:type="pct"/>
                  <w:vAlign w:val="center"/>
                </w:tcPr>
                <w:p>
                  <w:pPr>
                    <w:pStyle w:val="221"/>
                    <w:rPr>
                      <w:b/>
                      <w:color w:val="000000" w:themeColor="text1"/>
                      <w14:textFill>
                        <w14:solidFill>
                          <w14:schemeClr w14:val="tx1"/>
                        </w14:solidFill>
                      </w14:textFill>
                    </w:rPr>
                  </w:pPr>
                  <w:r>
                    <w:rPr>
                      <w:b/>
                      <w:color w:val="000000" w:themeColor="text1"/>
                      <w:spacing w:val="3"/>
                      <w14:textFill>
                        <w14:solidFill>
                          <w14:schemeClr w14:val="tx1"/>
                        </w14:solidFill>
                      </w14:textFill>
                    </w:rPr>
                    <w:t>符合</w:t>
                  </w:r>
                  <w:r>
                    <w:rPr>
                      <w:b/>
                      <w:color w:val="000000" w:themeColor="text1"/>
                      <w14:textFill>
                        <w14:solidFill>
                          <w14:schemeClr w14:val="tx1"/>
                        </w14:solidFill>
                      </w14:textFill>
                    </w:rPr>
                    <w:t xml:space="preserve"> 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0" w:hRule="atLeast"/>
              </w:trPr>
              <w:tc>
                <w:tcPr>
                  <w:tcW w:w="475"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 xml:space="preserve">全省 </w:t>
                  </w:r>
                  <w:r>
                    <w:rPr>
                      <w:color w:val="000000" w:themeColor="text1"/>
                      <w:spacing w:val="-1"/>
                      <w14:textFill>
                        <w14:solidFill>
                          <w14:schemeClr w14:val="tx1"/>
                        </w14:solidFill>
                      </w14:textFill>
                    </w:rPr>
                    <w:t>陆域</w:t>
                  </w:r>
                </w:p>
              </w:tc>
              <w:tc>
                <w:tcPr>
                  <w:tcW w:w="420" w:type="pct"/>
                  <w:vAlign w:val="center"/>
                </w:tcPr>
                <w:p>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空间</w:t>
                  </w:r>
                  <w:r>
                    <w:rPr>
                      <w:color w:val="000000" w:themeColor="text1"/>
                      <w14:textFill>
                        <w14:solidFill>
                          <w14:schemeClr w14:val="tx1"/>
                        </w14:solidFill>
                      </w14:textFill>
                    </w:rPr>
                    <w:t xml:space="preserve"> 布局 约束</w:t>
                  </w:r>
                </w:p>
              </w:tc>
              <w:tc>
                <w:tcPr>
                  <w:tcW w:w="2373" w:type="pct"/>
                  <w:vAlign w:val="center"/>
                </w:tcPr>
                <w:p>
                  <w:pPr>
                    <w:pStyle w:val="221"/>
                    <w:jc w:val="left"/>
                    <w:rPr>
                      <w:color w:val="000000" w:themeColor="text1"/>
                      <w14:textFill>
                        <w14:solidFill>
                          <w14:schemeClr w14:val="tx1"/>
                        </w14:solidFill>
                      </w14:textFill>
                    </w:rPr>
                  </w:pPr>
                  <w:r>
                    <w:rPr>
                      <w:rFonts w:eastAsia="Times New Roman"/>
                      <w:color w:val="000000" w:themeColor="text1"/>
                      <w:spacing w:val="-4"/>
                      <w14:textFill>
                        <w14:solidFill>
                          <w14:schemeClr w14:val="tx1"/>
                        </w14:solidFill>
                      </w14:textFill>
                    </w:rPr>
                    <w:t>1</w:t>
                  </w:r>
                  <w:r>
                    <w:rPr>
                      <w:rFonts w:eastAsia="Times New Roman"/>
                      <w:color w:val="000000" w:themeColor="text1"/>
                      <w:spacing w:val="-16"/>
                      <w14:textFill>
                        <w14:solidFill>
                          <w14:schemeClr w14:val="tx1"/>
                        </w14:solidFill>
                      </w14:textFill>
                    </w:rPr>
                    <w:t xml:space="preserve"> </w:t>
                  </w:r>
                  <w:r>
                    <w:rPr>
                      <w:color w:val="000000" w:themeColor="text1"/>
                      <w:spacing w:val="-4"/>
                      <w14:textFill>
                        <w14:solidFill>
                          <w14:schemeClr w14:val="tx1"/>
                        </w14:solidFill>
                      </w14:textFill>
                    </w:rPr>
                    <w:t>、石化、汽车、船舶、冶金、水泥、</w:t>
                  </w:r>
                  <w:r>
                    <w:rPr>
                      <w:color w:val="000000" w:themeColor="text1"/>
                      <w14:textFill>
                        <w14:solidFill>
                          <w14:schemeClr w14:val="tx1"/>
                        </w14:solidFill>
                      </w14:textFill>
                    </w:rPr>
                    <w:t xml:space="preserve"> </w:t>
                  </w:r>
                  <w:r>
                    <w:rPr>
                      <w:color w:val="000000" w:themeColor="text1"/>
                      <w:spacing w:val="14"/>
                      <w14:textFill>
                        <w14:solidFill>
                          <w14:schemeClr w14:val="tx1"/>
                        </w14:solidFill>
                      </w14:textFill>
                    </w:rPr>
                    <w:t>制浆造纸、印染等重点产业，要符</w:t>
                  </w:r>
                  <w:r>
                    <w:rPr>
                      <w:color w:val="000000" w:themeColor="text1"/>
                      <w:spacing w:val="1"/>
                      <w14:textFill>
                        <w14:solidFill>
                          <w14:schemeClr w14:val="tx1"/>
                        </w14:solidFill>
                      </w14:textFill>
                    </w:rPr>
                    <w:t xml:space="preserve"> </w:t>
                  </w:r>
                  <w:r>
                    <w:rPr>
                      <w:color w:val="000000" w:themeColor="text1"/>
                      <w:spacing w:val="6"/>
                      <w14:textFill>
                        <w14:solidFill>
                          <w14:schemeClr w14:val="tx1"/>
                        </w14:solidFill>
                      </w14:textFill>
                    </w:rPr>
                    <w:t>合全省规划布局要求。</w:t>
                  </w:r>
                </w:p>
                <w:p>
                  <w:pPr>
                    <w:pStyle w:val="221"/>
                    <w:jc w:val="left"/>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2</w:t>
                  </w:r>
                  <w:r>
                    <w:rPr>
                      <w:rFonts w:eastAsia="Times New Roman"/>
                      <w:color w:val="000000" w:themeColor="text1"/>
                      <w:spacing w:val="-28"/>
                      <w14:textFill>
                        <w14:solidFill>
                          <w14:schemeClr w14:val="tx1"/>
                        </w14:solidFill>
                      </w14:textFill>
                    </w:rPr>
                    <w:t xml:space="preserve"> </w:t>
                  </w:r>
                  <w:r>
                    <w:rPr>
                      <w:color w:val="000000" w:themeColor="text1"/>
                      <w:spacing w:val="7"/>
                      <w14:textFill>
                        <w14:solidFill>
                          <w14:schemeClr w14:val="tx1"/>
                        </w14:solidFill>
                      </w14:textFill>
                    </w:rPr>
                    <w:t>、严控钢铁、水泥、平板玻璃等产</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能过剩行业新增产能，新增产能应</w:t>
                  </w:r>
                  <w:r>
                    <w:rPr>
                      <w:color w:val="000000" w:themeColor="text1"/>
                      <w:spacing w:val="1"/>
                      <w14:textFill>
                        <w14:solidFill>
                          <w14:schemeClr w14:val="tx1"/>
                        </w14:solidFill>
                      </w14:textFill>
                    </w:rPr>
                    <w:t xml:space="preserve"> </w:t>
                  </w:r>
                  <w:r>
                    <w:rPr>
                      <w:color w:val="000000" w:themeColor="text1"/>
                      <w:spacing w:val="7"/>
                      <w14:textFill>
                        <w14:solidFill>
                          <w14:schemeClr w14:val="tx1"/>
                        </w14:solidFill>
                      </w14:textFill>
                    </w:rPr>
                    <w:t>实施产能等量或减量置换。</w:t>
                  </w:r>
                </w:p>
                <w:p>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3</w:t>
                  </w:r>
                  <w:r>
                    <w:rPr>
                      <w:rFonts w:eastAsia="Times New Roman"/>
                      <w:color w:val="000000" w:themeColor="text1"/>
                      <w:spacing w:val="-18"/>
                      <w14:textFill>
                        <w14:solidFill>
                          <w14:schemeClr w14:val="tx1"/>
                        </w14:solidFill>
                      </w14:textFill>
                    </w:rPr>
                    <w:t xml:space="preserve"> </w:t>
                  </w:r>
                  <w:r>
                    <w:rPr>
                      <w:color w:val="000000" w:themeColor="text1"/>
                      <w:spacing w:val="6"/>
                      <w14:textFill>
                        <w14:solidFill>
                          <w14:schemeClr w14:val="tx1"/>
                        </w14:solidFill>
                      </w14:textFill>
                    </w:rPr>
                    <w:t>、除列入国家规划的大型煤电和符</w:t>
                  </w:r>
                  <w:r>
                    <w:rPr>
                      <w:color w:val="000000" w:themeColor="text1"/>
                      <w14:textFill>
                        <w14:solidFill>
                          <w14:schemeClr w14:val="tx1"/>
                        </w14:solidFill>
                      </w14:textFill>
                    </w:rPr>
                    <w:t xml:space="preserve"> </w:t>
                  </w:r>
                  <w:r>
                    <w:rPr>
                      <w:color w:val="000000" w:themeColor="text1"/>
                      <w:spacing w:val="12"/>
                      <w14:textFill>
                        <w14:solidFill>
                          <w14:schemeClr w14:val="tx1"/>
                        </w14:solidFill>
                      </w14:textFill>
                    </w:rPr>
                    <w:t>合相关要求的等容量替代项目，</w:t>
                  </w:r>
                  <w:r>
                    <w:rPr>
                      <w:color w:val="000000" w:themeColor="text1"/>
                      <w:spacing w:val="-49"/>
                      <w14:textFill>
                        <w14:solidFill>
                          <w14:schemeClr w14:val="tx1"/>
                        </w14:solidFill>
                      </w14:textFill>
                    </w:rPr>
                    <w:t xml:space="preserve"> </w:t>
                  </w:r>
                  <w:r>
                    <w:rPr>
                      <w:color w:val="000000" w:themeColor="text1"/>
                      <w:spacing w:val="12"/>
                      <w14:textFill>
                        <w14:solidFill>
                          <w14:schemeClr w14:val="tx1"/>
                        </w14:solidFill>
                      </w14:textFill>
                    </w:rPr>
                    <w:t>以</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及以供热为主的热电联产项目外，</w:t>
                  </w:r>
                  <w:r>
                    <w:rPr>
                      <w:color w:val="000000" w:themeColor="text1"/>
                      <w:spacing w:val="6"/>
                      <w14:textFill>
                        <w14:solidFill>
                          <w14:schemeClr w14:val="tx1"/>
                        </w14:solidFill>
                      </w14:textFill>
                    </w:rPr>
                    <w:t xml:space="preserve"> </w:t>
                  </w:r>
                  <w:r>
                    <w:rPr>
                      <w:color w:val="000000" w:themeColor="text1"/>
                      <w:spacing w:val="8"/>
                      <w14:textFill>
                        <w14:solidFill>
                          <w14:schemeClr w14:val="tx1"/>
                        </w14:solidFill>
                      </w14:textFill>
                    </w:rPr>
                    <w:t>原则上不再建设新的煤电项目。</w:t>
                  </w:r>
                </w:p>
                <w:p>
                  <w:pPr>
                    <w:pStyle w:val="221"/>
                    <w:jc w:val="left"/>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4</w:t>
                  </w:r>
                  <w:r>
                    <w:rPr>
                      <w:rFonts w:eastAsia="Times New Roman"/>
                      <w:color w:val="000000" w:themeColor="text1"/>
                      <w:spacing w:val="-29"/>
                      <w14:textFill>
                        <w14:solidFill>
                          <w14:schemeClr w14:val="tx1"/>
                        </w14:solidFill>
                      </w14:textFill>
                    </w:rPr>
                    <w:t xml:space="preserve"> </w:t>
                  </w:r>
                  <w:r>
                    <w:rPr>
                      <w:color w:val="000000" w:themeColor="text1"/>
                      <w:spacing w:val="7"/>
                      <w14:textFill>
                        <w14:solidFill>
                          <w14:schemeClr w14:val="tx1"/>
                        </w14:solidFill>
                      </w14:textFill>
                    </w:rPr>
                    <w:t>、氟化工产业应集中布局在《关于</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促进我省氟化工产业绿色高效发展</w:t>
                  </w:r>
                  <w:r>
                    <w:rPr>
                      <w:color w:val="000000" w:themeColor="text1"/>
                      <w:spacing w:val="6"/>
                      <w14:textFill>
                        <w14:solidFill>
                          <w14:schemeClr w14:val="tx1"/>
                        </w14:solidFill>
                      </w14:textFill>
                    </w:rPr>
                    <w:t xml:space="preserve"> </w:t>
                  </w:r>
                  <w:r>
                    <w:rPr>
                      <w:color w:val="000000" w:themeColor="text1"/>
                      <w:spacing w:val="12"/>
                      <w14:textFill>
                        <w14:solidFill>
                          <w14:schemeClr w14:val="tx1"/>
                        </w14:solidFill>
                      </w14:textFill>
                    </w:rPr>
                    <w:t>的若干意见》</w:t>
                  </w:r>
                  <w:r>
                    <w:rPr>
                      <w:color w:val="000000" w:themeColor="text1"/>
                      <w:spacing w:val="-49"/>
                      <w14:textFill>
                        <w14:solidFill>
                          <w14:schemeClr w14:val="tx1"/>
                        </w14:solidFill>
                      </w14:textFill>
                    </w:rPr>
                    <w:t xml:space="preserve"> </w:t>
                  </w:r>
                  <w:r>
                    <w:rPr>
                      <w:color w:val="000000" w:themeColor="text1"/>
                      <w:spacing w:val="12"/>
                      <w14:textFill>
                        <w14:solidFill>
                          <w14:schemeClr w14:val="tx1"/>
                        </w14:solidFill>
                      </w14:textFill>
                    </w:rPr>
                    <w:t>中确定的园区，在上</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述园区之外不再新建氟化工项目，</w:t>
                  </w:r>
                  <w:r>
                    <w:rPr>
                      <w:color w:val="000000" w:themeColor="text1"/>
                      <w:spacing w:val="6"/>
                      <w14:textFill>
                        <w14:solidFill>
                          <w14:schemeClr w14:val="tx1"/>
                        </w14:solidFill>
                      </w14:textFill>
                    </w:rPr>
                    <w:t xml:space="preserve"> </w:t>
                  </w:r>
                  <w:r>
                    <w:rPr>
                      <w:color w:val="000000" w:themeColor="text1"/>
                      <w:spacing w:val="15"/>
                      <w14:textFill>
                        <w14:solidFill>
                          <w14:schemeClr w14:val="tx1"/>
                        </w14:solidFill>
                      </w14:textFill>
                    </w:rPr>
                    <w:t>园区之外现有氟化工项目不再扩大</w:t>
                  </w:r>
                  <w:r>
                    <w:rPr>
                      <w:color w:val="000000" w:themeColor="text1"/>
                      <w:spacing w:val="6"/>
                      <w14:textFill>
                        <w14:solidFill>
                          <w14:schemeClr w14:val="tx1"/>
                        </w14:solidFill>
                      </w14:textFill>
                    </w:rPr>
                    <w:t xml:space="preserve"> </w:t>
                  </w:r>
                  <w:r>
                    <w:rPr>
                      <w:color w:val="000000" w:themeColor="text1"/>
                      <w:spacing w:val="3"/>
                      <w14:textFill>
                        <w14:solidFill>
                          <w14:schemeClr w14:val="tx1"/>
                        </w14:solidFill>
                      </w14:textFill>
                    </w:rPr>
                    <w:t>规模。</w:t>
                  </w:r>
                </w:p>
                <w:p>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5</w:t>
                  </w:r>
                  <w:r>
                    <w:rPr>
                      <w:rFonts w:eastAsia="Times New Roman"/>
                      <w:color w:val="000000" w:themeColor="text1"/>
                      <w:spacing w:val="-20"/>
                      <w14:textFill>
                        <w14:solidFill>
                          <w14:schemeClr w14:val="tx1"/>
                        </w14:solidFill>
                      </w14:textFill>
                    </w:rPr>
                    <w:t xml:space="preserve"> </w:t>
                  </w:r>
                  <w:r>
                    <w:rPr>
                      <w:color w:val="000000" w:themeColor="text1"/>
                      <w:spacing w:val="6"/>
                      <w14:textFill>
                        <w14:solidFill>
                          <w14:schemeClr w14:val="tx1"/>
                        </w14:solidFill>
                      </w14:textFill>
                    </w:rPr>
                    <w:t>、禁止在水环境质量不能稳定达标</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的区域内，建设新增相应不达标污</w:t>
                  </w:r>
                  <w:r>
                    <w:rPr>
                      <w:color w:val="000000" w:themeColor="text1"/>
                      <w:spacing w:val="2"/>
                      <w14:textFill>
                        <w14:solidFill>
                          <w14:schemeClr w14:val="tx1"/>
                        </w14:solidFill>
                      </w14:textFill>
                    </w:rPr>
                    <w:t xml:space="preserve"> </w:t>
                  </w:r>
                  <w:r>
                    <w:rPr>
                      <w:color w:val="000000" w:themeColor="text1"/>
                      <w:spacing w:val="8"/>
                      <w14:textFill>
                        <w14:solidFill>
                          <w14:schemeClr w14:val="tx1"/>
                        </w14:solidFill>
                      </w14:textFill>
                    </w:rPr>
                    <w:t>染物指标排放量的工业项目。</w:t>
                  </w:r>
                </w:p>
              </w:tc>
              <w:tc>
                <w:tcPr>
                  <w:tcW w:w="1336" w:type="pct"/>
                  <w:vAlign w:val="center"/>
                </w:tcPr>
                <w:p>
                  <w:pPr>
                    <w:pStyle w:val="221"/>
                    <w:jc w:val="left"/>
                    <w:rPr>
                      <w:color w:val="000000" w:themeColor="text1"/>
                      <w14:textFill>
                        <w14:solidFill>
                          <w14:schemeClr w14:val="tx1"/>
                        </w14:solidFill>
                      </w14:textFill>
                    </w:rPr>
                  </w:pPr>
                  <w:r>
                    <w:rPr>
                      <w:color w:val="000000" w:themeColor="text1"/>
                      <w:spacing w:val="8"/>
                      <w14:textFill>
                        <w14:solidFill>
                          <w14:schemeClr w14:val="tx1"/>
                        </w14:solidFill>
                      </w14:textFill>
                    </w:rPr>
                    <w:t>本项目主要从事</w:t>
                  </w:r>
                  <w:r>
                    <w:rPr>
                      <w:color w:val="000000" w:themeColor="text1"/>
                      <w:spacing w:val="1"/>
                      <w14:textFill>
                        <w14:solidFill>
                          <w14:schemeClr w14:val="tx1"/>
                        </w14:solidFill>
                      </w14:textFill>
                    </w:rPr>
                    <w:t>电缆附件</w:t>
                  </w:r>
                  <w:r>
                    <w:rPr>
                      <w:color w:val="000000" w:themeColor="text1"/>
                      <w:spacing w:val="8"/>
                      <w14:textFill>
                        <w14:solidFill>
                          <w14:schemeClr w14:val="tx1"/>
                        </w14:solidFill>
                      </w14:textFill>
                    </w:rPr>
                    <w:t>生产，不属于左侧所列约束性产业；项目建设与空间布局约束要求不</w:t>
                  </w:r>
                  <w:r>
                    <w:rPr>
                      <w:color w:val="000000" w:themeColor="text1"/>
                      <w:spacing w:val="2"/>
                      <w14:textFill>
                        <w14:solidFill>
                          <w14:schemeClr w14:val="tx1"/>
                        </w14:solidFill>
                      </w14:textFill>
                    </w:rPr>
                    <w:t>冲突。</w:t>
                  </w:r>
                </w:p>
              </w:tc>
              <w:tc>
                <w:tcPr>
                  <w:tcW w:w="394" w:type="pct"/>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4" w:hRule="atLeast"/>
              </w:trPr>
              <w:tc>
                <w:tcPr>
                  <w:tcW w:w="475" w:type="pct"/>
                  <w:vMerge w:val="continue"/>
                  <w:vAlign w:val="center"/>
                </w:tcPr>
                <w:p>
                  <w:pPr>
                    <w:pStyle w:val="221"/>
                    <w:rPr>
                      <w:color w:val="000000" w:themeColor="text1"/>
                      <w14:textFill>
                        <w14:solidFill>
                          <w14:schemeClr w14:val="tx1"/>
                        </w14:solidFill>
                      </w14:textFill>
                    </w:rPr>
                  </w:pPr>
                </w:p>
              </w:tc>
              <w:tc>
                <w:tcPr>
                  <w:tcW w:w="420" w:type="pct"/>
                  <w:vAlign w:val="center"/>
                </w:tcPr>
                <w:p>
                  <w:pPr>
                    <w:pStyle w:val="221"/>
                    <w:rPr>
                      <w:color w:val="000000" w:themeColor="text1"/>
                      <w:spacing w:val="3"/>
                      <w14:textFill>
                        <w14:solidFill>
                          <w14:schemeClr w14:val="tx1"/>
                        </w14:solidFill>
                      </w14:textFill>
                    </w:rPr>
                  </w:pPr>
                  <w:r>
                    <w:rPr>
                      <w:color w:val="000000" w:themeColor="text1"/>
                      <w:spacing w:val="3"/>
                      <w14:textFill>
                        <w14:solidFill>
                          <w14:schemeClr w14:val="tx1"/>
                        </w14:solidFill>
                      </w14:textFill>
                    </w:rPr>
                    <w:t>污染 物排 放管 控</w:t>
                  </w:r>
                </w:p>
              </w:tc>
              <w:tc>
                <w:tcPr>
                  <w:tcW w:w="2373" w:type="pct"/>
                  <w:vAlign w:val="center"/>
                </w:tcPr>
                <w:p>
                  <w:pPr>
                    <w:pStyle w:val="221"/>
                    <w:jc w:val="left"/>
                    <w:rPr>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1</w:t>
                  </w:r>
                  <w:r>
                    <w:rPr>
                      <w:rFonts w:eastAsia="Times New Roman"/>
                      <w:color w:val="000000" w:themeColor="text1"/>
                      <w:spacing w:val="-18"/>
                      <w14:textFill>
                        <w14:solidFill>
                          <w14:schemeClr w14:val="tx1"/>
                        </w14:solidFill>
                      </w14:textFill>
                    </w:rPr>
                    <w:t xml:space="preserve"> </w:t>
                  </w:r>
                  <w:r>
                    <w:rPr>
                      <w:color w:val="000000" w:themeColor="text1"/>
                      <w:spacing w:val="5"/>
                      <w14:textFill>
                        <w14:solidFill>
                          <w14:schemeClr w14:val="tx1"/>
                        </w14:solidFill>
                      </w14:textFill>
                    </w:rPr>
                    <w:t>、建设项目新增的主要污染物排放</w:t>
                  </w:r>
                  <w:r>
                    <w:rPr>
                      <w:color w:val="000000" w:themeColor="text1"/>
                      <w14:textFill>
                        <w14:solidFill>
                          <w14:schemeClr w14:val="tx1"/>
                        </w14:solidFill>
                      </w14:textFill>
                    </w:rPr>
                    <w:t xml:space="preserve"> </w:t>
                  </w:r>
                  <w:r>
                    <w:rPr>
                      <w:color w:val="000000" w:themeColor="text1"/>
                      <w:spacing w:val="8"/>
                      <w14:textFill>
                        <w14:solidFill>
                          <w14:schemeClr w14:val="tx1"/>
                        </w14:solidFill>
                      </w14:textFill>
                    </w:rPr>
                    <w:t>量应按要求实行等量或倍量替代。</w:t>
                  </w:r>
                </w:p>
                <w:p>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涉及总磷排放的建设项目应按照要求实行总磷排放量倍量或等量削减替代。涉及重金属重点行业建设项目新增的重点重金属污染物应按要</w:t>
                  </w:r>
                  <w:r>
                    <w:rPr>
                      <w:color w:val="000000" w:themeColor="text1"/>
                      <w:spacing w:val="6"/>
                      <w14:textFill>
                        <w14:solidFill>
                          <w14:schemeClr w14:val="tx1"/>
                        </w14:solidFill>
                      </w14:textFill>
                    </w:rPr>
                    <w:t>求实行</w:t>
                  </w:r>
                  <w:r>
                    <w:rPr>
                      <w:rFonts w:eastAsia="Times New Roman"/>
                      <w:color w:val="000000" w:themeColor="text1"/>
                      <w:spacing w:val="6"/>
                      <w14:textFill>
                        <w14:solidFill>
                          <w14:schemeClr w14:val="tx1"/>
                        </w14:solidFill>
                      </w14:textFill>
                    </w:rPr>
                    <w:t>“</w:t>
                  </w:r>
                  <w:r>
                    <w:rPr>
                      <w:color w:val="000000" w:themeColor="text1"/>
                      <w:spacing w:val="6"/>
                      <w14:textFill>
                        <w14:solidFill>
                          <w14:schemeClr w14:val="tx1"/>
                        </w14:solidFill>
                      </w14:textFill>
                    </w:rPr>
                    <w:t>减量置换</w:t>
                  </w:r>
                  <w:r>
                    <w:rPr>
                      <w:rFonts w:eastAsia="Times New Roman"/>
                      <w:color w:val="000000" w:themeColor="text1"/>
                      <w:spacing w:val="6"/>
                      <w14:textFill>
                        <w14:solidFill>
                          <w14:schemeClr w14:val="tx1"/>
                        </w14:solidFill>
                      </w14:textFill>
                    </w:rPr>
                    <w:t>”</w:t>
                  </w:r>
                  <w:r>
                    <w:rPr>
                      <w:color w:val="000000" w:themeColor="text1"/>
                      <w:spacing w:val="6"/>
                      <w14:textFill>
                        <w14:solidFill>
                          <w14:schemeClr w14:val="tx1"/>
                        </w14:solidFill>
                      </w14:textFill>
                    </w:rPr>
                    <w:t>或等量替换</w:t>
                  </w:r>
                  <w:r>
                    <w:rPr>
                      <w:rFonts w:eastAsia="Times New Roman"/>
                      <w:color w:val="000000" w:themeColor="text1"/>
                      <w:spacing w:val="6"/>
                      <w14:textFill>
                        <w14:solidFill>
                          <w14:schemeClr w14:val="tx1"/>
                        </w14:solidFill>
                      </w14:textFill>
                    </w:rPr>
                    <w:t>"</w:t>
                  </w:r>
                  <w:r>
                    <w:rPr>
                      <w:rFonts w:eastAsia="Times New Roman"/>
                      <w:color w:val="000000" w:themeColor="text1"/>
                      <w:spacing w:val="-13"/>
                      <w14:textFill>
                        <w14:solidFill>
                          <w14:schemeClr w14:val="tx1"/>
                        </w14:solidFill>
                      </w14:textFill>
                    </w:rPr>
                    <w:t xml:space="preserve"> </w:t>
                  </w:r>
                  <w:r>
                    <w:rPr>
                      <w:color w:val="000000" w:themeColor="text1"/>
                      <w:spacing w:val="6"/>
                      <w14:textFill>
                        <w14:solidFill>
                          <w14:schemeClr w14:val="tx1"/>
                        </w14:solidFill>
                      </w14:textFill>
                    </w:rPr>
                    <w:t>。涉</w:t>
                  </w:r>
                  <w:r>
                    <w:rPr>
                      <w:color w:val="000000" w:themeColor="text1"/>
                      <w:spacing w:val="10"/>
                      <w14:textFill>
                        <w14:solidFill>
                          <w14:schemeClr w14:val="tx1"/>
                        </w14:solidFill>
                      </w14:textFill>
                    </w:rPr>
                    <w:t>新增</w:t>
                  </w:r>
                  <w:r>
                    <w:rPr>
                      <w:rFonts w:eastAsia="Times New Roman"/>
                      <w:color w:val="000000" w:themeColor="text1"/>
                      <w14:textFill>
                        <w14:solidFill>
                          <w14:schemeClr w14:val="tx1"/>
                        </w14:solidFill>
                      </w14:textFill>
                    </w:rPr>
                    <w:t>VOC</w:t>
                  </w:r>
                  <w:r>
                    <w:rPr>
                      <w:rFonts w:eastAsia="Times New Roman"/>
                      <w:color w:val="000000" w:themeColor="text1"/>
                      <w:position w:val="-1"/>
                      <w14:textFill>
                        <w14:solidFill>
                          <w14:schemeClr w14:val="tx1"/>
                        </w14:solidFill>
                      </w14:textFill>
                    </w:rPr>
                    <w:t>S</w:t>
                  </w:r>
                  <w:r>
                    <w:rPr>
                      <w:color w:val="000000" w:themeColor="text1"/>
                      <w:spacing w:val="10"/>
                      <w14:textFill>
                        <w14:solidFill>
                          <w14:schemeClr w14:val="tx1"/>
                        </w14:solidFill>
                      </w14:textFill>
                    </w:rPr>
                    <w:t>排放项目，</w:t>
                  </w:r>
                  <w:r>
                    <w:rPr>
                      <w:rFonts w:eastAsia="Times New Roman"/>
                      <w:color w:val="000000" w:themeColor="text1"/>
                      <w14:textFill>
                        <w14:solidFill>
                          <w14:schemeClr w14:val="tx1"/>
                        </w14:solidFill>
                      </w14:textFill>
                    </w:rPr>
                    <w:t>VOC</w:t>
                  </w:r>
                  <w:r>
                    <w:rPr>
                      <w:rFonts w:eastAsia="Times New Roman"/>
                      <w:color w:val="000000" w:themeColor="text1"/>
                      <w:position w:val="-1"/>
                      <w14:textFill>
                        <w14:solidFill>
                          <w14:schemeClr w14:val="tx1"/>
                        </w14:solidFill>
                      </w14:textFill>
                    </w:rPr>
                    <w:t>S</w:t>
                  </w:r>
                  <w:r>
                    <w:rPr>
                      <w:rFonts w:eastAsia="Times New Roman"/>
                      <w:color w:val="000000" w:themeColor="text1"/>
                      <w:spacing w:val="10"/>
                      <w:position w:val="-1"/>
                      <w14:textFill>
                        <w14:solidFill>
                          <w14:schemeClr w14:val="tx1"/>
                        </w14:solidFill>
                      </w14:textFill>
                    </w:rPr>
                    <w:t xml:space="preserve"> </w:t>
                  </w:r>
                  <w:r>
                    <w:rPr>
                      <w:color w:val="000000" w:themeColor="text1"/>
                      <w:spacing w:val="10"/>
                      <w14:textFill>
                        <w14:solidFill>
                          <w14:schemeClr w14:val="tx1"/>
                        </w14:solidFill>
                      </w14:textFill>
                    </w:rPr>
                    <w:t>排放实</w:t>
                  </w:r>
                  <w:r>
                    <w:rPr>
                      <w:color w:val="000000" w:themeColor="text1"/>
                      <w:spacing w:val="9"/>
                      <w14:textFill>
                        <w14:solidFill>
                          <w14:schemeClr w14:val="tx1"/>
                        </w14:solidFill>
                      </w14:textFill>
                    </w:rPr>
                    <w:t>行区域内等量替代。福州、厦门、</w:t>
                  </w:r>
                  <w:r>
                    <w:rPr>
                      <w:color w:val="000000" w:themeColor="text1"/>
                      <w:spacing w:val="7"/>
                      <w14:textFill>
                        <w14:solidFill>
                          <w14:schemeClr w14:val="tx1"/>
                        </w14:solidFill>
                      </w14:textFill>
                    </w:rPr>
                    <w:t>漳州、泉州、莆田、宁德等</w:t>
                  </w:r>
                  <w:r>
                    <w:rPr>
                      <w:color w:val="000000" w:themeColor="text1"/>
                      <w:spacing w:val="-27"/>
                      <w14:textFill>
                        <w14:solidFill>
                          <w14:schemeClr w14:val="tx1"/>
                        </w14:solidFill>
                      </w14:textFill>
                    </w:rPr>
                    <w:t xml:space="preserve"> </w:t>
                  </w:r>
                  <w:r>
                    <w:rPr>
                      <w:rFonts w:eastAsia="Times New Roman"/>
                      <w:color w:val="000000" w:themeColor="text1"/>
                      <w:spacing w:val="7"/>
                      <w14:textFill>
                        <w14:solidFill>
                          <w14:schemeClr w14:val="tx1"/>
                        </w14:solidFill>
                      </w14:textFill>
                    </w:rPr>
                    <w:t>6</w:t>
                  </w:r>
                  <w:r>
                    <w:rPr>
                      <w:color w:val="000000" w:themeColor="text1"/>
                      <w:spacing w:val="7"/>
                      <w14:textFill>
                        <w14:solidFill>
                          <w14:schemeClr w14:val="tx1"/>
                        </w14:solidFill>
                      </w14:textFill>
                    </w:rPr>
                    <w:t>个重</w:t>
                  </w:r>
                  <w:r>
                    <w:rPr>
                      <w:color w:val="000000" w:themeColor="text1"/>
                      <w:spacing w:val="8"/>
                      <w14:textFill>
                        <w14:solidFill>
                          <w14:schemeClr w14:val="tx1"/>
                        </w14:solidFill>
                      </w14:textFill>
                    </w:rPr>
                    <w:t>点控制区可实施倍量替代。</w:t>
                  </w:r>
                </w:p>
                <w:p>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2</w:t>
                  </w:r>
                  <w:r>
                    <w:rPr>
                      <w:rFonts w:eastAsia="Times New Roman"/>
                      <w:color w:val="000000" w:themeColor="text1"/>
                      <w:spacing w:val="-14"/>
                      <w14:textFill>
                        <w14:solidFill>
                          <w14:schemeClr w14:val="tx1"/>
                        </w14:solidFill>
                      </w14:textFill>
                    </w:rPr>
                    <w:t xml:space="preserve"> </w:t>
                  </w:r>
                  <w:r>
                    <w:rPr>
                      <w:color w:val="000000" w:themeColor="text1"/>
                      <w:spacing w:val="6"/>
                      <w14:textFill>
                        <w14:solidFill>
                          <w14:schemeClr w14:val="tx1"/>
                        </w14:solidFill>
                      </w14:textFill>
                    </w:rPr>
                    <w:t>、新建水泥、有色金属项目应执行</w:t>
                  </w:r>
                  <w:r>
                    <w:rPr>
                      <w:color w:val="000000" w:themeColor="text1"/>
                      <w:spacing w:val="9"/>
                      <w14:textFill>
                        <w14:solidFill>
                          <w14:schemeClr w14:val="tx1"/>
                        </w14:solidFill>
                      </w14:textFill>
                    </w:rPr>
                    <w:t>大气污染物特别排放限值，钢铁项目应执行超低排放指标要求，火电</w:t>
                  </w:r>
                  <w:r>
                    <w:rPr>
                      <w:color w:val="000000" w:themeColor="text1"/>
                      <w:spacing w:val="8"/>
                      <w14:textFill>
                        <w14:solidFill>
                          <w14:schemeClr w14:val="tx1"/>
                        </w14:solidFill>
                      </w14:textFill>
                    </w:rPr>
                    <w:t>项目应达到超低排放限值。</w:t>
                  </w:r>
                </w:p>
                <w:p>
                  <w:pPr>
                    <w:pStyle w:val="221"/>
                    <w:jc w:val="left"/>
                    <w:rPr>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3</w:t>
                  </w:r>
                  <w:r>
                    <w:rPr>
                      <w:color w:val="000000" w:themeColor="text1"/>
                      <w:spacing w:val="2"/>
                      <w14:textFill>
                        <w14:solidFill>
                          <w14:schemeClr w14:val="tx1"/>
                        </w14:solidFill>
                      </w14:textFill>
                    </w:rPr>
                    <w:t>、尾水排入近岸海域汇水区域、</w:t>
                  </w:r>
                  <w:r>
                    <w:rPr>
                      <w:rFonts w:eastAsia="Times New Roman"/>
                      <w:color w:val="000000" w:themeColor="text1"/>
                      <w:spacing w:val="2"/>
                      <w14:textFill>
                        <w14:solidFill>
                          <w14:schemeClr w14:val="tx1"/>
                        </w14:solidFill>
                      </w14:textFill>
                    </w:rPr>
                    <w:t>“</w:t>
                  </w:r>
                  <w:r>
                    <w:rPr>
                      <w:color w:val="000000" w:themeColor="text1"/>
                      <w:spacing w:val="2"/>
                      <w14:textFill>
                        <w14:solidFill>
                          <w14:schemeClr w14:val="tx1"/>
                        </w14:solidFill>
                      </w14:textFill>
                    </w:rPr>
                    <w:t>六</w:t>
                  </w:r>
                  <w:r>
                    <w:rPr>
                      <w:color w:val="000000" w:themeColor="text1"/>
                      <w:spacing w:val="8"/>
                      <w14:textFill>
                        <w14:solidFill>
                          <w14:schemeClr w14:val="tx1"/>
                        </w14:solidFill>
                      </w14:textFill>
                    </w:rPr>
                    <w:t>江两溪</w:t>
                  </w:r>
                  <w:r>
                    <w:rPr>
                      <w:rFonts w:eastAsia="Times New Roman"/>
                      <w:color w:val="000000" w:themeColor="text1"/>
                      <w:spacing w:val="8"/>
                      <w14:textFill>
                        <w14:solidFill>
                          <w14:schemeClr w14:val="tx1"/>
                        </w14:solidFill>
                      </w14:textFill>
                    </w:rPr>
                    <w:t>”</w:t>
                  </w:r>
                  <w:r>
                    <w:rPr>
                      <w:color w:val="000000" w:themeColor="text1"/>
                      <w:spacing w:val="8"/>
                      <w14:textFill>
                        <w14:solidFill>
                          <w14:schemeClr w14:val="tx1"/>
                        </w14:solidFill>
                      </w14:textFill>
                    </w:rPr>
                    <w:t>流域以及湖泊、水库等封</w:t>
                  </w:r>
                </w:p>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闭、半封闭水域的城镇污水处理设</w:t>
                  </w:r>
                  <w:r>
                    <w:rPr>
                      <w:color w:val="000000" w:themeColor="text1"/>
                      <w:spacing w:val="6"/>
                      <w14:textFill>
                        <w14:solidFill>
                          <w14:schemeClr w14:val="tx1"/>
                        </w14:solidFill>
                      </w14:textFill>
                    </w:rPr>
                    <w:t>施执行不低于一级</w:t>
                  </w:r>
                  <w:r>
                    <w:rPr>
                      <w:rFonts w:eastAsia="Times New Roman"/>
                      <w:color w:val="000000" w:themeColor="text1"/>
                      <w:spacing w:val="6"/>
                      <w14:textFill>
                        <w14:solidFill>
                          <w14:schemeClr w14:val="tx1"/>
                        </w14:solidFill>
                      </w14:textFill>
                    </w:rPr>
                    <w:t>A</w:t>
                  </w:r>
                  <w:r>
                    <w:rPr>
                      <w:color w:val="000000" w:themeColor="text1"/>
                      <w:spacing w:val="6"/>
                      <w14:textFill>
                        <w14:solidFill>
                          <w14:schemeClr w14:val="tx1"/>
                        </w14:solidFill>
                      </w14:textFill>
                    </w:rPr>
                    <w:t>排放标准。</w:t>
                  </w:r>
                </w:p>
              </w:tc>
              <w:tc>
                <w:tcPr>
                  <w:tcW w:w="1336" w:type="pct"/>
                  <w:vAlign w:val="center"/>
                </w:tcPr>
                <w:p>
                  <w:pPr>
                    <w:pStyle w:val="221"/>
                    <w:jc w:val="left"/>
                    <w:rPr>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1</w:t>
                  </w:r>
                  <w:r>
                    <w:rPr>
                      <w:color w:val="000000" w:themeColor="text1"/>
                      <w:spacing w:val="2"/>
                      <w14:textFill>
                        <w14:solidFill>
                          <w14:schemeClr w14:val="tx1"/>
                        </w14:solidFill>
                      </w14:textFill>
                    </w:rPr>
                    <w:t>、项目不涉及重金</w:t>
                  </w:r>
                  <w:r>
                    <w:rPr>
                      <w:color w:val="000000" w:themeColor="text1"/>
                      <w:spacing w:val="8"/>
                      <w14:textFill>
                        <w14:solidFill>
                          <w14:schemeClr w14:val="tx1"/>
                        </w14:solidFill>
                      </w14:textFill>
                    </w:rPr>
                    <w:t>属排放；产生的</w:t>
                  </w:r>
                  <w:r>
                    <w:rPr>
                      <w:rFonts w:eastAsia="Times New Roman"/>
                      <w:color w:val="000000" w:themeColor="text1"/>
                      <w14:textFill>
                        <w14:solidFill>
                          <w14:schemeClr w14:val="tx1"/>
                        </w14:solidFill>
                      </w14:textFill>
                    </w:rPr>
                    <w:t>VOCs</w:t>
                  </w:r>
                  <w:r>
                    <w:rPr>
                      <w:rFonts w:eastAsia="Times New Roman"/>
                      <w:color w:val="000000" w:themeColor="text1"/>
                      <w:spacing w:val="12"/>
                      <w14:textFill>
                        <w14:solidFill>
                          <w14:schemeClr w14:val="tx1"/>
                        </w14:solidFill>
                      </w14:textFill>
                    </w:rPr>
                    <w:t xml:space="preserve"> </w:t>
                  </w:r>
                  <w:r>
                    <w:rPr>
                      <w:color w:val="000000" w:themeColor="text1"/>
                      <w:spacing w:val="12"/>
                      <w14:textFill>
                        <w14:solidFill>
                          <w14:schemeClr w14:val="tx1"/>
                        </w14:solidFill>
                      </w14:textFill>
                    </w:rPr>
                    <w:t>排放实行倍</w:t>
                  </w:r>
                  <w:r>
                    <w:rPr>
                      <w:color w:val="000000" w:themeColor="text1"/>
                      <w:spacing w:val="5"/>
                      <w14:textFill>
                        <w14:solidFill>
                          <w14:schemeClr w14:val="tx1"/>
                        </w14:solidFill>
                      </w14:textFill>
                    </w:rPr>
                    <w:t>量替代。</w:t>
                  </w:r>
                </w:p>
                <w:p>
                  <w:pPr>
                    <w:pStyle w:val="221"/>
                    <w:jc w:val="left"/>
                    <w:rPr>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2</w:t>
                  </w:r>
                  <w:r>
                    <w:rPr>
                      <w:rFonts w:eastAsia="Times New Roman"/>
                      <w:color w:val="000000" w:themeColor="text1"/>
                      <w:spacing w:val="-25"/>
                      <w14:textFill>
                        <w14:solidFill>
                          <w14:schemeClr w14:val="tx1"/>
                        </w14:solidFill>
                      </w14:textFill>
                    </w:rPr>
                    <w:t xml:space="preserve"> </w:t>
                  </w:r>
                  <w:r>
                    <w:rPr>
                      <w:color w:val="000000" w:themeColor="text1"/>
                      <w:spacing w:val="5"/>
                      <w14:textFill>
                        <w14:solidFill>
                          <w14:schemeClr w14:val="tx1"/>
                        </w14:solidFill>
                      </w14:textFill>
                    </w:rPr>
                    <w:t>、本项目主要从事电缆附件</w:t>
                  </w:r>
                  <w:r>
                    <w:rPr>
                      <w:color w:val="000000" w:themeColor="text1"/>
                      <w:spacing w:val="8"/>
                      <w14:textFill>
                        <w14:solidFill>
                          <w14:schemeClr w14:val="tx1"/>
                        </w14:solidFill>
                      </w14:textFill>
                    </w:rPr>
                    <w:t>生产，不属于</w:t>
                  </w:r>
                  <w:r>
                    <w:rPr>
                      <w:color w:val="000000" w:themeColor="text1"/>
                      <w:spacing w:val="7"/>
                      <w14:textFill>
                        <w14:solidFill>
                          <w14:schemeClr w14:val="tx1"/>
                        </w14:solidFill>
                      </w14:textFill>
                    </w:rPr>
                    <w:t>水泥、有色金属、钢铁、火电项目。</w:t>
                  </w:r>
                </w:p>
                <w:p>
                  <w:pPr>
                    <w:pStyle w:val="221"/>
                    <w:jc w:val="left"/>
                    <w:rPr>
                      <w:color w:val="000000" w:themeColor="text1"/>
                      <w14:textFill>
                        <w14:solidFill>
                          <w14:schemeClr w14:val="tx1"/>
                        </w14:solidFill>
                      </w14:textFill>
                    </w:rPr>
                  </w:pPr>
                  <w:r>
                    <w:rPr>
                      <w:rFonts w:eastAsia="Times New Roman"/>
                      <w:color w:val="000000" w:themeColor="text1"/>
                      <w14:textFill>
                        <w14:solidFill>
                          <w14:schemeClr w14:val="tx1"/>
                        </w14:solidFill>
                      </w14:textFill>
                    </w:rPr>
                    <w:t>3</w:t>
                  </w:r>
                  <w:r>
                    <w:rPr>
                      <w:color w:val="000000" w:themeColor="text1"/>
                      <w14:textFill>
                        <w14:solidFill>
                          <w14:schemeClr w14:val="tx1"/>
                        </w14:solidFill>
                      </w14:textFill>
                    </w:rPr>
                    <w:t>、清洗废水经自建污水处理站处理后回用于清洗工序和冷却塔冷却用水，不外排。</w:t>
                  </w:r>
                </w:p>
              </w:tc>
              <w:tc>
                <w:tcPr>
                  <w:tcW w:w="394" w:type="pct"/>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符合</w:t>
                  </w:r>
                </w:p>
              </w:tc>
            </w:tr>
          </w:tbl>
          <w:p>
            <w:pPr>
              <w:pStyle w:val="172"/>
              <w:spacing w:after="0" w:line="360" w:lineRule="auto"/>
              <w:ind w:firstLine="472" w:firstLineChars="200"/>
              <w:rPr>
                <w:rFonts w:ascii="Times New Roman" w:hAnsi="Times New Roman" w:eastAsia="宋体" w:cs="Times New Roman"/>
                <w:color w:val="000000" w:themeColor="text1"/>
                <w:szCs w:val="24"/>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根据上表分析，项目与《福建省人民政府关于实施“三线一单</w:t>
            </w:r>
            <w:r>
              <w:rPr>
                <w:rFonts w:ascii="Times New Roman" w:hAnsi="Times New Roman" w:cs="Times New Roman"/>
                <w:color w:val="000000" w:themeColor="text1"/>
                <w:spacing w:val="-84"/>
                <w:lang w:eastAsia="zh-CN"/>
                <w14:textFill>
                  <w14:solidFill>
                    <w14:schemeClr w14:val="tx1"/>
                  </w14:solidFill>
                </w14:textFill>
              </w:rPr>
              <w:t xml:space="preserve"> </w:t>
            </w:r>
            <w:r>
              <w:rPr>
                <w:rFonts w:ascii="Times New Roman" w:hAnsi="Times New Roman" w:cs="Times New Roman"/>
                <w:color w:val="000000" w:themeColor="text1"/>
                <w:spacing w:val="-2"/>
                <w:lang w:eastAsia="zh-CN"/>
                <w14:textFill>
                  <w14:solidFill>
                    <w14:schemeClr w14:val="tx1"/>
                  </w14:solidFill>
                </w14:textFill>
              </w:rPr>
              <w:t>”</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5"/>
                <w:lang w:eastAsia="zh-CN"/>
                <w14:textFill>
                  <w14:solidFill>
                    <w14:schemeClr w14:val="tx1"/>
                  </w14:solidFill>
                </w14:textFill>
              </w:rPr>
              <w:t>生态环境分区管控的通知》相关要求相符合。</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②</w:t>
            </w:r>
            <w:r>
              <w:rPr>
                <w:rFonts w:ascii="Times New Roman" w:hAnsi="Times New Roman" w:eastAsia="宋体" w:cs="Times New Roman"/>
                <w:color w:val="000000" w:themeColor="text1"/>
                <w:szCs w:val="24"/>
                <w14:textFill>
                  <w14:solidFill>
                    <w14:schemeClr w14:val="tx1"/>
                  </w14:solidFill>
                </w14:textFill>
              </w:rPr>
              <w:t>与《福州市人民政府关于实施“三线一单”生态分区管控的通知》符合性分析</w:t>
            </w:r>
          </w:p>
          <w:p>
            <w:pPr>
              <w:widowControl w:val="0"/>
              <w:topLinePunct/>
              <w:adjustRightInd w:val="0"/>
              <w:snapToGrid w:val="0"/>
              <w:spacing w:after="0" w:line="360" w:lineRule="auto"/>
              <w:ind w:firstLine="480" w:firstLineChars="200"/>
              <w:contextualSpacing/>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福清融侨经济技术开发区，因此本项目对照福州市人民政府办公厅关于印发《福州市生态环境分区管控方案（2023年更新）》的通知（榕政办规〔2024〕20号）相关要求分析，本项目所在位置属于福州市陆域区域、福清市生态环境准入清单-重点管控单元-ZH35018120003（详见附件</w:t>
            </w:r>
            <w:r>
              <w:rPr>
                <w:rFonts w:hint="eastAsia" w:ascii="Times New Roman" w:hAnsi="Times New Roman" w:eastAsia="宋体" w:cs="Times New Roman"/>
                <w:color w:val="000000" w:themeColor="text1"/>
                <w:szCs w:val="24"/>
                <w14:textFill>
                  <w14:solidFill>
                    <w14:schemeClr w14:val="tx1"/>
                  </w14:solidFill>
                </w14:textFill>
              </w:rPr>
              <w:t>9</w:t>
            </w:r>
            <w:r>
              <w:rPr>
                <w:rFonts w:ascii="Times New Roman" w:hAnsi="Times New Roman" w:eastAsia="宋体" w:cs="Times New Roman"/>
                <w:color w:val="000000" w:themeColor="text1"/>
                <w:szCs w:val="24"/>
                <w14:textFill>
                  <w14:solidFill>
                    <w14:schemeClr w14:val="tx1"/>
                  </w14:solidFill>
                </w14:textFill>
              </w:rPr>
              <w:t>）。因此，具体见表1.1-3。</w:t>
            </w:r>
          </w:p>
          <w:p>
            <w:pPr>
              <w:pStyle w:val="222"/>
              <w:spacing w:before="12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表1.1-3  福州市生态环境准入要求一览表</w:t>
            </w:r>
          </w:p>
          <w:tbl>
            <w:tblPr>
              <w:tblStyle w:val="16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583"/>
              <w:gridCol w:w="3808"/>
              <w:gridCol w:w="1497"/>
              <w:gridCol w:w="4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适用</w:t>
                  </w:r>
                </w:p>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范围</w:t>
                  </w:r>
                </w:p>
              </w:tc>
              <w:tc>
                <w:tcPr>
                  <w:tcW w:w="3037" w:type="pct"/>
                  <w:gridSpan w:val="2"/>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准入要求</w:t>
                  </w:r>
                </w:p>
              </w:tc>
              <w:tc>
                <w:tcPr>
                  <w:tcW w:w="1066"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本项目情况</w:t>
                  </w:r>
                </w:p>
              </w:tc>
              <w:tc>
                <w:tcPr>
                  <w:tcW w:w="294"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Merge w:val="restar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福州市陆域</w:t>
                  </w:r>
                </w:p>
              </w:tc>
              <w:tc>
                <w:tcPr>
                  <w:tcW w:w="475"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2561"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三、其它要求</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1.福州市石化中上游项目重点在福州江阴港城经济区、可门港经济区化工新材料产业园布局。</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2.禁止在闽江马尾罗星塔以上流域范围新、扩建制革项目，严控新（扩）建植物制浆、印染、合成革及人造革、电镀项目。</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3.禁止在通风廊道和主导风向的上风向布局大气重污染企业，推进建成区大气重污染企业搬迁或升级改造、环境风险企业搬迁或关闭退出。</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4.禁止新、改、扩建生产高 VOCs 含量有机溶剂型涂料、油墨和胶黏剂的项目。</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5.持续加强闽清等地建陶产业的环境综合治理，充分衔接国土空间规划和生态环境分区管控，并对照产业政策、城市总体发展规划等要求，进一步明确发展定位，优化产业布局和规模。</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6.新建、扩建的涉及重点重金属污染物</w:t>
                  </w:r>
                  <w:r>
                    <w:rPr>
                      <w:rFonts w:ascii="Times New Roman" w:hAnsi="Times New Roman" w:eastAsia="宋体" w:cs="Times New Roman"/>
                      <w:color w:val="000000" w:themeColor="text1"/>
                      <w:sz w:val="21"/>
                      <w:szCs w:val="21"/>
                      <w:vertAlign w:val="superscript"/>
                      <w14:textFill>
                        <w14:solidFill>
                          <w14:schemeClr w14:val="tx1"/>
                        </w14:solidFill>
                      </w14:textFill>
                    </w:rPr>
                    <w:t>［1］</w:t>
                  </w:r>
                  <w:r>
                    <w:rPr>
                      <w:rFonts w:ascii="Times New Roman" w:hAnsi="Times New Roman" w:eastAsia="宋体" w:cs="Times New Roman"/>
                      <w:color w:val="000000" w:themeColor="text1"/>
                      <w:sz w:val="21"/>
                      <w:szCs w:val="21"/>
                      <w14:textFill>
                        <w14:solidFill>
                          <w14:schemeClr w14:val="tx1"/>
                        </w14:solidFill>
                      </w14:textFill>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 年底专业电镀企业入园率达到90%以上。</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7.禁止在流域上游新建、扩建重污染企业和项目。</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8.重要敏感水体及富营养化湖库生态缓冲带除相关政府部门批准的科学研究活动外，禁止其它可能对保护区构成危害或不良影响的大规模生产、建设活动。</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9.新、改、扩建煤电、钢铁、建材、石化、化工等“两高”项目，严格落实国家、省、市产业规划、产业政策、“三线一单”、规划环评，以及产能置换、煤炭消费减量替代、区域污染削减等相关要求。</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10.单元内涉及永久基本农田的，应按照《福建省基本农田保护条例》（2010 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066"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本项目主要从</w:t>
                  </w:r>
                  <w:r>
                    <w:rPr>
                      <w:rFonts w:ascii="Times New Roman" w:hAnsi="Times New Roman" w:cs="Times New Roman"/>
                      <w:color w:val="000000" w:themeColor="text1"/>
                      <w:sz w:val="21"/>
                      <w:szCs w:val="21"/>
                      <w14:textFill>
                        <w14:solidFill>
                          <w14:schemeClr w14:val="tx1"/>
                        </w14:solidFill>
                      </w14:textFill>
                    </w:rPr>
                    <w:t xml:space="preserve"> </w:t>
                  </w:r>
                  <w:r>
                    <w:rPr>
                      <w:rFonts w:ascii="Times New Roman" w:hAnsi="Times New Roman" w:cs="Times New Roman"/>
                      <w:color w:val="000000" w:themeColor="text1"/>
                      <w:spacing w:val="17"/>
                      <w:sz w:val="21"/>
                      <w:szCs w:val="21"/>
                      <w14:textFill>
                        <w14:solidFill>
                          <w14:schemeClr w14:val="tx1"/>
                        </w14:solidFill>
                      </w14:textFill>
                    </w:rPr>
                    <w:t>事电缆附件生产，不属于左列禁止建设项目；项目位于福建省福州市福清市融侨经济技术开发区宏路街道周店村。不位于新局调节库周边</w:t>
                  </w:r>
                  <w:r>
                    <w:rPr>
                      <w:rFonts w:ascii="Times New Roman" w:hAnsi="Times New Roman" w:eastAsia="Times New Roman" w:cs="Times New Roman"/>
                      <w:color w:val="000000" w:themeColor="text1"/>
                      <w:spacing w:val="1"/>
                      <w:sz w:val="21"/>
                      <w:szCs w:val="21"/>
                      <w14:textFill>
                        <w14:solidFill>
                          <w14:schemeClr w14:val="tx1"/>
                        </w14:solidFill>
                      </w14:textFill>
                    </w:rPr>
                    <w:t>200m</w:t>
                  </w:r>
                  <w:r>
                    <w:rPr>
                      <w:rFonts w:ascii="Times New Roman" w:hAnsi="Times New Roman" w:cs="Times New Roman"/>
                      <w:color w:val="000000" w:themeColor="text1"/>
                      <w:spacing w:val="1"/>
                      <w:sz w:val="21"/>
                      <w:szCs w:val="21"/>
                      <w14:textFill>
                        <w14:solidFill>
                          <w14:schemeClr w14:val="tx1"/>
                        </w14:solidFill>
                      </w14:textFill>
                    </w:rPr>
                    <w:t>范围内。</w:t>
                  </w:r>
                </w:p>
              </w:tc>
              <w:tc>
                <w:tcPr>
                  <w:tcW w:w="294"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Merge w:val="continue"/>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75"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2561" w:type="pct"/>
                  <w:vAlign w:val="center"/>
                </w:tcPr>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 号”等相关文件执行。</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2.新、改、扩建涉 VOCs 排放项目污染物排放量应满足《福州市“十四五”空气质量持续改善计划》（榕环保综〔2023〕40号），应从源头加强控制，使用低（无）VOCs 含量的原辅材料。</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4.氟化工、印染、电镀等行业企业实行水污染物特别排放限值。</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5.新、改、扩建重点行业</w:t>
                  </w:r>
                  <w:r>
                    <w:rPr>
                      <w:rFonts w:ascii="Times New Roman" w:hAnsi="Times New Roman" w:eastAsia="宋体" w:cs="Times New Roman"/>
                      <w:color w:val="000000" w:themeColor="text1"/>
                      <w:sz w:val="21"/>
                      <w:szCs w:val="21"/>
                      <w:vertAlign w:val="superscript"/>
                      <w14:textFill>
                        <w14:solidFill>
                          <w14:schemeClr w14:val="tx1"/>
                        </w14:solidFill>
                      </w14:textFill>
                    </w:rPr>
                    <w:t>［2］</w:t>
                  </w:r>
                  <w:r>
                    <w:rPr>
                      <w:rFonts w:ascii="Times New Roman" w:hAnsi="Times New Roman" w:eastAsia="宋体" w:cs="Times New Roman"/>
                      <w:color w:val="000000" w:themeColor="text1"/>
                      <w:sz w:val="21"/>
                      <w:szCs w:val="21"/>
                      <w14:textFill>
                        <w14:solidFill>
                          <w14:schemeClr w14:val="tx1"/>
                        </w14:solidFill>
                      </w14:textFill>
                    </w:rPr>
                    <w:t>建设项目要遵循重点重金属污染物排放“等量替代”原则，总量来源原则上应是同一重点行业内的削减量，当同一重点行业无法满足时可从其他重点行业调剂。</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6.每小时 35（含）—65 蒸吨燃煤锅炉和位于县级及以上城市建成区内保留的燃煤、燃油、燃生物质锅炉，原则上 2024 年底前必须全面实现超低排放。</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7.水泥行业新改扩建项目严格对照超低排放、能效标杆水平建设实施；现有项目超低排放改造应按文件（闽环规〔2023〕2 号）的时限要求分步推进，2025 年底前全面完成</w:t>
                  </w:r>
                  <w:r>
                    <w:rPr>
                      <w:rFonts w:ascii="Times New Roman" w:hAnsi="Times New Roman" w:eastAsia="宋体" w:cs="Times New Roman"/>
                      <w:color w:val="000000" w:themeColor="text1"/>
                      <w:sz w:val="21"/>
                      <w:szCs w:val="21"/>
                      <w:vertAlign w:val="superscript"/>
                      <w14:textFill>
                        <w14:solidFill>
                          <w14:schemeClr w14:val="tx1"/>
                        </w14:solidFill>
                      </w14:textFill>
                    </w:rPr>
                    <w:t>［3］［4］</w:t>
                  </w:r>
                  <w:r>
                    <w:rPr>
                      <w:rFonts w:ascii="Times New Roman" w:hAnsi="Times New Roman" w:eastAsia="宋体" w:cs="Times New Roman"/>
                      <w:color w:val="000000" w:themeColor="text1"/>
                      <w:sz w:val="21"/>
                      <w:szCs w:val="21"/>
                      <w14:textFill>
                        <w14:solidFill>
                          <w14:schemeClr w14:val="tx1"/>
                        </w14:solidFill>
                      </w14:textFill>
                    </w:rPr>
                    <w:t>。</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1066"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3"/>
                      <w:sz w:val="21"/>
                      <w:szCs w:val="21"/>
                      <w14:textFill>
                        <w14:solidFill>
                          <w14:schemeClr w14:val="tx1"/>
                        </w14:solidFill>
                      </w14:textFill>
                    </w:rPr>
                    <w:t>本项目生产清洗废水经自建污水处理站处理后回用，不外排，员工从现有工程中调配，不新增员工生活污水</w:t>
                  </w:r>
                  <w:r>
                    <w:rPr>
                      <w:rFonts w:ascii="Times New Roman" w:hAnsi="Times New Roman" w:cs="Times New Roman"/>
                      <w:color w:val="000000" w:themeColor="text1"/>
                      <w:spacing w:val="7"/>
                      <w:sz w:val="21"/>
                      <w:szCs w:val="21"/>
                      <w14:textFill>
                        <w14:solidFill>
                          <w14:schemeClr w14:val="tx1"/>
                        </w14:solidFill>
                      </w14:textFill>
                    </w:rPr>
                    <w:t>；本项目主</w:t>
                  </w:r>
                  <w:r>
                    <w:rPr>
                      <w:rFonts w:ascii="Times New Roman" w:hAnsi="Times New Roman" w:cs="Times New Roman"/>
                      <w:color w:val="000000" w:themeColor="text1"/>
                      <w:spacing w:val="26"/>
                      <w:sz w:val="21"/>
                      <w:szCs w:val="21"/>
                      <w14:textFill>
                        <w14:solidFill>
                          <w14:schemeClr w14:val="tx1"/>
                        </w14:solidFill>
                      </w14:textFill>
                    </w:rPr>
                    <w:t>要从事电缆附件</w:t>
                  </w:r>
                  <w:r>
                    <w:rPr>
                      <w:rFonts w:ascii="Times New Roman" w:hAnsi="Times New Roman" w:cs="Times New Roman"/>
                      <w:color w:val="000000" w:themeColor="text1"/>
                      <w:spacing w:val="19"/>
                      <w:sz w:val="21"/>
                      <w:szCs w:val="21"/>
                      <w14:textFill>
                        <w14:solidFill>
                          <w14:schemeClr w14:val="tx1"/>
                        </w14:solidFill>
                      </w14:textFill>
                    </w:rPr>
                    <w:t>生产</w:t>
                  </w:r>
                  <w:r>
                    <w:rPr>
                      <w:rFonts w:ascii="Times New Roman" w:hAnsi="Times New Roman" w:cs="Times New Roman"/>
                      <w:color w:val="000000" w:themeColor="text1"/>
                      <w:spacing w:val="-56"/>
                      <w:sz w:val="21"/>
                      <w:szCs w:val="21"/>
                      <w14:textFill>
                        <w14:solidFill>
                          <w14:schemeClr w14:val="tx1"/>
                        </w14:solidFill>
                      </w14:textFill>
                    </w:rPr>
                    <w:t xml:space="preserve"> </w:t>
                  </w:r>
                  <w:r>
                    <w:rPr>
                      <w:rFonts w:ascii="Times New Roman" w:hAnsi="Times New Roman" w:cs="Times New Roman"/>
                      <w:color w:val="000000" w:themeColor="text1"/>
                      <w:spacing w:val="19"/>
                      <w:sz w:val="21"/>
                      <w:szCs w:val="21"/>
                      <w14:textFill>
                        <w14:solidFill>
                          <w14:schemeClr w14:val="tx1"/>
                        </w14:solidFill>
                      </w14:textFill>
                    </w:rPr>
                    <w:t>，不属</w:t>
                  </w:r>
                  <w:r>
                    <w:rPr>
                      <w:rFonts w:ascii="Times New Roman" w:hAnsi="Times New Roman" w:cs="Times New Roman"/>
                      <w:color w:val="000000" w:themeColor="text1"/>
                      <w:spacing w:val="17"/>
                      <w:sz w:val="21"/>
                      <w:szCs w:val="21"/>
                      <w14:textFill>
                        <w14:solidFill>
                          <w14:schemeClr w14:val="tx1"/>
                        </w14:solidFill>
                      </w14:textFill>
                    </w:rPr>
                    <w:t>于印刷行业；</w:t>
                  </w:r>
                  <w:r>
                    <w:rPr>
                      <w:rFonts w:ascii="Times New Roman" w:hAnsi="Times New Roman" w:cs="Times New Roman"/>
                      <w:color w:val="000000" w:themeColor="text1"/>
                      <w:spacing w:val="14"/>
                      <w:sz w:val="21"/>
                      <w:szCs w:val="21"/>
                      <w14:textFill>
                        <w14:solidFill>
                          <w14:schemeClr w14:val="tx1"/>
                        </w14:solidFill>
                      </w14:textFill>
                    </w:rPr>
                    <w:t>本项目产生的</w:t>
                  </w:r>
                  <w:r>
                    <w:rPr>
                      <w:rFonts w:ascii="Times New Roman" w:hAnsi="Times New Roman" w:eastAsia="Times New Roman" w:cs="Times New Roman"/>
                      <w:color w:val="000000" w:themeColor="text1"/>
                      <w:sz w:val="21"/>
                      <w:szCs w:val="21"/>
                      <w14:textFill>
                        <w14:solidFill>
                          <w14:schemeClr w14:val="tx1"/>
                        </w14:solidFill>
                      </w14:textFill>
                    </w:rPr>
                    <w:t>VOCs</w:t>
                  </w:r>
                  <w:r>
                    <w:rPr>
                      <w:rFonts w:ascii="Times New Roman" w:hAnsi="Times New Roman" w:cs="Times New Roman"/>
                      <w:color w:val="000000" w:themeColor="text1"/>
                      <w:spacing w:val="6"/>
                      <w:sz w:val="21"/>
                      <w:szCs w:val="21"/>
                      <w14:textFill>
                        <w14:solidFill>
                          <w14:schemeClr w14:val="tx1"/>
                        </w14:solidFill>
                      </w14:textFill>
                    </w:rPr>
                    <w:t>排放实</w:t>
                  </w:r>
                  <w:r>
                    <w:rPr>
                      <w:rFonts w:ascii="Times New Roman" w:hAnsi="Times New Roman" w:cs="Times New Roman"/>
                      <w:color w:val="000000" w:themeColor="text1"/>
                      <w:spacing w:val="26"/>
                      <w:sz w:val="21"/>
                      <w:szCs w:val="21"/>
                      <w14:textFill>
                        <w14:solidFill>
                          <w14:schemeClr w14:val="tx1"/>
                        </w14:solidFill>
                      </w14:textFill>
                    </w:rPr>
                    <w:t>行区域内倍量</w:t>
                  </w:r>
                  <w:r>
                    <w:rPr>
                      <w:rFonts w:ascii="Times New Roman" w:hAnsi="Times New Roman" w:cs="Times New Roman"/>
                      <w:color w:val="000000" w:themeColor="text1"/>
                      <w:spacing w:val="5"/>
                      <w:sz w:val="21"/>
                      <w:szCs w:val="21"/>
                      <w14:textFill>
                        <w14:solidFill>
                          <w14:schemeClr w14:val="tx1"/>
                        </w14:solidFill>
                      </w14:textFill>
                    </w:rPr>
                    <w:t>替代</w:t>
                  </w:r>
                  <w:r>
                    <w:rPr>
                      <w:rFonts w:ascii="Times New Roman" w:hAnsi="Times New Roman" w:eastAsia="宋体" w:cs="Times New Roman"/>
                      <w:color w:val="000000" w:themeColor="text1"/>
                      <w:sz w:val="21"/>
                      <w:szCs w:val="21"/>
                      <w14:textFill>
                        <w14:solidFill>
                          <w14:schemeClr w14:val="tx1"/>
                        </w14:solidFill>
                      </w14:textFill>
                    </w:rPr>
                    <w:t>。</w:t>
                  </w:r>
                </w:p>
              </w:tc>
              <w:tc>
                <w:tcPr>
                  <w:tcW w:w="294"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75"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2561" w:type="pct"/>
                  <w:vAlign w:val="center"/>
                </w:tcPr>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1.到 2024 年底，全市范围内每小时 10 蒸吨及以下燃煤锅炉全面淘汰；到 2025 年底，全市范围内每小时 35 蒸吨以下燃煤锅炉通过集中供热、清洁能源替代、深度治理等方式全面实现转型、升级、退出，县级及以上城市建成区在用锅炉（燃煤、燃油、燃生物质）全面改用电能等清洁能源或治理达到超低排放水平；禁止新建每小时 35 蒸吨以下燃煤锅炉，以及每小时 10 蒸吨及以下燃生物质和其他使用高污染燃料的锅炉。集中供热管网覆盖范围内禁止新建、扩建分散燃煤、燃油等供热锅炉。</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2.按照“提气、转电、控煤”的发展思路，推动陶瓷行业进一步优化用能结构，实现能源消费清洁低碳化。</w:t>
                  </w:r>
                </w:p>
              </w:tc>
              <w:tc>
                <w:tcPr>
                  <w:tcW w:w="1066"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本项目不涉及该项。</w:t>
                  </w:r>
                </w:p>
              </w:tc>
              <w:tc>
                <w:tcPr>
                  <w:tcW w:w="294" w:type="pct"/>
                  <w:vAlign w:val="center"/>
                </w:tcPr>
                <w:p>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福清融侨经济技术开发区-重点管控单元-ZH35018120</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w:t>
                  </w:r>
                </w:p>
              </w:tc>
              <w:tc>
                <w:tcPr>
                  <w:tcW w:w="475"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2561" w:type="pct"/>
                  <w:vAlign w:val="center"/>
                </w:tcPr>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禁止引进纺织业（含印染精加工）、造纸和纸制品业（纸制品制造除外）、化学原料和化学制品制造业（工业气体生产除外）和有色金属冶炼及压延加工业（压延加工除外）；禁止引入含电镀工艺（紧密配套型电镀工艺除外）、冶炼工艺、电解铝的项目；主导产业电气机械和器材制造业禁止类铅酸蓄电池制造。</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2.加强京东方一期、二期工程周边用地规划控制。</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3.积极推进区内高耗水的印染、造纸等重污染企业的搬迁工作。</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4.居住用地周边禁止布局潜在废气扰民的建设项目。</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5.新局调节库周边200米范围内禁止工业企业生产过程中使用危化品，禁止新建排放烟粉尘、VOCs废气的工业项目。</w:t>
                  </w:r>
                </w:p>
              </w:tc>
              <w:tc>
                <w:tcPr>
                  <w:tcW w:w="1066"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本项目主要从</w:t>
                  </w:r>
                  <w:r>
                    <w:rPr>
                      <w:rFonts w:ascii="Times New Roman" w:hAnsi="Times New Roman" w:cs="Times New Roman"/>
                      <w:color w:val="000000" w:themeColor="text1"/>
                      <w:spacing w:val="17"/>
                      <w:sz w:val="21"/>
                      <w:szCs w:val="21"/>
                      <w14:textFill>
                        <w14:solidFill>
                          <w14:schemeClr w14:val="tx1"/>
                        </w14:solidFill>
                      </w14:textFill>
                    </w:rPr>
                    <w:t>事电缆附件生产，不属于左列禁止建设项目；项目位于</w:t>
                  </w:r>
                  <w:r>
                    <w:rPr>
                      <w:rFonts w:ascii="Times New Roman" w:hAnsi="Times New Roman" w:cs="Times New Roman"/>
                      <w:color w:val="000000" w:themeColor="text1"/>
                      <w:spacing w:val="3"/>
                      <w:sz w:val="21"/>
                      <w:szCs w:val="21"/>
                      <w14:textFill>
                        <w14:solidFill>
                          <w14:schemeClr w14:val="tx1"/>
                        </w14:solidFill>
                      </w14:textFill>
                    </w:rPr>
                    <w:t xml:space="preserve"> </w:t>
                  </w:r>
                  <w:r>
                    <w:rPr>
                      <w:rFonts w:ascii="Times New Roman" w:hAnsi="Times New Roman" w:cs="Times New Roman"/>
                      <w:color w:val="000000" w:themeColor="text1"/>
                      <w:spacing w:val="17"/>
                      <w:sz w:val="21"/>
                      <w:szCs w:val="21"/>
                      <w14:textFill>
                        <w14:solidFill>
                          <w14:schemeClr w14:val="tx1"/>
                        </w14:solidFill>
                      </w14:textFill>
                    </w:rPr>
                    <w:t>福建省福州市福清市融侨经济技术开发区宏路街道周店村</w:t>
                  </w:r>
                  <w:r>
                    <w:rPr>
                      <w:rFonts w:hint="eastAsia" w:ascii="Times New Roman" w:hAnsi="Times New Roman" w:cs="Times New Roman"/>
                      <w:color w:val="000000" w:themeColor="text1"/>
                      <w:spacing w:val="17"/>
                      <w:sz w:val="21"/>
                      <w:szCs w:val="21"/>
                      <w14:textFill>
                        <w14:solidFill>
                          <w14:schemeClr w14:val="tx1"/>
                        </w14:solidFill>
                      </w14:textFill>
                    </w:rPr>
                    <w:t>，</w:t>
                  </w:r>
                  <w:r>
                    <w:rPr>
                      <w:rFonts w:ascii="Times New Roman" w:hAnsi="Times New Roman" w:cs="Times New Roman"/>
                      <w:color w:val="000000" w:themeColor="text1"/>
                      <w:spacing w:val="17"/>
                      <w:sz w:val="21"/>
                      <w:szCs w:val="21"/>
                      <w14:textFill>
                        <w14:solidFill>
                          <w14:schemeClr w14:val="tx1"/>
                        </w14:solidFill>
                      </w14:textFill>
                    </w:rPr>
                    <w:t>不位于新局调节库周边</w:t>
                  </w:r>
                  <w:r>
                    <w:rPr>
                      <w:rFonts w:ascii="Times New Roman" w:hAnsi="Times New Roman" w:eastAsia="Times New Roman" w:cs="Times New Roman"/>
                      <w:color w:val="000000" w:themeColor="text1"/>
                      <w:spacing w:val="1"/>
                      <w:sz w:val="21"/>
                      <w:szCs w:val="21"/>
                      <w14:textFill>
                        <w14:solidFill>
                          <w14:schemeClr w14:val="tx1"/>
                        </w14:solidFill>
                      </w14:textFill>
                    </w:rPr>
                    <w:t>200m</w:t>
                  </w:r>
                  <w:r>
                    <w:rPr>
                      <w:rFonts w:ascii="Times New Roman" w:hAnsi="Times New Roman" w:cs="Times New Roman"/>
                      <w:color w:val="000000" w:themeColor="text1"/>
                      <w:spacing w:val="1"/>
                      <w:sz w:val="21"/>
                      <w:szCs w:val="21"/>
                      <w14:textFill>
                        <w14:solidFill>
                          <w14:schemeClr w14:val="tx1"/>
                        </w14:solidFill>
                      </w14:textFill>
                    </w:rPr>
                    <w:t>范围内</w:t>
                  </w:r>
                  <w:r>
                    <w:rPr>
                      <w:rFonts w:hint="eastAsia" w:ascii="Times New Roman" w:hAnsi="Times New Roman" w:cs="Times New Roman"/>
                      <w:color w:val="000000" w:themeColor="text1"/>
                      <w:spacing w:val="1"/>
                      <w:sz w:val="21"/>
                      <w:szCs w:val="21"/>
                      <w14:textFill>
                        <w14:solidFill>
                          <w14:schemeClr w14:val="tx1"/>
                        </w14:solidFill>
                      </w14:textFill>
                    </w:rPr>
                    <w:t>；本次扩建车间与最近居民区距离为190m，处于居民区侧风向，产生的废气经处理后达标排放，不属于</w:t>
                  </w:r>
                  <w:r>
                    <w:rPr>
                      <w:rFonts w:ascii="Times New Roman" w:hAnsi="Times New Roman" w:cs="Times New Roman"/>
                      <w:color w:val="000000" w:themeColor="text1"/>
                      <w:spacing w:val="1"/>
                      <w:sz w:val="21"/>
                      <w:szCs w:val="21"/>
                      <w14:textFill>
                        <w14:solidFill>
                          <w14:schemeClr w14:val="tx1"/>
                        </w14:solidFill>
                      </w14:textFill>
                    </w:rPr>
                    <w:t>居住用地周边废气扰民的建设项目</w:t>
                  </w:r>
                </w:p>
              </w:tc>
              <w:tc>
                <w:tcPr>
                  <w:tcW w:w="29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75"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2561" w:type="pct"/>
                  <w:vAlign w:val="center"/>
                </w:tcPr>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1.完善建设污水收集管网，确保园区内所有工业废水、生活污水纳入污水处理厂处理并达标排放。</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2.包装印刷业有机废气排放及控制应符合国家和地方相关标准和规范要求。</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3.落实新增二氧化硫、氮氧化物和 VOCs 排放总量控制要求。</w:t>
                  </w:r>
                </w:p>
              </w:tc>
              <w:tc>
                <w:tcPr>
                  <w:tcW w:w="1066"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3"/>
                      <w:sz w:val="21"/>
                      <w:szCs w:val="21"/>
                      <w14:textFill>
                        <w14:solidFill>
                          <w14:schemeClr w14:val="tx1"/>
                        </w14:solidFill>
                      </w14:textFill>
                    </w:rPr>
                    <w:t>本项目生产清洗废水经自建污水处理站处理后回用，不外排，员工从现有工程中调配，不新增员工生活污水</w:t>
                  </w:r>
                  <w:r>
                    <w:rPr>
                      <w:rFonts w:ascii="Times New Roman" w:hAnsi="Times New Roman" w:cs="Times New Roman"/>
                      <w:color w:val="000000" w:themeColor="text1"/>
                      <w:spacing w:val="7"/>
                      <w:sz w:val="21"/>
                      <w:szCs w:val="21"/>
                      <w14:textFill>
                        <w14:solidFill>
                          <w14:schemeClr w14:val="tx1"/>
                        </w14:solidFill>
                      </w14:textFill>
                    </w:rPr>
                    <w:t>；本项目主</w:t>
                  </w:r>
                  <w:r>
                    <w:rPr>
                      <w:rFonts w:ascii="Times New Roman" w:hAnsi="Times New Roman" w:cs="Times New Roman"/>
                      <w:color w:val="000000" w:themeColor="text1"/>
                      <w:spacing w:val="26"/>
                      <w:sz w:val="21"/>
                      <w:szCs w:val="21"/>
                      <w14:textFill>
                        <w14:solidFill>
                          <w14:schemeClr w14:val="tx1"/>
                        </w14:solidFill>
                      </w14:textFill>
                    </w:rPr>
                    <w:t>要从事电缆附件</w:t>
                  </w:r>
                  <w:r>
                    <w:rPr>
                      <w:rFonts w:ascii="Times New Roman" w:hAnsi="Times New Roman" w:cs="Times New Roman"/>
                      <w:color w:val="000000" w:themeColor="text1"/>
                      <w:spacing w:val="19"/>
                      <w:sz w:val="21"/>
                      <w:szCs w:val="21"/>
                      <w14:textFill>
                        <w14:solidFill>
                          <w14:schemeClr w14:val="tx1"/>
                        </w14:solidFill>
                      </w14:textFill>
                    </w:rPr>
                    <w:t>生产</w:t>
                  </w:r>
                  <w:r>
                    <w:rPr>
                      <w:rFonts w:ascii="Times New Roman" w:hAnsi="Times New Roman" w:cs="Times New Roman"/>
                      <w:color w:val="000000" w:themeColor="text1"/>
                      <w:spacing w:val="-56"/>
                      <w:sz w:val="21"/>
                      <w:szCs w:val="21"/>
                      <w14:textFill>
                        <w14:solidFill>
                          <w14:schemeClr w14:val="tx1"/>
                        </w14:solidFill>
                      </w14:textFill>
                    </w:rPr>
                    <w:t xml:space="preserve"> </w:t>
                  </w:r>
                  <w:r>
                    <w:rPr>
                      <w:rFonts w:ascii="Times New Roman" w:hAnsi="Times New Roman" w:cs="Times New Roman"/>
                      <w:color w:val="000000" w:themeColor="text1"/>
                      <w:spacing w:val="19"/>
                      <w:sz w:val="21"/>
                      <w:szCs w:val="21"/>
                      <w14:textFill>
                        <w14:solidFill>
                          <w14:schemeClr w14:val="tx1"/>
                        </w14:solidFill>
                      </w14:textFill>
                    </w:rPr>
                    <w:t>，不属</w:t>
                  </w:r>
                  <w:r>
                    <w:rPr>
                      <w:rFonts w:ascii="Times New Roman" w:hAnsi="Times New Roman" w:cs="Times New Roman"/>
                      <w:color w:val="000000" w:themeColor="text1"/>
                      <w:spacing w:val="17"/>
                      <w:sz w:val="21"/>
                      <w:szCs w:val="21"/>
                      <w14:textFill>
                        <w14:solidFill>
                          <w14:schemeClr w14:val="tx1"/>
                        </w14:solidFill>
                      </w14:textFill>
                    </w:rPr>
                    <w:t>于印刷行业；</w:t>
                  </w:r>
                  <w:r>
                    <w:rPr>
                      <w:rFonts w:ascii="Times New Roman" w:hAnsi="Times New Roman" w:cs="Times New Roman"/>
                      <w:color w:val="000000" w:themeColor="text1"/>
                      <w:spacing w:val="14"/>
                      <w:sz w:val="21"/>
                      <w:szCs w:val="21"/>
                      <w14:textFill>
                        <w14:solidFill>
                          <w14:schemeClr w14:val="tx1"/>
                        </w14:solidFill>
                      </w14:textFill>
                    </w:rPr>
                    <w:t>本项目产生的</w:t>
                  </w:r>
                  <w:r>
                    <w:rPr>
                      <w:rFonts w:ascii="Times New Roman" w:hAnsi="Times New Roman" w:eastAsia="Times New Roman" w:cs="Times New Roman"/>
                      <w:color w:val="000000" w:themeColor="text1"/>
                      <w:sz w:val="21"/>
                      <w:szCs w:val="21"/>
                      <w14:textFill>
                        <w14:solidFill>
                          <w14:schemeClr w14:val="tx1"/>
                        </w14:solidFill>
                      </w14:textFill>
                    </w:rPr>
                    <w:t>VOCs</w:t>
                  </w:r>
                  <w:r>
                    <w:rPr>
                      <w:rFonts w:ascii="Times New Roman" w:hAnsi="Times New Roman" w:cs="Times New Roman"/>
                      <w:color w:val="000000" w:themeColor="text1"/>
                      <w:spacing w:val="6"/>
                      <w:sz w:val="21"/>
                      <w:szCs w:val="21"/>
                      <w14:textFill>
                        <w14:solidFill>
                          <w14:schemeClr w14:val="tx1"/>
                        </w14:solidFill>
                      </w14:textFill>
                    </w:rPr>
                    <w:t>排放实</w:t>
                  </w:r>
                  <w:r>
                    <w:rPr>
                      <w:rFonts w:ascii="Times New Roman" w:hAnsi="Times New Roman" w:cs="Times New Roman"/>
                      <w:color w:val="000000" w:themeColor="text1"/>
                      <w:spacing w:val="26"/>
                      <w:sz w:val="21"/>
                      <w:szCs w:val="21"/>
                      <w14:textFill>
                        <w14:solidFill>
                          <w14:schemeClr w14:val="tx1"/>
                        </w14:solidFill>
                      </w14:textFill>
                    </w:rPr>
                    <w:t>行区域内倍量</w:t>
                  </w:r>
                  <w:r>
                    <w:rPr>
                      <w:rFonts w:ascii="Times New Roman" w:hAnsi="Times New Roman" w:cs="Times New Roman"/>
                      <w:color w:val="000000" w:themeColor="text1"/>
                      <w:spacing w:val="5"/>
                      <w:sz w:val="21"/>
                      <w:szCs w:val="21"/>
                      <w14:textFill>
                        <w14:solidFill>
                          <w14:schemeClr w14:val="tx1"/>
                        </w14:solidFill>
                      </w14:textFill>
                    </w:rPr>
                    <w:t>替代</w:t>
                  </w:r>
                  <w:r>
                    <w:rPr>
                      <w:rFonts w:ascii="Times New Roman" w:hAnsi="Times New Roman" w:eastAsia="宋体" w:cs="Times New Roman"/>
                      <w:color w:val="000000" w:themeColor="text1"/>
                      <w:sz w:val="21"/>
                      <w:szCs w:val="21"/>
                      <w14:textFill>
                        <w14:solidFill>
                          <w14:schemeClr w14:val="tx1"/>
                        </w14:solidFill>
                      </w14:textFill>
                    </w:rPr>
                    <w:t>。</w:t>
                  </w:r>
                </w:p>
              </w:tc>
              <w:tc>
                <w:tcPr>
                  <w:tcW w:w="29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75"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环境风险防控</w:t>
                  </w:r>
                </w:p>
              </w:tc>
              <w:tc>
                <w:tcPr>
                  <w:tcW w:w="2561" w:type="pct"/>
                  <w:vAlign w:val="center"/>
                </w:tcPr>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1.建立健全环境风险防控体系，制定环境风险应急预案，建设事故应急池，成立应急组织机构，防止在处理安全生产事故过程中产生的可能严重污染水体的消防废水、废液直接排入水体。</w:t>
                  </w: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2.应采取有效措施防止园区建设对区域地下水、土壤造成污染。</w:t>
                  </w:r>
                </w:p>
              </w:tc>
              <w:tc>
                <w:tcPr>
                  <w:tcW w:w="1066"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项目生产车间已做好防渗，不会对地下水及土壤造成污染，拟建设运营期会做好环境风险防控措施。</w:t>
                  </w:r>
                </w:p>
              </w:tc>
              <w:tc>
                <w:tcPr>
                  <w:tcW w:w="29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pct"/>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75"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2561" w:type="pct"/>
                  <w:vAlign w:val="center"/>
                </w:tcPr>
                <w:p>
                  <w:pPr>
                    <w:widowControl w:val="0"/>
                    <w:topLinePunct/>
                    <w:adjustRightInd w:val="0"/>
                    <w:snapToGrid w:val="0"/>
                    <w:spacing w:after="0" w:line="240" w:lineRule="auto"/>
                    <w:ind w:firstLine="210" w:firstLineChars="1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高污染燃料禁燃区内禁止燃用高污染燃料，禁止新建、扩建燃用高污染燃料的设施。已建的燃用高污染燃料设施，限期改用电、天然气、液化石油气等清洁能源。</w:t>
                  </w:r>
                </w:p>
              </w:tc>
              <w:tc>
                <w:tcPr>
                  <w:tcW w:w="1066"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项目用电作为能源，未使用高污染燃料，本项目符合资源环境效率管控要求。</w:t>
                  </w:r>
                </w:p>
              </w:tc>
              <w:tc>
                <w:tcPr>
                  <w:tcW w:w="294"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bl>
          <w:p>
            <w:pPr>
              <w:widowControl w:val="0"/>
              <w:topLinePunct/>
              <w:adjustRightInd w:val="0"/>
              <w:snapToGrid w:val="0"/>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根据上述分析，本项目与福州市人民政府办公厅关于印发《福州市生态环境分区管控方案（2023年更新）》的通知（榕政办规〔2024〕20号）中的相关规定是符合的。</w:t>
            </w:r>
          </w:p>
          <w:p>
            <w:pPr>
              <w:pStyle w:val="14"/>
              <w:widowControl w:val="0"/>
              <w:topLinePunct/>
              <w:spacing w:after="0"/>
              <w:ind w:firstLine="420"/>
              <w:rPr>
                <w:rFonts w:ascii="Times New Roman" w:hAnsi="Times New Roman" w:eastAsia="宋体" w:cs="Times New Roman"/>
                <w:color w:val="000000" w:themeColor="text1"/>
                <w:sz w:val="21"/>
                <w:szCs w:val="21"/>
                <w14:textFill>
                  <w14:solidFill>
                    <w14:schemeClr w14:val="tx1"/>
                  </w14:solidFill>
                </w14:textFill>
              </w:rPr>
            </w:pPr>
          </w:p>
          <w:p>
            <w:pPr>
              <w:pStyle w:val="14"/>
              <w:widowControl w:val="0"/>
              <w:topLinePunct/>
              <w:spacing w:after="0"/>
              <w:ind w:firstLine="420"/>
              <w:rPr>
                <w:rFonts w:ascii="Times New Roman" w:hAnsi="Times New Roman" w:eastAsia="宋体" w:cs="Times New Roman"/>
                <w:color w:val="000000" w:themeColor="text1"/>
                <w:sz w:val="21"/>
                <w:szCs w:val="21"/>
                <w14:textFill>
                  <w14:solidFill>
                    <w14:schemeClr w14:val="tx1"/>
                  </w14:solidFill>
                </w14:textFill>
              </w:rPr>
            </w:pPr>
          </w:p>
        </w:tc>
      </w:tr>
    </w:tbl>
    <w:p>
      <w:pPr>
        <w:widowControl w:val="0"/>
        <w:topLinePunct/>
        <w:spacing w:line="360" w:lineRule="auto"/>
        <w:rPr>
          <w:rFonts w:ascii="Times New Roman" w:hAnsi="Times New Roman" w:eastAsia="宋体" w:cs="Times New Roman"/>
          <w:color w:val="000000" w:themeColor="text1"/>
          <w:sz w:val="30"/>
          <w14:textFill>
            <w14:solidFill>
              <w14:schemeClr w14:val="tx1"/>
            </w14:solidFill>
          </w14:textFill>
        </w:rPr>
        <w:sectPr>
          <w:pgSz w:w="11906" w:h="16838"/>
          <w:pgMar w:top="1417" w:right="1417" w:bottom="1417" w:left="1417" w:header="992" w:footer="992" w:gutter="0"/>
          <w:pgNumType w:start="1"/>
          <w:cols w:space="720" w:num="1"/>
          <w:docGrid w:linePitch="312" w:charSpace="0"/>
        </w:sectPr>
      </w:pPr>
    </w:p>
    <w:p>
      <w:pPr>
        <w:pStyle w:val="29"/>
        <w:widowControl w:val="0"/>
        <w:topLinePunct/>
        <w:spacing w:line="24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2" w:name="_Toc32681"/>
      <w:bookmarkStart w:id="3" w:name="_Toc29661"/>
      <w:r>
        <w:rPr>
          <w:rFonts w:ascii="Times New Roman" w:hAnsi="Times New Roman" w:eastAsia="宋体" w:cs="Times New Roman"/>
          <w:b/>
          <w:bCs/>
          <w:snapToGrid w:val="0"/>
          <w:color w:val="000000" w:themeColor="text1"/>
          <w:sz w:val="32"/>
          <w:szCs w:val="32"/>
          <w14:textFill>
            <w14:solidFill>
              <w14:schemeClr w14:val="tx1"/>
            </w14:solidFill>
          </w14:textFill>
        </w:rPr>
        <w:t>二、建设项目工程分析</w:t>
      </w:r>
      <w:bookmarkEnd w:id="2"/>
      <w:bookmarkEnd w:id="3"/>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80" w:hRule="atLeast"/>
          <w:jc w:val="center"/>
        </w:trPr>
        <w:tc>
          <w:tcPr>
            <w:tcW w:w="456" w:type="dxa"/>
            <w:vAlign w:val="center"/>
          </w:tcPr>
          <w:p>
            <w:pPr>
              <w:pStyle w:val="29"/>
              <w:widowControl w:val="0"/>
              <w:topLinePunct/>
              <w:adjustRightInd w:val="0"/>
              <w:snapToGrid w:val="0"/>
              <w:spacing w:before="0" w:beforeAutospacing="0" w:after="0" w:afterAutospacing="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建设内容</w:t>
            </w:r>
          </w:p>
        </w:tc>
        <w:tc>
          <w:tcPr>
            <w:tcW w:w="8833" w:type="dxa"/>
          </w:tcPr>
          <w:p>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2.1 建设内容</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2.1.1 项目由来</w:t>
            </w:r>
          </w:p>
          <w:p>
            <w:pPr>
              <w:pStyle w:val="14"/>
              <w:widowControl w:val="0"/>
              <w:topLinePunct/>
              <w:spacing w:after="0"/>
              <w:ind w:firstLine="472"/>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pacing w:val="-2"/>
                <w:szCs w:val="24"/>
                <w14:textFill>
                  <w14:solidFill>
                    <w14:schemeClr w14:val="tx1"/>
                  </w14:solidFill>
                </w14:textFill>
              </w:rPr>
              <w:t>中能电气（福清）有限公司于2017年1月</w:t>
            </w:r>
            <w:r>
              <w:rPr>
                <w:rFonts w:hint="eastAsia" w:ascii="Times New Roman" w:hAnsi="Times New Roman" w:eastAsia="宋体" w:cs="Times New Roman"/>
                <w:color w:val="000000" w:themeColor="text1"/>
                <w:spacing w:val="-2"/>
                <w:szCs w:val="24"/>
                <w14:textFill>
                  <w14:solidFill>
                    <w14:schemeClr w14:val="tx1"/>
                  </w14:solidFill>
                </w14:textFill>
              </w:rPr>
              <w:t>名称</w:t>
            </w:r>
            <w:r>
              <w:rPr>
                <w:rFonts w:ascii="Times New Roman" w:hAnsi="Times New Roman" w:eastAsia="宋体" w:cs="Times New Roman"/>
                <w:color w:val="000000" w:themeColor="text1"/>
                <w:spacing w:val="-2"/>
                <w:szCs w:val="24"/>
                <w14:textFill>
                  <w14:solidFill>
                    <w14:schemeClr w14:val="tx1"/>
                  </w14:solidFill>
                </w14:textFill>
              </w:rPr>
              <w:t>变更为福建中能电气有限公司（变更证明详见附件4），福建中能电气有限公司拟建的“</w:t>
            </w:r>
            <w:r>
              <w:rPr>
                <w:rFonts w:ascii="Times New Roman" w:hAnsi="Times New Roman" w:eastAsia="宋体" w:cs="Times New Roman"/>
                <w:color w:val="000000" w:themeColor="text1"/>
                <w:spacing w:val="-81"/>
                <w:szCs w:val="24"/>
                <w14:textFill>
                  <w14:solidFill>
                    <w14:schemeClr w14:val="tx1"/>
                  </w14:solidFill>
                </w14:textFill>
              </w:rPr>
              <w:t xml:space="preserve"> </w:t>
            </w:r>
            <w:r>
              <w:rPr>
                <w:rFonts w:ascii="Times New Roman" w:hAnsi="Times New Roman" w:eastAsia="宋体" w:cs="Times New Roman"/>
                <w:color w:val="000000" w:themeColor="text1"/>
                <w:spacing w:val="-2"/>
                <w:szCs w:val="24"/>
                <w14:textFill>
                  <w14:solidFill>
                    <w14:schemeClr w14:val="tx1"/>
                  </w14:solidFill>
                </w14:textFill>
              </w:rPr>
              <w:t>中压预制式电缆附件车间扩建项目</w:t>
            </w:r>
            <w:r>
              <w:rPr>
                <w:rFonts w:ascii="Times New Roman" w:hAnsi="Times New Roman" w:eastAsia="宋体" w:cs="Times New Roman"/>
                <w:color w:val="000000" w:themeColor="text1"/>
                <w:spacing w:val="-85"/>
                <w:szCs w:val="24"/>
                <w14:textFill>
                  <w14:solidFill>
                    <w14:schemeClr w14:val="tx1"/>
                  </w14:solidFill>
                </w14:textFill>
              </w:rPr>
              <w:t xml:space="preserve"> </w:t>
            </w:r>
            <w:r>
              <w:rPr>
                <w:rFonts w:ascii="Times New Roman" w:hAnsi="Times New Roman" w:eastAsia="宋体" w:cs="Times New Roman"/>
                <w:color w:val="000000" w:themeColor="text1"/>
                <w:spacing w:val="-2"/>
                <w:szCs w:val="24"/>
                <w14:textFill>
                  <w14:solidFill>
                    <w14:schemeClr w14:val="tx1"/>
                  </w14:solidFill>
                </w14:textFill>
              </w:rPr>
              <w:t>”位于福建省福州市福清市融侨经济技术开发区宏路街道周店村。项目依托现</w:t>
            </w:r>
            <w:r>
              <w:rPr>
                <w:rFonts w:ascii="Times New Roman" w:hAnsi="Times New Roman" w:eastAsia="宋体" w:cs="Times New Roman"/>
                <w:color w:val="000000" w:themeColor="text1"/>
                <w:spacing w:val="-3"/>
                <w:szCs w:val="24"/>
                <w14:textFill>
                  <w14:solidFill>
                    <w14:schemeClr w14:val="tx1"/>
                  </w14:solidFill>
                </w14:textFill>
              </w:rPr>
              <w:t>有已建1#车</w:t>
            </w:r>
            <w:r>
              <w:rPr>
                <w:rFonts w:ascii="Times New Roman" w:hAnsi="Times New Roman" w:eastAsia="宋体" w:cs="Times New Roman"/>
                <w:color w:val="000000" w:themeColor="text1"/>
                <w:spacing w:val="-2"/>
                <w:szCs w:val="24"/>
                <w14:textFill>
                  <w14:solidFill>
                    <w14:schemeClr w14:val="tx1"/>
                  </w14:solidFill>
                </w14:textFill>
              </w:rPr>
              <w:t>间</w:t>
            </w:r>
            <w:r>
              <w:rPr>
                <w:rFonts w:ascii="Times New Roman" w:hAnsi="Times New Roman" w:eastAsia="宋体" w:cs="Times New Roman"/>
                <w:color w:val="000000" w:themeColor="text1"/>
                <w:spacing w:val="-42"/>
                <w:szCs w:val="24"/>
                <w14:textFill>
                  <w14:solidFill>
                    <w14:schemeClr w14:val="tx1"/>
                  </w14:solidFill>
                </w14:textFill>
              </w:rPr>
              <w:t>，</w:t>
            </w:r>
            <w:r>
              <w:rPr>
                <w:rFonts w:ascii="Times New Roman" w:hAnsi="Times New Roman" w:eastAsia="宋体" w:cs="Times New Roman"/>
                <w:color w:val="000000" w:themeColor="text1"/>
                <w:spacing w:val="-2"/>
                <w:szCs w:val="24"/>
                <w14:textFill>
                  <w14:solidFill>
                    <w14:schemeClr w14:val="tx1"/>
                  </w14:solidFill>
                </w14:textFill>
              </w:rPr>
              <w:t>使用建筑面积11870m</w:t>
            </w:r>
            <w:r>
              <w:rPr>
                <w:rFonts w:hint="eastAsia" w:ascii="Times New Roman" w:hAnsi="Times New Roman" w:eastAsia="宋体" w:cs="Times New Roman"/>
                <w:color w:val="000000" w:themeColor="text1"/>
                <w:spacing w:val="-2"/>
                <w:szCs w:val="24"/>
                <w:vertAlign w:val="superscript"/>
                <w14:textFill>
                  <w14:solidFill>
                    <w14:schemeClr w14:val="tx1"/>
                  </w14:solidFill>
                </w14:textFill>
              </w:rPr>
              <w:t>2</w:t>
            </w:r>
            <w:r>
              <w:rPr>
                <w:rFonts w:ascii="Times New Roman" w:hAnsi="Times New Roman" w:eastAsia="宋体" w:cs="Times New Roman"/>
                <w:color w:val="000000" w:themeColor="text1"/>
                <w:spacing w:val="-10"/>
                <w:position w:val="8"/>
                <w:szCs w:val="24"/>
                <w14:textFill>
                  <w14:solidFill>
                    <w14:schemeClr w14:val="tx1"/>
                  </w14:solidFill>
                </w14:textFill>
              </w:rPr>
              <w:t xml:space="preserve"> </w:t>
            </w:r>
            <w:r>
              <w:rPr>
                <w:rFonts w:ascii="Times New Roman" w:hAnsi="Times New Roman" w:eastAsia="宋体" w:cs="Times New Roman"/>
                <w:color w:val="000000" w:themeColor="text1"/>
                <w:spacing w:val="-2"/>
                <w:szCs w:val="24"/>
                <w14:textFill>
                  <w14:solidFill>
                    <w14:schemeClr w14:val="tx1"/>
                  </w14:solidFill>
                </w14:textFill>
              </w:rPr>
              <w:t>，总投资</w:t>
            </w:r>
            <w:r>
              <w:rPr>
                <w:rFonts w:ascii="Times New Roman" w:hAnsi="Times New Roman" w:eastAsia="宋体" w:cs="Times New Roman"/>
                <w:color w:val="000000" w:themeColor="text1"/>
                <w:szCs w:val="24"/>
                <w14:textFill>
                  <w14:solidFill>
                    <w14:schemeClr w14:val="tx1"/>
                  </w14:solidFill>
                </w14:textFill>
              </w:rPr>
              <w:t>1500万</w:t>
            </w:r>
            <w:r>
              <w:rPr>
                <w:rFonts w:ascii="Times New Roman" w:hAnsi="Times New Roman" w:eastAsia="宋体" w:cs="Times New Roman"/>
                <w:color w:val="000000" w:themeColor="text1"/>
                <w:spacing w:val="-2"/>
                <w:szCs w:val="24"/>
                <w14:textFill>
                  <w14:solidFill>
                    <w14:schemeClr w14:val="tx1"/>
                  </w14:solidFill>
                </w14:textFill>
              </w:rPr>
              <w:t>元。扩建项目新增橡胶制品和环氧</w:t>
            </w:r>
            <w:r>
              <w:rPr>
                <w:rFonts w:hint="eastAsia" w:ascii="Times New Roman" w:hAnsi="Times New Roman" w:eastAsia="宋体" w:cs="Times New Roman"/>
                <w:color w:val="000000" w:themeColor="text1"/>
                <w:spacing w:val="-2"/>
                <w:szCs w:val="24"/>
                <w14:textFill>
                  <w14:solidFill>
                    <w14:schemeClr w14:val="tx1"/>
                  </w14:solidFill>
                </w14:textFill>
              </w:rPr>
              <w:t>树脂</w:t>
            </w:r>
            <w:r>
              <w:rPr>
                <w:rFonts w:ascii="Times New Roman" w:hAnsi="Times New Roman" w:eastAsia="宋体" w:cs="Times New Roman"/>
                <w:color w:val="000000" w:themeColor="text1"/>
                <w:spacing w:val="-2"/>
                <w:szCs w:val="24"/>
                <w14:textFill>
                  <w14:solidFill>
                    <w14:schemeClr w14:val="tx1"/>
                  </w14:solidFill>
                </w14:textFill>
              </w:rPr>
              <w:t>制品生产线，超声波清洗器工序及建设相关附属设施，预计建成后年产中压预制式电缆附件</w:t>
            </w:r>
            <w:r>
              <w:rPr>
                <w:rFonts w:hint="eastAsia" w:ascii="Times New Roman" w:hAnsi="Times New Roman" w:eastAsia="宋体" w:cs="Times New Roman"/>
                <w:color w:val="000000" w:themeColor="text1"/>
                <w:spacing w:val="-2"/>
                <w:szCs w:val="24"/>
                <w14:textFill>
                  <w14:solidFill>
                    <w14:schemeClr w14:val="tx1"/>
                  </w14:solidFill>
                </w14:textFill>
              </w:rPr>
              <w:t>由60万只提升至</w:t>
            </w:r>
            <w:r>
              <w:rPr>
                <w:rFonts w:ascii="Times New Roman" w:hAnsi="Times New Roman" w:eastAsia="宋体" w:cs="Times New Roman"/>
                <w:color w:val="000000" w:themeColor="text1"/>
                <w:spacing w:val="-2"/>
                <w:szCs w:val="24"/>
                <w14:textFill>
                  <w14:solidFill>
                    <w14:schemeClr w14:val="tx1"/>
                  </w14:solidFill>
                </w14:textFill>
              </w:rPr>
              <w:t>210万只</w:t>
            </w:r>
            <w:r>
              <w:rPr>
                <w:rFonts w:ascii="Times New Roman" w:hAnsi="Times New Roman" w:eastAsia="宋体" w:cs="Times New Roman"/>
                <w:color w:val="000000" w:themeColor="text1"/>
                <w:spacing w:val="-3"/>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具体平面布置图见附图3。</w:t>
            </w:r>
          </w:p>
          <w:p>
            <w:pPr>
              <w:widowControl w:val="0"/>
              <w:topLinePunct/>
              <w:spacing w:after="0" w:line="360" w:lineRule="auto"/>
              <w:ind w:firstLine="436" w:firstLineChars="200"/>
              <w:jc w:val="both"/>
              <w:rPr>
                <w:rFonts w:ascii="Times New Roman" w:hAnsi="Times New Roman" w:eastAsia="宋体" w:cs="Times New Roman"/>
                <w:color w:val="000000" w:themeColor="text1"/>
                <w:spacing w:val="-1"/>
                <w:szCs w:val="24"/>
                <w14:textFill>
                  <w14:solidFill>
                    <w14:schemeClr w14:val="tx1"/>
                  </w14:solidFill>
                </w14:textFill>
              </w:rPr>
            </w:pPr>
            <w:r>
              <w:rPr>
                <w:rFonts w:ascii="Times New Roman" w:hAnsi="Times New Roman" w:eastAsia="宋体" w:cs="Times New Roman"/>
                <w:color w:val="000000" w:themeColor="text1"/>
                <w:spacing w:val="-11"/>
                <w:szCs w:val="24"/>
                <w14:textFill>
                  <w14:solidFill>
                    <w14:schemeClr w14:val="tx1"/>
                  </w14:solidFill>
                </w14:textFill>
              </w:rPr>
              <w:t>根据《中华人民共和国环境保护法》、《中华人民共和国环境影响评价法》</w:t>
            </w:r>
            <w:r>
              <w:rPr>
                <w:rFonts w:ascii="Times New Roman" w:hAnsi="Times New Roman" w:eastAsia="宋体" w:cs="Times New Roman"/>
                <w:color w:val="000000" w:themeColor="text1"/>
                <w:szCs w:val="24"/>
                <w14:textFill>
                  <w14:solidFill>
                    <w14:schemeClr w14:val="tx1"/>
                  </w14:solidFill>
                </w14:textFill>
              </w:rPr>
              <w:t xml:space="preserve"> </w:t>
            </w:r>
            <w:r>
              <w:rPr>
                <w:rFonts w:ascii="Times New Roman" w:hAnsi="Times New Roman" w:eastAsia="宋体" w:cs="Times New Roman"/>
                <w:color w:val="000000" w:themeColor="text1"/>
                <w:spacing w:val="-2"/>
                <w:szCs w:val="24"/>
                <w14:textFill>
                  <w14:solidFill>
                    <w14:schemeClr w14:val="tx1"/>
                  </w14:solidFill>
                </w14:textFill>
              </w:rPr>
              <w:t>等有关法律法规以及</w:t>
            </w:r>
            <w:r>
              <w:rPr>
                <w:rFonts w:ascii="Times New Roman" w:hAnsi="Times New Roman" w:eastAsia="宋体" w:cs="Times New Roman"/>
                <w:color w:val="000000" w:themeColor="text1"/>
                <w:szCs w:val="24"/>
                <w14:textFill>
                  <w14:solidFill>
                    <w14:schemeClr w14:val="tx1"/>
                  </w14:solidFill>
                </w14:textFill>
              </w:rPr>
              <w:t>《建设项目环境影响评价分类管理名录》（2021年版）等相关规定</w:t>
            </w:r>
            <w:r>
              <w:rPr>
                <w:rFonts w:ascii="Times New Roman" w:hAnsi="Times New Roman" w:eastAsia="宋体" w:cs="Times New Roman"/>
                <w:color w:val="000000" w:themeColor="text1"/>
                <w:spacing w:val="-3"/>
                <w:szCs w:val="24"/>
                <w14:textFill>
                  <w14:solidFill>
                    <w14:schemeClr w14:val="tx1"/>
                  </w14:solidFill>
                </w14:textFill>
              </w:rPr>
              <w:t>，项目</w:t>
            </w:r>
            <w:r>
              <w:rPr>
                <w:rFonts w:ascii="Times New Roman" w:hAnsi="Times New Roman" w:eastAsia="宋体" w:cs="Times New Roman"/>
                <w:color w:val="000000" w:themeColor="text1"/>
                <w:spacing w:val="-1"/>
                <w:szCs w:val="24"/>
                <w14:textFill>
                  <w14:solidFill>
                    <w14:schemeClr w14:val="tx1"/>
                  </w14:solidFill>
                </w14:textFill>
              </w:rPr>
              <w:t>应编制环境影响报告表，具体见表</w:t>
            </w:r>
            <w:r>
              <w:rPr>
                <w:rFonts w:ascii="Times New Roman" w:hAnsi="Times New Roman" w:eastAsia="宋体" w:cs="Times New Roman"/>
                <w:color w:val="000000" w:themeColor="text1"/>
                <w:spacing w:val="-53"/>
                <w:szCs w:val="24"/>
                <w14:textFill>
                  <w14:solidFill>
                    <w14:schemeClr w14:val="tx1"/>
                  </w14:solidFill>
                </w14:textFill>
              </w:rPr>
              <w:t xml:space="preserve"> </w:t>
            </w:r>
            <w:r>
              <w:rPr>
                <w:rFonts w:ascii="Times New Roman" w:hAnsi="Times New Roman" w:eastAsia="宋体" w:cs="Times New Roman"/>
                <w:color w:val="000000" w:themeColor="text1"/>
                <w:spacing w:val="-1"/>
                <w:szCs w:val="24"/>
                <w14:textFill>
                  <w14:solidFill>
                    <w14:schemeClr w14:val="tx1"/>
                  </w14:solidFill>
                </w14:textFill>
              </w:rPr>
              <w:t>2-1。</w:t>
            </w:r>
          </w:p>
          <w:p>
            <w:pPr>
              <w:pStyle w:val="172"/>
              <w:spacing w:after="0" w:line="360" w:lineRule="auto"/>
              <w:ind w:firstLine="436" w:firstLineChars="200"/>
              <w:rPr>
                <w:rFonts w:ascii="Times New Roman" w:hAnsi="Times New Roman" w:eastAsia="宋体" w:cs="Times New Roman"/>
                <w:color w:val="000000" w:themeColor="text1"/>
                <w:spacing w:val="-11"/>
                <w:szCs w:val="24"/>
                <w:lang w:eastAsia="zh-CN"/>
                <w14:textFill>
                  <w14:solidFill>
                    <w14:schemeClr w14:val="tx1"/>
                  </w14:solidFill>
                </w14:textFill>
              </w:rPr>
            </w:pPr>
            <w:r>
              <w:rPr>
                <w:rFonts w:ascii="Times New Roman" w:hAnsi="Times New Roman" w:eastAsia="宋体" w:cs="Times New Roman"/>
                <w:color w:val="000000" w:themeColor="text1"/>
                <w:spacing w:val="-11"/>
                <w:szCs w:val="24"/>
                <w:lang w:eastAsia="zh-CN"/>
                <w14:textFill>
                  <w14:solidFill>
                    <w14:schemeClr w14:val="tx1"/>
                  </w14:solidFill>
                </w14:textFill>
              </w:rPr>
              <w:t>因此，建设单位委托本环评单位编制该项目的环境影响评价文件（见附件 1）。本环评单位接受委托后，立即派技术人员踏勘现场和收集相关资料， 并依照《中华人民共和国环境保护法》、《中华人民共和国环境影响评价法》 等相关规定编制成报告表，建设单位报生态环境主管部门审批。</w:t>
            </w:r>
          </w:p>
          <w:p>
            <w:pPr>
              <w:pStyle w:val="222"/>
              <w:spacing w:before="120"/>
              <w:rPr>
                <w:color w:val="000000" w:themeColor="text1"/>
                <w:spacing w:val="-1"/>
                <w14:textFill>
                  <w14:solidFill>
                    <w14:schemeClr w14:val="tx1"/>
                  </w14:solidFill>
                </w14:textFill>
              </w:rPr>
            </w:pPr>
            <w:r>
              <w:rPr>
                <w:color w:val="000000" w:themeColor="text1"/>
                <w14:textFill>
                  <w14:solidFill>
                    <w14:schemeClr w14:val="tx1"/>
                  </w14:solidFill>
                </w14:textFill>
              </w:rPr>
              <w:t>表</w:t>
            </w:r>
            <w:r>
              <w:rPr>
                <w:color w:val="000000" w:themeColor="text1"/>
                <w:spacing w:val="-40"/>
                <w14:textFill>
                  <w14:solidFill>
                    <w14:schemeClr w14:val="tx1"/>
                  </w14:solidFill>
                </w14:textFill>
              </w:rPr>
              <w:t xml:space="preserve"> </w:t>
            </w:r>
            <w:r>
              <w:rPr>
                <w:color w:val="000000" w:themeColor="text1"/>
                <w14:textFill>
                  <w14:solidFill>
                    <w14:schemeClr w14:val="tx1"/>
                  </w14:solidFill>
                </w14:textFill>
              </w:rPr>
              <w:t>2.1-1   建设环境影响评价分类管理</w:t>
            </w:r>
            <w:r>
              <w:rPr>
                <w:color w:val="000000" w:themeColor="text1"/>
                <w:spacing w:val="6"/>
                <w14:textFill>
                  <w14:solidFill>
                    <w14:schemeClr w14:val="tx1"/>
                  </w14:solidFill>
                </w14:textFill>
              </w:rPr>
              <w:t>名录（摘录）</w:t>
            </w:r>
          </w:p>
          <w:tbl>
            <w:tblPr>
              <w:tblStyle w:val="173"/>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380"/>
              <w:gridCol w:w="3547"/>
              <w:gridCol w:w="2147"/>
              <w:gridCol w:w="53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382" w:type="pct"/>
                  <w:tcBorders>
                    <w:top w:val="single" w:color="000000" w:sz="10" w:space="0"/>
                    <w:tl2br w:val="single" w:color="000000" w:sz="4" w:space="0"/>
                  </w:tcBorders>
                  <w:vAlign w:val="bottom"/>
                </w:tcPr>
                <w:p>
                  <w:pPr>
                    <w:pStyle w:val="172"/>
                    <w:spacing w:after="0" w:line="240" w:lineRule="auto"/>
                    <w:jc w:val="right"/>
                    <w:rPr>
                      <w:rFonts w:ascii="Times New Roman" w:hAnsi="Times New Roman" w:eastAsia="宋体" w:cs="Times New Roman"/>
                      <w:color w:val="000000" w:themeColor="text1"/>
                      <w:spacing w:val="7"/>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环评类别</w:t>
                  </w:r>
                </w:p>
                <w:p>
                  <w:pPr>
                    <w:pStyle w:val="172"/>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6"/>
                      <w:sz w:val="21"/>
                      <w:szCs w:val="21"/>
                      <w14:textFill>
                        <w14:solidFill>
                          <w14:schemeClr w14:val="tx1"/>
                        </w14:solidFill>
                      </w14:textFill>
                    </w:rPr>
                    <w:t>项目类别</w:t>
                  </w:r>
                </w:p>
              </w:tc>
              <w:tc>
                <w:tcPr>
                  <w:tcW w:w="2060" w:type="pct"/>
                  <w:tcBorders>
                    <w:top w:val="single" w:color="000000" w:sz="10" w:space="0"/>
                  </w:tcBorders>
                  <w:vAlign w:val="center"/>
                </w:tcPr>
                <w:p>
                  <w:pPr>
                    <w:pStyle w:val="172"/>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报告书</w:t>
                  </w:r>
                </w:p>
              </w:tc>
              <w:tc>
                <w:tcPr>
                  <w:tcW w:w="1247" w:type="pct"/>
                  <w:tcBorders>
                    <w:top w:val="single" w:color="000000" w:sz="10" w:space="0"/>
                  </w:tcBorders>
                  <w:vAlign w:val="center"/>
                </w:tcPr>
                <w:p>
                  <w:pPr>
                    <w:pStyle w:val="172"/>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报告表</w:t>
                  </w:r>
                </w:p>
              </w:tc>
              <w:tc>
                <w:tcPr>
                  <w:tcW w:w="311" w:type="pct"/>
                  <w:tcBorders>
                    <w:top w:val="single" w:color="000000" w:sz="10" w:space="0"/>
                    <w:right w:val="single" w:color="000000" w:sz="6" w:space="0"/>
                  </w:tcBorders>
                  <w:vAlign w:val="center"/>
                </w:tcPr>
                <w:p>
                  <w:pPr>
                    <w:pStyle w:val="172"/>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5"/>
                      <w:sz w:val="21"/>
                      <w:szCs w:val="21"/>
                      <w14:textFill>
                        <w14:solidFill>
                          <w14:schemeClr w14:val="tx1"/>
                        </w14:solidFill>
                      </w14:textFill>
                    </w:rPr>
                    <w:t>登记表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5000" w:type="pct"/>
                  <w:gridSpan w:val="4"/>
                  <w:tcBorders>
                    <w:right w:val="single" w:color="000000" w:sz="6" w:space="0"/>
                  </w:tcBorders>
                  <w:vAlign w:val="center"/>
                </w:tcPr>
                <w:p>
                  <w:pPr>
                    <w:pStyle w:val="172"/>
                    <w:spacing w:after="0" w:line="240" w:lineRule="auto"/>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b/>
                      <w:bCs/>
                      <w:color w:val="000000" w:themeColor="text1"/>
                      <w:spacing w:val="7"/>
                      <w:sz w:val="21"/>
                      <w:szCs w:val="21"/>
                      <w:lang w:eastAsia="zh-CN"/>
                      <w14:textFill>
                        <w14:solidFill>
                          <w14:schemeClr w14:val="tx1"/>
                        </w14:solidFill>
                      </w14:textFill>
                    </w:rPr>
                    <w:t>三十五、电气机械和器材制造业</w:t>
                  </w:r>
                  <w:r>
                    <w:rPr>
                      <w:rFonts w:ascii="Times New Roman" w:hAnsi="Times New Roman" w:eastAsia="宋体" w:cs="Times New Roman"/>
                      <w:color w:val="000000" w:themeColor="text1"/>
                      <w:spacing w:val="-39"/>
                      <w:sz w:val="21"/>
                      <w:szCs w:val="21"/>
                      <w:lang w:eastAsia="zh-CN"/>
                      <w14:textFill>
                        <w14:solidFill>
                          <w14:schemeClr w14:val="tx1"/>
                        </w14:solidFill>
                      </w14:textFill>
                    </w:rPr>
                    <w:t xml:space="preserve"> </w:t>
                  </w:r>
                  <w:r>
                    <w:rPr>
                      <w:rFonts w:ascii="Times New Roman" w:hAnsi="Times New Roman" w:eastAsia="宋体" w:cs="Times New Roman"/>
                      <w:b/>
                      <w:bCs/>
                      <w:color w:val="000000" w:themeColor="text1"/>
                      <w:spacing w:val="7"/>
                      <w:sz w:val="21"/>
                      <w:szCs w:val="21"/>
                      <w:lang w:eastAsia="zh-CN"/>
                      <w14:textFill>
                        <w14:solidFill>
                          <w14:schemeClr w14:val="tx1"/>
                        </w14:solidFill>
                      </w14:textFill>
                    </w:rPr>
                    <w:t>38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382" w:type="pct"/>
                  <w:vAlign w:val="center"/>
                </w:tcPr>
                <w:p>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输配电</w:t>
                  </w:r>
                  <w:r>
                    <w:rPr>
                      <w:color w:val="000000" w:themeColor="text1"/>
                      <w14:textFill>
                        <w14:solidFill>
                          <w14:schemeClr w14:val="tx1"/>
                        </w14:solidFill>
                      </w14:textFill>
                    </w:rPr>
                    <w:t xml:space="preserve"> </w:t>
                  </w:r>
                  <w:r>
                    <w:rPr>
                      <w:color w:val="000000" w:themeColor="text1"/>
                      <w:spacing w:val="11"/>
                      <w14:textFill>
                        <w14:solidFill>
                          <w14:schemeClr w14:val="tx1"/>
                        </w14:solidFill>
                      </w14:textFill>
                    </w:rPr>
                    <w:t>及控制设备制造382</w:t>
                  </w:r>
                </w:p>
              </w:tc>
              <w:tc>
                <w:tcPr>
                  <w:tcW w:w="2060" w:type="pc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铅蓄电池制造；太阳能电</w:t>
                  </w:r>
                  <w:r>
                    <w:rPr>
                      <w:color w:val="000000" w:themeColor="text1"/>
                      <w:spacing w:val="5"/>
                      <w14:textFill>
                        <w14:solidFill>
                          <w14:schemeClr w14:val="tx1"/>
                        </w14:solidFill>
                      </w14:textFill>
                    </w:rPr>
                    <w:t xml:space="preserve"> </w:t>
                  </w:r>
                  <w:r>
                    <w:rPr>
                      <w:color w:val="000000" w:themeColor="text1"/>
                      <w:spacing w:val="16"/>
                      <w14:textFill>
                        <w14:solidFill>
                          <w14:schemeClr w14:val="tx1"/>
                        </w14:solidFill>
                      </w14:textFill>
                    </w:rPr>
                    <w:t>池片生产；有电镀工艺</w:t>
                  </w:r>
                  <w:r>
                    <w:rPr>
                      <w:color w:val="000000" w:themeColor="text1"/>
                      <w:spacing w:val="1"/>
                      <w14:textFill>
                        <w14:solidFill>
                          <w14:schemeClr w14:val="tx1"/>
                        </w14:solidFill>
                      </w14:textFill>
                    </w:rPr>
                    <w:t xml:space="preserve">  </w:t>
                  </w:r>
                  <w:r>
                    <w:rPr>
                      <w:color w:val="000000" w:themeColor="text1"/>
                      <w:spacing w:val="5"/>
                      <w14:textFill>
                        <w14:solidFill>
                          <w14:schemeClr w14:val="tx1"/>
                        </w14:solidFill>
                      </w14:textFill>
                    </w:rPr>
                    <w:t>的；年用溶剂型涂料（含</w:t>
                  </w:r>
                  <w:r>
                    <w:rPr>
                      <w:color w:val="000000" w:themeColor="text1"/>
                      <w:spacing w:val="1"/>
                      <w14:textFill>
                        <w14:solidFill>
                          <w14:schemeClr w14:val="tx1"/>
                        </w14:solidFill>
                      </w14:textFill>
                    </w:rPr>
                    <w:t xml:space="preserve"> </w:t>
                  </w:r>
                  <w:r>
                    <w:rPr>
                      <w:color w:val="000000" w:themeColor="text1"/>
                      <w:spacing w:val="10"/>
                      <w14:textFill>
                        <w14:solidFill>
                          <w14:schemeClr w14:val="tx1"/>
                        </w14:solidFill>
                      </w14:textFill>
                    </w:rPr>
                    <w:t>稀释剂）10</w:t>
                  </w:r>
                  <w:r>
                    <w:rPr>
                      <w:color w:val="000000" w:themeColor="text1"/>
                      <w:spacing w:val="29"/>
                      <w14:textFill>
                        <w14:solidFill>
                          <w14:schemeClr w14:val="tx1"/>
                        </w14:solidFill>
                      </w14:textFill>
                    </w:rPr>
                    <w:t xml:space="preserve"> </w:t>
                  </w:r>
                  <w:r>
                    <w:rPr>
                      <w:color w:val="000000" w:themeColor="text1"/>
                      <w:spacing w:val="10"/>
                      <w14:textFill>
                        <w14:solidFill>
                          <w14:schemeClr w14:val="tx1"/>
                        </w14:solidFill>
                      </w14:textFill>
                    </w:rPr>
                    <w:t>吨及以上的</w:t>
                  </w:r>
                </w:p>
              </w:tc>
              <w:tc>
                <w:tcPr>
                  <w:tcW w:w="1247" w:type="pct"/>
                  <w:shd w:val="clear" w:color="auto" w:fill="D8D8D8" w:themeFill="background1" w:themeFillShade="D9"/>
                  <w:vAlign w:val="center"/>
                </w:tcPr>
                <w:p>
                  <w:pPr>
                    <w:pStyle w:val="221"/>
                    <w:rPr>
                      <w:color w:val="000000" w:themeColor="text1"/>
                      <w14:textFill>
                        <w14:solidFill>
                          <w14:schemeClr w14:val="tx1"/>
                        </w14:solidFill>
                      </w14:textFill>
                    </w:rPr>
                  </w:pPr>
                  <w:r>
                    <w:rPr>
                      <w:color w:val="000000" w:themeColor="text1"/>
                      <w:spacing w:val="7"/>
                      <w:shd w:val="pct10" w:color="auto" w:fill="FFFFFF"/>
                      <w14:textFill>
                        <w14:solidFill>
                          <w14:schemeClr w14:val="tx1"/>
                        </w14:solidFill>
                      </w14:textFill>
                    </w:rPr>
                    <w:t>其他（仅分割、焊接、</w:t>
                  </w:r>
                  <w:r>
                    <w:rPr>
                      <w:color w:val="000000" w:themeColor="text1"/>
                      <w:spacing w:val="8"/>
                      <w:shd w:val="pct10" w:color="auto" w:fill="FFFFFF"/>
                      <w14:textFill>
                        <w14:solidFill>
                          <w14:schemeClr w14:val="tx1"/>
                        </w14:solidFill>
                      </w14:textFill>
                    </w:rPr>
                    <w:t>组装的除外；年用非溶</w:t>
                  </w:r>
                  <w:r>
                    <w:rPr>
                      <w:color w:val="000000" w:themeColor="text1"/>
                      <w:spacing w:val="10"/>
                      <w:shd w:val="pct10" w:color="auto" w:fill="FFFFFF"/>
                      <w14:textFill>
                        <w14:solidFill>
                          <w14:schemeClr w14:val="tx1"/>
                        </w14:solidFill>
                      </w14:textFill>
                    </w:rPr>
                    <w:t>剂型低</w:t>
                  </w:r>
                  <w:r>
                    <w:rPr>
                      <w:color w:val="000000" w:themeColor="text1"/>
                      <w:spacing w:val="-43"/>
                      <w:shd w:val="pct10" w:color="auto" w:fill="FFFFFF"/>
                      <w14:textFill>
                        <w14:solidFill>
                          <w14:schemeClr w14:val="tx1"/>
                        </w14:solidFill>
                      </w14:textFill>
                    </w:rPr>
                    <w:t xml:space="preserve"> </w:t>
                  </w:r>
                  <w:r>
                    <w:rPr>
                      <w:color w:val="000000" w:themeColor="text1"/>
                      <w:shd w:val="pct10" w:color="auto" w:fill="FFFFFF"/>
                      <w14:textFill>
                        <w14:solidFill>
                          <w14:schemeClr w14:val="tx1"/>
                        </w14:solidFill>
                      </w14:textFill>
                    </w:rPr>
                    <w:t>VOCs</w:t>
                  </w:r>
                  <w:r>
                    <w:rPr>
                      <w:color w:val="000000" w:themeColor="text1"/>
                      <w:spacing w:val="10"/>
                      <w:shd w:val="pct10" w:color="auto" w:fill="FFFFFF"/>
                      <w14:textFill>
                        <w14:solidFill>
                          <w14:schemeClr w14:val="tx1"/>
                        </w14:solidFill>
                      </w14:textFill>
                    </w:rPr>
                    <w:t xml:space="preserve"> 含量涂料</w:t>
                  </w:r>
                  <w:r>
                    <w:rPr>
                      <w:color w:val="000000" w:themeColor="text1"/>
                      <w:spacing w:val="2"/>
                      <w:shd w:val="pct10" w:color="auto" w:fill="FFFFFF"/>
                      <w14:textFill>
                        <w14:solidFill>
                          <w14:schemeClr w14:val="tx1"/>
                        </w14:solidFill>
                      </w14:textFill>
                    </w:rPr>
                    <w:t>10吨以下的除外）</w:t>
                  </w:r>
                </w:p>
              </w:tc>
              <w:tc>
                <w:tcPr>
                  <w:tcW w:w="311" w:type="pct"/>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position w:val="1"/>
                      <w:sz w:val="21"/>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5000" w:type="pct"/>
                  <w:gridSpan w:val="4"/>
                  <w:tcBorders>
                    <w:right w:val="single" w:color="000000" w:sz="6" w:space="0"/>
                  </w:tcBorders>
                  <w:vAlign w:val="center"/>
                </w:tcPr>
                <w:p>
                  <w:pPr>
                    <w:pStyle w:val="221"/>
                    <w:jc w:val="left"/>
                    <w:rPr>
                      <w:b/>
                      <w:bCs/>
                      <w:color w:val="000000" w:themeColor="text1"/>
                      <w:spacing w:val="2"/>
                      <w:position w:val="1"/>
                      <w:szCs w:val="21"/>
                      <w14:textFill>
                        <w14:solidFill>
                          <w14:schemeClr w14:val="tx1"/>
                        </w14:solidFill>
                      </w14:textFill>
                    </w:rPr>
                  </w:pPr>
                  <w:r>
                    <w:rPr>
                      <w:rFonts w:hint="eastAsia"/>
                      <w:b/>
                      <w:bCs/>
                      <w:color w:val="000000" w:themeColor="text1"/>
                      <w14:textFill>
                        <w14:solidFill>
                          <w14:schemeClr w14:val="tx1"/>
                        </w14:solidFill>
                      </w14:textFill>
                    </w:rPr>
                    <w:t>二十六、橡胶和塑料制品业 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382" w:type="pct"/>
                  <w:vAlign w:val="center"/>
                </w:tcPr>
                <w:p>
                  <w:pPr>
                    <w:pStyle w:val="221"/>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橡胶制品业 291</w:t>
                  </w:r>
                </w:p>
              </w:tc>
              <w:tc>
                <w:tcPr>
                  <w:tcW w:w="2060" w:type="pct"/>
                  <w:vAlign w:val="center"/>
                </w:tcPr>
                <w:p>
                  <w:pPr>
                    <w:pStyle w:val="221"/>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轮胎制造；再生橡胶制造（常压连续脱 硫工艺除外）</w:t>
                  </w:r>
                </w:p>
              </w:tc>
              <w:tc>
                <w:tcPr>
                  <w:tcW w:w="1247" w:type="pct"/>
                  <w:shd w:val="clear" w:color="auto" w:fill="D8D8D8" w:themeFill="background1" w:themeFillShade="D9"/>
                  <w:vAlign w:val="center"/>
                </w:tcPr>
                <w:p>
                  <w:pPr>
                    <w:pStyle w:val="221"/>
                    <w:rPr>
                      <w:color w:val="000000" w:themeColor="text1"/>
                      <w:spacing w:val="7"/>
                      <w:shd w:val="pct10" w:color="auto" w:fill="FFFFFF"/>
                      <w14:textFill>
                        <w14:solidFill>
                          <w14:schemeClr w14:val="tx1"/>
                        </w14:solidFill>
                      </w14:textFill>
                    </w:rPr>
                  </w:pPr>
                  <w:r>
                    <w:rPr>
                      <w:rFonts w:hint="eastAsia"/>
                      <w:color w:val="000000" w:themeColor="text1"/>
                      <w:spacing w:val="7"/>
                      <w:shd w:val="pct10" w:color="auto" w:fill="FFFFFF"/>
                      <w14:textFill>
                        <w14:solidFill>
                          <w14:schemeClr w14:val="tx1"/>
                        </w14:solidFill>
                      </w14:textFill>
                    </w:rPr>
                    <w:t>其他</w:t>
                  </w:r>
                </w:p>
              </w:tc>
              <w:tc>
                <w:tcPr>
                  <w:tcW w:w="311" w:type="pct"/>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2"/>
                      <w:position w:val="1"/>
                      <w:sz w:val="21"/>
                      <w:szCs w:val="21"/>
                      <w14:textFill>
                        <w14:solidFill>
                          <w14:schemeClr w14:val="tx1"/>
                        </w14:solidFill>
                      </w14:textFill>
                    </w:rPr>
                  </w:pPr>
                  <w:r>
                    <w:rPr>
                      <w:rFonts w:hint="eastAsia" w:ascii="Times New Roman" w:hAnsi="Times New Roman" w:eastAsia="宋体" w:cs="Times New Roman"/>
                      <w:color w:val="000000" w:themeColor="text1"/>
                      <w:spacing w:val="2"/>
                      <w:position w:val="1"/>
                      <w:sz w:val="21"/>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382" w:type="pct"/>
                  <w:tcBorders>
                    <w:bottom w:val="single" w:color="000000" w:sz="10" w:space="0"/>
                  </w:tcBorders>
                  <w:vAlign w:val="center"/>
                </w:tcPr>
                <w:p>
                  <w:pPr>
                    <w:pStyle w:val="221"/>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塑料制品业 292</w:t>
                  </w:r>
                </w:p>
              </w:tc>
              <w:tc>
                <w:tcPr>
                  <w:tcW w:w="2060" w:type="pct"/>
                  <w:tcBorders>
                    <w:bottom w:val="single" w:color="000000" w:sz="10" w:space="0"/>
                  </w:tcBorders>
                  <w:vAlign w:val="center"/>
                </w:tcPr>
                <w:p>
                  <w:pPr>
                    <w:pStyle w:val="221"/>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以再生塑料为原料生产的；有电镀工艺的；年用溶剂型胶粘剂10吨及以上的；年用溶剂型涂料（含稀释剂）10吨及以 上的</w:t>
                  </w:r>
                </w:p>
              </w:tc>
              <w:tc>
                <w:tcPr>
                  <w:tcW w:w="1247" w:type="pct"/>
                  <w:tcBorders>
                    <w:bottom w:val="single" w:color="000000" w:sz="10" w:space="0"/>
                  </w:tcBorders>
                  <w:shd w:val="clear" w:color="auto" w:fill="D8D8D8" w:themeFill="background1" w:themeFillShade="D9"/>
                  <w:vAlign w:val="center"/>
                </w:tcPr>
                <w:p>
                  <w:pPr>
                    <w:pStyle w:val="221"/>
                    <w:rPr>
                      <w:color w:val="000000" w:themeColor="text1"/>
                      <w14:textFill>
                        <w14:solidFill>
                          <w14:schemeClr w14:val="tx1"/>
                        </w14:solidFill>
                      </w14:textFill>
                    </w:rPr>
                  </w:pPr>
                  <w:r>
                    <w:rPr>
                      <w:rFonts w:hint="eastAsia"/>
                      <w:color w:val="000000" w:themeColor="text1"/>
                      <w:shd w:val="pct10" w:color="auto" w:fill="FFFFFF"/>
                      <w14:textFill>
                        <w14:solidFill>
                          <w14:schemeClr w14:val="tx1"/>
                        </w14:solidFill>
                      </w14:textFill>
                    </w:rPr>
                    <w:t>其他（年用非溶剂型低VOCs含 量涂料10吨以下的除外）</w:t>
                  </w:r>
                </w:p>
              </w:tc>
              <w:tc>
                <w:tcPr>
                  <w:tcW w:w="311" w:type="pct"/>
                  <w:tcBorders>
                    <w:bottom w:val="single" w:color="000000" w:sz="10" w:space="0"/>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2"/>
                      <w:position w:val="1"/>
                      <w:sz w:val="21"/>
                      <w:szCs w:val="21"/>
                      <w14:textFill>
                        <w14:solidFill>
                          <w14:schemeClr w14:val="tx1"/>
                        </w14:solidFill>
                      </w14:textFill>
                    </w:rPr>
                  </w:pPr>
                  <w:r>
                    <w:rPr>
                      <w:rFonts w:hint="eastAsia" w:ascii="Times New Roman" w:hAnsi="Times New Roman" w:eastAsia="宋体" w:cs="Times New Roman"/>
                      <w:color w:val="000000" w:themeColor="text1"/>
                      <w:spacing w:val="2"/>
                      <w:position w:val="1"/>
                      <w:sz w:val="21"/>
                      <w:szCs w:val="21"/>
                      <w14:textFill>
                        <w14:solidFill>
                          <w14:schemeClr w14:val="tx1"/>
                        </w14:solidFill>
                      </w14:textFill>
                    </w:rPr>
                    <w:t>/</w:t>
                  </w:r>
                </w:p>
              </w:tc>
            </w:tr>
          </w:tbl>
          <w:p>
            <w:pPr>
              <w:widowControl w:val="0"/>
              <w:topLinePunct/>
              <w:spacing w:after="0" w:line="36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备注：本项目溶剂型涂料（含稀释剂）年使用量为0.12t/a。</w:t>
            </w:r>
          </w:p>
          <w:p>
            <w:pPr>
              <w:widowControl w:val="0"/>
              <w:topLinePunct/>
              <w:spacing w:after="0" w:line="360" w:lineRule="auto"/>
              <w:rPr>
                <w:rFonts w:ascii="Times New Roman" w:hAnsi="Times New Roman" w:eastAsia="宋体" w:cs="Times New Roman"/>
                <w:color w:val="000000" w:themeColor="text1"/>
                <w:sz w:val="21"/>
                <w:szCs w:val="21"/>
                <w14:textFill>
                  <w14:solidFill>
                    <w14:schemeClr w14:val="tx1"/>
                  </w14:solidFill>
                </w14:textFill>
              </w:rPr>
            </w:pPr>
          </w:p>
          <w:p>
            <w:pPr>
              <w:widowControl w:val="0"/>
              <w:topLinePunct/>
              <w:spacing w:after="0" w:line="360" w:lineRule="auto"/>
              <w:rPr>
                <w:rFonts w:ascii="Times New Roman" w:hAnsi="Times New Roman" w:eastAsia="宋体" w:cs="Times New Roman"/>
                <w:color w:val="000000" w:themeColor="text1"/>
                <w:sz w:val="21"/>
                <w:szCs w:val="21"/>
                <w14:textFill>
                  <w14:solidFill>
                    <w14:schemeClr w14:val="tx1"/>
                  </w14:solidFill>
                </w14:textFill>
              </w:rPr>
            </w:pP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2.1.2 项目基本情况</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项目名称：中压预制式电缆附件车间扩建项目</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建设单位：福建中能电气有限公司</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建设地点：福建省福州市福清市融侨经济技术开发区宏路街道周店村</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项目性质：扩建</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总投资：1500万元，其中环保投资</w:t>
            </w:r>
            <w:r>
              <w:rPr>
                <w:rFonts w:hint="eastAsia" w:ascii="Times New Roman" w:hAnsi="Times New Roman" w:eastAsia="宋体" w:cs="Times New Roman"/>
                <w:color w:val="000000" w:themeColor="text1"/>
                <w:szCs w:val="24"/>
                <w14:textFill>
                  <w14:solidFill>
                    <w14:schemeClr w14:val="tx1"/>
                  </w14:solidFill>
                </w14:textFill>
              </w:rPr>
              <w:t>20</w:t>
            </w:r>
            <w:r>
              <w:rPr>
                <w:rFonts w:ascii="Times New Roman" w:hAnsi="Times New Roman" w:eastAsia="宋体" w:cs="Times New Roman"/>
                <w:color w:val="000000" w:themeColor="text1"/>
                <w:szCs w:val="24"/>
                <w14:textFill>
                  <w14:solidFill>
                    <w14:schemeClr w14:val="tx1"/>
                  </w14:solidFill>
                </w14:textFill>
              </w:rPr>
              <w:t>4.5万元</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生产规模：</w:t>
            </w:r>
            <w:r>
              <w:rPr>
                <w:rFonts w:ascii="Times New Roman" w:hAnsi="Times New Roman" w:eastAsia="宋体" w:cs="Times New Roman"/>
                <w:color w:val="000000" w:themeColor="text1"/>
                <w:spacing w:val="-2"/>
                <w14:textFill>
                  <w14:solidFill>
                    <w14:schemeClr w14:val="tx1"/>
                  </w14:solidFill>
                </w14:textFill>
              </w:rPr>
              <w:t>年产中压预制式电缆附件210万只</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劳动定员：从原有员工人员中调配，无新增人员。</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工作制度：年工作日250天，日生产8h，白天单班制。</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施工期：2个月</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2.1.3 项目建设内容及组成</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本项目组成及主要建设内容见表2.1-3。</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表2.1-3 项目组成与工程建设内容</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70"/>
              <w:gridCol w:w="562"/>
              <w:gridCol w:w="1861"/>
              <w:gridCol w:w="1418"/>
              <w:gridCol w:w="1559"/>
              <w:gridCol w:w="21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主要项目名称</w:t>
                  </w:r>
                </w:p>
              </w:tc>
              <w:tc>
                <w:tcPr>
                  <w:tcW w:w="2423" w:type="dxa"/>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现有</w:t>
                  </w:r>
                  <w:r>
                    <w:rPr>
                      <w:rFonts w:hint="eastAsia"/>
                      <w:color w:val="000000" w:themeColor="text1"/>
                      <w14:textFill>
                        <w14:solidFill>
                          <w14:schemeClr w14:val="tx1"/>
                        </w14:solidFill>
                      </w14:textFill>
                    </w:rPr>
                    <w:t>已建</w:t>
                  </w:r>
                  <w:r>
                    <w:rPr>
                      <w:color w:val="000000" w:themeColor="text1"/>
                      <w14:textFill>
                        <w14:solidFill>
                          <w14:schemeClr w14:val="tx1"/>
                        </w14:solidFill>
                      </w14:textFill>
                    </w:rPr>
                    <w:t>工程</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已批</w:t>
                  </w:r>
                </w:p>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未建</w:t>
                  </w:r>
                  <w:r>
                    <w:rPr>
                      <w:color w:val="000000" w:themeColor="text1"/>
                      <w14:textFill>
                        <w14:solidFill>
                          <w14:schemeClr w14:val="tx1"/>
                        </w14:solidFill>
                      </w14:textFill>
                    </w:rPr>
                    <w:t>工程</w:t>
                  </w:r>
                </w:p>
              </w:tc>
              <w:tc>
                <w:tcPr>
                  <w:tcW w:w="155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次工程</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扩建后全厂</w:t>
                  </w:r>
                  <w:r>
                    <w:rPr>
                      <w:rFonts w:hint="eastAsia"/>
                      <w:color w:val="000000" w:themeColor="text1"/>
                      <w14:textFill>
                        <w14:solidFill>
                          <w14:schemeClr w14:val="tx1"/>
                        </w14:solidFill>
                      </w14:textFill>
                    </w:rPr>
                    <w:t>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670" w:type="dxa"/>
                  <w:vAlign w:val="center"/>
                </w:tcPr>
                <w:p>
                  <w:pPr>
                    <w:pStyle w:val="221"/>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p>
                  <w:pPr>
                    <w:pStyle w:val="221"/>
                    <w:rPr>
                      <w:color w:val="000000" w:themeColor="text1"/>
                      <w14:textFill>
                        <w14:solidFill>
                          <w14:schemeClr w14:val="tx1"/>
                        </w14:solidFill>
                      </w14:textFill>
                    </w:rPr>
                  </w:pPr>
                  <w:r>
                    <w:rPr>
                      <w:color w:val="000000" w:themeColor="text1"/>
                      <w:szCs w:val="21"/>
                      <w14:textFill>
                        <w14:solidFill>
                          <w14:schemeClr w14:val="tx1"/>
                        </w14:solidFill>
                      </w14:textFill>
                    </w:rPr>
                    <w:t>车间</w:t>
                  </w:r>
                </w:p>
              </w:tc>
              <w:tc>
                <w:tcPr>
                  <w:tcW w:w="2423"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空置，</w:t>
                  </w:r>
                  <w:r>
                    <w:rPr>
                      <w:color w:val="000000" w:themeColor="text1"/>
                      <w14:textFill>
                        <w14:solidFill>
                          <w14:schemeClr w14:val="tx1"/>
                        </w14:solidFill>
                      </w14:textFill>
                    </w:rPr>
                    <w:t>建筑面积11870m</w:t>
                  </w:r>
                  <w:r>
                    <w:rPr>
                      <w:rFonts w:hint="eastAsia"/>
                      <w:color w:val="000000" w:themeColor="text1"/>
                      <w:vertAlign w:val="superscript"/>
                      <w14:textFill>
                        <w14:solidFill>
                          <w14:schemeClr w14:val="tx1"/>
                        </w14:solidFill>
                      </w14:textFill>
                    </w:rPr>
                    <w:t>2</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年产中压预制式电缆附件</w:t>
                  </w:r>
                  <w:r>
                    <w:rPr>
                      <w:rFonts w:hint="eastAsia"/>
                      <w:color w:val="000000" w:themeColor="text1"/>
                      <w14:textFill>
                        <w14:solidFill>
                          <w14:schemeClr w14:val="tx1"/>
                        </w14:solidFill>
                      </w14:textFill>
                    </w:rPr>
                    <w:t>210</w:t>
                  </w:r>
                  <w:r>
                    <w:rPr>
                      <w:color w:val="000000" w:themeColor="text1"/>
                      <w14:textFill>
                        <w14:solidFill>
                          <w14:schemeClr w14:val="tx1"/>
                        </w14:solidFill>
                      </w14:textFill>
                    </w:rPr>
                    <w:t>万只生产线</w:t>
                  </w:r>
                  <w:r>
                    <w:rPr>
                      <w:rFonts w:hint="eastAsia"/>
                      <w:color w:val="000000" w:themeColor="text1"/>
                      <w14:textFill>
                        <w14:solidFill>
                          <w14:schemeClr w14:val="tx1"/>
                        </w14:solidFill>
                      </w14:textFill>
                    </w:rPr>
                    <w:t>及其原料仓库、产品仓库、检验区等，包括</w:t>
                  </w:r>
                  <w:r>
                    <w:rPr>
                      <w:color w:val="000000" w:themeColor="text1"/>
                      <w14:textFill>
                        <w14:solidFill>
                          <w14:schemeClr w14:val="tx1"/>
                        </w14:solidFill>
                      </w14:textFill>
                    </w:rPr>
                    <w:t>1条半导电屏蔽层加工生产线</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1条橡胶绝缘件加工生产线和1条环氧绝缘件生产加工线</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年产中压预制式电缆附件</w:t>
                  </w:r>
                  <w:r>
                    <w:rPr>
                      <w:rFonts w:hint="eastAsia"/>
                      <w:color w:val="000000" w:themeColor="text1"/>
                      <w14:textFill>
                        <w14:solidFill>
                          <w14:schemeClr w14:val="tx1"/>
                        </w14:solidFill>
                      </w14:textFill>
                    </w:rPr>
                    <w:t>210</w:t>
                  </w:r>
                  <w:r>
                    <w:rPr>
                      <w:color w:val="000000" w:themeColor="text1"/>
                      <w14:textFill>
                        <w14:solidFill>
                          <w14:schemeClr w14:val="tx1"/>
                        </w14:solidFill>
                      </w14:textFill>
                    </w:rPr>
                    <w:t>万只生产线</w:t>
                  </w:r>
                  <w:r>
                    <w:rPr>
                      <w:rFonts w:hint="eastAsia"/>
                      <w:color w:val="000000" w:themeColor="text1"/>
                      <w14:textFill>
                        <w14:solidFill>
                          <w14:schemeClr w14:val="tx1"/>
                        </w14:solidFill>
                      </w14:textFill>
                    </w:rPr>
                    <w:t>及其原料仓库、产品仓库、检验区等，</w:t>
                  </w:r>
                  <w:r>
                    <w:rPr>
                      <w:color w:val="000000" w:themeColor="text1"/>
                      <w14:textFill>
                        <w14:solidFill>
                          <w14:schemeClr w14:val="tx1"/>
                        </w14:solidFill>
                      </w14:textFill>
                    </w:rPr>
                    <w:t>建筑面积11870m</w:t>
                  </w:r>
                  <w:r>
                    <w:rPr>
                      <w:rFonts w:hint="eastAsia"/>
                      <w:color w:val="000000" w:themeColor="text1"/>
                      <w:vertAlign w:val="superscript"/>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p>
                  <w:pPr>
                    <w:pStyle w:val="221"/>
                    <w:rPr>
                      <w:color w:val="000000" w:themeColor="text1"/>
                      <w14:textFill>
                        <w14:solidFill>
                          <w14:schemeClr w14:val="tx1"/>
                        </w14:solidFill>
                      </w14:textFill>
                    </w:rPr>
                  </w:pPr>
                  <w:r>
                    <w:rPr>
                      <w:color w:val="000000" w:themeColor="text1"/>
                      <w:szCs w:val="21"/>
                      <w14:textFill>
                        <w14:solidFill>
                          <w14:schemeClr w14:val="tx1"/>
                        </w14:solidFill>
                      </w14:textFill>
                    </w:rPr>
                    <w:t>车间</w:t>
                  </w:r>
                </w:p>
              </w:tc>
              <w:tc>
                <w:tcPr>
                  <w:tcW w:w="2423" w:type="dxa"/>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年产中压预制式电缆附件</w:t>
                  </w:r>
                  <w:r>
                    <w:rPr>
                      <w:rFonts w:hint="eastAsia"/>
                      <w:color w:val="000000" w:themeColor="text1"/>
                      <w14:textFill>
                        <w14:solidFill>
                          <w14:schemeClr w14:val="tx1"/>
                        </w14:solidFill>
                      </w14:textFill>
                    </w:rPr>
                    <w:t>60</w:t>
                  </w:r>
                  <w:r>
                    <w:rPr>
                      <w:color w:val="000000" w:themeColor="text1"/>
                      <w14:textFill>
                        <w14:solidFill>
                          <w14:schemeClr w14:val="tx1"/>
                        </w14:solidFill>
                      </w14:textFill>
                    </w:rPr>
                    <w:t>万只</w:t>
                  </w:r>
                  <w:r>
                    <w:rPr>
                      <w:rFonts w:hint="eastAsia"/>
                      <w:color w:val="000000" w:themeColor="text1"/>
                      <w14:textFill>
                        <w14:solidFill>
                          <w14:schemeClr w14:val="tx1"/>
                        </w14:solidFill>
                      </w14:textFill>
                    </w:rPr>
                    <w:t>生产线，位于车间北侧（A区），建筑面积约5700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；全厂原料仓库，位于车间南侧（B</w:t>
                  </w:r>
                  <w:r>
                    <w:rPr>
                      <w:color w:val="000000" w:themeColor="text1"/>
                      <w14:textFill>
                        <w14:solidFill>
                          <w14:schemeClr w14:val="tx1"/>
                        </w14:solidFill>
                      </w14:textFill>
                    </w:rPr>
                    <w:t>区</w:t>
                  </w:r>
                  <w:r>
                    <w:rPr>
                      <w:rFonts w:hint="eastAsia"/>
                      <w:color w:val="000000" w:themeColor="text1"/>
                      <w14:textFill>
                        <w14:solidFill>
                          <w14:schemeClr w14:val="tx1"/>
                        </w14:solidFill>
                      </w14:textFill>
                    </w:rPr>
                    <w:t>），建筑面积约13500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；东侧部分车间（C</w:t>
                  </w:r>
                  <w:r>
                    <w:rPr>
                      <w:color w:val="000000" w:themeColor="text1"/>
                      <w14:textFill>
                        <w14:solidFill>
                          <w14:schemeClr w14:val="tx1"/>
                        </w14:solidFill>
                      </w14:textFill>
                    </w:rPr>
                    <w:t>区</w:t>
                  </w:r>
                  <w:r>
                    <w:rPr>
                      <w:rFonts w:hint="eastAsia"/>
                      <w:color w:val="000000" w:themeColor="text1"/>
                      <w14:textFill>
                        <w14:solidFill>
                          <w14:schemeClr w14:val="tx1"/>
                        </w14:solidFill>
                      </w14:textFill>
                    </w:rPr>
                    <w:t>）租赁给福清诺利金属制品有限公司用于生产配电箱金属构件，建筑面积约6250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，不在本次评价范围内</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拆除</w:t>
                  </w:r>
                  <w:r>
                    <w:rPr>
                      <w:color w:val="000000" w:themeColor="text1"/>
                      <w14:textFill>
                        <w14:solidFill>
                          <w14:schemeClr w14:val="tx1"/>
                        </w14:solidFill>
                      </w14:textFill>
                    </w:rPr>
                    <w:t>年产中压预制式电缆附件</w:t>
                  </w:r>
                  <w:r>
                    <w:rPr>
                      <w:rFonts w:hint="eastAsia"/>
                      <w:color w:val="000000" w:themeColor="text1"/>
                      <w14:textFill>
                        <w14:solidFill>
                          <w14:schemeClr w14:val="tx1"/>
                        </w14:solidFill>
                      </w14:textFill>
                    </w:rPr>
                    <w:t>60</w:t>
                  </w:r>
                  <w:r>
                    <w:rPr>
                      <w:color w:val="000000" w:themeColor="text1"/>
                      <w14:textFill>
                        <w14:solidFill>
                          <w14:schemeClr w14:val="tx1"/>
                        </w14:solidFill>
                      </w14:textFill>
                    </w:rPr>
                    <w:t>万只生产线</w:t>
                  </w:r>
                  <w:r>
                    <w:rPr>
                      <w:rFonts w:hint="eastAsia"/>
                      <w:color w:val="000000" w:themeColor="text1"/>
                      <w14:textFill>
                        <w14:solidFill>
                          <w14:schemeClr w14:val="tx1"/>
                        </w14:solidFill>
                      </w14:textFill>
                    </w:rPr>
                    <w:t>，拆除后车间北侧空置</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车间北侧</w:t>
                  </w:r>
                  <w:r>
                    <w:rPr>
                      <w:rFonts w:hint="eastAsia"/>
                      <w:color w:val="000000" w:themeColor="text1"/>
                      <w14:textFill>
                        <w14:solidFill>
                          <w14:schemeClr w14:val="tx1"/>
                        </w14:solidFill>
                      </w14:textFill>
                    </w:rPr>
                    <w:t>（A区）</w:t>
                  </w:r>
                  <w:r>
                    <w:rPr>
                      <w:color w:val="000000" w:themeColor="text1"/>
                      <w14:textFill>
                        <w14:solidFill>
                          <w14:schemeClr w14:val="tx1"/>
                        </w14:solidFill>
                      </w14:textFill>
                    </w:rPr>
                    <w:t>空置</w:t>
                  </w:r>
                  <w:r>
                    <w:rPr>
                      <w:rFonts w:hint="eastAsia"/>
                      <w:color w:val="000000" w:themeColor="text1"/>
                      <w14:textFill>
                        <w14:solidFill>
                          <w14:schemeClr w14:val="tx1"/>
                        </w14:solidFill>
                      </w14:textFill>
                    </w:rPr>
                    <w:t>；全厂原料仓库，位于车间南侧（B</w:t>
                  </w:r>
                  <w:r>
                    <w:rPr>
                      <w:color w:val="000000" w:themeColor="text1"/>
                      <w14:textFill>
                        <w14:solidFill>
                          <w14:schemeClr w14:val="tx1"/>
                        </w14:solidFill>
                      </w14:textFill>
                    </w:rPr>
                    <w:t>区</w:t>
                  </w:r>
                  <w:r>
                    <w:rPr>
                      <w:rFonts w:hint="eastAsia"/>
                      <w:color w:val="000000" w:themeColor="text1"/>
                      <w14:textFill>
                        <w14:solidFill>
                          <w14:schemeClr w14:val="tx1"/>
                        </w14:solidFill>
                      </w14:textFill>
                    </w:rPr>
                    <w:t>），建筑面积约13500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；东侧部分车间（C</w:t>
                  </w:r>
                  <w:r>
                    <w:rPr>
                      <w:color w:val="000000" w:themeColor="text1"/>
                      <w14:textFill>
                        <w14:solidFill>
                          <w14:schemeClr w14:val="tx1"/>
                        </w14:solidFill>
                      </w14:textFill>
                    </w:rPr>
                    <w:t>区</w:t>
                  </w:r>
                  <w:r>
                    <w:rPr>
                      <w:rFonts w:hint="eastAsia"/>
                      <w:color w:val="000000" w:themeColor="text1"/>
                      <w14:textFill>
                        <w14:solidFill>
                          <w14:schemeClr w14:val="tx1"/>
                        </w14:solidFill>
                      </w14:textFill>
                    </w:rPr>
                    <w:t>）租赁给福清诺利金属制品有限公司用于生产配电箱金属构件，建筑面积约6250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p>
                  <w:pPr>
                    <w:pStyle w:val="221"/>
                    <w:rPr>
                      <w:color w:val="000000" w:themeColor="text1"/>
                      <w14:textFill>
                        <w14:solidFill>
                          <w14:schemeClr w14:val="tx1"/>
                        </w14:solidFill>
                      </w14:textFill>
                    </w:rPr>
                  </w:pPr>
                  <w:r>
                    <w:rPr>
                      <w:color w:val="000000" w:themeColor="text1"/>
                      <w:szCs w:val="21"/>
                      <w14:textFill>
                        <w14:solidFill>
                          <w14:schemeClr w14:val="tx1"/>
                        </w14:solidFill>
                      </w14:textFill>
                    </w:rPr>
                    <w:t>车间</w:t>
                  </w:r>
                </w:p>
              </w:tc>
              <w:tc>
                <w:tcPr>
                  <w:tcW w:w="2423" w:type="dxa"/>
                  <w:gridSpan w:val="2"/>
                  <w:vAlign w:val="center"/>
                </w:tcPr>
                <w:p>
                  <w:pPr>
                    <w:pStyle w:val="221"/>
                    <w:rPr>
                      <w:color w:val="000000" w:themeColor="text1"/>
                      <w:vertAlign w:val="superscript"/>
                      <w14:textFill>
                        <w14:solidFill>
                          <w14:schemeClr w14:val="tx1"/>
                        </w14:solidFill>
                      </w14:textFill>
                    </w:rPr>
                  </w:pPr>
                  <w:r>
                    <w:rPr>
                      <w:rFonts w:hint="eastAsia"/>
                      <w:color w:val="000000" w:themeColor="text1"/>
                      <w14:textFill>
                        <w14:solidFill>
                          <w14:schemeClr w14:val="tx1"/>
                        </w14:solidFill>
                      </w14:textFill>
                    </w:rPr>
                    <w:t>年产各类型交、直流充电桩11900套生产线，位于车间东侧，建筑面积约15200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；已建项目统一焊接区，位于车间被侧，建筑面积3070m</w:t>
                  </w:r>
                  <w:r>
                    <w:rPr>
                      <w:rFonts w:hint="eastAsia"/>
                      <w:color w:val="000000" w:themeColor="text1"/>
                      <w:vertAlign w:val="superscript"/>
                      <w14:textFill>
                        <w14:solidFill>
                          <w14:schemeClr w14:val="tx1"/>
                        </w14:solidFill>
                      </w14:textFill>
                    </w:rPr>
                    <w:t>2</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年产充电桩8000台、储能集成系统400MWh生产线，位于车间西侧，建筑面积5070m</w:t>
                  </w:r>
                  <w:r>
                    <w:rPr>
                      <w:rFonts w:hint="eastAsia"/>
                      <w:color w:val="000000" w:themeColor="text1"/>
                      <w:vertAlign w:val="superscript"/>
                      <w14:textFill>
                        <w14:solidFill>
                          <w14:schemeClr w14:val="tx1"/>
                        </w14:solidFill>
                      </w14:textFill>
                    </w:rPr>
                    <w:t>2</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1" w:type="dxa"/>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年产各类型交、直流充电桩11900套生产线，位于车间东侧，建筑面积约15200</w:t>
                  </w:r>
                  <w:r>
                    <w:rPr>
                      <w:rFonts w:ascii="Times New Roman" w:hAnsi="Times New Roman" w:eastAsia="宋体" w:cs="Times New Roman"/>
                      <w:color w:val="000000" w:themeColor="text1"/>
                      <w:sz w:val="21"/>
                      <w:szCs w:val="21"/>
                      <w14:textFill>
                        <w14:solidFill>
                          <w14:schemeClr w14:val="tx1"/>
                        </w14:solidFill>
                      </w14:textFill>
                    </w:rPr>
                    <w:t>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2</w:t>
                  </w:r>
                  <w:r>
                    <w:rPr>
                      <w:rFonts w:hint="eastAsia" w:ascii="Times New Roman" w:hAnsi="Times New Roman" w:eastAsia="宋体" w:cs="Times New Roman"/>
                      <w:color w:val="000000" w:themeColor="text1"/>
                      <w:sz w:val="21"/>
                      <w:szCs w:val="21"/>
                      <w14:textFill>
                        <w14:solidFill>
                          <w14:schemeClr w14:val="tx1"/>
                        </w14:solidFill>
                      </w14:textFill>
                    </w:rPr>
                    <w:t>；已建项目统一</w:t>
                  </w:r>
                  <w:r>
                    <w:rPr>
                      <w:rFonts w:ascii="Times New Roman" w:hAnsi="Times New Roman" w:eastAsia="宋体" w:cs="Times New Roman"/>
                      <w:color w:val="000000" w:themeColor="text1"/>
                      <w:sz w:val="21"/>
                      <w:szCs w:val="21"/>
                      <w14:textFill>
                        <w14:solidFill>
                          <w14:schemeClr w14:val="tx1"/>
                        </w14:solidFill>
                      </w14:textFill>
                    </w:rPr>
                    <w:t>焊接</w:t>
                  </w:r>
                  <w:r>
                    <w:rPr>
                      <w:rFonts w:hint="eastAsia" w:ascii="Times New Roman" w:hAnsi="Times New Roman" w:eastAsia="宋体" w:cs="Times New Roman"/>
                      <w:color w:val="000000" w:themeColor="text1"/>
                      <w:sz w:val="21"/>
                      <w:szCs w:val="21"/>
                      <w14:textFill>
                        <w14:solidFill>
                          <w14:schemeClr w14:val="tx1"/>
                        </w14:solidFill>
                      </w14:textFill>
                    </w:rPr>
                    <w:t>区，位于车间被侧，建筑面积3070m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2</w:t>
                  </w:r>
                  <w:r>
                    <w:rPr>
                      <w:rFonts w:hint="eastAsia" w:ascii="Times New Roman" w:hAnsi="Times New Roman" w:eastAsia="宋体" w:cs="Times New Roman"/>
                      <w:color w:val="000000" w:themeColor="text1"/>
                      <w:sz w:val="21"/>
                      <w:szCs w:val="21"/>
                      <w14:textFill>
                        <w14:solidFill>
                          <w14:schemeClr w14:val="tx1"/>
                        </w14:solidFill>
                      </w14:textFill>
                    </w:rPr>
                    <w:t>；年产充电桩8000台、储能集成系统400MWh生产线，位于车间西侧，建筑面积5070m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p>
                  <w:pPr>
                    <w:pStyle w:val="221"/>
                    <w:rPr>
                      <w:color w:val="000000" w:themeColor="text1"/>
                      <w14:textFill>
                        <w14:solidFill>
                          <w14:schemeClr w14:val="tx1"/>
                        </w14:solidFill>
                      </w14:textFill>
                    </w:rPr>
                  </w:pPr>
                  <w:r>
                    <w:rPr>
                      <w:color w:val="000000" w:themeColor="text1"/>
                      <w:szCs w:val="21"/>
                      <w14:textFill>
                        <w14:solidFill>
                          <w14:schemeClr w14:val="tx1"/>
                        </w14:solidFill>
                      </w14:textFill>
                    </w:rPr>
                    <w:t>车间</w:t>
                  </w:r>
                </w:p>
              </w:tc>
              <w:tc>
                <w:tcPr>
                  <w:tcW w:w="2423"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年产智能化免维护型环网设备（C-GIS充气柜）2万台套生产线，位于车间南侧，建筑面积约4080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1418" w:type="dxa"/>
                  <w:vAlign w:val="center"/>
                </w:tcPr>
                <w:p>
                  <w:pPr>
                    <w:pStyle w:val="221"/>
                    <w:rPr>
                      <w:color w:val="000000" w:themeColor="text1"/>
                      <w:vertAlign w:val="superscript"/>
                      <w14:textFill>
                        <w14:solidFill>
                          <w14:schemeClr w14:val="tx1"/>
                        </w14:solidFill>
                      </w14:textFill>
                    </w:rPr>
                  </w:pPr>
                  <w:r>
                    <w:rPr>
                      <w:rFonts w:hint="eastAsia"/>
                      <w:color w:val="000000" w:themeColor="text1"/>
                      <w14:textFill>
                        <w14:solidFill>
                          <w14:schemeClr w14:val="tx1"/>
                        </w14:solidFill>
                      </w14:textFill>
                    </w:rPr>
                    <w:t>年产一二次融合成套配电开关设备2万台、边缘计算智能终端7万套、智能传感器5万套生产线，拟建于车间北侧，建筑面积3750m</w:t>
                  </w:r>
                  <w:r>
                    <w:rPr>
                      <w:rFonts w:hint="eastAsia"/>
                      <w:color w:val="000000" w:themeColor="text1"/>
                      <w:vertAlign w:val="superscript"/>
                      <w14:textFill>
                        <w14:solidFill>
                          <w14:schemeClr w14:val="tx1"/>
                        </w14:solidFill>
                      </w14:textFill>
                    </w:rPr>
                    <w:t>2</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1" w:type="dxa"/>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年产智能化免维护型环网设备（C-GIS充气柜）2万台套生产线</w:t>
                  </w:r>
                  <w:r>
                    <w:rPr>
                      <w:rFonts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14:textFill>
                        <w14:solidFill>
                          <w14:schemeClr w14:val="tx1"/>
                        </w14:solidFill>
                      </w14:textFill>
                    </w:rPr>
                    <w:t>位于车间南侧，建筑面积约4080</w:t>
                  </w:r>
                  <w:r>
                    <w:rPr>
                      <w:rFonts w:ascii="Times New Roman" w:hAnsi="Times New Roman" w:eastAsia="宋体" w:cs="Times New Roman"/>
                      <w:color w:val="000000" w:themeColor="text1"/>
                      <w:sz w:val="21"/>
                      <w:szCs w:val="21"/>
                      <w14:textFill>
                        <w14:solidFill>
                          <w14:schemeClr w14:val="tx1"/>
                        </w14:solidFill>
                      </w14:textFill>
                    </w:rPr>
                    <w:t>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2</w:t>
                  </w:r>
                  <w:r>
                    <w:rPr>
                      <w:rFonts w:hint="eastAsia" w:ascii="Times New Roman" w:hAnsi="Times New Roman" w:eastAsia="宋体" w:cs="Times New Roman"/>
                      <w:color w:val="000000" w:themeColor="text1"/>
                      <w:sz w:val="21"/>
                      <w:szCs w:val="21"/>
                      <w14:textFill>
                        <w14:solidFill>
                          <w14:schemeClr w14:val="tx1"/>
                        </w14:solidFill>
                      </w14:textFill>
                    </w:rPr>
                    <w:t>；年产一二次融合成套配电开关设备2万台、边缘计算智能终端7万套、智能传感器5万套生产线，建于车间北侧，建筑面积3750</w:t>
                  </w:r>
                  <w:r>
                    <w:rPr>
                      <w:rFonts w:ascii="Times New Roman" w:hAnsi="Times New Roman" w:eastAsia="宋体" w:cs="Times New Roman"/>
                      <w:color w:val="000000" w:themeColor="text1"/>
                      <w:sz w:val="21"/>
                      <w:szCs w:val="21"/>
                      <w14:textFill>
                        <w14:solidFill>
                          <w14:schemeClr w14:val="tx1"/>
                        </w14:solidFill>
                      </w14:textFill>
                    </w:rPr>
                    <w:t>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w:t>
                  </w:r>
                </w:p>
                <w:p>
                  <w:pPr>
                    <w:pStyle w:val="221"/>
                    <w:rPr>
                      <w:color w:val="000000" w:themeColor="text1"/>
                      <w14:textFill>
                        <w14:solidFill>
                          <w14:schemeClr w14:val="tx1"/>
                        </w14:solidFill>
                      </w14:textFill>
                    </w:rPr>
                  </w:pPr>
                  <w:r>
                    <w:rPr>
                      <w:color w:val="000000" w:themeColor="text1"/>
                      <w:szCs w:val="21"/>
                      <w14:textFill>
                        <w14:solidFill>
                          <w14:schemeClr w14:val="tx1"/>
                        </w14:solidFill>
                      </w14:textFill>
                    </w:rPr>
                    <w:t>车间</w:t>
                  </w:r>
                </w:p>
              </w:tc>
              <w:tc>
                <w:tcPr>
                  <w:tcW w:w="2423"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租赁给福建齐齐机电科技有限公司生产</w:t>
                  </w:r>
                  <w:r>
                    <w:rPr>
                      <w:color w:val="000000" w:themeColor="text1"/>
                      <w14:textFill>
                        <w14:solidFill>
                          <w14:schemeClr w14:val="tx1"/>
                        </w14:solidFill>
                      </w14:textFill>
                    </w:rPr>
                    <w:t>机电设备、机械设备</w:t>
                  </w:r>
                  <w:r>
                    <w:rPr>
                      <w:rFonts w:hint="eastAsia"/>
                      <w:color w:val="000000" w:themeColor="text1"/>
                      <w14:textFill>
                        <w14:solidFill>
                          <w14:schemeClr w14:val="tx1"/>
                        </w14:solidFill>
                      </w14:textFill>
                    </w:rPr>
                    <w:t>，不在本次评价范围内</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1" w:type="dxa"/>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租赁给</w:t>
                  </w:r>
                  <w:r>
                    <w:rPr>
                      <w:rFonts w:hint="eastAsia" w:ascii="Times New Roman" w:hAnsi="Times New Roman" w:eastAsia="宋体" w:cs="Times New Roman"/>
                      <w:color w:val="000000" w:themeColor="text1"/>
                      <w:sz w:val="21"/>
                      <w:szCs w:val="21"/>
                      <w14:textFill>
                        <w14:solidFill>
                          <w14:schemeClr w14:val="tx1"/>
                        </w14:solidFill>
                      </w14:textFill>
                    </w:rPr>
                    <w:t>福建齐齐机电科技有限公司生产</w:t>
                  </w:r>
                  <w:r>
                    <w:rPr>
                      <w:rFonts w:ascii="Times New Roman" w:hAnsi="Times New Roman" w:eastAsia="宋体" w:cs="Times New Roman"/>
                      <w:color w:val="000000" w:themeColor="text1"/>
                      <w:sz w:val="21"/>
                      <w:szCs w:val="21"/>
                      <w14:textFill>
                        <w14:solidFill>
                          <w14:schemeClr w14:val="tx1"/>
                        </w14:solidFill>
                      </w14:textFill>
                    </w:rPr>
                    <w:t>机电设备、机械设备</w:t>
                  </w:r>
                  <w:r>
                    <w:rPr>
                      <w:rFonts w:hint="eastAsia" w:ascii="Times New Roman" w:hAnsi="Times New Roman" w:eastAsia="宋体" w:cs="Times New Roman"/>
                      <w:color w:val="000000" w:themeColor="text1"/>
                      <w:sz w:val="21"/>
                      <w:szCs w:val="21"/>
                      <w14:textFill>
                        <w14:solidFill>
                          <w14:schemeClr w14:val="tx1"/>
                        </w14:solidFill>
                      </w14:textFill>
                    </w:rPr>
                    <w:t>，不在本次评价范围内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p>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车间</w:t>
                  </w:r>
                </w:p>
              </w:tc>
              <w:tc>
                <w:tcPr>
                  <w:tcW w:w="2423"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年产电缆分支箱3000台、年产地铁系统用智能低压开关柜5000台生产线，位于车间西侧，建筑面积约9500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；年产900台箱式变电箱生产线，拟建于车间东侧，建筑面积约4370</w:t>
                  </w:r>
                  <w:r>
                    <w:rPr>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1" w:type="dxa"/>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年产电缆分支箱3000台、年产地铁系统用智能低压开关柜5000台生产线，位于车间西侧，建筑面积约9500</w:t>
                  </w:r>
                  <w:r>
                    <w:rPr>
                      <w:rFonts w:ascii="Times New Roman" w:hAnsi="Times New Roman" w:eastAsia="宋体" w:cs="Times New Roman"/>
                      <w:color w:val="000000" w:themeColor="text1"/>
                      <w:sz w:val="21"/>
                      <w:szCs w:val="21"/>
                      <w14:textFill>
                        <w14:solidFill>
                          <w14:schemeClr w14:val="tx1"/>
                        </w14:solidFill>
                      </w14:textFill>
                    </w:rPr>
                    <w:t>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2</w:t>
                  </w:r>
                  <w:r>
                    <w:rPr>
                      <w:rFonts w:hint="eastAsia" w:ascii="Times New Roman" w:hAnsi="Times New Roman" w:eastAsia="宋体" w:cs="Times New Roman"/>
                      <w:color w:val="000000" w:themeColor="text1"/>
                      <w:sz w:val="21"/>
                      <w:szCs w:val="21"/>
                      <w14:textFill>
                        <w14:solidFill>
                          <w14:schemeClr w14:val="tx1"/>
                        </w14:solidFill>
                      </w14:textFill>
                    </w:rPr>
                    <w:t>；年产900台箱式变电箱生产线，拟建于车间东侧，建筑面积约4370</w:t>
                  </w:r>
                  <w:r>
                    <w:rPr>
                      <w:rFonts w:ascii="Times New Roman" w:hAnsi="Times New Roman" w:eastAsia="宋体" w:cs="Times New Roman"/>
                      <w:color w:val="000000" w:themeColor="text1"/>
                      <w:sz w:val="21"/>
                      <w:szCs w:val="21"/>
                      <w14:textFill>
                        <w14:solidFill>
                          <w14:schemeClr w14:val="tx1"/>
                        </w14:solidFill>
                      </w14:textFill>
                    </w:rPr>
                    <w:t>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钣金</w:t>
                  </w:r>
                </w:p>
                <w:p>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车间</w:t>
                  </w:r>
                </w:p>
              </w:tc>
              <w:tc>
                <w:tcPr>
                  <w:tcW w:w="2423"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厂内所有产品钣金工序的集中生产车间</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本项目无钣金工序</w:t>
                  </w:r>
                </w:p>
              </w:tc>
              <w:tc>
                <w:tcPr>
                  <w:tcW w:w="2121" w:type="dxa"/>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厂内所有</w:t>
                  </w:r>
                  <w:r>
                    <w:rPr>
                      <w:rFonts w:hint="eastAsia" w:ascii="Times New Roman" w:hAnsi="Times New Roman" w:eastAsia="宋体" w:cs="Times New Roman"/>
                      <w:color w:val="000000" w:themeColor="text1"/>
                      <w:sz w:val="21"/>
                      <w:szCs w:val="21"/>
                      <w14:textFill>
                        <w14:solidFill>
                          <w14:schemeClr w14:val="tx1"/>
                        </w14:solidFill>
                      </w14:textFill>
                    </w:rPr>
                    <w:t>产品</w:t>
                  </w:r>
                  <w:r>
                    <w:rPr>
                      <w:rFonts w:ascii="Times New Roman" w:hAnsi="Times New Roman" w:eastAsia="宋体" w:cs="Times New Roman"/>
                      <w:color w:val="000000" w:themeColor="text1"/>
                      <w:sz w:val="21"/>
                      <w:szCs w:val="21"/>
                      <w14:textFill>
                        <w14:solidFill>
                          <w14:schemeClr w14:val="tx1"/>
                        </w14:solidFill>
                      </w14:textFill>
                    </w:rPr>
                    <w:t>钣金工序</w:t>
                  </w:r>
                  <w:r>
                    <w:rPr>
                      <w:rFonts w:hint="eastAsia" w:ascii="Times New Roman" w:hAnsi="Times New Roman" w:eastAsia="宋体" w:cs="Times New Roman"/>
                      <w:color w:val="000000" w:themeColor="text1"/>
                      <w:sz w:val="21"/>
                      <w:szCs w:val="21"/>
                      <w14:textFill>
                        <w14:solidFill>
                          <w14:schemeClr w14:val="tx1"/>
                        </w14:solidFill>
                      </w14:textFill>
                    </w:rPr>
                    <w:t>的集中生产车间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3841" w:type="dxa"/>
                  <w:gridSpan w:val="3"/>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由市政电力系统提供</w:t>
                  </w:r>
                </w:p>
              </w:tc>
              <w:tc>
                <w:tcPr>
                  <w:tcW w:w="155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由市政电力系统提供</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由市政电力系统提供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给水</w:t>
                  </w:r>
                </w:p>
              </w:tc>
              <w:tc>
                <w:tcPr>
                  <w:tcW w:w="3841" w:type="dxa"/>
                  <w:gridSpan w:val="3"/>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由市政供水系统提供</w:t>
                  </w:r>
                </w:p>
              </w:tc>
              <w:tc>
                <w:tcPr>
                  <w:tcW w:w="155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由市政供水系统提供</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由市政供水系统提供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排水</w:t>
                  </w:r>
                </w:p>
              </w:tc>
              <w:tc>
                <w:tcPr>
                  <w:tcW w:w="2423" w:type="dxa"/>
                  <w:gridSpan w:val="2"/>
                  <w:vAlign w:val="center"/>
                </w:tcPr>
                <w:p>
                  <w:pPr>
                    <w:pStyle w:val="221"/>
                    <w:rPr>
                      <w:color w:val="000000" w:themeColor="text1"/>
                      <w14:textFill>
                        <w14:solidFill>
                          <w14:schemeClr w14:val="tx1"/>
                        </w14:solidFill>
                      </w14:textFill>
                    </w:rPr>
                  </w:pPr>
                  <w:r>
                    <w:rPr>
                      <w:color w:val="000000" w:themeColor="text1"/>
                      <w:spacing w:val="7"/>
                      <w:szCs w:val="21"/>
                      <w14:textFill>
                        <w14:solidFill>
                          <w14:schemeClr w14:val="tx1"/>
                        </w14:solidFill>
                      </w14:textFill>
                    </w:rPr>
                    <w:t>雨污分</w:t>
                  </w:r>
                  <w:r>
                    <w:rPr>
                      <w:color w:val="000000" w:themeColor="text1"/>
                      <w:spacing w:val="8"/>
                      <w:szCs w:val="21"/>
                      <w14:textFill>
                        <w14:solidFill>
                          <w14:schemeClr w14:val="tx1"/>
                        </w14:solidFill>
                      </w14:textFill>
                    </w:rPr>
                    <w:t>流，生活污水经化粪池处理设施处理后进入</w:t>
                  </w:r>
                  <w:r>
                    <w:rPr>
                      <w:color w:val="000000" w:themeColor="text1"/>
                      <w:spacing w:val="7"/>
                      <w:szCs w:val="21"/>
                      <w14:textFill>
                        <w14:solidFill>
                          <w14:schemeClr w14:val="tx1"/>
                        </w14:solidFill>
                      </w14:textFill>
                    </w:rPr>
                    <w:t>福清市融元污水处</w:t>
                  </w:r>
                  <w:r>
                    <w:rPr>
                      <w:color w:val="000000" w:themeColor="text1"/>
                      <w:spacing w:val="4"/>
                      <w:szCs w:val="21"/>
                      <w14:textFill>
                        <w14:solidFill>
                          <w14:schemeClr w14:val="tx1"/>
                        </w14:solidFill>
                      </w14:textFill>
                    </w:rPr>
                    <w:t>理厂</w:t>
                  </w:r>
                  <w:r>
                    <w:rPr>
                      <w:rFonts w:hint="eastAsia"/>
                      <w:color w:val="000000" w:themeColor="text1"/>
                      <w:spacing w:val="4"/>
                      <w:szCs w:val="21"/>
                      <w14:textFill>
                        <w14:solidFill>
                          <w14:schemeClr w14:val="tx1"/>
                        </w14:solidFill>
                      </w14:textFill>
                    </w:rPr>
                    <w:t>；全厂无生产废水外排</w:t>
                  </w:r>
                </w:p>
              </w:tc>
              <w:tc>
                <w:tcPr>
                  <w:tcW w:w="1418" w:type="dxa"/>
                  <w:vAlign w:val="center"/>
                </w:tcPr>
                <w:p>
                  <w:pPr>
                    <w:pStyle w:val="221"/>
                    <w:rPr>
                      <w:color w:val="000000" w:themeColor="text1"/>
                      <w:spacing w:val="7"/>
                      <w:szCs w:val="21"/>
                      <w14:textFill>
                        <w14:solidFill>
                          <w14:schemeClr w14:val="tx1"/>
                        </w14:solidFill>
                      </w14:textFill>
                    </w:rPr>
                  </w:pPr>
                  <w:r>
                    <w:rPr>
                      <w:rFonts w:hint="eastAsia"/>
                      <w:color w:val="000000" w:themeColor="text1"/>
                      <w:spacing w:val="7"/>
                      <w:szCs w:val="21"/>
                      <w14:textFill>
                        <w14:solidFill>
                          <w14:schemeClr w14:val="tx1"/>
                        </w14:solidFill>
                      </w14:textFill>
                    </w:rPr>
                    <w:t>依托现有，无生产废水外排</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spacing w:val="7"/>
                      <w:szCs w:val="21"/>
                      <w14:textFill>
                        <w14:solidFill>
                          <w14:schemeClr w14:val="tx1"/>
                        </w14:solidFill>
                      </w14:textFill>
                    </w:rPr>
                    <w:t>依托现有，无生产废水外排</w:t>
                  </w:r>
                </w:p>
              </w:tc>
              <w:tc>
                <w:tcPr>
                  <w:tcW w:w="2121" w:type="dxa"/>
                  <w:vAlign w:val="center"/>
                </w:tcPr>
                <w:p>
                  <w:pPr>
                    <w:pStyle w:val="221"/>
                    <w:rPr>
                      <w:color w:val="000000" w:themeColor="text1"/>
                      <w14:textFill>
                        <w14:solidFill>
                          <w14:schemeClr w14:val="tx1"/>
                        </w14:solidFill>
                      </w14:textFill>
                    </w:rPr>
                  </w:pPr>
                  <w:r>
                    <w:rPr>
                      <w:color w:val="000000" w:themeColor="text1"/>
                      <w:spacing w:val="7"/>
                      <w:szCs w:val="21"/>
                      <w14:textFill>
                        <w14:solidFill>
                          <w14:schemeClr w14:val="tx1"/>
                        </w14:solidFill>
                      </w14:textFill>
                    </w:rPr>
                    <w:t>雨污分流，生活污水经化粪池处理设施处理后进入福清市融元污水处理厂</w:t>
                  </w:r>
                  <w:r>
                    <w:rPr>
                      <w:rFonts w:hint="eastAsia"/>
                      <w:color w:val="000000" w:themeColor="text1"/>
                      <w:spacing w:val="7"/>
                      <w:szCs w:val="21"/>
                      <w14:textFill>
                        <w14:solidFill>
                          <w14:schemeClr w14:val="tx1"/>
                        </w14:solidFill>
                      </w14:textFill>
                    </w:rPr>
                    <w:t>；</w:t>
                  </w:r>
                  <w:r>
                    <w:rPr>
                      <w:color w:val="000000" w:themeColor="text1"/>
                      <w:spacing w:val="7"/>
                      <w:szCs w:val="21"/>
                      <w14:textFill>
                        <w14:solidFill>
                          <w14:schemeClr w14:val="tx1"/>
                        </w14:solidFill>
                      </w14:textFill>
                    </w:rPr>
                    <w:t>全厂无生产废水</w:t>
                  </w:r>
                  <w:r>
                    <w:rPr>
                      <w:rFonts w:hint="eastAsia"/>
                      <w:color w:val="000000" w:themeColor="text1"/>
                      <w:spacing w:val="7"/>
                      <w:szCs w:val="21"/>
                      <w14:textFill>
                        <w14:solidFill>
                          <w14:schemeClr w14:val="tx1"/>
                        </w14:solidFill>
                      </w14:textFill>
                    </w:rPr>
                    <w:t>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辅助工程</w:t>
                  </w:r>
                </w:p>
              </w:tc>
              <w:tc>
                <w:tcPr>
                  <w:tcW w:w="670" w:type="dxa"/>
                  <w:vAlign w:val="center"/>
                </w:tcPr>
                <w:p>
                  <w:pPr>
                    <w:pStyle w:val="221"/>
                    <w:rPr>
                      <w:color w:val="000000" w:themeColor="text1"/>
                      <w14:textFill>
                        <w14:solidFill>
                          <w14:schemeClr w14:val="tx1"/>
                        </w14:solidFill>
                      </w14:textFill>
                    </w:rPr>
                  </w:pPr>
                  <w:r>
                    <w:rPr>
                      <w:rFonts w:hint="eastAsia"/>
                      <w:color w:val="000000" w:themeColor="text1"/>
                      <w:spacing w:val="5"/>
                      <w14:textFill>
                        <w14:solidFill>
                          <w14:schemeClr w14:val="tx1"/>
                        </w14:solidFill>
                      </w14:textFill>
                    </w:rPr>
                    <w:t>行政楼</w:t>
                  </w:r>
                </w:p>
              </w:tc>
              <w:tc>
                <w:tcPr>
                  <w:tcW w:w="2423" w:type="dxa"/>
                  <w:gridSpan w:val="2"/>
                  <w:vAlign w:val="center"/>
                </w:tcPr>
                <w:p>
                  <w:pPr>
                    <w:pStyle w:val="221"/>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1座，位于厂区西北侧，建筑面积11878m</w:t>
                  </w:r>
                  <w:r>
                    <w:rPr>
                      <w:rFonts w:hint="eastAsia"/>
                      <w:color w:val="000000" w:themeColor="text1"/>
                      <w:spacing w:val="7"/>
                      <w:vertAlign w:val="superscript"/>
                      <w14:textFill>
                        <w14:solidFill>
                          <w14:schemeClr w14:val="tx1"/>
                        </w14:solidFill>
                      </w14:textFill>
                    </w:rPr>
                    <w:t>2</w:t>
                  </w:r>
                  <w:r>
                    <w:rPr>
                      <w:color w:val="000000" w:themeColor="text1"/>
                      <w:spacing w:val="7"/>
                      <w14:textFill>
                        <w14:solidFill>
                          <w14:schemeClr w14:val="tx1"/>
                        </w14:solidFill>
                      </w14:textFill>
                    </w:rPr>
                    <w:t xml:space="preserve"> </w:t>
                  </w:r>
                </w:p>
              </w:tc>
              <w:tc>
                <w:tcPr>
                  <w:tcW w:w="1418" w:type="dxa"/>
                  <w:vAlign w:val="center"/>
                </w:tcPr>
                <w:p>
                  <w:pPr>
                    <w:pStyle w:val="221"/>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依托现有</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spacing w:val="7"/>
                      <w14:textFill>
                        <w14:solidFill>
                          <w14:schemeClr w14:val="tx1"/>
                        </w14:solidFill>
                      </w14:textFill>
                    </w:rPr>
                    <w:t>依托现有</w:t>
                  </w:r>
                </w:p>
              </w:tc>
              <w:tc>
                <w:tcPr>
                  <w:tcW w:w="2121" w:type="dxa"/>
                  <w:vAlign w:val="center"/>
                </w:tcPr>
                <w:p>
                  <w:pPr>
                    <w:pStyle w:val="221"/>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1</w:t>
                  </w:r>
                  <w:r>
                    <w:rPr>
                      <w:color w:val="000000" w:themeColor="text1"/>
                      <w:spacing w:val="7"/>
                      <w14:textFill>
                        <w14:solidFill>
                          <w14:schemeClr w14:val="tx1"/>
                        </w14:solidFill>
                      </w14:textFill>
                    </w:rPr>
                    <w:t>座，</w:t>
                  </w:r>
                  <w:r>
                    <w:rPr>
                      <w:rFonts w:hint="eastAsia"/>
                      <w:color w:val="000000" w:themeColor="text1"/>
                      <w:spacing w:val="7"/>
                      <w14:textFill>
                        <w14:solidFill>
                          <w14:schemeClr w14:val="tx1"/>
                        </w14:solidFill>
                      </w14:textFill>
                    </w:rPr>
                    <w:t>位于厂区西北侧，建筑面积11878</w:t>
                  </w:r>
                  <w:r>
                    <w:rPr>
                      <w:color w:val="000000" w:themeColor="text1"/>
                      <w:spacing w:val="7"/>
                      <w14:textFill>
                        <w14:solidFill>
                          <w14:schemeClr w14:val="tx1"/>
                        </w14:solidFill>
                      </w14:textFill>
                    </w:rPr>
                    <w:t>m</w:t>
                  </w:r>
                  <w:r>
                    <w:rPr>
                      <w:rFonts w:hint="eastAsia"/>
                      <w:color w:val="000000" w:themeColor="text1"/>
                      <w:spacing w:val="7"/>
                      <w:vertAlign w:val="superscript"/>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宿舍楼</w:t>
                  </w:r>
                </w:p>
              </w:tc>
              <w:tc>
                <w:tcPr>
                  <w:tcW w:w="2423" w:type="dxa"/>
                  <w:gridSpan w:val="2"/>
                  <w:vAlign w:val="center"/>
                </w:tcPr>
                <w:p>
                  <w:pPr>
                    <w:pStyle w:val="221"/>
                    <w:rPr>
                      <w:color w:val="000000" w:themeColor="text1"/>
                      <w:spacing w:val="8"/>
                      <w14:textFill>
                        <w14:solidFill>
                          <w14:schemeClr w14:val="tx1"/>
                        </w14:solidFill>
                      </w14:textFill>
                    </w:rPr>
                  </w:pPr>
                  <w:r>
                    <w:rPr>
                      <w:rFonts w:hint="eastAsia"/>
                      <w:color w:val="000000" w:themeColor="text1"/>
                      <w:spacing w:val="8"/>
                      <w14:textFill>
                        <w14:solidFill>
                          <w14:schemeClr w14:val="tx1"/>
                        </w14:solidFill>
                      </w14:textFill>
                    </w:rPr>
                    <w:t>1-10号宿舍楼</w:t>
                  </w:r>
                </w:p>
              </w:tc>
              <w:tc>
                <w:tcPr>
                  <w:tcW w:w="1418" w:type="dxa"/>
                  <w:vAlign w:val="center"/>
                </w:tcPr>
                <w:p>
                  <w:pPr>
                    <w:pStyle w:val="221"/>
                    <w:rPr>
                      <w:color w:val="000000" w:themeColor="text1"/>
                      <w:spacing w:val="8"/>
                      <w14:textFill>
                        <w14:solidFill>
                          <w14:schemeClr w14:val="tx1"/>
                        </w14:solidFill>
                      </w14:textFill>
                    </w:rPr>
                  </w:pPr>
                  <w:r>
                    <w:rPr>
                      <w:rFonts w:hint="eastAsia"/>
                      <w:color w:val="000000" w:themeColor="text1"/>
                      <w:spacing w:val="8"/>
                      <w14:textFill>
                        <w14:solidFill>
                          <w14:schemeClr w14:val="tx1"/>
                        </w14:solidFill>
                      </w14:textFill>
                    </w:rPr>
                    <w:t>依托现有</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spacing w:val="8"/>
                      <w14:textFill>
                        <w14:solidFill>
                          <w14:schemeClr w14:val="tx1"/>
                        </w14:solidFill>
                      </w14:textFill>
                    </w:rPr>
                    <w:t>依托现有</w:t>
                  </w:r>
                </w:p>
              </w:tc>
              <w:tc>
                <w:tcPr>
                  <w:tcW w:w="2121" w:type="dxa"/>
                  <w:vAlign w:val="center"/>
                </w:tcPr>
                <w:p>
                  <w:pPr>
                    <w:pStyle w:val="221"/>
                    <w:rPr>
                      <w:color w:val="000000" w:themeColor="text1"/>
                      <w:spacing w:val="8"/>
                      <w14:textFill>
                        <w14:solidFill>
                          <w14:schemeClr w14:val="tx1"/>
                        </w14:solidFill>
                      </w14:textFill>
                    </w:rPr>
                  </w:pPr>
                  <w:r>
                    <w:rPr>
                      <w:rFonts w:hint="eastAsia"/>
                      <w:color w:val="000000" w:themeColor="text1"/>
                      <w:spacing w:val="8"/>
                      <w14:textFill>
                        <w14:solidFill>
                          <w14:schemeClr w14:val="tx1"/>
                        </w14:solidFill>
                      </w14:textFill>
                    </w:rPr>
                    <w:t>1-10号宿舍楼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食堂</w:t>
                  </w:r>
                </w:p>
              </w:tc>
              <w:tc>
                <w:tcPr>
                  <w:tcW w:w="2423" w:type="dxa"/>
                  <w:gridSpan w:val="2"/>
                  <w:vAlign w:val="center"/>
                </w:tcPr>
                <w:p>
                  <w:pPr>
                    <w:pStyle w:val="221"/>
                    <w:rPr>
                      <w:color w:val="000000" w:themeColor="text1"/>
                      <w:spacing w:val="8"/>
                      <w14:textFill>
                        <w14:solidFill>
                          <w14:schemeClr w14:val="tx1"/>
                        </w14:solidFill>
                      </w14:textFill>
                    </w:rPr>
                  </w:pPr>
                  <w:r>
                    <w:rPr>
                      <w:color w:val="000000" w:themeColor="text1"/>
                      <w:spacing w:val="8"/>
                      <w14:textFill>
                        <w14:solidFill>
                          <w14:schemeClr w14:val="tx1"/>
                        </w14:solidFill>
                      </w14:textFill>
                    </w:rPr>
                    <w:t>食堂</w:t>
                  </w:r>
                  <w:r>
                    <w:rPr>
                      <w:rFonts w:hint="eastAsia"/>
                      <w:color w:val="000000" w:themeColor="text1"/>
                      <w:spacing w:val="8"/>
                      <w14:textFill>
                        <w14:solidFill>
                          <w14:schemeClr w14:val="tx1"/>
                        </w14:solidFill>
                      </w14:textFill>
                    </w:rPr>
                    <w:t>1座</w:t>
                  </w:r>
                </w:p>
              </w:tc>
              <w:tc>
                <w:tcPr>
                  <w:tcW w:w="1418" w:type="dxa"/>
                  <w:vAlign w:val="center"/>
                </w:tcPr>
                <w:p>
                  <w:pPr>
                    <w:pStyle w:val="221"/>
                    <w:rPr>
                      <w:color w:val="000000" w:themeColor="text1"/>
                      <w:spacing w:val="8"/>
                      <w14:textFill>
                        <w14:solidFill>
                          <w14:schemeClr w14:val="tx1"/>
                        </w14:solidFill>
                      </w14:textFill>
                    </w:rPr>
                  </w:pPr>
                  <w:r>
                    <w:rPr>
                      <w:rFonts w:hint="eastAsia"/>
                      <w:color w:val="000000" w:themeColor="text1"/>
                      <w:spacing w:val="8"/>
                      <w14:textFill>
                        <w14:solidFill>
                          <w14:schemeClr w14:val="tx1"/>
                        </w14:solidFill>
                      </w14:textFill>
                    </w:rPr>
                    <w:t>依托现有</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spacing w:val="8"/>
                      <w14:textFill>
                        <w14:solidFill>
                          <w14:schemeClr w14:val="tx1"/>
                        </w14:solidFill>
                      </w14:textFill>
                    </w:rPr>
                    <w:t>依托现有</w:t>
                  </w:r>
                </w:p>
              </w:tc>
              <w:tc>
                <w:tcPr>
                  <w:tcW w:w="2121" w:type="dxa"/>
                  <w:vAlign w:val="center"/>
                </w:tcPr>
                <w:p>
                  <w:pPr>
                    <w:pStyle w:val="221"/>
                    <w:rPr>
                      <w:color w:val="000000" w:themeColor="text1"/>
                      <w:spacing w:val="8"/>
                      <w14:textFill>
                        <w14:solidFill>
                          <w14:schemeClr w14:val="tx1"/>
                        </w14:solidFill>
                      </w14:textFill>
                    </w:rPr>
                  </w:pPr>
                  <w:r>
                    <w:rPr>
                      <w:color w:val="000000" w:themeColor="text1"/>
                      <w:spacing w:val="8"/>
                      <w14:textFill>
                        <w14:solidFill>
                          <w14:schemeClr w14:val="tx1"/>
                        </w14:solidFill>
                      </w14:textFill>
                    </w:rPr>
                    <w:t>食堂</w:t>
                  </w:r>
                  <w:r>
                    <w:rPr>
                      <w:rFonts w:hint="eastAsia"/>
                      <w:color w:val="000000" w:themeColor="text1"/>
                      <w:spacing w:val="8"/>
                      <w14:textFill>
                        <w14:solidFill>
                          <w14:schemeClr w14:val="tx1"/>
                        </w14:solidFill>
                      </w14:textFill>
                    </w:rPr>
                    <w:t>1座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6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废水工程</w:t>
                  </w:r>
                </w:p>
              </w:tc>
              <w:tc>
                <w:tcPr>
                  <w:tcW w:w="2423" w:type="dxa"/>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生活污水经化粪池处理设施处理后进入福清市融元污水处理厂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全厂无生产废水</w:t>
                  </w:r>
                  <w:r>
                    <w:rPr>
                      <w:rFonts w:hint="eastAsia"/>
                      <w:color w:val="000000" w:themeColor="text1"/>
                      <w14:textFill>
                        <w14:solidFill>
                          <w14:schemeClr w14:val="tx1"/>
                        </w14:solidFill>
                      </w14:textFill>
                    </w:rPr>
                    <w:t>外排</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w:t>
                  </w:r>
                </w:p>
              </w:tc>
              <w:tc>
                <w:tcPr>
                  <w:tcW w:w="155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清洗废水经自建污水处理站处理后回用于清洗工序和冷却塔冷却用水，不外排</w:t>
                  </w:r>
                  <w:r>
                    <w:rPr>
                      <w:rFonts w:hint="eastAsia"/>
                      <w:color w:val="000000" w:themeColor="text1"/>
                      <w14:textFill>
                        <w14:solidFill>
                          <w14:schemeClr w14:val="tx1"/>
                        </w14:solidFill>
                      </w14:textFill>
                    </w:rPr>
                    <w:t>，员工从现有员工中调配，无新增生活污水</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生活污水经化粪池处理设施处理后进入福清市融元污水处理厂</w:t>
                  </w:r>
                  <w:r>
                    <w:rPr>
                      <w:rFonts w:hint="eastAsia"/>
                      <w:color w:val="000000" w:themeColor="text1"/>
                      <w14:textFill>
                        <w14:solidFill>
                          <w14:schemeClr w14:val="tx1"/>
                        </w14:solidFill>
                      </w14:textFill>
                    </w:rPr>
                    <w:t>；电缆附件生产线</w:t>
                  </w:r>
                  <w:r>
                    <w:rPr>
                      <w:color w:val="000000" w:themeColor="text1"/>
                      <w14:textFill>
                        <w14:solidFill>
                          <w14:schemeClr w14:val="tx1"/>
                        </w14:solidFill>
                      </w14:textFill>
                    </w:rPr>
                    <w:t>清洗废水经自建污水处理站处理后回用于清洗工序和冷却塔冷却用水，不外排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废气工程</w:t>
                  </w:r>
                </w:p>
              </w:tc>
              <w:tc>
                <w:tcPr>
                  <w:tcW w:w="56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1#车间</w:t>
                  </w:r>
                </w:p>
              </w:tc>
              <w:tc>
                <w:tcPr>
                  <w:tcW w:w="186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空置，无废气产生</w:t>
                  </w:r>
                </w:p>
              </w:tc>
              <w:tc>
                <w:tcPr>
                  <w:tcW w:w="1418"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w:t>
                  </w:r>
                </w:p>
              </w:tc>
              <w:tc>
                <w:tcPr>
                  <w:tcW w:w="1559" w:type="dxa"/>
                  <w:vAlign w:val="center"/>
                </w:tcPr>
                <w:p>
                  <w:pPr>
                    <w:pStyle w:val="221"/>
                    <w:rPr>
                      <w:color w:val="000000" w:themeColor="text1"/>
                      <w:szCs w:val="21"/>
                      <w14:textFill>
                        <w14:solidFill>
                          <w14:schemeClr w14:val="tx1"/>
                        </w14:solidFill>
                      </w14:textFill>
                    </w:rPr>
                  </w:pPr>
                  <w:r>
                    <w:rPr>
                      <w:color w:val="000000" w:themeColor="text1"/>
                      <w:szCs w:val="21"/>
                      <w14:textFill>
                        <w14:solidFill>
                          <w14:schemeClr w14:val="tx1"/>
                        </w14:solidFill>
                      </w14:textFill>
                    </w:rPr>
                    <w:t>修边打磨废气收集</w:t>
                  </w:r>
                  <w:r>
                    <w:rPr>
                      <w:rFonts w:hint="eastAsia"/>
                      <w:color w:val="000000" w:themeColor="text1"/>
                      <w:szCs w:val="21"/>
                      <w14:textFill>
                        <w14:solidFill>
                          <w14:schemeClr w14:val="tx1"/>
                        </w14:solidFill>
                      </w14:textFill>
                    </w:rPr>
                    <w:t>后</w:t>
                  </w:r>
                  <w:r>
                    <w:rPr>
                      <w:color w:val="000000" w:themeColor="text1"/>
                      <w:szCs w:val="21"/>
                      <w14:textFill>
                        <w14:solidFill>
                          <w14:schemeClr w14:val="tx1"/>
                        </w14:solidFill>
                      </w14:textFill>
                    </w:rPr>
                    <w:t>经自带单机布袋收尘处理后车间内无组织排放</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14:ligatures w14:val="none"/>
                    </w:rPr>
                    <w:t>注胶</w:t>
                  </w:r>
                  <w:r>
                    <w:rPr>
                      <w:rFonts w:hint="eastAsia"/>
                      <w:color w:val="000000" w:themeColor="text1"/>
                      <w:szCs w:val="21"/>
                      <w14:textFill>
                        <w14:solidFill>
                          <w14:schemeClr w14:val="tx1"/>
                        </w14:solidFill>
                      </w14:textFill>
                      <w14:ligatures w14:val="none"/>
                    </w:rPr>
                    <w:t>、硫化废气经</w:t>
                  </w:r>
                  <w:r>
                    <w:rPr>
                      <w:color w:val="000000" w:themeColor="text1"/>
                      <w:szCs w:val="21"/>
                      <w14:textFill>
                        <w14:solidFill>
                          <w14:schemeClr w14:val="tx1"/>
                        </w14:solidFill>
                      </w14:textFill>
                      <w14:ligatures w14:val="none"/>
                    </w:rPr>
                    <w:t>车间负压收集+二级活性炭吸附后通过1根15m高排气筒（DA00</w:t>
                  </w:r>
                  <w:r>
                    <w:rPr>
                      <w:rFonts w:hint="eastAsia"/>
                      <w:color w:val="000000" w:themeColor="text1"/>
                      <w:szCs w:val="21"/>
                      <w14:textFill>
                        <w14:solidFill>
                          <w14:schemeClr w14:val="tx1"/>
                        </w14:solidFill>
                      </w14:textFill>
                      <w14:ligatures w14:val="none"/>
                    </w:rPr>
                    <w:t>5</w:t>
                  </w:r>
                  <w:r>
                    <w:rPr>
                      <w:color w:val="000000" w:themeColor="text1"/>
                      <w:szCs w:val="21"/>
                      <w14:textFill>
                        <w14:solidFill>
                          <w14:schemeClr w14:val="tx1"/>
                        </w14:solidFill>
                      </w14:textFill>
                      <w14:ligatures w14:val="none"/>
                    </w:rPr>
                    <w:t>）排放</w:t>
                  </w:r>
                  <w:r>
                    <w:rPr>
                      <w:rFonts w:hint="eastAsia"/>
                      <w:color w:val="000000" w:themeColor="text1"/>
                      <w:szCs w:val="21"/>
                      <w14:textFill>
                        <w14:solidFill>
                          <w14:schemeClr w14:val="tx1"/>
                        </w14:solidFill>
                      </w14:textFill>
                      <w14:ligatures w14:val="none"/>
                    </w:rPr>
                    <w:t>；</w:t>
                  </w:r>
                  <w:r>
                    <w:rPr>
                      <w:color w:val="000000" w:themeColor="text1"/>
                      <w:szCs w:val="21"/>
                      <w14:textFill>
                        <w14:solidFill>
                          <w14:schemeClr w14:val="tx1"/>
                        </w14:solidFill>
                      </w14:textFill>
                      <w14:ligatures w14:val="none"/>
                    </w:rPr>
                    <w:t>涂刷、固化、脱模剂等有机废气</w:t>
                  </w:r>
                  <w:r>
                    <w:rPr>
                      <w:rFonts w:hint="eastAsia"/>
                      <w:color w:val="000000" w:themeColor="text1"/>
                      <w:szCs w:val="21"/>
                      <w14:textFill>
                        <w14:solidFill>
                          <w14:schemeClr w14:val="tx1"/>
                        </w14:solidFill>
                      </w14:textFill>
                      <w14:ligatures w14:val="none"/>
                    </w:rPr>
                    <w:t>经</w:t>
                  </w:r>
                  <w:r>
                    <w:rPr>
                      <w:color w:val="000000" w:themeColor="text1"/>
                      <w:szCs w:val="21"/>
                      <w14:textFill>
                        <w14:solidFill>
                          <w14:schemeClr w14:val="tx1"/>
                        </w14:solidFill>
                      </w14:textFill>
                      <w14:ligatures w14:val="none"/>
                    </w:rPr>
                    <w:t>车间负压收集+二级活性炭吸附后通过1根15m高排气筒（DA00</w:t>
                  </w:r>
                  <w:r>
                    <w:rPr>
                      <w:rFonts w:hint="eastAsia"/>
                      <w:color w:val="000000" w:themeColor="text1"/>
                      <w:szCs w:val="21"/>
                      <w14:textFill>
                        <w14:solidFill>
                          <w14:schemeClr w14:val="tx1"/>
                        </w14:solidFill>
                      </w14:textFill>
                      <w14:ligatures w14:val="none"/>
                    </w:rPr>
                    <w:t>6</w:t>
                  </w:r>
                  <w:r>
                    <w:rPr>
                      <w:color w:val="000000" w:themeColor="text1"/>
                      <w:szCs w:val="21"/>
                      <w14:textFill>
                        <w14:solidFill>
                          <w14:schemeClr w14:val="tx1"/>
                        </w14:solidFill>
                      </w14:textFill>
                      <w14:ligatures w14:val="none"/>
                    </w:rPr>
                    <w:t>）排放</w:t>
                  </w:r>
                </w:p>
              </w:tc>
              <w:tc>
                <w:tcPr>
                  <w:tcW w:w="2121" w:type="dxa"/>
                  <w:vAlign w:val="center"/>
                </w:tcPr>
                <w:p>
                  <w:pPr>
                    <w:pStyle w:val="221"/>
                    <w:rPr>
                      <w:color w:val="000000" w:themeColor="text1"/>
                      <w14:textFill>
                        <w14:solidFill>
                          <w14:schemeClr w14:val="tx1"/>
                        </w14:solidFill>
                      </w14:textFill>
                      <w14:ligatures w14:val="none"/>
                    </w:rPr>
                  </w:pPr>
                  <w:r>
                    <w:rPr>
                      <w:color w:val="000000" w:themeColor="text1"/>
                      <w14:textFill>
                        <w14:solidFill>
                          <w14:schemeClr w14:val="tx1"/>
                        </w14:solidFill>
                      </w14:textFill>
                    </w:rPr>
                    <w:t>修边打磨废气收集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经自带单机布袋收尘处理后车间内无组织排放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注胶</w:t>
                  </w:r>
                  <w:r>
                    <w:rPr>
                      <w:rFonts w:hint="eastAsia"/>
                      <w:color w:val="000000" w:themeColor="text1"/>
                      <w14:textFill>
                        <w14:solidFill>
                          <w14:schemeClr w14:val="tx1"/>
                        </w14:solidFill>
                      </w14:textFill>
                    </w:rPr>
                    <w:t>、硫化废气经</w:t>
                  </w:r>
                  <w:r>
                    <w:rPr>
                      <w:color w:val="000000" w:themeColor="text1"/>
                      <w14:textFill>
                        <w14:solidFill>
                          <w14:schemeClr w14:val="tx1"/>
                        </w14:solidFill>
                      </w14:textFill>
                    </w:rPr>
                    <w:t>车间负压收集+二级活性炭吸附后通过1根15m高排气筒（DA00</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）排放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涂刷、固化、脱模剂等有机废气</w:t>
                  </w:r>
                  <w:r>
                    <w:rPr>
                      <w:rFonts w:hint="eastAsia"/>
                      <w:color w:val="000000" w:themeColor="text1"/>
                      <w14:textFill>
                        <w14:solidFill>
                          <w14:schemeClr w14:val="tx1"/>
                        </w14:solidFill>
                      </w14:textFill>
                    </w:rPr>
                    <w:t>经</w:t>
                  </w:r>
                  <w:r>
                    <w:rPr>
                      <w:color w:val="000000" w:themeColor="text1"/>
                      <w14:textFill>
                        <w14:solidFill>
                          <w14:schemeClr w14:val="tx1"/>
                        </w14:solidFill>
                      </w14:textFill>
                    </w:rPr>
                    <w:t>车间负压收集+二级活性炭吸附后通过1根15m高排气筒（DA00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continue"/>
                  <w:vAlign w:val="center"/>
                </w:tcPr>
                <w:p>
                  <w:pPr>
                    <w:pStyle w:val="221"/>
                    <w:rPr>
                      <w:color w:val="000000" w:themeColor="text1"/>
                      <w14:textFill>
                        <w14:solidFill>
                          <w14:schemeClr w14:val="tx1"/>
                        </w14:solidFill>
                      </w14:textFill>
                    </w:rPr>
                  </w:pPr>
                </w:p>
              </w:tc>
              <w:tc>
                <w:tcPr>
                  <w:tcW w:w="56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#车间</w:t>
                  </w:r>
                </w:p>
              </w:tc>
              <w:tc>
                <w:tcPr>
                  <w:tcW w:w="186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年产中压预制式电缆附件</w:t>
                  </w:r>
                  <w:r>
                    <w:rPr>
                      <w:rFonts w:hint="eastAsia"/>
                      <w:color w:val="000000" w:themeColor="text1"/>
                      <w14:textFill>
                        <w14:solidFill>
                          <w14:schemeClr w14:val="tx1"/>
                        </w14:solidFill>
                      </w14:textFill>
                    </w:rPr>
                    <w:t>60</w:t>
                  </w:r>
                  <w:r>
                    <w:rPr>
                      <w:color w:val="000000" w:themeColor="text1"/>
                      <w14:textFill>
                        <w14:solidFill>
                          <w14:schemeClr w14:val="tx1"/>
                        </w14:solidFill>
                      </w14:textFill>
                    </w:rPr>
                    <w:t>万只生产线橡胶制品磨边修整产生的树脂粉尘</w:t>
                  </w:r>
                  <w:r>
                    <w:rPr>
                      <w:rFonts w:hint="eastAsia"/>
                      <w:color w:val="000000" w:themeColor="text1"/>
                      <w14:textFill>
                        <w14:solidFill>
                          <w14:schemeClr w14:val="tx1"/>
                        </w14:solidFill>
                      </w14:textFill>
                    </w:rPr>
                    <w:t>经自带单机布袋收尘处理后车间内无组织排放</w:t>
                  </w:r>
                </w:p>
              </w:tc>
              <w:tc>
                <w:tcPr>
                  <w:tcW w:w="1418"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w:t>
                  </w:r>
                </w:p>
              </w:tc>
              <w:tc>
                <w:tcPr>
                  <w:tcW w:w="1559"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生产线拆除，无废气产生</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无废气产生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continue"/>
                  <w:vAlign w:val="center"/>
                </w:tcPr>
                <w:p>
                  <w:pPr>
                    <w:pStyle w:val="221"/>
                    <w:rPr>
                      <w:color w:val="000000" w:themeColor="text1"/>
                      <w14:textFill>
                        <w14:solidFill>
                          <w14:schemeClr w14:val="tx1"/>
                        </w14:solidFill>
                      </w14:textFill>
                    </w:rPr>
                  </w:pPr>
                </w:p>
              </w:tc>
              <w:tc>
                <w:tcPr>
                  <w:tcW w:w="56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3#车间</w:t>
                  </w:r>
                </w:p>
              </w:tc>
              <w:tc>
                <w:tcPr>
                  <w:tcW w:w="186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已建项目统一</w:t>
                  </w:r>
                  <w:r>
                    <w:rPr>
                      <w:color w:val="000000" w:themeColor="text1"/>
                      <w14:textFill>
                        <w14:solidFill>
                          <w14:schemeClr w14:val="tx1"/>
                        </w14:solidFill>
                      </w14:textFill>
                    </w:rPr>
                    <w:t>焊接</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产生的焊接烟尘收集后经</w:t>
                  </w:r>
                  <w:r>
                    <w:rPr>
                      <w:rFonts w:hint="eastAsia"/>
                      <w:color w:val="000000" w:themeColor="text1"/>
                      <w14:textFill>
                        <w14:solidFill>
                          <w14:schemeClr w14:val="tx1"/>
                        </w14:solidFill>
                      </w14:textFill>
                    </w:rPr>
                    <w:t>2套</w:t>
                  </w:r>
                  <w:r>
                    <w:rPr>
                      <w:color w:val="000000" w:themeColor="text1"/>
                      <w14:textFill>
                        <w14:solidFill>
                          <w14:schemeClr w14:val="tx1"/>
                        </w14:solidFill>
                      </w14:textFill>
                    </w:rPr>
                    <w:t>焊烟除尘器处理后通过</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根15m高排气筒排放（DA001</w:t>
                  </w:r>
                  <w:r>
                    <w:rPr>
                      <w:rFonts w:hint="eastAsia"/>
                      <w:color w:val="000000" w:themeColor="text1"/>
                      <w14:textFill>
                        <w14:solidFill>
                          <w14:schemeClr w14:val="tx1"/>
                        </w14:solidFill>
                      </w14:textFill>
                    </w:rPr>
                    <w:t>、DA002</w:t>
                  </w:r>
                  <w:r>
                    <w:rPr>
                      <w:color w:val="000000" w:themeColor="text1"/>
                      <w14:textFill>
                        <w14:solidFill>
                          <w14:schemeClr w14:val="tx1"/>
                        </w14:solidFill>
                      </w14:textFill>
                    </w:rPr>
                    <w:t>）</w:t>
                  </w:r>
                </w:p>
              </w:tc>
              <w:tc>
                <w:tcPr>
                  <w:tcW w:w="1418"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年产充电桩8000台、储能集成系统400MWh生产线</w:t>
                  </w:r>
                  <w:r>
                    <w:rPr>
                      <w:color w:val="000000" w:themeColor="text1"/>
                      <w:szCs w:val="21"/>
                      <w14:textFill>
                        <w14:solidFill>
                          <w14:schemeClr w14:val="tx1"/>
                        </w14:solidFill>
                      </w14:textFill>
                      <w14:ligatures w14:val="none"/>
                    </w:rPr>
                    <w:t>产生的焊接烟尘、有机废气收集后</w:t>
                  </w:r>
                  <w:r>
                    <w:rPr>
                      <w:rFonts w:hint="eastAsia"/>
                      <w:color w:val="000000" w:themeColor="text1"/>
                      <w:szCs w:val="21"/>
                      <w14:textFill>
                        <w14:solidFill>
                          <w14:schemeClr w14:val="tx1"/>
                        </w14:solidFill>
                      </w14:textFill>
                      <w14:ligatures w14:val="none"/>
                    </w:rPr>
                    <w:t>经</w:t>
                  </w:r>
                  <w:r>
                    <w:rPr>
                      <w:color w:val="000000" w:themeColor="text1"/>
                      <w:szCs w:val="21"/>
                      <w14:textFill>
                        <w14:solidFill>
                          <w14:schemeClr w14:val="tx1"/>
                        </w14:solidFill>
                      </w14:textFill>
                      <w14:ligatures w14:val="none"/>
                    </w:rPr>
                    <w:t>滤筒除尘器+活性炭+15m高排气筒排放（DA003）</w:t>
                  </w:r>
                </w:p>
              </w:tc>
              <w:tc>
                <w:tcPr>
                  <w:tcW w:w="1559"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w:t>
                  </w:r>
                </w:p>
              </w:tc>
              <w:tc>
                <w:tcPr>
                  <w:tcW w:w="212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已建项目统一</w:t>
                  </w:r>
                  <w:r>
                    <w:rPr>
                      <w:color w:val="000000" w:themeColor="text1"/>
                      <w14:textFill>
                        <w14:solidFill>
                          <w14:schemeClr w14:val="tx1"/>
                        </w14:solidFill>
                      </w14:textFill>
                    </w:rPr>
                    <w:t>焊接</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产生的焊接烟尘收集后经</w:t>
                  </w:r>
                  <w:r>
                    <w:rPr>
                      <w:rFonts w:hint="eastAsia"/>
                      <w:color w:val="000000" w:themeColor="text1"/>
                      <w14:textFill>
                        <w14:solidFill>
                          <w14:schemeClr w14:val="tx1"/>
                        </w14:solidFill>
                      </w14:textFill>
                    </w:rPr>
                    <w:t>2套</w:t>
                  </w:r>
                  <w:r>
                    <w:rPr>
                      <w:color w:val="000000" w:themeColor="text1"/>
                      <w14:textFill>
                        <w14:solidFill>
                          <w14:schemeClr w14:val="tx1"/>
                        </w14:solidFill>
                      </w14:textFill>
                    </w:rPr>
                    <w:t>焊烟除尘器处理后通过</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根15m高排气筒排放（DA001</w:t>
                  </w:r>
                  <w:r>
                    <w:rPr>
                      <w:rFonts w:hint="eastAsia"/>
                      <w:color w:val="000000" w:themeColor="text1"/>
                      <w14:textFill>
                        <w14:solidFill>
                          <w14:schemeClr w14:val="tx1"/>
                        </w14:solidFill>
                      </w14:textFill>
                    </w:rPr>
                    <w:t>、DA002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；年产充电桩8000台、储能集成系统400MWh生产线</w:t>
                  </w:r>
                  <w:r>
                    <w:rPr>
                      <w:color w:val="000000" w:themeColor="text1"/>
                      <w14:textFill>
                        <w14:solidFill>
                          <w14:schemeClr w14:val="tx1"/>
                        </w14:solidFill>
                      </w14:textFill>
                    </w:rPr>
                    <w:t>产生的焊接烟尘、有机废气收集后</w:t>
                  </w:r>
                  <w:r>
                    <w:rPr>
                      <w:rFonts w:hint="eastAsia"/>
                      <w:color w:val="000000" w:themeColor="text1"/>
                      <w14:textFill>
                        <w14:solidFill>
                          <w14:schemeClr w14:val="tx1"/>
                        </w14:solidFill>
                      </w14:textFill>
                    </w:rPr>
                    <w:t>经</w:t>
                  </w:r>
                  <w:r>
                    <w:rPr>
                      <w:color w:val="000000" w:themeColor="text1"/>
                      <w14:textFill>
                        <w14:solidFill>
                          <w14:schemeClr w14:val="tx1"/>
                        </w14:solidFill>
                      </w14:textFill>
                    </w:rPr>
                    <w:t>滤筒除尘器+活性炭+15m高排气筒排放（DA003）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continue"/>
                  <w:vAlign w:val="center"/>
                </w:tcPr>
                <w:p>
                  <w:pPr>
                    <w:pStyle w:val="221"/>
                    <w:rPr>
                      <w:color w:val="000000" w:themeColor="text1"/>
                      <w14:textFill>
                        <w14:solidFill>
                          <w14:schemeClr w14:val="tx1"/>
                        </w14:solidFill>
                      </w14:textFill>
                    </w:rPr>
                  </w:pPr>
                </w:p>
              </w:tc>
              <w:tc>
                <w:tcPr>
                  <w:tcW w:w="56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4#车间</w:t>
                  </w:r>
                </w:p>
              </w:tc>
              <w:tc>
                <w:tcPr>
                  <w:tcW w:w="186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年产智能化免维护型环网设备（C-GIS充气柜）2万台套生产线仅组装，无废气</w:t>
                  </w:r>
                </w:p>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产生</w:t>
                  </w:r>
                </w:p>
              </w:tc>
              <w:tc>
                <w:tcPr>
                  <w:tcW w:w="1418" w:type="dxa"/>
                  <w:vAlign w:val="center"/>
                </w:tcPr>
                <w:p>
                  <w:pPr>
                    <w:pStyle w:val="221"/>
                    <w:rPr>
                      <w:color w:val="000000" w:themeColor="text1"/>
                      <w:szCs w:val="21"/>
                      <w14:textFill>
                        <w14:solidFill>
                          <w14:schemeClr w14:val="tx1"/>
                        </w14:solidFill>
                      </w14:textFill>
                      <w14:ligatures w14:val="none"/>
                    </w:rPr>
                  </w:pPr>
                  <w:r>
                    <w:rPr>
                      <w:color w:val="000000" w:themeColor="text1"/>
                      <w:szCs w:val="21"/>
                      <w14:textFill>
                        <w14:solidFill>
                          <w14:schemeClr w14:val="tx1"/>
                        </w14:solidFill>
                      </w14:textFill>
                    </w:rPr>
                    <w:t>年产一二次融合成套配电开关设备2万台、边缘计算智能终端7万套、智能传感器5万套生产线产生焊接烟尘收集后经焊烟除尘器处理后通过 15m 排气筒排放（DA00</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w:t>
                  </w:r>
                </w:p>
              </w:tc>
              <w:tc>
                <w:tcPr>
                  <w:tcW w:w="1559"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年产一二次融合成套配电开关设备2万台、边缘计算智能终端7万套、智能传感器5万套生产线产生焊接烟尘收集后经焊烟除尘器处理后通过 15m 排气筒排放（DA00</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continue"/>
                  <w:vAlign w:val="center"/>
                </w:tcPr>
                <w:p>
                  <w:pPr>
                    <w:pStyle w:val="221"/>
                    <w:rPr>
                      <w:color w:val="000000" w:themeColor="text1"/>
                      <w14:textFill>
                        <w14:solidFill>
                          <w14:schemeClr w14:val="tx1"/>
                        </w14:solidFill>
                      </w14:textFill>
                    </w:rPr>
                  </w:pPr>
                </w:p>
              </w:tc>
              <w:tc>
                <w:tcPr>
                  <w:tcW w:w="56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6#车间</w:t>
                  </w:r>
                </w:p>
              </w:tc>
              <w:tc>
                <w:tcPr>
                  <w:tcW w:w="186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仅组装，无废气</w:t>
                  </w:r>
                </w:p>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产生</w:t>
                  </w:r>
                </w:p>
              </w:tc>
              <w:tc>
                <w:tcPr>
                  <w:tcW w:w="1418" w:type="dxa"/>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1559"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w:t>
                  </w:r>
                </w:p>
              </w:tc>
              <w:tc>
                <w:tcPr>
                  <w:tcW w:w="2121" w:type="dxa"/>
                  <w:vAlign w:val="center"/>
                </w:tcPr>
                <w:p>
                  <w:pPr>
                    <w:pStyle w:val="221"/>
                    <w:rPr>
                      <w:color w:val="000000" w:themeColor="text1"/>
                      <w14:textFill>
                        <w14:solidFill>
                          <w14:schemeClr w14:val="tx1"/>
                        </w14:solidFill>
                      </w14:textFill>
                    </w:rPr>
                  </w:pPr>
                  <w:r>
                    <w:rPr>
                      <w:rFonts w:hint="eastAsia"/>
                      <w:color w:val="000000" w:themeColor="text1"/>
                      <w:szCs w:val="21"/>
                      <w14:textFill>
                        <w14:solidFill>
                          <w14:schemeClr w14:val="tx1"/>
                        </w14:solidFill>
                      </w14:textFill>
                      <w14:ligatures w14: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continue"/>
                  <w:vAlign w:val="center"/>
                </w:tcPr>
                <w:p>
                  <w:pPr>
                    <w:pStyle w:val="221"/>
                    <w:rPr>
                      <w:color w:val="000000" w:themeColor="text1"/>
                      <w14:textFill>
                        <w14:solidFill>
                          <w14:schemeClr w14:val="tx1"/>
                        </w14:solidFill>
                      </w14:textFill>
                    </w:rPr>
                  </w:pPr>
                </w:p>
              </w:tc>
              <w:tc>
                <w:tcPr>
                  <w:tcW w:w="56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钣金车间</w:t>
                  </w:r>
                </w:p>
              </w:tc>
              <w:tc>
                <w:tcPr>
                  <w:tcW w:w="186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加工过程产生的金属粉尘均呈无组织排放</w:t>
                  </w:r>
                </w:p>
              </w:tc>
              <w:tc>
                <w:tcPr>
                  <w:tcW w:w="1418" w:type="dxa"/>
                  <w:vAlign w:val="center"/>
                </w:tcPr>
                <w:p>
                  <w:pPr>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14:ligatures w14:val="standardContextual"/>
                    </w:rPr>
                  </w:pPr>
                  <w:r>
                    <w:rPr>
                      <w:rFonts w:ascii="Times New Roman" w:hAnsi="Times New Roman" w:eastAsia="宋体" w:cs="Times New Roman"/>
                      <w:color w:val="000000" w:themeColor="text1"/>
                      <w:sz w:val="21"/>
                      <w:szCs w:val="24"/>
                      <w14:textFill>
                        <w14:solidFill>
                          <w14:schemeClr w14:val="tx1"/>
                        </w14:solidFill>
                      </w14:textFill>
                      <w14:ligatures w14:val="standardContextual"/>
                    </w:rPr>
                    <w:t>加工过程产生的金属粉尘均呈无组织排放</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加工过程产生的金属粉尘均呈无组织排放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continue"/>
                  <w:vAlign w:val="center"/>
                </w:tcPr>
                <w:p>
                  <w:pPr>
                    <w:pStyle w:val="221"/>
                    <w:rPr>
                      <w:color w:val="000000" w:themeColor="text1"/>
                      <w14:textFill>
                        <w14:solidFill>
                          <w14:schemeClr w14:val="tx1"/>
                        </w14:solidFill>
                      </w14:textFill>
                    </w:rPr>
                  </w:pPr>
                </w:p>
              </w:tc>
              <w:tc>
                <w:tcPr>
                  <w:tcW w:w="562"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食堂</w:t>
                  </w:r>
                </w:p>
              </w:tc>
              <w:tc>
                <w:tcPr>
                  <w:tcW w:w="186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油烟</w:t>
                  </w:r>
                  <w:r>
                    <w:rPr>
                      <w:rFonts w:hint="eastAsia"/>
                      <w:color w:val="000000" w:themeColor="text1"/>
                      <w14:textFill>
                        <w14:solidFill>
                          <w14:schemeClr w14:val="tx1"/>
                        </w14:solidFill>
                      </w14:textFill>
                    </w:rPr>
                    <w:t>经油烟净化器处理+专用烟道屋顶排放（DA007）</w:t>
                  </w:r>
                </w:p>
              </w:tc>
              <w:tc>
                <w:tcPr>
                  <w:tcW w:w="1418" w:type="dxa"/>
                  <w:vAlign w:val="center"/>
                </w:tcPr>
                <w:p>
                  <w:pPr>
                    <w:pStyle w:val="221"/>
                    <w:rPr>
                      <w:color w:val="000000" w:themeColor="text1"/>
                      <w:szCs w:val="21"/>
                      <w:highlight w:val="green"/>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w:t>
                  </w:r>
                </w:p>
              </w:tc>
              <w:tc>
                <w:tcPr>
                  <w:tcW w:w="1559" w:type="dxa"/>
                  <w:vAlign w:val="center"/>
                </w:tcPr>
                <w:p>
                  <w:pPr>
                    <w:pStyle w:val="221"/>
                    <w:rPr>
                      <w:color w:val="000000" w:themeColor="text1"/>
                      <w:szCs w:val="21"/>
                      <w14:textFill>
                        <w14:solidFill>
                          <w14:schemeClr w14:val="tx1"/>
                        </w14:solidFill>
                      </w14:textFill>
                      <w14:ligatures w14:val="none"/>
                    </w:rPr>
                  </w:pPr>
                  <w:r>
                    <w:rPr>
                      <w:rFonts w:hint="eastAsia"/>
                      <w:color w:val="000000" w:themeColor="text1"/>
                      <w:szCs w:val="21"/>
                      <w14:textFill>
                        <w14:solidFill>
                          <w14:schemeClr w14:val="tx1"/>
                        </w14:solidFill>
                      </w14:textFill>
                      <w14:ligatures w14:val="none"/>
                    </w:rPr>
                    <w:t>/</w:t>
                  </w:r>
                </w:p>
              </w:tc>
              <w:tc>
                <w:tcPr>
                  <w:tcW w:w="2121" w:type="dxa"/>
                  <w:vAlign w:val="center"/>
                </w:tcPr>
                <w:p>
                  <w:pPr>
                    <w:pStyle w:val="221"/>
                    <w:rPr>
                      <w:color w:val="000000" w:themeColor="text1"/>
                      <w:highlight w:val="green"/>
                      <w14:textFill>
                        <w14:solidFill>
                          <w14:schemeClr w14:val="tx1"/>
                        </w14:solidFill>
                      </w14:textFill>
                    </w:rPr>
                  </w:pPr>
                  <w:r>
                    <w:rPr>
                      <w:color w:val="000000" w:themeColor="text1"/>
                      <w14:textFill>
                        <w14:solidFill>
                          <w14:schemeClr w14:val="tx1"/>
                        </w14:solidFill>
                      </w14:textFill>
                    </w:rPr>
                    <w:t>油烟</w:t>
                  </w:r>
                  <w:r>
                    <w:rPr>
                      <w:rFonts w:hint="eastAsia"/>
                      <w:color w:val="000000" w:themeColor="text1"/>
                      <w14:textFill>
                        <w14:solidFill>
                          <w14:schemeClr w14:val="tx1"/>
                        </w14:solidFill>
                      </w14:textFill>
                    </w:rPr>
                    <w:t>经油烟净化器处理+专用烟道屋顶排放（DA007）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噪声工程</w:t>
                  </w:r>
                </w:p>
              </w:tc>
              <w:tc>
                <w:tcPr>
                  <w:tcW w:w="7521" w:type="dxa"/>
                  <w:gridSpan w:val="5"/>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采取基础减振、厂房隔声等降噪措施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2423"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在1#车间西南角设置一般固废暂存区，建筑面积100m</w:t>
                  </w:r>
                  <w:r>
                    <w:rPr>
                      <w:rFonts w:hint="eastAsia"/>
                      <w:color w:val="000000" w:themeColor="text1"/>
                      <w:vertAlign w:val="superscript"/>
                      <w14:textFill>
                        <w14:solidFill>
                          <w14:schemeClr w14:val="tx1"/>
                        </w14:solidFill>
                      </w14:textFill>
                    </w:rPr>
                    <w:t>2</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w:t>
                  </w:r>
                </w:p>
              </w:tc>
              <w:tc>
                <w:tcPr>
                  <w:tcW w:w="212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1#车间西南角设置一般固废暂存区，建筑面积100m</w:t>
                  </w:r>
                  <w:r>
                    <w:rPr>
                      <w:rFonts w:hint="eastAsia"/>
                      <w:color w:val="000000" w:themeColor="text1"/>
                      <w:vertAlign w:val="superscript"/>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pPr>
                    <w:pStyle w:val="221"/>
                    <w:rPr>
                      <w:color w:val="000000" w:themeColor="text1"/>
                      <w14:textFill>
                        <w14:solidFill>
                          <w14:schemeClr w14:val="tx1"/>
                        </w14:solidFill>
                      </w14:textFill>
                    </w:rPr>
                  </w:pPr>
                </w:p>
              </w:tc>
              <w:tc>
                <w:tcPr>
                  <w:tcW w:w="670" w:type="dxa"/>
                  <w:vMerge w:val="continue"/>
                  <w:vAlign w:val="center"/>
                </w:tcPr>
                <w:p>
                  <w:pPr>
                    <w:pStyle w:val="221"/>
                    <w:rPr>
                      <w:color w:val="000000" w:themeColor="text1"/>
                      <w14:textFill>
                        <w14:solidFill>
                          <w14:schemeClr w14:val="tx1"/>
                        </w14:solidFill>
                      </w14:textFill>
                    </w:rPr>
                  </w:pPr>
                </w:p>
              </w:tc>
              <w:tc>
                <w:tcPr>
                  <w:tcW w:w="2423"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在厂区中部设置危险废物暂存间一座，建筑面积30m</w:t>
                  </w:r>
                  <w:r>
                    <w:rPr>
                      <w:rFonts w:hint="eastAsia"/>
                      <w:color w:val="000000" w:themeColor="text1"/>
                      <w:vertAlign w:val="superscript"/>
                      <w14:textFill>
                        <w14:solidFill>
                          <w14:schemeClr w14:val="tx1"/>
                        </w14:solidFill>
                      </w14:textFill>
                    </w:rPr>
                    <w:t>2</w:t>
                  </w:r>
                </w:p>
              </w:tc>
              <w:tc>
                <w:tcPr>
                  <w:tcW w:w="14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w:t>
                  </w:r>
                </w:p>
              </w:tc>
              <w:tc>
                <w:tcPr>
                  <w:tcW w:w="155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w:t>
                  </w:r>
                </w:p>
              </w:tc>
              <w:tc>
                <w:tcPr>
                  <w:tcW w:w="212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在厂区中部设置危险废物暂存间一座，建筑面积30m</w:t>
                  </w:r>
                  <w:r>
                    <w:rPr>
                      <w:rFonts w:hint="eastAsia"/>
                      <w:color w:val="000000" w:themeColor="text1"/>
                      <w:vertAlign w:val="superscript"/>
                      <w14:textFill>
                        <w14:solidFill>
                          <w14:schemeClr w14:val="tx1"/>
                        </w14:solidFill>
                      </w14:textFill>
                    </w:rPr>
                    <w:t>2</w:t>
                  </w:r>
                </w:p>
              </w:tc>
            </w:tr>
          </w:tbl>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2.1.4 主要产品及产能</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 xml:space="preserve">本项目产品方案见表2.1-4。 </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表2.1-4 项目产品方案</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1656"/>
              <w:gridCol w:w="1600"/>
              <w:gridCol w:w="1657"/>
              <w:gridCol w:w="16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pct"/>
                  <w:vAlign w:val="center"/>
                </w:tcPr>
                <w:p>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产品名称</w:t>
                  </w:r>
                </w:p>
              </w:tc>
              <w:tc>
                <w:tcPr>
                  <w:tcW w:w="961" w:type="pct"/>
                  <w:vAlign w:val="center"/>
                </w:tcPr>
                <w:p>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扩建前规模</w:t>
                  </w:r>
                </w:p>
              </w:tc>
              <w:tc>
                <w:tcPr>
                  <w:tcW w:w="928" w:type="pct"/>
                  <w:vAlign w:val="center"/>
                </w:tcPr>
                <w:p>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扩建后生产</w:t>
                  </w:r>
                </w:p>
                <w:p>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规模</w:t>
                  </w:r>
                </w:p>
              </w:tc>
              <w:tc>
                <w:tcPr>
                  <w:tcW w:w="961" w:type="pct"/>
                  <w:vAlign w:val="center"/>
                </w:tcPr>
                <w:p>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变化量</w:t>
                  </w:r>
                </w:p>
              </w:tc>
              <w:tc>
                <w:tcPr>
                  <w:tcW w:w="961" w:type="pct"/>
                  <w:vAlign w:val="center"/>
                </w:tcPr>
                <w:p>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储存位置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中压预制式</w:t>
                  </w:r>
                </w:p>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电缆附件</w:t>
                  </w:r>
                </w:p>
              </w:tc>
              <w:tc>
                <w:tcPr>
                  <w:tcW w:w="961"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60万只</w:t>
                  </w:r>
                </w:p>
              </w:tc>
              <w:tc>
                <w:tcPr>
                  <w:tcW w:w="92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210万只</w:t>
                  </w:r>
                </w:p>
              </w:tc>
              <w:tc>
                <w:tcPr>
                  <w:tcW w:w="961"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+150万只</w:t>
                  </w:r>
                </w:p>
              </w:tc>
              <w:tc>
                <w:tcPr>
                  <w:tcW w:w="961"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成品区</w:t>
                  </w:r>
                </w:p>
              </w:tc>
            </w:tr>
          </w:tbl>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w:t>
            </w:r>
            <w:r>
              <w:rPr>
                <w:rFonts w:hint="eastAsia" w:ascii="Times New Roman" w:hAnsi="Times New Roman" w:eastAsia="宋体" w:cs="Times New Roman"/>
                <w:b/>
                <w:bCs/>
                <w:color w:val="000000" w:themeColor="text1"/>
                <w:szCs w:val="24"/>
                <w14:textFill>
                  <w14:solidFill>
                    <w14:schemeClr w14:val="tx1"/>
                  </w14:solidFill>
                </w14:textFill>
              </w:rPr>
              <w:t>5</w:t>
            </w:r>
            <w:r>
              <w:rPr>
                <w:rFonts w:ascii="Times New Roman" w:hAnsi="Times New Roman" w:eastAsia="宋体" w:cs="Times New Roman"/>
                <w:b/>
                <w:bCs/>
                <w:color w:val="000000" w:themeColor="text1"/>
                <w:szCs w:val="24"/>
                <w14:textFill>
                  <w14:solidFill>
                    <w14:schemeClr w14:val="tx1"/>
                  </w14:solidFill>
                </w14:textFill>
              </w:rPr>
              <w:t>主要原辅材料及燃料种类和用量</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项目主要原辅材料及能源消耗情况见表2.1-6，主要原辅材料性质详见表2.1-6。</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表2.1-6 项目主要原辅材料及能源消耗情况</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848"/>
              <w:gridCol w:w="1766"/>
              <w:gridCol w:w="991"/>
              <w:gridCol w:w="1925"/>
              <w:gridCol w:w="1148"/>
              <w:gridCol w:w="11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类别</w:t>
                  </w:r>
                </w:p>
              </w:tc>
              <w:tc>
                <w:tcPr>
                  <w:tcW w:w="492"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产品</w:t>
                  </w:r>
                </w:p>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名称</w:t>
                  </w:r>
                </w:p>
              </w:tc>
              <w:tc>
                <w:tcPr>
                  <w:tcW w:w="1025"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原料名称</w:t>
                  </w:r>
                </w:p>
              </w:tc>
              <w:tc>
                <w:tcPr>
                  <w:tcW w:w="575"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年使用量t/a</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规格</w:t>
                  </w:r>
                </w:p>
              </w:tc>
              <w:tc>
                <w:tcPr>
                  <w:tcW w:w="666"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使用工序</w:t>
                  </w:r>
                </w:p>
              </w:tc>
              <w:tc>
                <w:tcPr>
                  <w:tcW w:w="665"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最大贮存量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restar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原辅料</w:t>
                  </w:r>
                </w:p>
              </w:tc>
              <w:tc>
                <w:tcPr>
                  <w:tcW w:w="492" w:type="pct"/>
                  <w:vMerge w:val="restar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中压预制式电缆附件</w:t>
                  </w: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三元乙丙半导电胶</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154</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AKE660-02-2</w:t>
                  </w:r>
                </w:p>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(硬度67~70)</w:t>
                  </w:r>
                </w:p>
              </w:tc>
              <w:tc>
                <w:tcPr>
                  <w:tcW w:w="666" w:type="pct"/>
                  <w:vMerge w:val="restar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橡胶制品生产</w:t>
                  </w:r>
                </w:p>
              </w:tc>
              <w:tc>
                <w:tcPr>
                  <w:tcW w:w="665" w:type="pct"/>
                  <w:vMerge w:val="restar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三元乙丙绝缘胶</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224</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AKE850-02-1</w:t>
                  </w:r>
                </w:p>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(硬度52士2)和BP746-10 硬度47士3</w:t>
                  </w:r>
                </w:p>
              </w:tc>
              <w:tc>
                <w:tcPr>
                  <w:tcW w:w="666" w:type="pct"/>
                  <w:vMerge w:val="continue"/>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65" w:type="pct"/>
                  <w:vMerge w:val="continue"/>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三元绝缘胶阻燃</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35</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 xml:space="preserve">即7458 </w:t>
                  </w:r>
                </w:p>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(硬度45士2)</w:t>
                  </w:r>
                </w:p>
              </w:tc>
              <w:tc>
                <w:tcPr>
                  <w:tcW w:w="666" w:type="pct"/>
                  <w:vMerge w:val="continue"/>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65" w:type="pct"/>
                  <w:vMerge w:val="continue"/>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环氧树脂</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6.6</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HE-206LA</w:t>
                  </w:r>
                </w:p>
              </w:tc>
              <w:tc>
                <w:tcPr>
                  <w:tcW w:w="666" w:type="pct"/>
                  <w:vMerge w:val="restar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环氧绝缘制品生产</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环氧固</w:t>
                  </w:r>
                  <w:r>
                    <w:rPr>
                      <w:rFonts w:hint="eastAsia" w:ascii="Times New Roman" w:hAnsi="Times New Roman" w:eastAsia="宋体" w:cs="Times New Roman"/>
                      <w:color w:val="000000" w:themeColor="text1"/>
                      <w:sz w:val="21"/>
                      <w:szCs w:val="21"/>
                      <w:lang w:bidi="ar"/>
                      <w14:textFill>
                        <w14:solidFill>
                          <w14:schemeClr w14:val="tx1"/>
                        </w14:solidFill>
                      </w14:textFill>
                    </w:rPr>
                    <w:t>化</w:t>
                  </w:r>
                  <w:r>
                    <w:rPr>
                      <w:rFonts w:ascii="Times New Roman" w:hAnsi="Times New Roman" w:eastAsia="宋体" w:cs="Times New Roman"/>
                      <w:color w:val="000000" w:themeColor="text1"/>
                      <w:sz w:val="21"/>
                      <w:szCs w:val="21"/>
                      <w:lang w:bidi="ar"/>
                      <w14:textFill>
                        <w14:solidFill>
                          <w14:schemeClr w14:val="tx1"/>
                        </w14:solidFill>
                      </w14:textFill>
                    </w:rPr>
                    <w:t>剂</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6.6</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HE-2061B</w:t>
                  </w:r>
                </w:p>
              </w:tc>
              <w:tc>
                <w:tcPr>
                  <w:tcW w:w="666" w:type="pct"/>
                  <w:vMerge w:val="continue"/>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硅微粉</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1</w:t>
                  </w:r>
                  <w:r>
                    <w:rPr>
                      <w:rFonts w:ascii="Times New Roman" w:hAnsi="Times New Roman" w:eastAsia="宋体" w:cs="Times New Roman"/>
                      <w:color w:val="000000" w:themeColor="text1"/>
                      <w:sz w:val="21"/>
                      <w:szCs w:val="21"/>
                      <w:lang w:eastAsia="zh-CN"/>
                      <w14:textFill>
                        <w14:solidFill>
                          <w14:schemeClr w14:val="tx1"/>
                        </w14:solidFill>
                      </w14:textFill>
                    </w:rPr>
                    <w:t>2</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X12</w:t>
                  </w:r>
                </w:p>
              </w:tc>
              <w:tc>
                <w:tcPr>
                  <w:tcW w:w="666" w:type="pct"/>
                  <w:vMerge w:val="continue"/>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色浆</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0.2</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1C-3024 绿色</w:t>
                  </w:r>
                </w:p>
              </w:tc>
              <w:tc>
                <w:tcPr>
                  <w:tcW w:w="666" w:type="pct"/>
                  <w:vMerge w:val="continue"/>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金属加工件</w:t>
                  </w:r>
                </w:p>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油脂清洗剂</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0.25</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FC-401</w:t>
                  </w:r>
                </w:p>
              </w:tc>
              <w:tc>
                <w:tcPr>
                  <w:tcW w:w="666"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超声波清洗使用</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稀释剂</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0.015</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S205(1000ml/罐)</w:t>
                  </w:r>
                </w:p>
              </w:tc>
              <w:tc>
                <w:tcPr>
                  <w:tcW w:w="666"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涂刷使用</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脱模剂</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0.002</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450ml/罐</w:t>
                  </w:r>
                </w:p>
              </w:tc>
              <w:tc>
                <w:tcPr>
                  <w:tcW w:w="666"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模具脱模环节</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500罐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粘接表面处理剂</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0.105</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CH205(3.5kg/罐)和CH238NW(3.5kg/罐)</w:t>
                  </w:r>
                </w:p>
              </w:tc>
              <w:tc>
                <w:tcPr>
                  <w:tcW w:w="666"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涂刷使用</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hint="eastAsia" w:ascii="Times New Roman" w:hAnsi="Times New Roman" w:eastAsia="宋体" w:cs="Times New Roman"/>
                      <w:color w:val="000000" w:themeColor="text1"/>
                      <w:sz w:val="21"/>
                      <w:szCs w:val="21"/>
                      <w:lang w:bidi="ar"/>
                      <w14:textFill>
                        <w14:solidFill>
                          <w14:schemeClr w14:val="tx1"/>
                        </w14:solidFill>
                      </w14:textFill>
                    </w:rPr>
                    <w:t>PE线</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7</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666"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外购半成品材料</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92"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lang w:bidi="ar"/>
                      <w14:textFill>
                        <w14:solidFill>
                          <w14:schemeClr w14:val="tx1"/>
                        </w14:solidFill>
                      </w14:textFill>
                    </w:rPr>
                  </w:pPr>
                  <w:r>
                    <w:rPr>
                      <w:rFonts w:hint="eastAsia" w:ascii="Times New Roman" w:hAnsi="Times New Roman" w:eastAsia="宋体" w:cs="Times New Roman"/>
                      <w:color w:val="000000" w:themeColor="text1"/>
                      <w:sz w:val="21"/>
                      <w:szCs w:val="21"/>
                      <w:lang w:bidi="ar"/>
                      <w14:textFill>
                        <w14:solidFill>
                          <w14:schemeClr w14:val="tx1"/>
                        </w14:solidFill>
                      </w14:textFill>
                    </w:rPr>
                    <w:t>导电金属配件</w:t>
                  </w:r>
                </w:p>
              </w:tc>
              <w:tc>
                <w:tcPr>
                  <w:tcW w:w="575" w:type="pct"/>
                  <w:vAlign w:val="center"/>
                </w:tcPr>
                <w:p>
                  <w:pPr>
                    <w:pStyle w:val="172"/>
                    <w:widowControl w:val="0"/>
                    <w:topLinePunct/>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270</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666"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外购成品</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restar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资源、能源</w:t>
                  </w:r>
                </w:p>
              </w:tc>
              <w:tc>
                <w:tcPr>
                  <w:tcW w:w="1517" w:type="pct"/>
                  <w:gridSpan w:val="2"/>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水</w:t>
                  </w:r>
                </w:p>
              </w:tc>
              <w:tc>
                <w:tcPr>
                  <w:tcW w:w="575"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1647.03t/a</w:t>
                  </w:r>
                </w:p>
              </w:tc>
              <w:tc>
                <w:tcPr>
                  <w:tcW w:w="666"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供水管网</w:t>
                  </w:r>
                </w:p>
              </w:tc>
              <w:tc>
                <w:tcPr>
                  <w:tcW w:w="665"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517" w:type="pct"/>
                  <w:gridSpan w:val="2"/>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电（万kwh）</w:t>
                  </w:r>
                </w:p>
              </w:tc>
              <w:tc>
                <w:tcPr>
                  <w:tcW w:w="575"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1117"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499.9万kW·h/a</w:t>
                  </w:r>
                </w:p>
              </w:tc>
              <w:tc>
                <w:tcPr>
                  <w:tcW w:w="666"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供电管网</w:t>
                  </w:r>
                </w:p>
              </w:tc>
              <w:tc>
                <w:tcPr>
                  <w:tcW w:w="665" w:type="pct"/>
                  <w:vAlign w:val="center"/>
                </w:tcPr>
                <w:p>
                  <w:pPr>
                    <w:pStyle w:val="156"/>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vAlign w:val="center"/>
                </w:tcPr>
                <w:p>
                  <w:pPr>
                    <w:pStyle w:val="156"/>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本项目采购使用的三种橡胶均为已经过炼胶后的成品胶，生产时无需再进行炼胶。</w:t>
                  </w:r>
                </w:p>
              </w:tc>
            </w:tr>
          </w:tbl>
          <w:p>
            <w:pPr>
              <w:pStyle w:val="14"/>
              <w:widowControl w:val="0"/>
              <w:topLinePunct/>
              <w:spacing w:after="0"/>
              <w:ind w:firstLine="420"/>
              <w:jc w:val="both"/>
              <w:rPr>
                <w:rFonts w:ascii="Times New Roman" w:hAnsi="Times New Roman" w:eastAsia="宋体" w:cs="Times New Roman"/>
                <w:color w:val="000000" w:themeColor="text1"/>
                <w:sz w:val="21"/>
                <w:szCs w:val="21"/>
                <w:lang w:bidi="ar"/>
                <w14:textFill>
                  <w14:solidFill>
                    <w14:schemeClr w14:val="tx1"/>
                  </w14:solidFill>
                </w14:textFill>
              </w:rPr>
            </w:pPr>
            <w:r>
              <w:rPr>
                <w:rFonts w:ascii="Times New Roman" w:hAnsi="Times New Roman" w:eastAsia="宋体" w:cs="Times New Roman"/>
                <w:color w:val="000000" w:themeColor="text1"/>
                <w:sz w:val="21"/>
                <w:szCs w:val="21"/>
                <w:lang w:bidi="ar"/>
                <w14:textFill>
                  <w14:solidFill>
                    <w14:schemeClr w14:val="tx1"/>
                  </w14:solidFill>
                </w14:textFill>
              </w:rPr>
              <w:t>原辅料物理化学性质：</w:t>
            </w:r>
          </w:p>
          <w:p>
            <w:pPr>
              <w:spacing w:after="0" w:line="360" w:lineRule="auto"/>
              <w:ind w:firstLine="482" w:firstLineChars="200"/>
              <w:jc w:val="both"/>
              <w:rPr>
                <w:rFonts w:ascii="Times New Roman" w:hAnsi="Times New Roman" w:eastAsia="宋体" w:cs="Times New Roman"/>
                <w:color w:val="000000" w:themeColor="text1"/>
                <w:szCs w:val="24"/>
                <w:shd w:val="clear" w:color="auto" w:fill="FFFFFF"/>
                <w:lang w:bidi="ar"/>
                <w14:textFill>
                  <w14:solidFill>
                    <w14:schemeClr w14:val="tx1"/>
                  </w14:solidFill>
                </w14:textFill>
              </w:rPr>
            </w:pPr>
            <w:r>
              <w:rPr>
                <w:rFonts w:ascii="Times New Roman" w:hAnsi="Times New Roman" w:eastAsia="宋体" w:cs="Times New Roman"/>
                <w:b/>
                <w:color w:val="000000" w:themeColor="text1"/>
                <w:szCs w:val="24"/>
                <w:lang w:bidi="ar"/>
                <w14:textFill>
                  <w14:solidFill>
                    <w14:schemeClr w14:val="tx1"/>
                  </w14:solidFill>
                </w14:textFill>
              </w:rPr>
              <w:t>①</w:t>
            </w:r>
            <w:r>
              <w:rPr>
                <w:rFonts w:ascii="Times New Roman" w:hAnsi="Times New Roman" w:eastAsia="宋体" w:cs="Times New Roman"/>
                <w:b/>
                <w:color w:val="000000" w:themeColor="text1"/>
                <w:szCs w:val="24"/>
                <w:shd w:val="clear" w:color="auto" w:fill="FFFFFF"/>
                <w:lang w:bidi="ar"/>
                <w14:textFill>
                  <w14:solidFill>
                    <w14:schemeClr w14:val="tx1"/>
                  </w14:solidFill>
                </w14:textFill>
              </w:rPr>
              <w:t>三元乙丙</w:t>
            </w:r>
            <w:r>
              <w:rPr>
                <w:rFonts w:hint="eastAsia" w:ascii="Times New Roman" w:hAnsi="Times New Roman" w:eastAsia="宋体" w:cs="Times New Roman"/>
                <w:b/>
                <w:color w:val="000000" w:themeColor="text1"/>
                <w:szCs w:val="24"/>
                <w:shd w:val="clear" w:color="auto" w:fill="FFFFFF"/>
                <w:lang w:bidi="ar"/>
                <w14:textFill>
                  <w14:solidFill>
                    <w14:schemeClr w14:val="tx1"/>
                  </w14:solidFill>
                </w14:textFill>
              </w:rPr>
              <w:t>橡胶</w:t>
            </w:r>
            <w:r>
              <w:rPr>
                <w:rFonts w:ascii="Times New Roman" w:hAnsi="Times New Roman" w:eastAsia="宋体" w:cs="Times New Roman"/>
                <w:b/>
                <w:color w:val="000000" w:themeColor="text1"/>
                <w:szCs w:val="24"/>
                <w:shd w:val="clear" w:color="auto" w:fill="FFFFFF"/>
                <w:lang w:bidi="ar"/>
                <w14:textFill>
                  <w14:solidFill>
                    <w14:schemeClr w14:val="tx1"/>
                  </w14:solidFill>
                </w14:textFill>
              </w:rPr>
              <w:t>：</w:t>
            </w:r>
            <w:r>
              <w:rPr>
                <w:rFonts w:ascii="Times New Roman" w:hAnsi="Times New Roman" w:eastAsia="宋体" w:cs="Times New Roman"/>
                <w:bCs/>
                <w:color w:val="000000" w:themeColor="text1"/>
                <w:szCs w:val="24"/>
                <w:shd w:val="clear" w:color="auto" w:fill="FFFFFF"/>
                <w:lang w:bidi="ar"/>
                <w14:textFill>
                  <w14:solidFill>
                    <w14:schemeClr w14:val="tx1"/>
                  </w14:solidFill>
                </w14:textFill>
              </w:rPr>
              <w:t>三元乙丙橡胶是由乙烯、丙烯经溶液共聚合而成的橡胶，再引入第三单体（ENB）。三元乙丙橡胶基本上是一种饱和的高聚物，耐老化性能非常好、耐天候性好、电绝缘性能优良、耐化学腐蚀性好、冲击弹性较好</w:t>
            </w:r>
            <w:r>
              <w:rPr>
                <w:rFonts w:ascii="Times New Roman" w:hAnsi="Times New Roman" w:eastAsia="宋体" w:cs="Times New Roman"/>
                <w:color w:val="000000" w:themeColor="text1"/>
                <w:szCs w:val="24"/>
                <w:shd w:val="clear" w:color="auto" w:fill="FFFFFF"/>
                <w:lang w:bidi="ar"/>
                <w14:textFill>
                  <w14:solidFill>
                    <w14:schemeClr w14:val="tx1"/>
                  </w14:solidFill>
                </w14:textFill>
              </w:rPr>
              <w:t>。黑色固体，闪点482°T，密度约为约1.1~1.3g/cm</w:t>
            </w:r>
            <w:r>
              <w:rPr>
                <w:rFonts w:ascii="Times New Roman" w:hAnsi="Times New Roman" w:eastAsia="宋体" w:cs="Times New Roman"/>
                <w:color w:val="000000" w:themeColor="text1"/>
                <w:szCs w:val="24"/>
                <w:shd w:val="clear" w:color="auto" w:fill="FFFFFF"/>
                <w:vertAlign w:val="superscript"/>
                <w:lang w:bidi="ar"/>
                <w14:textFill>
                  <w14:solidFill>
                    <w14:schemeClr w14:val="tx1"/>
                  </w14:solidFill>
                </w14:textFill>
              </w:rPr>
              <w:t>3</w:t>
            </w:r>
            <w:r>
              <w:rPr>
                <w:rFonts w:ascii="Times New Roman" w:hAnsi="Times New Roman" w:eastAsia="宋体" w:cs="Times New Roman"/>
                <w:color w:val="000000" w:themeColor="text1"/>
                <w:szCs w:val="24"/>
                <w:shd w:val="clear" w:color="auto" w:fill="FFFFFF"/>
                <w:lang w:bidi="ar"/>
                <w14:textFill>
                  <w14:solidFill>
                    <w14:schemeClr w14:val="tx1"/>
                  </w14:solidFill>
                </w14:textFill>
              </w:rPr>
              <w:t>。</w:t>
            </w:r>
            <w:r>
              <w:rPr>
                <w:rFonts w:hint="eastAsia" w:ascii="Times New Roman" w:hAnsi="Times New Roman" w:eastAsia="宋体" w:cs="Times New Roman"/>
                <w:color w:val="000000" w:themeColor="text1"/>
                <w:szCs w:val="24"/>
                <w:shd w:val="clear" w:color="auto" w:fill="FFFFFF"/>
                <w:lang w:bidi="ar"/>
                <w14:textFill>
                  <w14:solidFill>
                    <w14:schemeClr w14:val="tx1"/>
                  </w14:solidFill>
                </w14:textFill>
              </w:rPr>
              <w:t>本项目使用三种型号的三元乙丙橡胶，根据硬度和特性需求分为</w:t>
            </w:r>
            <w:r>
              <w:rPr>
                <w:rFonts w:ascii="Times New Roman" w:hAnsi="Times New Roman" w:eastAsia="宋体" w:cs="Times New Roman"/>
                <w:color w:val="000000" w:themeColor="text1"/>
                <w:szCs w:val="24"/>
                <w:shd w:val="clear" w:color="auto" w:fill="FFFFFF"/>
                <w:lang w:bidi="ar"/>
                <w14:textFill>
                  <w14:solidFill>
                    <w14:schemeClr w14:val="tx1"/>
                  </w14:solidFill>
                </w14:textFill>
              </w:rPr>
              <w:t>导电胶</w:t>
            </w:r>
            <w:r>
              <w:rPr>
                <w:rFonts w:hint="eastAsia" w:ascii="Times New Roman" w:hAnsi="Times New Roman" w:eastAsia="宋体" w:cs="Times New Roman"/>
                <w:color w:val="000000" w:themeColor="text1"/>
                <w:szCs w:val="24"/>
                <w:shd w:val="clear" w:color="auto" w:fill="FFFFFF"/>
                <w:lang w:bidi="ar"/>
                <w14:textFill>
                  <w14:solidFill>
                    <w14:schemeClr w14:val="tx1"/>
                  </w14:solidFill>
                </w14:textFill>
              </w:rPr>
              <w:t>、</w:t>
            </w:r>
            <w:r>
              <w:rPr>
                <w:rFonts w:ascii="Times New Roman" w:hAnsi="Times New Roman" w:eastAsia="宋体" w:cs="Times New Roman"/>
                <w:color w:val="000000" w:themeColor="text1"/>
                <w:szCs w:val="24"/>
                <w:shd w:val="clear" w:color="auto" w:fill="FFFFFF"/>
                <w:lang w:bidi="ar"/>
                <w14:textFill>
                  <w14:solidFill>
                    <w14:schemeClr w14:val="tx1"/>
                  </w14:solidFill>
                </w14:textFill>
              </w:rPr>
              <w:t>绝缘胶</w:t>
            </w:r>
            <w:r>
              <w:rPr>
                <w:rFonts w:hint="eastAsia" w:ascii="Times New Roman" w:hAnsi="Times New Roman" w:eastAsia="宋体" w:cs="Times New Roman"/>
                <w:color w:val="000000" w:themeColor="text1"/>
                <w:szCs w:val="24"/>
                <w:shd w:val="clear" w:color="auto" w:fill="FFFFFF"/>
                <w:lang w:bidi="ar"/>
                <w14:textFill>
                  <w14:solidFill>
                    <w14:schemeClr w14:val="tx1"/>
                  </w14:solidFill>
                </w14:textFill>
              </w:rPr>
              <w:t>、</w:t>
            </w:r>
            <w:r>
              <w:rPr>
                <w:rFonts w:ascii="Times New Roman" w:hAnsi="Times New Roman" w:eastAsia="宋体" w:cs="Times New Roman"/>
                <w:color w:val="000000" w:themeColor="text1"/>
                <w:szCs w:val="24"/>
                <w:shd w:val="clear" w:color="auto" w:fill="FFFFFF"/>
                <w:lang w:bidi="ar"/>
                <w14:textFill>
                  <w14:solidFill>
                    <w14:schemeClr w14:val="tx1"/>
                  </w14:solidFill>
                </w14:textFill>
              </w:rPr>
              <w:t>胶阻燃</w:t>
            </w:r>
            <w:r>
              <w:rPr>
                <w:rFonts w:hint="eastAsia" w:ascii="Times New Roman" w:hAnsi="Times New Roman" w:eastAsia="宋体" w:cs="Times New Roman"/>
                <w:color w:val="000000" w:themeColor="text1"/>
                <w:szCs w:val="24"/>
                <w:shd w:val="clear" w:color="auto" w:fill="FFFFFF"/>
                <w:lang w:bidi="ar"/>
                <w14:textFill>
                  <w14:solidFill>
                    <w14:schemeClr w14:val="tx1"/>
                  </w14:solidFill>
                </w14:textFill>
              </w:rPr>
              <w:t>。</w:t>
            </w:r>
          </w:p>
          <w:p>
            <w:pPr>
              <w:shd w:val="clear" w:color="auto" w:fill="FFFFFF"/>
              <w:spacing w:after="0" w:line="360" w:lineRule="auto"/>
              <w:ind w:firstLine="482" w:firstLineChars="200"/>
              <w:jc w:val="both"/>
              <w:rPr>
                <w:rFonts w:ascii="Times New Roman" w:hAnsi="Times New Roman" w:eastAsia="宋体" w:cs="Times New Roman"/>
                <w:color w:val="000000" w:themeColor="text1"/>
                <w:szCs w:val="24"/>
                <w:lang w:bidi="ar"/>
                <w14:textFill>
                  <w14:solidFill>
                    <w14:schemeClr w14:val="tx1"/>
                  </w14:solidFill>
                </w14:textFill>
              </w:rPr>
            </w:pPr>
            <w:r>
              <w:rPr>
                <w:rFonts w:hint="eastAsia" w:ascii="宋体" w:hAnsi="宋体" w:eastAsia="宋体" w:cs="宋体"/>
                <w:b/>
                <w:color w:val="000000" w:themeColor="text1"/>
                <w:szCs w:val="24"/>
                <w:lang w:bidi="ar"/>
                <w14:textFill>
                  <w14:solidFill>
                    <w14:schemeClr w14:val="tx1"/>
                  </w14:solidFill>
                </w14:textFill>
              </w:rPr>
              <w:t>②</w:t>
            </w:r>
            <w:r>
              <w:rPr>
                <w:rFonts w:ascii="Times New Roman" w:hAnsi="Times New Roman" w:eastAsia="宋体" w:cs="Times New Roman"/>
                <w:b/>
                <w:color w:val="000000" w:themeColor="text1"/>
                <w:szCs w:val="24"/>
                <w:lang w:bidi="ar"/>
                <w14:textFill>
                  <w14:solidFill>
                    <w14:schemeClr w14:val="tx1"/>
                  </w14:solidFill>
                </w14:textFill>
              </w:rPr>
              <w:t>环氧树脂</w:t>
            </w:r>
            <w:r>
              <w:rPr>
                <w:rFonts w:ascii="Times New Roman" w:hAnsi="Times New Roman" w:eastAsia="宋体" w:cs="Times New Roman"/>
                <w:color w:val="000000" w:themeColor="text1"/>
                <w:szCs w:val="24"/>
                <w:lang w:bidi="ar"/>
                <w14:textFill>
                  <w14:solidFill>
                    <w14:schemeClr w14:val="tx1"/>
                  </w14:solidFill>
                </w14:textFill>
              </w:rPr>
              <w:t>：</w:t>
            </w:r>
            <w:r>
              <w:rPr>
                <w:rFonts w:ascii="Times New Roman" w:hAnsi="Times New Roman" w:eastAsia="宋体" w:cs="Times New Roman"/>
                <w:color w:val="000000" w:themeColor="text1"/>
                <w:spacing w:val="-1"/>
                <w:szCs w:val="24"/>
                <w14:textFill>
                  <w14:solidFill>
                    <w14:schemeClr w14:val="tx1"/>
                  </w14:solidFill>
                </w14:textFill>
              </w:rPr>
              <w:t>环氧树脂为一种高分子聚合物，分子式为</w:t>
            </w:r>
            <w:r>
              <w:rPr>
                <w:rFonts w:ascii="Times New Roman" w:hAnsi="Times New Roman" w:eastAsia="宋体" w:cs="Times New Roman"/>
                <w:color w:val="000000" w:themeColor="text1"/>
                <w:spacing w:val="1"/>
                <w:szCs w:val="24"/>
                <w14:textFill>
                  <w14:solidFill>
                    <w14:schemeClr w14:val="tx1"/>
                  </w14:solidFill>
                </w14:textFill>
              </w:rPr>
              <w:t>(C</w:t>
            </w:r>
            <w:r>
              <w:rPr>
                <w:rFonts w:ascii="Times New Roman" w:hAnsi="Times New Roman" w:eastAsia="宋体" w:cs="Times New Roman"/>
                <w:color w:val="000000" w:themeColor="text1"/>
                <w:spacing w:val="1"/>
                <w:position w:val="-1"/>
                <w:szCs w:val="24"/>
                <w:vertAlign w:val="subscript"/>
                <w14:textFill>
                  <w14:solidFill>
                    <w14:schemeClr w14:val="tx1"/>
                  </w14:solidFill>
                </w14:textFill>
              </w:rPr>
              <w:t>11</w:t>
            </w:r>
            <w:r>
              <w:rPr>
                <w:rFonts w:ascii="Times New Roman" w:hAnsi="Times New Roman" w:eastAsia="宋体" w:cs="Times New Roman"/>
                <w:color w:val="000000" w:themeColor="text1"/>
                <w:spacing w:val="1"/>
                <w:szCs w:val="24"/>
                <w14:textFill>
                  <w14:solidFill>
                    <w14:schemeClr w14:val="tx1"/>
                  </w14:solidFill>
                </w14:textFill>
              </w:rPr>
              <w:t>H</w:t>
            </w:r>
            <w:r>
              <w:rPr>
                <w:rFonts w:ascii="Times New Roman" w:hAnsi="Times New Roman" w:eastAsia="宋体" w:cs="Times New Roman"/>
                <w:color w:val="000000" w:themeColor="text1"/>
                <w:spacing w:val="1"/>
                <w:position w:val="-1"/>
                <w:szCs w:val="24"/>
                <w:vertAlign w:val="subscript"/>
                <w14:textFill>
                  <w14:solidFill>
                    <w14:schemeClr w14:val="tx1"/>
                  </w14:solidFill>
                </w14:textFill>
              </w:rPr>
              <w:t>12</w:t>
            </w:r>
            <w:r>
              <w:rPr>
                <w:rFonts w:ascii="Times New Roman" w:hAnsi="Times New Roman" w:eastAsia="宋体" w:cs="Times New Roman"/>
                <w:color w:val="000000" w:themeColor="text1"/>
                <w:spacing w:val="1"/>
                <w:szCs w:val="24"/>
                <w14:textFill>
                  <w14:solidFill>
                    <w14:schemeClr w14:val="tx1"/>
                  </w14:solidFill>
                </w14:textFill>
              </w:rPr>
              <w:t>O</w:t>
            </w:r>
            <w:r>
              <w:rPr>
                <w:rFonts w:ascii="Times New Roman" w:hAnsi="Times New Roman" w:eastAsia="宋体" w:cs="Times New Roman"/>
                <w:color w:val="000000" w:themeColor="text1"/>
                <w:spacing w:val="1"/>
                <w:position w:val="-1"/>
                <w:szCs w:val="24"/>
                <w:vertAlign w:val="subscript"/>
                <w14:textFill>
                  <w14:solidFill>
                    <w14:schemeClr w14:val="tx1"/>
                  </w14:solidFill>
                </w14:textFill>
              </w:rPr>
              <w:t>3</w:t>
            </w:r>
            <w:r>
              <w:rPr>
                <w:rFonts w:ascii="Times New Roman" w:hAnsi="Times New Roman" w:eastAsia="宋体" w:cs="Times New Roman"/>
                <w:color w:val="000000" w:themeColor="text1"/>
                <w:spacing w:val="1"/>
                <w:szCs w:val="24"/>
                <w14:textFill>
                  <w14:solidFill>
                    <w14:schemeClr w14:val="tx1"/>
                  </w14:solidFill>
                </w14:textFill>
              </w:rPr>
              <w:t>)n，是指分子中含有两个以上环氧</w:t>
            </w:r>
            <w:r>
              <w:rPr>
                <w:rFonts w:ascii="Times New Roman" w:hAnsi="Times New Roman" w:eastAsia="宋体" w:cs="Times New Roman"/>
                <w:color w:val="000000" w:themeColor="text1"/>
                <w:szCs w:val="24"/>
                <w14:textFill>
                  <w14:solidFill>
                    <w14:schemeClr w14:val="tx1"/>
                  </w14:solidFill>
                </w14:textFill>
              </w:rPr>
              <w:t>基团的一类聚合物的总称。它是</w:t>
            </w:r>
            <w:r>
              <w:rPr>
                <w:rFonts w:ascii="Times New Roman" w:hAnsi="Times New Roman" w:eastAsia="宋体" w:cs="Times New Roman"/>
                <w:color w:val="000000" w:themeColor="text1"/>
                <w:spacing w:val="-1"/>
                <w:szCs w:val="24"/>
                <w14:textFill>
                  <w14:solidFill>
                    <w14:schemeClr w14:val="tx1"/>
                  </w14:solidFill>
                </w14:textFill>
              </w:rPr>
              <w:t>环氧氯丙烷与双酚</w:t>
            </w:r>
            <w:r>
              <w:rPr>
                <w:rFonts w:ascii="Times New Roman" w:hAnsi="Times New Roman" w:eastAsia="宋体" w:cs="Times New Roman"/>
                <w:color w:val="000000" w:themeColor="text1"/>
                <w:spacing w:val="-58"/>
                <w:szCs w:val="24"/>
                <w14:textFill>
                  <w14:solidFill>
                    <w14:schemeClr w14:val="tx1"/>
                  </w14:solidFill>
                </w14:textFill>
              </w:rPr>
              <w:t xml:space="preserve"> </w:t>
            </w:r>
            <w:r>
              <w:rPr>
                <w:rFonts w:ascii="Times New Roman" w:hAnsi="Times New Roman" w:eastAsia="宋体" w:cs="Times New Roman"/>
                <w:color w:val="000000" w:themeColor="text1"/>
                <w:spacing w:val="-1"/>
                <w:szCs w:val="24"/>
                <w14:textFill>
                  <w14:solidFill>
                    <w14:schemeClr w14:val="tx1"/>
                  </w14:solidFill>
                </w14:textFill>
              </w:rPr>
              <w:t>A或多元醇的缩聚产物。由于环氧基的</w:t>
            </w:r>
            <w:r>
              <w:rPr>
                <w:rFonts w:ascii="Times New Roman" w:hAnsi="Times New Roman" w:eastAsia="宋体" w:cs="Times New Roman"/>
                <w:color w:val="000000" w:themeColor="text1"/>
                <w:spacing w:val="-2"/>
                <w:szCs w:val="24"/>
                <w14:textFill>
                  <w14:solidFill>
                    <w14:schemeClr w14:val="tx1"/>
                  </w14:solidFill>
                </w14:textFill>
              </w:rPr>
              <w:t>化学活性，可用多</w:t>
            </w:r>
            <w:r>
              <w:rPr>
                <w:rFonts w:ascii="Times New Roman" w:hAnsi="Times New Roman" w:eastAsia="宋体" w:cs="Times New Roman"/>
                <w:color w:val="000000" w:themeColor="text1"/>
                <w:szCs w:val="24"/>
                <w14:textFill>
                  <w14:solidFill>
                    <w14:schemeClr w14:val="tx1"/>
                  </w14:solidFill>
                </w14:textFill>
              </w:rPr>
              <w:t>种含有活泼氢的化合物使其开环，固化交联生成网状结构，因此它是一种热</w:t>
            </w:r>
            <w:r>
              <w:rPr>
                <w:rFonts w:ascii="Times New Roman" w:hAnsi="Times New Roman" w:eastAsia="宋体" w:cs="Times New Roman"/>
                <w:color w:val="000000" w:themeColor="text1"/>
                <w:spacing w:val="-2"/>
                <w:szCs w:val="24"/>
                <w14:textFill>
                  <w14:solidFill>
                    <w14:schemeClr w14:val="tx1"/>
                  </w14:solidFill>
                </w14:textFill>
              </w:rPr>
              <w:t>固性树脂。本项目</w:t>
            </w:r>
            <w:r>
              <w:rPr>
                <w:rFonts w:ascii="Times New Roman" w:hAnsi="Times New Roman" w:eastAsia="宋体" w:cs="Times New Roman"/>
                <w:color w:val="000000" w:themeColor="text1"/>
                <w:szCs w:val="24"/>
                <w:lang w:bidi="ar"/>
                <w14:textFill>
                  <w14:solidFill>
                    <w14:schemeClr w14:val="tx1"/>
                  </w14:solidFill>
                </w14:textFill>
              </w:rPr>
              <w:t>环氧树脂A组分主要成分为双酚丙二醇聚醚环氧树脂（＞70%）、二元醇聚醚及酚醛环氧树脂（＞10%），稍有气味，闪点＞95℃，PH：7，微溶于水。</w:t>
            </w:r>
            <w:r>
              <w:rPr>
                <w:rFonts w:ascii="Times New Roman" w:hAnsi="Times New Roman" w:eastAsia="宋体" w:cs="Times New Roman"/>
                <w:color w:val="000000" w:themeColor="text1"/>
                <w:spacing w:val="-1"/>
                <w:szCs w:val="24"/>
                <w14:textFill>
                  <w14:solidFill>
                    <w14:schemeClr w14:val="tx1"/>
                  </w14:solidFill>
                </w14:textFill>
              </w:rPr>
              <w:t>其成分检测报告见附件</w:t>
            </w:r>
            <w:r>
              <w:rPr>
                <w:rFonts w:ascii="Times New Roman" w:hAnsi="Times New Roman" w:eastAsia="宋体" w:cs="Times New Roman"/>
                <w:color w:val="000000" w:themeColor="text1"/>
                <w:spacing w:val="-43"/>
                <w:szCs w:val="24"/>
                <w14:textFill>
                  <w14:solidFill>
                    <w14:schemeClr w14:val="tx1"/>
                  </w14:solidFill>
                </w14:textFill>
              </w:rPr>
              <w:t xml:space="preserve"> </w:t>
            </w:r>
            <w:r>
              <w:rPr>
                <w:rFonts w:ascii="Times New Roman" w:hAnsi="Times New Roman" w:eastAsia="宋体" w:cs="Times New Roman"/>
                <w:color w:val="000000" w:themeColor="text1"/>
                <w:spacing w:val="-1"/>
                <w:szCs w:val="24"/>
                <w14:textFill>
                  <w14:solidFill>
                    <w14:schemeClr w14:val="tx1"/>
                  </w14:solidFill>
                </w14:textFill>
              </w:rPr>
              <w:t>10。</w:t>
            </w:r>
          </w:p>
          <w:p>
            <w:pPr>
              <w:pStyle w:val="14"/>
              <w:widowControl w:val="0"/>
              <w:topLinePunct/>
              <w:spacing w:after="0"/>
              <w:ind w:firstLine="482"/>
              <w:jc w:val="both"/>
              <w:rPr>
                <w:rFonts w:ascii="Times New Roman" w:hAnsi="Times New Roman" w:eastAsia="宋体" w:cs="Times New Roman"/>
                <w:color w:val="000000" w:themeColor="text1"/>
                <w:szCs w:val="24"/>
                <w:lang w:bidi="ar"/>
                <w14:textFill>
                  <w14:solidFill>
                    <w14:schemeClr w14:val="tx1"/>
                  </w14:solidFill>
                </w14:textFill>
              </w:rPr>
            </w:pPr>
            <w:r>
              <w:rPr>
                <w:rFonts w:hint="eastAsia" w:ascii="宋体" w:hAnsi="宋体" w:eastAsia="宋体" w:cs="宋体"/>
                <w:b/>
                <w:color w:val="000000" w:themeColor="text1"/>
                <w:szCs w:val="24"/>
                <w:lang w:bidi="ar"/>
                <w14:textFill>
                  <w14:solidFill>
                    <w14:schemeClr w14:val="tx1"/>
                  </w14:solidFill>
                </w14:textFill>
              </w:rPr>
              <w:t>③</w:t>
            </w:r>
            <w:r>
              <w:rPr>
                <w:rFonts w:ascii="Times New Roman" w:hAnsi="Times New Roman" w:eastAsia="宋体" w:cs="Times New Roman"/>
                <w:b/>
                <w:color w:val="000000" w:themeColor="text1"/>
                <w:szCs w:val="24"/>
                <w:lang w:bidi="ar"/>
                <w14:textFill>
                  <w14:solidFill>
                    <w14:schemeClr w14:val="tx1"/>
                  </w14:solidFill>
                </w14:textFill>
              </w:rPr>
              <w:t>环氧固</w:t>
            </w:r>
            <w:r>
              <w:rPr>
                <w:rFonts w:hint="eastAsia" w:ascii="Times New Roman" w:hAnsi="Times New Roman" w:eastAsia="宋体" w:cs="Times New Roman"/>
                <w:b/>
                <w:color w:val="000000" w:themeColor="text1"/>
                <w:szCs w:val="24"/>
                <w:lang w:bidi="ar"/>
                <w14:textFill>
                  <w14:solidFill>
                    <w14:schemeClr w14:val="tx1"/>
                  </w14:solidFill>
                </w14:textFill>
              </w:rPr>
              <w:t>化</w:t>
            </w:r>
            <w:r>
              <w:rPr>
                <w:rFonts w:ascii="Times New Roman" w:hAnsi="Times New Roman" w:eastAsia="宋体" w:cs="Times New Roman"/>
                <w:b/>
                <w:color w:val="000000" w:themeColor="text1"/>
                <w:szCs w:val="24"/>
                <w:lang w:bidi="ar"/>
                <w14:textFill>
                  <w14:solidFill>
                    <w14:schemeClr w14:val="tx1"/>
                  </w14:solidFill>
                </w14:textFill>
              </w:rPr>
              <w:t>剂：</w:t>
            </w:r>
            <w:r>
              <w:rPr>
                <w:rFonts w:ascii="Times New Roman" w:hAnsi="Times New Roman" w:eastAsia="宋体" w:cs="Times New Roman"/>
                <w:color w:val="000000" w:themeColor="text1"/>
                <w:szCs w:val="24"/>
                <w:lang w:bidi="ar"/>
                <w14:textFill>
                  <w14:solidFill>
                    <w14:schemeClr w14:val="tx1"/>
                  </w14:solidFill>
                </w14:textFill>
              </w:rPr>
              <w:t>主要成分为甲基四氢苯酐（65%），甲基四氢苯酐聚醚等聚合物（＞30%），淡黄色透明液体，稍有气味，初始沸点＞150℃，闪点＞95℃，微溶于水，PH：4，密度/相对密度：1.204x10kg(20.0℃±0.1℃)。</w:t>
            </w:r>
          </w:p>
          <w:p>
            <w:pPr>
              <w:pStyle w:val="14"/>
              <w:widowControl w:val="0"/>
              <w:topLinePunct/>
              <w:spacing w:after="0"/>
              <w:ind w:firstLine="482"/>
              <w:jc w:val="both"/>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b/>
                <w:color w:val="000000" w:themeColor="text1"/>
                <w:szCs w:val="24"/>
                <w:lang w:bidi="ar"/>
                <w14:textFill>
                  <w14:solidFill>
                    <w14:schemeClr w14:val="tx1"/>
                  </w14:solidFill>
                </w14:textFill>
              </w:rPr>
              <w:fldChar w:fldCharType="begin"/>
            </w:r>
            <w:r>
              <w:rPr>
                <w:rFonts w:ascii="Times New Roman" w:hAnsi="Times New Roman" w:eastAsia="宋体" w:cs="Times New Roman"/>
                <w:b/>
                <w:color w:val="000000" w:themeColor="text1"/>
                <w:szCs w:val="24"/>
                <w:lang w:bidi="ar"/>
                <w14:textFill>
                  <w14:solidFill>
                    <w14:schemeClr w14:val="tx1"/>
                  </w14:solidFill>
                </w14:textFill>
              </w:rPr>
              <w:instrText xml:space="preserve"> = 4 \* GB3 \* MERGEFORMAT </w:instrText>
            </w:r>
            <w:r>
              <w:rPr>
                <w:rFonts w:ascii="Times New Roman" w:hAnsi="Times New Roman" w:eastAsia="宋体" w:cs="Times New Roman"/>
                <w:b/>
                <w:color w:val="000000" w:themeColor="text1"/>
                <w:szCs w:val="24"/>
                <w:lang w:bidi="ar"/>
                <w14:textFill>
                  <w14:solidFill>
                    <w14:schemeClr w14:val="tx1"/>
                  </w14:solidFill>
                </w14:textFill>
              </w:rPr>
              <w:fldChar w:fldCharType="separate"/>
            </w:r>
            <w:r>
              <w:rPr>
                <w:rFonts w:ascii="Times New Roman" w:hAnsi="Times New Roman" w:eastAsia="宋体" w:cs="Times New Roman"/>
                <w:b/>
                <w:color w:val="000000" w:themeColor="text1"/>
                <w:szCs w:val="24"/>
                <w:lang w:bidi="ar"/>
                <w14:textFill>
                  <w14:solidFill>
                    <w14:schemeClr w14:val="tx1"/>
                  </w14:solidFill>
                </w14:textFill>
              </w:rPr>
              <w:t>④</w:t>
            </w:r>
            <w:r>
              <w:rPr>
                <w:rFonts w:ascii="Times New Roman" w:hAnsi="Times New Roman" w:eastAsia="宋体" w:cs="Times New Roman"/>
                <w:b/>
                <w:color w:val="000000" w:themeColor="text1"/>
                <w:szCs w:val="24"/>
                <w:lang w:bidi="ar"/>
                <w14:textFill>
                  <w14:solidFill>
                    <w14:schemeClr w14:val="tx1"/>
                  </w14:solidFill>
                </w14:textFill>
              </w:rPr>
              <w:fldChar w:fldCharType="end"/>
            </w:r>
            <w:r>
              <w:rPr>
                <w:rFonts w:ascii="Times New Roman" w:hAnsi="Times New Roman" w:eastAsia="宋体" w:cs="Times New Roman"/>
                <w:b/>
                <w:color w:val="000000" w:themeColor="text1"/>
                <w:szCs w:val="24"/>
                <w:lang w:bidi="ar"/>
                <w14:textFill>
                  <w14:solidFill>
                    <w14:schemeClr w14:val="tx1"/>
                  </w14:solidFill>
                </w14:textFill>
              </w:rPr>
              <w:t>硅微粉：</w:t>
            </w:r>
            <w:r>
              <w:rPr>
                <w:rFonts w:ascii="Times New Roman" w:hAnsi="Times New Roman" w:eastAsia="宋体" w:cs="Times New Roman"/>
                <w:color w:val="000000" w:themeColor="text1"/>
                <w:szCs w:val="24"/>
                <w:lang w:bidi="ar"/>
                <w14:textFill>
                  <w14:solidFill>
                    <w14:schemeClr w14:val="tx1"/>
                  </w14:solidFill>
                </w14:textFill>
              </w:rPr>
              <w:t>是一种中性无机填料，具有良好的耐温性、化学稳定性和电绝缘性，硅微粉具有良好的耐温性，能够在高温环境下保持稳定的性能‌，硅微粉不易与其他物质发生化学反应，具有很高的化学稳定性‌，纯度高、杂质含量低，电绝缘性能优异‌，硬度较大，莫氏硬度一般在7左右‌。</w:t>
            </w:r>
          </w:p>
          <w:p>
            <w:pPr>
              <w:spacing w:after="0" w:line="360" w:lineRule="auto"/>
              <w:ind w:firstLine="482" w:firstLineChars="200"/>
              <w:jc w:val="both"/>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b/>
                <w:color w:val="000000" w:themeColor="text1"/>
                <w:szCs w:val="24"/>
                <w:lang w:bidi="ar"/>
                <w14:textFill>
                  <w14:solidFill>
                    <w14:schemeClr w14:val="tx1"/>
                  </w14:solidFill>
                </w14:textFill>
              </w:rPr>
              <w:fldChar w:fldCharType="begin"/>
            </w:r>
            <w:r>
              <w:rPr>
                <w:rFonts w:ascii="Times New Roman" w:hAnsi="Times New Roman" w:eastAsia="宋体" w:cs="Times New Roman"/>
                <w:b/>
                <w:color w:val="000000" w:themeColor="text1"/>
                <w:szCs w:val="24"/>
                <w:lang w:bidi="ar"/>
                <w14:textFill>
                  <w14:solidFill>
                    <w14:schemeClr w14:val="tx1"/>
                  </w14:solidFill>
                </w14:textFill>
              </w:rPr>
              <w:instrText xml:space="preserve"> = 5 \* GB3 \* MERGEFORMAT </w:instrText>
            </w:r>
            <w:r>
              <w:rPr>
                <w:rFonts w:ascii="Times New Roman" w:hAnsi="Times New Roman" w:eastAsia="宋体" w:cs="Times New Roman"/>
                <w:b/>
                <w:color w:val="000000" w:themeColor="text1"/>
                <w:szCs w:val="24"/>
                <w:lang w:bidi="ar"/>
                <w14:textFill>
                  <w14:solidFill>
                    <w14:schemeClr w14:val="tx1"/>
                  </w14:solidFill>
                </w14:textFill>
              </w:rPr>
              <w:fldChar w:fldCharType="separate"/>
            </w:r>
            <w:r>
              <w:rPr>
                <w:rFonts w:ascii="Times New Roman" w:hAnsi="Times New Roman" w:eastAsia="宋体" w:cs="Times New Roman"/>
                <w:b/>
                <w:color w:val="000000" w:themeColor="text1"/>
                <w:szCs w:val="24"/>
                <w:lang w:bidi="ar"/>
                <w14:textFill>
                  <w14:solidFill>
                    <w14:schemeClr w14:val="tx1"/>
                  </w14:solidFill>
                </w14:textFill>
              </w:rPr>
              <w:t>⑤</w:t>
            </w:r>
            <w:r>
              <w:rPr>
                <w:rFonts w:ascii="Times New Roman" w:hAnsi="Times New Roman" w:eastAsia="宋体" w:cs="Times New Roman"/>
                <w:b/>
                <w:color w:val="000000" w:themeColor="text1"/>
                <w:szCs w:val="24"/>
                <w:lang w:bidi="ar"/>
                <w14:textFill>
                  <w14:solidFill>
                    <w14:schemeClr w14:val="tx1"/>
                  </w14:solidFill>
                </w14:textFill>
              </w:rPr>
              <w:fldChar w:fldCharType="end"/>
            </w:r>
            <w:r>
              <w:rPr>
                <w:rFonts w:ascii="Times New Roman" w:hAnsi="Times New Roman" w:eastAsia="宋体" w:cs="Times New Roman"/>
                <w:b/>
                <w:color w:val="000000" w:themeColor="text1"/>
                <w:szCs w:val="24"/>
                <w:lang w:bidi="ar"/>
                <w14:textFill>
                  <w14:solidFill>
                    <w14:schemeClr w14:val="tx1"/>
                  </w14:solidFill>
                </w14:textFill>
              </w:rPr>
              <w:t>色浆：</w:t>
            </w:r>
            <w:r>
              <w:rPr>
                <w:rFonts w:ascii="Times New Roman" w:hAnsi="Times New Roman" w:eastAsia="宋体" w:cs="Times New Roman"/>
                <w:color w:val="000000" w:themeColor="text1"/>
                <w:szCs w:val="24"/>
                <w:lang w:bidi="ar"/>
                <w14:textFill>
                  <w14:solidFill>
                    <w14:schemeClr w14:val="tx1"/>
                  </w14:solidFill>
                </w14:textFill>
              </w:rPr>
              <w:t>主要化学成分聚醚二醇缩水甘油醚（90%），色粉（10%），外观为军绿色，密度：≈1.2g/cm3(25℃±1℃)，闪点＞95℃，PH：7，微溶于水，常温常压下较稳定。</w:t>
            </w:r>
          </w:p>
          <w:p>
            <w:pPr>
              <w:spacing w:after="0" w:line="360" w:lineRule="auto"/>
              <w:ind w:firstLine="482" w:firstLineChars="200"/>
              <w:jc w:val="both"/>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b/>
                <w:color w:val="000000" w:themeColor="text1"/>
                <w:szCs w:val="24"/>
                <w:lang w:bidi="ar"/>
                <w14:textFill>
                  <w14:solidFill>
                    <w14:schemeClr w14:val="tx1"/>
                  </w14:solidFill>
                </w14:textFill>
              </w:rPr>
              <w:fldChar w:fldCharType="begin"/>
            </w:r>
            <w:r>
              <w:rPr>
                <w:rFonts w:ascii="Times New Roman" w:hAnsi="Times New Roman" w:eastAsia="宋体" w:cs="Times New Roman"/>
                <w:b/>
                <w:color w:val="000000" w:themeColor="text1"/>
                <w:szCs w:val="24"/>
                <w:lang w:bidi="ar"/>
                <w14:textFill>
                  <w14:solidFill>
                    <w14:schemeClr w14:val="tx1"/>
                  </w14:solidFill>
                </w14:textFill>
              </w:rPr>
              <w:instrText xml:space="preserve"> = 6 \* GB3 \* MERGEFORMAT </w:instrText>
            </w:r>
            <w:r>
              <w:rPr>
                <w:rFonts w:ascii="Times New Roman" w:hAnsi="Times New Roman" w:eastAsia="宋体" w:cs="Times New Roman"/>
                <w:b/>
                <w:color w:val="000000" w:themeColor="text1"/>
                <w:szCs w:val="24"/>
                <w:lang w:bidi="ar"/>
                <w14:textFill>
                  <w14:solidFill>
                    <w14:schemeClr w14:val="tx1"/>
                  </w14:solidFill>
                </w14:textFill>
              </w:rPr>
              <w:fldChar w:fldCharType="separate"/>
            </w:r>
            <w:r>
              <w:rPr>
                <w:rFonts w:ascii="Times New Roman" w:hAnsi="Times New Roman" w:eastAsia="宋体" w:cs="Times New Roman"/>
                <w:b/>
                <w:color w:val="000000" w:themeColor="text1"/>
                <w:szCs w:val="24"/>
                <w:lang w:bidi="ar"/>
                <w14:textFill>
                  <w14:solidFill>
                    <w14:schemeClr w14:val="tx1"/>
                  </w14:solidFill>
                </w14:textFill>
              </w:rPr>
              <w:t>⑥</w:t>
            </w:r>
            <w:r>
              <w:rPr>
                <w:rFonts w:ascii="Times New Roman" w:hAnsi="Times New Roman" w:eastAsia="宋体" w:cs="Times New Roman"/>
                <w:b/>
                <w:color w:val="000000" w:themeColor="text1"/>
                <w:szCs w:val="24"/>
                <w:lang w:bidi="ar"/>
                <w14:textFill>
                  <w14:solidFill>
                    <w14:schemeClr w14:val="tx1"/>
                  </w14:solidFill>
                </w14:textFill>
              </w:rPr>
              <w:fldChar w:fldCharType="end"/>
            </w:r>
            <w:r>
              <w:rPr>
                <w:rFonts w:ascii="Times New Roman" w:hAnsi="Times New Roman" w:eastAsia="宋体" w:cs="Times New Roman"/>
                <w:b/>
                <w:color w:val="000000" w:themeColor="text1"/>
                <w:szCs w:val="24"/>
                <w:lang w:bidi="ar"/>
                <w14:textFill>
                  <w14:solidFill>
                    <w14:schemeClr w14:val="tx1"/>
                  </w14:solidFill>
                </w14:textFill>
              </w:rPr>
              <w:t>清洗剂：</w:t>
            </w:r>
            <w:r>
              <w:rPr>
                <w:rFonts w:ascii="Times New Roman" w:hAnsi="Times New Roman" w:eastAsia="宋体" w:cs="Times New Roman"/>
                <w:color w:val="000000" w:themeColor="text1"/>
                <w:szCs w:val="24"/>
                <w:lang w:bidi="ar"/>
                <w14:textFill>
                  <w14:solidFill>
                    <w14:schemeClr w14:val="tx1"/>
                  </w14:solidFill>
                </w14:textFill>
              </w:rPr>
              <w:t>主要成分为五水偏硅酸钠，化学式为Na</w:t>
            </w:r>
            <w:r>
              <w:rPr>
                <w:rFonts w:ascii="Times New Roman" w:hAnsi="Times New Roman" w:eastAsia="宋体" w:cs="Times New Roman"/>
                <w:color w:val="000000" w:themeColor="text1"/>
                <w:szCs w:val="24"/>
                <w:vertAlign w:val="subscript"/>
                <w:lang w:bidi="ar"/>
                <w14:textFill>
                  <w14:solidFill>
                    <w14:schemeClr w14:val="tx1"/>
                  </w14:solidFill>
                </w14:textFill>
              </w:rPr>
              <w:t>2</w:t>
            </w:r>
            <w:r>
              <w:rPr>
                <w:rFonts w:ascii="Times New Roman" w:hAnsi="Times New Roman" w:eastAsia="宋体" w:cs="Times New Roman"/>
                <w:color w:val="000000" w:themeColor="text1"/>
                <w:szCs w:val="24"/>
                <w:lang w:bidi="ar"/>
                <w14:textFill>
                  <w14:solidFill>
                    <w14:schemeClr w14:val="tx1"/>
                  </w14:solidFill>
                </w14:textFill>
              </w:rPr>
              <w:t>SiO</w:t>
            </w:r>
            <w:r>
              <w:rPr>
                <w:rFonts w:ascii="Times New Roman" w:hAnsi="Times New Roman" w:eastAsia="宋体" w:cs="Times New Roman"/>
                <w:color w:val="000000" w:themeColor="text1"/>
                <w:szCs w:val="24"/>
                <w:vertAlign w:val="subscript"/>
                <w:lang w:bidi="ar"/>
                <w14:textFill>
                  <w14:solidFill>
                    <w14:schemeClr w14:val="tx1"/>
                  </w14:solidFill>
                </w14:textFill>
              </w:rPr>
              <w:t>3</w:t>
            </w:r>
            <w:r>
              <w:rPr>
                <w:rFonts w:ascii="Times New Roman" w:hAnsi="Times New Roman" w:eastAsia="宋体" w:cs="Times New Roman"/>
                <w:color w:val="000000" w:themeColor="text1"/>
                <w:szCs w:val="24"/>
                <w:lang w:bidi="ar"/>
                <w14:textFill>
                  <w14:solidFill>
                    <w14:schemeClr w14:val="tx1"/>
                  </w14:solidFill>
                </w14:textFill>
              </w:rPr>
              <w:t>·5H</w:t>
            </w:r>
            <w:r>
              <w:rPr>
                <w:rFonts w:ascii="Times New Roman" w:hAnsi="Times New Roman" w:eastAsia="宋体" w:cs="Times New Roman"/>
                <w:color w:val="000000" w:themeColor="text1"/>
                <w:szCs w:val="24"/>
                <w:vertAlign w:val="subscript"/>
                <w:lang w:bidi="ar"/>
                <w14:textFill>
                  <w14:solidFill>
                    <w14:schemeClr w14:val="tx1"/>
                  </w14:solidFill>
                </w14:textFill>
              </w:rPr>
              <w:t>2</w:t>
            </w:r>
            <w:r>
              <w:rPr>
                <w:rFonts w:ascii="Times New Roman" w:hAnsi="Times New Roman" w:eastAsia="宋体" w:cs="Times New Roman"/>
                <w:color w:val="000000" w:themeColor="text1"/>
                <w:szCs w:val="24"/>
                <w:lang w:bidi="ar"/>
                <w14:textFill>
                  <w14:solidFill>
                    <w14:schemeClr w14:val="tx1"/>
                  </w14:solidFill>
                </w14:textFill>
              </w:rPr>
              <w:t>O，‌分子量为212.14，本项目用于清洗橡胶件及金属件上的油脂，是一种无毒、无味、无公害的白色粉末或结晶颗粒，易溶于水，不溶于醇和酸，具有吸水性，水溶液呈碱性。熔点为72.2℃，密度为2.61。其外观通常为白色方形结晶或球状颗粒，置于空气中易吸湿潮解‌，多种理化性质，包括去垢、乳化、分散、湿润、渗透性及对pH值有缓冲能力。其水溶液呈碱性，pH值为12.5，具有强碱性，去污力强，缓冲能力大，可中和酸性污物，使脂肪和油乳化，对无机物有反絮凝作用，对金属有防腐蚀作用。五水偏硅酸钠能够吸收空气中的水分和二氧化碳发生潮解，具有良好的分散性和乳化性‌。</w:t>
            </w:r>
          </w:p>
          <w:p>
            <w:pPr>
              <w:spacing w:after="0" w:line="360" w:lineRule="auto"/>
              <w:ind w:firstLine="482" w:firstLineChars="200"/>
              <w:jc w:val="both"/>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b/>
                <w:color w:val="000000" w:themeColor="text1"/>
                <w:szCs w:val="24"/>
                <w:lang w:bidi="ar"/>
                <w14:textFill>
                  <w14:solidFill>
                    <w14:schemeClr w14:val="tx1"/>
                  </w14:solidFill>
                </w14:textFill>
              </w:rPr>
              <w:fldChar w:fldCharType="begin"/>
            </w:r>
            <w:r>
              <w:rPr>
                <w:rFonts w:ascii="Times New Roman" w:hAnsi="Times New Roman" w:eastAsia="宋体" w:cs="Times New Roman"/>
                <w:b/>
                <w:color w:val="000000" w:themeColor="text1"/>
                <w:szCs w:val="24"/>
                <w:lang w:bidi="ar"/>
                <w14:textFill>
                  <w14:solidFill>
                    <w14:schemeClr w14:val="tx1"/>
                  </w14:solidFill>
                </w14:textFill>
              </w:rPr>
              <w:instrText xml:space="preserve"> = 7 \* GB3 \* MERGEFORMAT </w:instrText>
            </w:r>
            <w:r>
              <w:rPr>
                <w:rFonts w:ascii="Times New Roman" w:hAnsi="Times New Roman" w:eastAsia="宋体" w:cs="Times New Roman"/>
                <w:b/>
                <w:color w:val="000000" w:themeColor="text1"/>
                <w:szCs w:val="24"/>
                <w:lang w:bidi="ar"/>
                <w14:textFill>
                  <w14:solidFill>
                    <w14:schemeClr w14:val="tx1"/>
                  </w14:solidFill>
                </w14:textFill>
              </w:rPr>
              <w:fldChar w:fldCharType="separate"/>
            </w:r>
            <w:r>
              <w:rPr>
                <w:rFonts w:ascii="Times New Roman" w:hAnsi="Times New Roman" w:eastAsia="宋体" w:cs="Times New Roman"/>
                <w:b/>
                <w:color w:val="000000" w:themeColor="text1"/>
                <w:szCs w:val="24"/>
                <w:lang w:bidi="ar"/>
                <w14:textFill>
                  <w14:solidFill>
                    <w14:schemeClr w14:val="tx1"/>
                  </w14:solidFill>
                </w14:textFill>
              </w:rPr>
              <w:t>⑦</w:t>
            </w:r>
            <w:r>
              <w:rPr>
                <w:rFonts w:ascii="Times New Roman" w:hAnsi="Times New Roman" w:eastAsia="宋体" w:cs="Times New Roman"/>
                <w:b/>
                <w:color w:val="000000" w:themeColor="text1"/>
                <w:szCs w:val="24"/>
                <w:lang w:bidi="ar"/>
                <w14:textFill>
                  <w14:solidFill>
                    <w14:schemeClr w14:val="tx1"/>
                  </w14:solidFill>
                </w14:textFill>
              </w:rPr>
              <w:fldChar w:fldCharType="end"/>
            </w:r>
            <w:r>
              <w:rPr>
                <w:rFonts w:ascii="Times New Roman" w:hAnsi="Times New Roman" w:eastAsia="宋体" w:cs="Times New Roman"/>
                <w:b/>
                <w:color w:val="000000" w:themeColor="text1"/>
                <w:szCs w:val="24"/>
                <w:lang w:bidi="ar"/>
                <w14:textFill>
                  <w14:solidFill>
                    <w14:schemeClr w14:val="tx1"/>
                  </w14:solidFill>
                </w14:textFill>
              </w:rPr>
              <w:t>稀释剂：</w:t>
            </w:r>
            <w:r>
              <w:rPr>
                <w:rFonts w:ascii="Times New Roman" w:hAnsi="Times New Roman" w:eastAsia="宋体" w:cs="Times New Roman"/>
                <w:color w:val="000000" w:themeColor="text1"/>
                <w:szCs w:val="24"/>
                <w:lang w:bidi="ar"/>
                <w14:textFill>
                  <w14:solidFill>
                    <w14:schemeClr w14:val="tx1"/>
                  </w14:solidFill>
                </w14:textFill>
              </w:rPr>
              <w:t>主要成分为甲基异丁基酮（少于85%）、二甲苯（少于20%）、乙苯（少于5%）。气味：溶剂，外观与性状：透明，蒸气密度：比空气重，物理状态：液体，最低爆炸极限：1%(V)，闪点：61°F，16°CSetaflash密闭杯最高爆炸极限：7.5%(V)沸程：114-141°C蒸发率：比乙酸正丁酯快，密度：0.81g/cm3，水溶性：部分可溶，挥发性（重量）：100.00%，挥发性（体积）：100.00%，VOC计算得出：6.73lb/gal，807g/l。</w:t>
            </w:r>
          </w:p>
          <w:p>
            <w:pPr>
              <w:spacing w:after="0" w:line="360" w:lineRule="auto"/>
              <w:ind w:firstLine="480" w:firstLineChars="200"/>
              <w:jc w:val="both"/>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color w:val="000000" w:themeColor="text1"/>
                <w:szCs w:val="24"/>
                <w:lang w:bidi="ar"/>
                <w14:textFill>
                  <w14:solidFill>
                    <w14:schemeClr w14:val="tx1"/>
                  </w14:solidFill>
                </w14:textFill>
              </w:rPr>
              <w:fldChar w:fldCharType="begin"/>
            </w:r>
            <w:r>
              <w:rPr>
                <w:rFonts w:ascii="Times New Roman" w:hAnsi="Times New Roman" w:eastAsia="宋体" w:cs="Times New Roman"/>
                <w:color w:val="000000" w:themeColor="text1"/>
                <w:szCs w:val="24"/>
                <w:lang w:bidi="ar"/>
                <w14:textFill>
                  <w14:solidFill>
                    <w14:schemeClr w14:val="tx1"/>
                  </w14:solidFill>
                </w14:textFill>
              </w:rPr>
              <w:instrText xml:space="preserve"> = 8 \* GB3 \* MERGEFORMAT </w:instrText>
            </w:r>
            <w:r>
              <w:rPr>
                <w:rFonts w:ascii="Times New Roman" w:hAnsi="Times New Roman" w:eastAsia="宋体" w:cs="Times New Roman"/>
                <w:color w:val="000000" w:themeColor="text1"/>
                <w:szCs w:val="24"/>
                <w:lang w:bidi="ar"/>
                <w14:textFill>
                  <w14:solidFill>
                    <w14:schemeClr w14:val="tx1"/>
                  </w14:solidFill>
                </w14:textFill>
              </w:rPr>
              <w:fldChar w:fldCharType="separate"/>
            </w:r>
            <w:r>
              <w:rPr>
                <w:rFonts w:ascii="Times New Roman" w:hAnsi="Times New Roman" w:eastAsia="宋体" w:cs="Times New Roman"/>
                <w:color w:val="000000" w:themeColor="text1"/>
                <w:szCs w:val="24"/>
                <w:lang w:bidi="ar"/>
                <w14:textFill>
                  <w14:solidFill>
                    <w14:schemeClr w14:val="tx1"/>
                  </w14:solidFill>
                </w14:textFill>
              </w:rPr>
              <w:t>⑧</w:t>
            </w:r>
            <w:r>
              <w:rPr>
                <w:rFonts w:ascii="Times New Roman" w:hAnsi="Times New Roman" w:eastAsia="宋体" w:cs="Times New Roman"/>
                <w:color w:val="000000" w:themeColor="text1"/>
                <w:szCs w:val="24"/>
                <w:lang w:bidi="ar"/>
                <w14:textFill>
                  <w14:solidFill>
                    <w14:schemeClr w14:val="tx1"/>
                  </w14:solidFill>
                </w14:textFill>
              </w:rPr>
              <w:fldChar w:fldCharType="end"/>
            </w:r>
            <w:r>
              <w:rPr>
                <w:rFonts w:ascii="Times New Roman" w:hAnsi="Times New Roman" w:eastAsia="宋体" w:cs="Times New Roman"/>
                <w:b/>
                <w:color w:val="000000" w:themeColor="text1"/>
                <w:szCs w:val="24"/>
                <w:lang w:bidi="ar"/>
                <w14:textFill>
                  <w14:solidFill>
                    <w14:schemeClr w14:val="tx1"/>
                  </w14:solidFill>
                </w14:textFill>
              </w:rPr>
              <w:t>粘接表面处理剂：</w:t>
            </w:r>
            <w:r>
              <w:rPr>
                <w:rFonts w:ascii="Times New Roman" w:hAnsi="Times New Roman" w:eastAsia="宋体" w:cs="Times New Roman"/>
                <w:color w:val="000000" w:themeColor="text1"/>
                <w:szCs w:val="24"/>
                <w:lang w:bidi="ar"/>
                <w14:textFill>
                  <w14:solidFill>
                    <w14:schemeClr w14:val="tx1"/>
                  </w14:solidFill>
                </w14:textFill>
              </w:rPr>
              <w:t>属于溶剂型涂料，主要成分为主要成分为甲基异丁基酮（少于60%），二甲苯（少于10%），二氧化钛（少于10%），酚醛树脂（少于5%），乙苯（少于5%），丙二醇甲醚（少于5%），碳黑（少于5%），甲苯（少于0.9%），邻甲酚（少于0.9%）。</w:t>
            </w:r>
          </w:p>
          <w:p>
            <w:pPr>
              <w:spacing w:after="0" w:line="360" w:lineRule="auto"/>
              <w:ind w:firstLine="480" w:firstLineChars="200"/>
              <w:jc w:val="both"/>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color w:val="000000" w:themeColor="text1"/>
                <w:szCs w:val="24"/>
                <w:lang w:bidi="ar"/>
                <w14:textFill>
                  <w14:solidFill>
                    <w14:schemeClr w14:val="tx1"/>
                  </w14:solidFill>
                </w14:textFill>
              </w:rPr>
              <w:fldChar w:fldCharType="begin"/>
            </w:r>
            <w:r>
              <w:rPr>
                <w:rFonts w:ascii="Times New Roman" w:hAnsi="Times New Roman" w:eastAsia="宋体" w:cs="Times New Roman"/>
                <w:color w:val="000000" w:themeColor="text1"/>
                <w:szCs w:val="24"/>
                <w:lang w:bidi="ar"/>
                <w14:textFill>
                  <w14:solidFill>
                    <w14:schemeClr w14:val="tx1"/>
                  </w14:solidFill>
                </w14:textFill>
              </w:rPr>
              <w:instrText xml:space="preserve"> = 9 \* GB3 </w:instrText>
            </w:r>
            <w:r>
              <w:rPr>
                <w:rFonts w:ascii="Times New Roman" w:hAnsi="Times New Roman" w:eastAsia="宋体" w:cs="Times New Roman"/>
                <w:color w:val="000000" w:themeColor="text1"/>
                <w:szCs w:val="24"/>
                <w:lang w:bidi="ar"/>
                <w14:textFill>
                  <w14:solidFill>
                    <w14:schemeClr w14:val="tx1"/>
                  </w14:solidFill>
                </w14:textFill>
              </w:rPr>
              <w:fldChar w:fldCharType="separate"/>
            </w:r>
            <w:r>
              <w:rPr>
                <w:rFonts w:hint="eastAsia" w:ascii="宋体" w:hAnsi="宋体" w:eastAsia="宋体" w:cs="宋体"/>
                <w:color w:val="000000" w:themeColor="text1"/>
                <w:szCs w:val="24"/>
                <w:lang w:bidi="ar"/>
                <w14:textFill>
                  <w14:solidFill>
                    <w14:schemeClr w14:val="tx1"/>
                  </w14:solidFill>
                </w14:textFill>
              </w:rPr>
              <w:t>⑨</w:t>
            </w:r>
            <w:r>
              <w:rPr>
                <w:rFonts w:ascii="Times New Roman" w:hAnsi="Times New Roman" w:eastAsia="宋体" w:cs="Times New Roman"/>
                <w:color w:val="000000" w:themeColor="text1"/>
                <w:szCs w:val="24"/>
                <w:lang w:bidi="ar"/>
                <w14:textFill>
                  <w14:solidFill>
                    <w14:schemeClr w14:val="tx1"/>
                  </w14:solidFill>
                </w14:textFill>
              </w:rPr>
              <w:fldChar w:fldCharType="end"/>
            </w:r>
            <w:r>
              <w:rPr>
                <w:rFonts w:hint="eastAsia" w:ascii="Times New Roman" w:hAnsi="Times New Roman" w:eastAsia="宋体" w:cs="Times New Roman"/>
                <w:b/>
                <w:color w:val="000000" w:themeColor="text1"/>
                <w:szCs w:val="24"/>
                <w:lang w:bidi="ar"/>
                <w14:textFill>
                  <w14:solidFill>
                    <w14:schemeClr w14:val="tx1"/>
                  </w14:solidFill>
                </w14:textFill>
              </w:rPr>
              <w:t>PE线</w:t>
            </w:r>
            <w:r>
              <w:rPr>
                <w:rFonts w:hint="eastAsia" w:ascii="Times New Roman" w:hAnsi="Times New Roman" w:eastAsia="宋体" w:cs="Times New Roman"/>
                <w:color w:val="000000" w:themeColor="text1"/>
                <w:szCs w:val="24"/>
                <w:lang w:bidi="ar"/>
                <w14:textFill>
                  <w14:solidFill>
                    <w14:schemeClr w14:val="tx1"/>
                  </w14:solidFill>
                </w14:textFill>
              </w:rPr>
              <w:t>：PE 线主要成分为聚乙烯树脂，通过注塑成型制得等，本项目全部外购注塑成型后的 PE 线作为原料，聚乙烯树脂为无毒、无味的白色粉末或颗粒，外观呈乳白色，有似蜡的手感，吸水率低，小于 0.01%。聚乙烯化学稳定性较好，室温下可耐稀硝酸、稀硫酸和任何浓度的盐酸、氢氟酸、磷酸、甲酸、醋酸、氨水、胺类、过氧化氢、氢氧化钠、氢氧化钾等溶液。但不耐强氧化的腐蚀,如发烟硫酸、浓硝酸、铬酸与硫酸的混合液。在室温下上述溶剂会对聚乙烯产生缓慢的侵蚀作用，而在 90~100℃下，浓硫酸和浓硝酸会快速地侵蚀聚乙烯，使其破坏或分解。聚乙烯容易光氧化、热氧化、臭氧分解，在紫外线作用下容易发生降解，炭黑对聚乙烯有优异的光屏蔽作用。受辐射后可发生交联、断链、形成不饱和基团等反应。</w:t>
            </w:r>
          </w:p>
          <w:p>
            <w:pPr>
              <w:spacing w:after="0" w:line="360" w:lineRule="auto"/>
              <w:ind w:firstLine="482" w:firstLineChars="200"/>
              <w:jc w:val="both"/>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b/>
                <w:bCs/>
                <w:color w:val="000000" w:themeColor="text1"/>
                <w:szCs w:val="24"/>
                <w:lang w:bidi="ar"/>
                <w14:textFill>
                  <w14:solidFill>
                    <w14:schemeClr w14:val="tx1"/>
                  </w14:solidFill>
                </w14:textFill>
              </w:rPr>
              <w:fldChar w:fldCharType="begin"/>
            </w:r>
            <w:r>
              <w:rPr>
                <w:rFonts w:ascii="Times New Roman" w:hAnsi="Times New Roman" w:eastAsia="宋体" w:cs="Times New Roman"/>
                <w:b/>
                <w:bCs/>
                <w:color w:val="000000" w:themeColor="text1"/>
                <w:szCs w:val="24"/>
                <w:lang w:bidi="ar"/>
                <w14:textFill>
                  <w14:solidFill>
                    <w14:schemeClr w14:val="tx1"/>
                  </w14:solidFill>
                </w14:textFill>
              </w:rPr>
              <w:instrText xml:space="preserve"> </w:instrText>
            </w:r>
            <w:r>
              <w:rPr>
                <w:rFonts w:hint="eastAsia" w:ascii="Times New Roman" w:hAnsi="Times New Roman" w:eastAsia="宋体" w:cs="Times New Roman"/>
                <w:b/>
                <w:bCs/>
                <w:color w:val="000000" w:themeColor="text1"/>
                <w:szCs w:val="24"/>
                <w:lang w:bidi="ar"/>
                <w14:textFill>
                  <w14:solidFill>
                    <w14:schemeClr w14:val="tx1"/>
                  </w14:solidFill>
                </w14:textFill>
              </w:rPr>
              <w:instrText xml:space="preserve">= 10 \* GB3</w:instrText>
            </w:r>
            <w:r>
              <w:rPr>
                <w:rFonts w:ascii="Times New Roman" w:hAnsi="Times New Roman" w:eastAsia="宋体" w:cs="Times New Roman"/>
                <w:b/>
                <w:bCs/>
                <w:color w:val="000000" w:themeColor="text1"/>
                <w:szCs w:val="24"/>
                <w:lang w:bidi="ar"/>
                <w14:textFill>
                  <w14:solidFill>
                    <w14:schemeClr w14:val="tx1"/>
                  </w14:solidFill>
                </w14:textFill>
              </w:rPr>
              <w:instrText xml:space="preserve"> </w:instrText>
            </w:r>
            <w:r>
              <w:rPr>
                <w:rFonts w:ascii="Times New Roman" w:hAnsi="Times New Roman" w:eastAsia="宋体" w:cs="Times New Roman"/>
                <w:b/>
                <w:bCs/>
                <w:color w:val="000000" w:themeColor="text1"/>
                <w:szCs w:val="24"/>
                <w:lang w:bidi="ar"/>
                <w14:textFill>
                  <w14:solidFill>
                    <w14:schemeClr w14:val="tx1"/>
                  </w14:solidFill>
                </w14:textFill>
              </w:rPr>
              <w:fldChar w:fldCharType="separate"/>
            </w:r>
            <w:r>
              <w:rPr>
                <w:rFonts w:hint="eastAsia" w:ascii="Times New Roman" w:hAnsi="Times New Roman" w:eastAsia="宋体" w:cs="Times New Roman"/>
                <w:b/>
                <w:bCs/>
                <w:color w:val="000000" w:themeColor="text1"/>
                <w:szCs w:val="24"/>
                <w:lang w:bidi="ar"/>
                <w14:textFill>
                  <w14:solidFill>
                    <w14:schemeClr w14:val="tx1"/>
                  </w14:solidFill>
                </w14:textFill>
              </w:rPr>
              <w:t>⑩</w:t>
            </w:r>
            <w:r>
              <w:rPr>
                <w:rFonts w:ascii="Times New Roman" w:hAnsi="Times New Roman" w:eastAsia="宋体" w:cs="Times New Roman"/>
                <w:b/>
                <w:bCs/>
                <w:color w:val="000000" w:themeColor="text1"/>
                <w:szCs w:val="24"/>
                <w:lang w:bidi="ar"/>
                <w14:textFill>
                  <w14:solidFill>
                    <w14:schemeClr w14:val="tx1"/>
                  </w14:solidFill>
                </w14:textFill>
              </w:rPr>
              <w:fldChar w:fldCharType="end"/>
            </w:r>
            <w:r>
              <w:rPr>
                <w:rFonts w:ascii="Times New Roman" w:hAnsi="Times New Roman" w:eastAsia="宋体" w:cs="Times New Roman"/>
                <w:b/>
                <w:bCs/>
                <w:color w:val="000000" w:themeColor="text1"/>
                <w:szCs w:val="24"/>
                <w:lang w:bidi="ar"/>
                <w14:textFill>
                  <w14:solidFill>
                    <w14:schemeClr w14:val="tx1"/>
                  </w14:solidFill>
                </w14:textFill>
              </w:rPr>
              <w:t>脱模剂</w:t>
            </w:r>
            <w:r>
              <w:rPr>
                <w:rFonts w:ascii="Times New Roman" w:hAnsi="Times New Roman" w:eastAsia="宋体" w:cs="Times New Roman"/>
                <w:color w:val="000000" w:themeColor="text1"/>
                <w:szCs w:val="24"/>
                <w:lang w:bidi="ar"/>
                <w14:textFill>
                  <w14:solidFill>
                    <w14:schemeClr w14:val="tx1"/>
                  </w14:solidFill>
                </w14:textFill>
              </w:rPr>
              <w:t>：本项目使用奔达高效脱模剂（</w:t>
            </w:r>
            <w:r>
              <w:rPr>
                <w:rFonts w:hint="eastAsia" w:ascii="Times New Roman" w:hAnsi="Times New Roman" w:eastAsia="宋体" w:cs="Times New Roman"/>
                <w:color w:val="000000" w:themeColor="text1"/>
                <w:szCs w:val="24"/>
                <w:lang w:bidi="ar"/>
                <w14:textFill>
                  <w14:solidFill>
                    <w14:schemeClr w14:val="tx1"/>
                  </w14:solidFill>
                </w14:textFill>
              </w:rPr>
              <w:t>A</w:t>
            </w:r>
            <w:r>
              <w:rPr>
                <w:rFonts w:ascii="Times New Roman" w:hAnsi="Times New Roman" w:eastAsia="宋体" w:cs="Times New Roman"/>
                <w:color w:val="000000" w:themeColor="text1"/>
                <w:szCs w:val="24"/>
                <w:lang w:bidi="ar"/>
                <w14:textFill>
                  <w14:solidFill>
                    <w14:schemeClr w14:val="tx1"/>
                  </w14:solidFill>
                </w14:textFill>
              </w:rPr>
              <w:t>），属于油性脱模剂，适用于多种塑料和橡胶制品生产，主要成分包括硅油、十二烷基苯、戊二醛、环氧丙烷、壬基酚、巯基乙酸、丁酸钠、环己胺、氯化钴和三氯乙烯等。</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2.1.7 主要生产单元及主要生产设备</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项目主要生产设备见表2.1-7。</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表2.1-7 主要生产设备清单</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2552"/>
              <w:gridCol w:w="1417"/>
              <w:gridCol w:w="32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48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（台/套）</w:t>
                  </w:r>
                </w:p>
              </w:tc>
              <w:tc>
                <w:tcPr>
                  <w:tcW w:w="189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橡胶开炼机</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9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2</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橡胶注射成型机</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41</w:t>
                  </w:r>
                </w:p>
              </w:tc>
              <w:tc>
                <w:tcPr>
                  <w:tcW w:w="189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用于</w:t>
                  </w:r>
                  <w:r>
                    <w:rPr>
                      <w:rFonts w:hint="eastAsia"/>
                      <w:color w:val="000000" w:themeColor="text1"/>
                      <w14:textFill>
                        <w14:solidFill>
                          <w14:schemeClr w14:val="tx1"/>
                        </w14:solidFill>
                      </w14:textFill>
                    </w:rPr>
                    <w:t>注胶、硫化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3</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超声波清洗机</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189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金属配件清洗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4</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环氧拌料机</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9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混料搅拌使用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5</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液态胶泵料机</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89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把混料打入合模机设备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6</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环氧合模机</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89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用于浇注、固化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7</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烘箱</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0</w:t>
                  </w:r>
                </w:p>
              </w:tc>
              <w:tc>
                <w:tcPr>
                  <w:tcW w:w="189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用于二次固化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8</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耐压检测设备</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892"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成品检测使用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9</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局放检测设备</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892"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10</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雷电冲击检测设备</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92"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11</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打磨修边零件组</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89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打磨修边环节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12</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超声波绕管机</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9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PE线缠绕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13</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布袋扩张机</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92"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用于橡胶件（</w:t>
                  </w:r>
                  <w:r>
                    <w:rPr>
                      <w:rFonts w:hint="eastAsia"/>
                      <w:color w:val="000000" w:themeColor="text1"/>
                      <w14:textFill>
                        <w14:solidFill>
                          <w14:schemeClr w14:val="tx1"/>
                        </w14:solidFill>
                      </w14:textFill>
                    </w:rPr>
                    <w:t>终端和中间头还有三指套</w:t>
                  </w:r>
                  <w:r>
                    <w:rPr>
                      <w:color w:val="000000" w:themeColor="text1"/>
                      <w14:textFill>
                        <w14:solidFill>
                          <w14:schemeClr w14:val="tx1"/>
                        </w14:solidFill>
                      </w14:textFill>
                    </w:rPr>
                    <w:t>）套管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14</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钢丝扩张机</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92"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15</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液压叉车</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9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16</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电动叉车</w:t>
                  </w:r>
                </w:p>
              </w:tc>
              <w:tc>
                <w:tcPr>
                  <w:tcW w:w="8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9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17</w:t>
                  </w:r>
                </w:p>
              </w:tc>
              <w:tc>
                <w:tcPr>
                  <w:tcW w:w="1481"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冷却塔</w:t>
                  </w:r>
                </w:p>
              </w:tc>
              <w:tc>
                <w:tcPr>
                  <w:tcW w:w="822"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92" w:type="pct"/>
                  <w:vAlign w:val="center"/>
                </w:tcPr>
                <w:p>
                  <w:pPr>
                    <w:pStyle w:val="221"/>
                    <w:rPr>
                      <w:color w:val="000000" w:themeColor="text1"/>
                      <w:szCs w:val="21"/>
                      <w14:textFill>
                        <w14:solidFill>
                          <w14:schemeClr w14:val="tx1"/>
                        </w14:solidFill>
                      </w14:textFill>
                    </w:rPr>
                  </w:pPr>
                  <w:r>
                    <w:rPr>
                      <w:color w:val="000000" w:themeColor="text1"/>
                      <w:kern w:val="2"/>
                      <w:szCs w:val="21"/>
                      <w14:textFill>
                        <w14:solidFill>
                          <w14:schemeClr w14:val="tx1"/>
                        </w14:solidFill>
                      </w14:textFill>
                    </w:rPr>
                    <w:t>循环水量为100t/h</w:t>
                  </w:r>
                </w:p>
              </w:tc>
            </w:tr>
          </w:tbl>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w:t>
            </w:r>
            <w:r>
              <w:rPr>
                <w:rFonts w:hint="eastAsia" w:ascii="Times New Roman" w:hAnsi="Times New Roman" w:eastAsia="宋体" w:cs="Times New Roman"/>
                <w:b/>
                <w:bCs/>
                <w:color w:val="000000" w:themeColor="text1"/>
                <w:szCs w:val="24"/>
                <w14:textFill>
                  <w14:solidFill>
                    <w14:schemeClr w14:val="tx1"/>
                  </w14:solidFill>
                </w14:textFill>
              </w:rPr>
              <w:t>7</w:t>
            </w:r>
            <w:r>
              <w:rPr>
                <w:rFonts w:ascii="Times New Roman" w:hAnsi="Times New Roman" w:eastAsia="宋体" w:cs="Times New Roman"/>
                <w:b/>
                <w:bCs/>
                <w:color w:val="000000" w:themeColor="text1"/>
                <w:szCs w:val="24"/>
                <w14:textFill>
                  <w14:solidFill>
                    <w14:schemeClr w14:val="tx1"/>
                  </w14:solidFill>
                </w14:textFill>
              </w:rPr>
              <w:t xml:space="preserve"> 平面布置</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项目平面布置图可知，项目依据管理方便、节约占地、生产工艺流畅要求，将车间按功能区划分，分为导电胶生产区、橡胶生产区、环氧生产区、刷胶区等区域，包装区、原料存放区和成品区域位于西侧，靠近大门一侧有利于就近装卸货，同时不影响生产工序加工操作</w:t>
            </w:r>
            <w:r>
              <w:rPr>
                <w:rFonts w:hint="eastAsia" w:ascii="Times New Roman" w:hAnsi="Times New Roman" w:eastAsia="宋体" w:cs="Times New Roman"/>
                <w:color w:val="000000" w:themeColor="text1"/>
                <w:szCs w:val="24"/>
                <w14:textFill>
                  <w14:solidFill>
                    <w14:schemeClr w14:val="tx1"/>
                  </w14:solidFill>
                </w14:textFill>
              </w:rPr>
              <w:t>。本次扩建生产车间位于厂区中部，车间距离最近敏感点下底铺约190m，布局已尽量远离敏感点；</w:t>
            </w:r>
            <w:r>
              <w:rPr>
                <w:rFonts w:ascii="Times New Roman" w:hAnsi="Times New Roman" w:eastAsia="宋体" w:cs="Times New Roman"/>
                <w:color w:val="000000" w:themeColor="text1"/>
                <w:szCs w:val="24"/>
                <w14:textFill>
                  <w14:solidFill>
                    <w14:schemeClr w14:val="tx1"/>
                  </w14:solidFill>
                </w14:textFill>
              </w:rPr>
              <w:t>项目北侧为福建名味食品有限公司，该公司主要生产速冻食品加工，</w:t>
            </w:r>
            <w:r>
              <w:rPr>
                <w:rFonts w:hint="eastAsia" w:ascii="Times New Roman" w:hAnsi="Times New Roman" w:eastAsia="宋体" w:cs="Times New Roman"/>
                <w:color w:val="000000" w:themeColor="text1"/>
                <w:szCs w:val="24"/>
                <w14:textFill>
                  <w14:solidFill>
                    <w14:schemeClr w14:val="tx1"/>
                  </w14:solidFill>
                </w14:textFill>
              </w:rPr>
              <w:t>位于本项目的上风向位置（距离车间约200m）</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同时项目</w:t>
            </w:r>
            <w:r>
              <w:rPr>
                <w:rFonts w:ascii="Times New Roman" w:hAnsi="Times New Roman" w:eastAsia="宋体" w:cs="Times New Roman"/>
                <w:color w:val="000000" w:themeColor="text1"/>
                <w:szCs w:val="24"/>
                <w14:textFill>
                  <w14:solidFill>
                    <w14:schemeClr w14:val="tx1"/>
                  </w14:solidFill>
                </w14:textFill>
              </w:rPr>
              <w:t>厂房为标准的钢结构厂房，生产车间属于密闭式，因此本项目废气排放对该企业</w:t>
            </w:r>
            <w:r>
              <w:rPr>
                <w:rFonts w:hint="eastAsia" w:ascii="Times New Roman" w:hAnsi="Times New Roman" w:eastAsia="宋体" w:cs="Times New Roman"/>
                <w:color w:val="000000" w:themeColor="text1"/>
                <w:szCs w:val="24"/>
                <w14:textFill>
                  <w14:solidFill>
                    <w14:schemeClr w14:val="tx1"/>
                  </w14:solidFill>
                </w14:textFill>
              </w:rPr>
              <w:t>产生的影响较小</w:t>
            </w:r>
            <w:r>
              <w:rPr>
                <w:rFonts w:ascii="Times New Roman" w:hAnsi="Times New Roman" w:eastAsia="宋体" w:cs="Times New Roman"/>
                <w:color w:val="000000" w:themeColor="text1"/>
                <w:szCs w:val="24"/>
                <w14:textFill>
                  <w14:solidFill>
                    <w14:schemeClr w14:val="tx1"/>
                  </w14:solidFill>
                </w14:textFill>
              </w:rPr>
              <w:t>。平面布置详见附图4。</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综上所述，项目厂区各功能区分区明确，工艺流程布置顺畅可行，总平面图布置基本合理可行。</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2.1.8 项目水平衡分析</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用水主要为生产清洗用水和间接冷却用水，本项目员工，均从现有员工人员中调配，无新增人员。因此无新增员工生活污水用水量。原有生活污水通过厂区化粪池处理后纳入市政污水管网进入融元污水处理厂统一处理。</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（1）清洗用水</w:t>
            </w:r>
          </w:p>
          <w:p>
            <w:pPr>
              <w:pStyle w:val="172"/>
              <w:widowControl w:val="0"/>
              <w:topLinePunct/>
              <w:spacing w:after="0" w:line="360" w:lineRule="auto"/>
              <w:ind w:firstLine="480" w:firstLineChars="200"/>
              <w:jc w:val="both"/>
              <w:rPr>
                <w:rFonts w:ascii="Times New Roman" w:hAnsi="Times New Roman" w:eastAsia="宋体" w:cs="Times New Roman"/>
                <w:color w:val="000000" w:themeColor="text1"/>
                <w:szCs w:val="24"/>
                <w:lang w:eastAsia="zh-CN"/>
                <w14:textFill>
                  <w14:solidFill>
                    <w14:schemeClr w14:val="tx1"/>
                  </w14:solidFill>
                </w14:textFill>
              </w:rPr>
            </w:pPr>
            <w:r>
              <w:rPr>
                <w:rFonts w:ascii="Times New Roman" w:hAnsi="Times New Roman" w:eastAsia="宋体" w:cs="Times New Roman"/>
                <w:color w:val="000000" w:themeColor="text1"/>
                <w:szCs w:val="24"/>
                <w:lang w:eastAsia="zh-CN"/>
                <w14:textFill>
                  <w14:solidFill>
                    <w14:schemeClr w14:val="tx1"/>
                  </w14:solidFill>
                </w14:textFill>
              </w:rPr>
              <w:t>项目半导电屏蔽层件打磨后需要清洗，外购导电金属需要清洗，根据建设单位提供的资料和超声波用水使用规律（计算过程见表</w:t>
            </w:r>
            <w:r>
              <w:rPr>
                <w:rFonts w:hint="eastAsia" w:ascii="Times New Roman" w:hAnsi="Times New Roman" w:eastAsia="宋体" w:cs="Times New Roman"/>
                <w:color w:val="000000" w:themeColor="text1"/>
                <w:szCs w:val="24"/>
                <w:lang w:eastAsia="zh-CN"/>
                <w14:textFill>
                  <w14:solidFill>
                    <w14:schemeClr w14:val="tx1"/>
                  </w14:solidFill>
                </w14:textFill>
              </w:rPr>
              <w:t>4.2-1</w:t>
            </w:r>
            <w:r>
              <w:rPr>
                <w:rFonts w:ascii="Times New Roman" w:hAnsi="Times New Roman" w:eastAsia="宋体" w:cs="Times New Roman"/>
                <w:color w:val="000000" w:themeColor="text1"/>
                <w:szCs w:val="24"/>
                <w:lang w:eastAsia="zh-CN"/>
                <w14:textFill>
                  <w14:solidFill>
                    <w14:schemeClr w14:val="tx1"/>
                  </w14:solidFill>
                </w14:textFill>
              </w:rPr>
              <w:t>），清洗年用水量为</w:t>
            </w:r>
            <w:r>
              <w:rPr>
                <w:rFonts w:hint="eastAsia" w:ascii="Times New Roman" w:hAnsi="Times New Roman" w:eastAsia="宋体" w:cs="Times New Roman"/>
                <w:color w:val="000000" w:themeColor="text1"/>
                <w:szCs w:val="24"/>
                <w:lang w:eastAsia="zh-CN"/>
                <w14:textFill>
                  <w14:solidFill>
                    <w14:schemeClr w14:val="tx1"/>
                  </w14:solidFill>
                </w14:textFill>
              </w:rPr>
              <w:t>231.5</w:t>
            </w:r>
            <w:r>
              <w:rPr>
                <w:rFonts w:ascii="Times New Roman" w:hAnsi="Times New Roman" w:eastAsia="宋体" w:cs="Times New Roman"/>
                <w:color w:val="000000" w:themeColor="text1"/>
                <w:szCs w:val="24"/>
                <w:lang w:eastAsia="zh-CN"/>
                <w14:textFill>
                  <w14:solidFill>
                    <w14:schemeClr w14:val="tx1"/>
                  </w14:solidFill>
                </w14:textFill>
              </w:rPr>
              <w:t>t/a，清洗废水产污系数按80%计，清洗废水年产生量为</w:t>
            </w:r>
            <w:r>
              <w:rPr>
                <w:rFonts w:hint="eastAsia" w:ascii="Times New Roman" w:hAnsi="Times New Roman" w:eastAsia="宋体" w:cs="Times New Roman"/>
                <w:color w:val="000000" w:themeColor="text1"/>
                <w:szCs w:val="24"/>
                <w:lang w:eastAsia="zh-CN"/>
                <w14:textFill>
                  <w14:solidFill>
                    <w14:schemeClr w14:val="tx1"/>
                  </w14:solidFill>
                </w14:textFill>
              </w:rPr>
              <w:t>185.2</w:t>
            </w:r>
            <w:r>
              <w:rPr>
                <w:rFonts w:ascii="Times New Roman" w:hAnsi="Times New Roman" w:eastAsia="宋体" w:cs="Times New Roman"/>
                <w:color w:val="000000" w:themeColor="text1"/>
                <w:szCs w:val="24"/>
                <w:lang w:eastAsia="zh-CN"/>
                <w14:textFill>
                  <w14:solidFill>
                    <w14:schemeClr w14:val="tx1"/>
                  </w14:solidFill>
                </w14:textFill>
              </w:rPr>
              <w:t>t/a。</w:t>
            </w:r>
          </w:p>
          <w:p>
            <w:pPr>
              <w:pStyle w:val="172"/>
              <w:widowControl w:val="0"/>
              <w:numPr>
                <w:ilvl w:val="0"/>
                <w:numId w:val="2"/>
              </w:numPr>
              <w:topLinePunct/>
              <w:spacing w:after="0" w:line="360" w:lineRule="auto"/>
              <w:ind w:firstLine="480" w:firstLineChars="200"/>
              <w:jc w:val="both"/>
              <w:rPr>
                <w:rFonts w:ascii="Times New Roman" w:hAnsi="Times New Roman" w:eastAsia="宋体" w:cs="Times New Roman"/>
                <w:color w:val="000000" w:themeColor="text1"/>
                <w:szCs w:val="24"/>
                <w:lang w:eastAsia="zh-CN"/>
                <w14:textFill>
                  <w14:solidFill>
                    <w14:schemeClr w14:val="tx1"/>
                  </w14:solidFill>
                </w14:textFill>
              </w:rPr>
            </w:pPr>
            <w:r>
              <w:rPr>
                <w:rFonts w:ascii="Times New Roman" w:hAnsi="Times New Roman" w:eastAsia="宋体" w:cs="Times New Roman"/>
                <w:color w:val="000000" w:themeColor="text1"/>
                <w:szCs w:val="24"/>
                <w:lang w:eastAsia="zh-CN"/>
                <w14:textFill>
                  <w14:solidFill>
                    <w14:schemeClr w14:val="tx1"/>
                  </w14:solidFill>
                </w14:textFill>
              </w:rPr>
              <w:t>间接冷却水</w:t>
            </w:r>
          </w:p>
          <w:p>
            <w:pPr>
              <w:pStyle w:val="19"/>
              <w:spacing w:before="0" w:after="0" w:line="360" w:lineRule="auto"/>
              <w:ind w:right="0" w:firstLine="480" w:firstLineChars="200"/>
              <w:jc w:val="both"/>
              <w:rPr>
                <w:rFonts w:ascii="Times New Roman" w:hAnsi="Times New Roman" w:eastAsia="宋体" w:cs="Times New Roman"/>
                <w:color w:val="000000" w:themeColor="text1"/>
                <w:kern w:val="2"/>
                <w:sz w:val="24"/>
                <w:szCs w:val="24"/>
                <w14:textFill>
                  <w14:solidFill>
                    <w14:schemeClr w14:val="tx1"/>
                  </w14:solidFill>
                </w14:textFill>
              </w:rPr>
            </w:pPr>
            <w:r>
              <w:rPr>
                <w:rFonts w:ascii="Times New Roman" w:hAnsi="Times New Roman" w:eastAsia="宋体" w:cs="Times New Roman"/>
                <w:color w:val="000000" w:themeColor="text1"/>
                <w:kern w:val="2"/>
                <w:sz w:val="24"/>
                <w:szCs w:val="24"/>
                <w14:textFill>
                  <w14:solidFill>
                    <w14:schemeClr w14:val="tx1"/>
                  </w14:solidFill>
                </w14:textFill>
              </w:rPr>
              <w:t>本项目拟设置1个冷却塔，冷却塔的循环水量为100t/h，冷却塔水循环使用定期补充新鲜水。冷却塔在使用过程中会有水份损耗，冷却塔日均补给水量和年补给水量参照《民用建筑节水设计标准》（GB50555-2010）中5.1 一般规定：冷却塔补水的日均补水量 Wtd 和补水年用水量Wta。</w:t>
            </w:r>
          </w:p>
          <w:p>
            <w:pPr>
              <w:pStyle w:val="19"/>
              <w:spacing w:before="0" w:after="0" w:line="360" w:lineRule="auto"/>
              <w:ind w:right="0" w:firstLine="480" w:firstLineChars="200"/>
              <w:jc w:val="both"/>
              <w:rPr>
                <w:rFonts w:ascii="Times New Roman" w:hAnsi="Times New Roman" w:eastAsia="宋体" w:cs="Times New Roman"/>
                <w:color w:val="000000" w:themeColor="text1"/>
                <w:kern w:val="2"/>
                <w:sz w:val="24"/>
                <w:szCs w:val="24"/>
                <w14:textFill>
                  <w14:solidFill>
                    <w14:schemeClr w14:val="tx1"/>
                  </w14:solidFill>
                </w14:textFill>
              </w:rPr>
            </w:pPr>
            <w:r>
              <w:rPr>
                <w:rFonts w:ascii="Times New Roman" w:hAnsi="Times New Roman" w:eastAsia="宋体" w:cs="Times New Roman"/>
                <w:color w:val="000000" w:themeColor="text1"/>
                <w:kern w:val="2"/>
                <w:sz w:val="24"/>
                <w:szCs w:val="24"/>
                <w14:textFill>
                  <w14:solidFill>
                    <w14:schemeClr w14:val="tx1"/>
                  </w14:solidFill>
                </w14:textFill>
              </w:rPr>
              <w:t xml:space="preserve">Wtd＝(0.5～0.6)qqT  </w:t>
            </w:r>
          </w:p>
          <w:p>
            <w:pPr>
              <w:pStyle w:val="19"/>
              <w:spacing w:before="0" w:after="0" w:line="360" w:lineRule="auto"/>
              <w:ind w:right="0" w:firstLine="480" w:firstLineChars="200"/>
              <w:jc w:val="both"/>
              <w:rPr>
                <w:rFonts w:ascii="Times New Roman" w:hAnsi="Times New Roman" w:eastAsia="宋体" w:cs="Times New Roman"/>
                <w:color w:val="000000" w:themeColor="text1"/>
                <w:kern w:val="2"/>
                <w:sz w:val="24"/>
                <w:szCs w:val="24"/>
                <w14:textFill>
                  <w14:solidFill>
                    <w14:schemeClr w14:val="tx1"/>
                  </w14:solidFill>
                </w14:textFill>
              </w:rPr>
            </w:pPr>
            <w:r>
              <w:rPr>
                <w:rFonts w:ascii="Times New Roman" w:hAnsi="Times New Roman" w:eastAsia="宋体" w:cs="Times New Roman"/>
                <w:color w:val="000000" w:themeColor="text1"/>
                <w:kern w:val="2"/>
                <w:sz w:val="24"/>
                <w:szCs w:val="24"/>
                <w14:textFill>
                  <w14:solidFill>
                    <w14:schemeClr w14:val="tx1"/>
                  </w14:solidFill>
                </w14:textFill>
              </w:rPr>
              <w:t>Wta＝Wtd×Dt</w:t>
            </w:r>
          </w:p>
          <w:p>
            <w:pPr>
              <w:widowControl w:val="0"/>
              <w:spacing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式中：Wtd——冷却塔日均补水量(m</w:t>
            </w:r>
            <w:r>
              <w:rPr>
                <w:rFonts w:ascii="Times New Roman" w:hAnsi="Times New Roman" w:eastAsia="宋体" w:cs="Times New Roman"/>
                <w:color w:val="000000" w:themeColor="text1"/>
                <w:kern w:val="2"/>
                <w:szCs w:val="24"/>
                <w:vertAlign w:val="superscript"/>
                <w14:textFill>
                  <w14:solidFill>
                    <w14:schemeClr w14:val="tx1"/>
                  </w14:solidFill>
                </w14:textFill>
              </w:rPr>
              <w:t>3</w:t>
            </w:r>
            <w:r>
              <w:rPr>
                <w:rFonts w:ascii="Times New Roman" w:hAnsi="Times New Roman" w:eastAsia="宋体" w:cs="Times New Roman"/>
                <w:color w:val="000000" w:themeColor="text1"/>
                <w:kern w:val="2"/>
                <w:szCs w:val="24"/>
                <w14:textFill>
                  <w14:solidFill>
                    <w14:schemeClr w14:val="tx1"/>
                  </w14:solidFill>
                </w14:textFill>
              </w:rPr>
              <w:t>/d)；</w:t>
            </w:r>
          </w:p>
          <w:p>
            <w:pPr>
              <w:widowControl w:val="0"/>
              <w:spacing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qq——补水定额(m</w:t>
            </w:r>
            <w:r>
              <w:rPr>
                <w:rFonts w:ascii="Times New Roman" w:hAnsi="Times New Roman" w:eastAsia="宋体" w:cs="Times New Roman"/>
                <w:color w:val="000000" w:themeColor="text1"/>
                <w:kern w:val="2"/>
                <w:szCs w:val="24"/>
                <w:vertAlign w:val="superscript"/>
                <w14:textFill>
                  <w14:solidFill>
                    <w14:schemeClr w14:val="tx1"/>
                  </w14:solidFill>
                </w14:textFill>
              </w:rPr>
              <w:t>3</w:t>
            </w:r>
            <w:r>
              <w:rPr>
                <w:rFonts w:ascii="Times New Roman" w:hAnsi="Times New Roman" w:eastAsia="宋体" w:cs="Times New Roman"/>
                <w:color w:val="000000" w:themeColor="text1"/>
                <w:kern w:val="2"/>
                <w:szCs w:val="24"/>
                <w14:textFill>
                  <w14:solidFill>
                    <w14:schemeClr w14:val="tx1"/>
                  </w14:solidFill>
                </w14:textFill>
              </w:rPr>
              <w:t>/h)，可按冷却循环水量的1%～2%计算，本次环评选取1%；</w:t>
            </w:r>
          </w:p>
          <w:p>
            <w:pPr>
              <w:widowControl w:val="0"/>
              <w:spacing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T——冷却塔每天运行时间(h/d)，本次环评选取8h；</w:t>
            </w:r>
          </w:p>
          <w:p>
            <w:pPr>
              <w:widowControl w:val="0"/>
              <w:spacing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Dt——冷却塔每年运行天数(d/a)；</w:t>
            </w:r>
          </w:p>
          <w:p>
            <w:pPr>
              <w:widowControl w:val="0"/>
              <w:spacing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Wta——冷却塔补水年用水量(m</w:t>
            </w:r>
            <w:r>
              <w:rPr>
                <w:rFonts w:ascii="Times New Roman" w:hAnsi="Times New Roman" w:eastAsia="宋体" w:cs="Times New Roman"/>
                <w:color w:val="000000" w:themeColor="text1"/>
                <w:kern w:val="2"/>
                <w:szCs w:val="24"/>
                <w:vertAlign w:val="superscript"/>
                <w14:textFill>
                  <w14:solidFill>
                    <w14:schemeClr w14:val="tx1"/>
                  </w14:solidFill>
                </w14:textFill>
              </w:rPr>
              <w:t>3</w:t>
            </w:r>
            <w:r>
              <w:rPr>
                <w:rFonts w:ascii="Times New Roman" w:hAnsi="Times New Roman" w:eastAsia="宋体" w:cs="Times New Roman"/>
                <w:color w:val="000000" w:themeColor="text1"/>
                <w:kern w:val="2"/>
                <w:szCs w:val="24"/>
                <w14:textFill>
                  <w14:solidFill>
                    <w14:schemeClr w14:val="tx1"/>
                  </w14:solidFill>
                </w14:textFill>
              </w:rPr>
              <w:t>/a)。</w:t>
            </w:r>
          </w:p>
          <w:p>
            <w:pPr>
              <w:pStyle w:val="19"/>
              <w:spacing w:before="0" w:after="0"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kern w:val="2"/>
                <w:sz w:val="24"/>
                <w:szCs w:val="24"/>
                <w14:textFill>
                  <w14:solidFill>
                    <w14:schemeClr w14:val="tx1"/>
                  </w14:solidFill>
                </w14:textFill>
              </w:rPr>
              <w:t>项目1个冷却塔补水使用新鲜水，项目冷却塔循环水量约为100t/h，系数取最大值</w:t>
            </w:r>
            <w:r>
              <w:rPr>
                <w:rFonts w:hint="eastAsia" w:ascii="Times New Roman" w:hAnsi="Times New Roman" w:eastAsia="宋体" w:cs="Times New Roman"/>
                <w:color w:val="000000" w:themeColor="text1"/>
                <w:kern w:val="2"/>
                <w:sz w:val="24"/>
                <w:szCs w:val="24"/>
                <w14:textFill>
                  <w14:solidFill>
                    <w14:schemeClr w14:val="tx1"/>
                  </w14:solidFill>
                </w14:textFill>
              </w:rPr>
              <w:t>0.6，</w:t>
            </w:r>
            <w:r>
              <w:rPr>
                <w:rFonts w:ascii="Times New Roman" w:hAnsi="Times New Roman" w:eastAsia="宋体" w:cs="Times New Roman"/>
                <w:color w:val="000000" w:themeColor="text1"/>
                <w:kern w:val="2"/>
                <w:sz w:val="24"/>
                <w:szCs w:val="24"/>
                <w14:textFill>
                  <w14:solidFill>
                    <w14:schemeClr w14:val="tx1"/>
                  </w14:solidFill>
                </w14:textFill>
              </w:rPr>
              <w:t>补水定额按冷却循环水量的1%计，损耗量为冷却循环水量的0.8%计，排水量为冷却循环水量的0.2%计，冷却塔年运行250天，日工作8小时，则项目1个冷却塔补水量为</w:t>
            </w:r>
            <w:r>
              <w:rPr>
                <w:rFonts w:hint="eastAsia" w:ascii="Times New Roman" w:hAnsi="Times New Roman" w:eastAsia="宋体" w:cs="Times New Roman"/>
                <w:color w:val="000000" w:themeColor="text1"/>
                <w:kern w:val="2"/>
                <w:sz w:val="24"/>
                <w:szCs w:val="24"/>
                <w14:textFill>
                  <w14:solidFill>
                    <w14:schemeClr w14:val="tx1"/>
                  </w14:solidFill>
                </w14:textFill>
              </w:rPr>
              <w:t>4.8</w:t>
            </w:r>
            <w:r>
              <w:rPr>
                <w:rFonts w:ascii="Times New Roman" w:hAnsi="Times New Roman" w:eastAsia="宋体" w:cs="Times New Roman"/>
                <w:color w:val="000000" w:themeColor="text1"/>
                <w:kern w:val="2"/>
                <w:sz w:val="24"/>
                <w:szCs w:val="24"/>
                <w14:textFill>
                  <w14:solidFill>
                    <w14:schemeClr w14:val="tx1"/>
                  </w14:solidFill>
                </w14:textFill>
              </w:rPr>
              <w:t>t/d（</w:t>
            </w:r>
            <w:r>
              <w:rPr>
                <w:rFonts w:hint="eastAsia" w:ascii="Times New Roman" w:hAnsi="Times New Roman" w:eastAsia="宋体" w:cs="Times New Roman"/>
                <w:color w:val="000000" w:themeColor="text1"/>
                <w:kern w:val="2"/>
                <w:sz w:val="24"/>
                <w:szCs w:val="24"/>
                <w14:textFill>
                  <w14:solidFill>
                    <w14:schemeClr w14:val="tx1"/>
                  </w14:solidFill>
                </w14:textFill>
              </w:rPr>
              <w:t>1200</w:t>
            </w:r>
            <w:r>
              <w:rPr>
                <w:rFonts w:ascii="Times New Roman" w:hAnsi="Times New Roman" w:eastAsia="宋体" w:cs="Times New Roman"/>
                <w:color w:val="000000" w:themeColor="text1"/>
                <w:kern w:val="2"/>
                <w:sz w:val="24"/>
                <w:szCs w:val="24"/>
                <w14:textFill>
                  <w14:solidFill>
                    <w14:schemeClr w14:val="tx1"/>
                  </w14:solidFill>
                </w14:textFill>
              </w:rPr>
              <w:t>t/a），损耗量为</w:t>
            </w:r>
            <w:r>
              <w:rPr>
                <w:rFonts w:hint="eastAsia" w:ascii="Times New Roman" w:hAnsi="Times New Roman" w:eastAsia="宋体" w:cs="Times New Roman"/>
                <w:color w:val="000000" w:themeColor="text1"/>
                <w:kern w:val="2"/>
                <w:sz w:val="24"/>
                <w:szCs w:val="24"/>
                <w14:textFill>
                  <w14:solidFill>
                    <w14:schemeClr w14:val="tx1"/>
                  </w14:solidFill>
                </w14:textFill>
              </w:rPr>
              <w:t>960</w:t>
            </w:r>
            <w:r>
              <w:rPr>
                <w:rFonts w:ascii="Times New Roman" w:hAnsi="Times New Roman" w:eastAsia="宋体" w:cs="Times New Roman"/>
                <w:color w:val="000000" w:themeColor="text1"/>
                <w:kern w:val="2"/>
                <w:sz w:val="24"/>
                <w:szCs w:val="24"/>
                <w14:textFill>
                  <w14:solidFill>
                    <w14:schemeClr w14:val="tx1"/>
                  </w14:solidFill>
                </w14:textFill>
              </w:rPr>
              <w:t>t/a，循环冷却水排水量</w:t>
            </w:r>
            <w:r>
              <w:rPr>
                <w:rFonts w:hint="eastAsia" w:ascii="Times New Roman" w:hAnsi="Times New Roman" w:eastAsia="宋体" w:cs="Times New Roman"/>
                <w:color w:val="000000" w:themeColor="text1"/>
                <w:kern w:val="2"/>
                <w:sz w:val="24"/>
                <w:szCs w:val="24"/>
                <w14:textFill>
                  <w14:solidFill>
                    <w14:schemeClr w14:val="tx1"/>
                  </w14:solidFill>
                </w14:textFill>
              </w:rPr>
              <w:t>240</w:t>
            </w:r>
            <w:r>
              <w:rPr>
                <w:rFonts w:ascii="Times New Roman" w:hAnsi="Times New Roman" w:eastAsia="宋体" w:cs="Times New Roman"/>
                <w:color w:val="000000" w:themeColor="text1"/>
                <w:kern w:val="2"/>
                <w:sz w:val="24"/>
                <w:szCs w:val="24"/>
                <w14:textFill>
                  <w14:solidFill>
                    <w14:schemeClr w14:val="tx1"/>
                  </w14:solidFill>
                </w14:textFill>
              </w:rPr>
              <w:t>t/a，由于循环冷却水采用间接冷却方式，建设项目产生的冷却尾水进入自建污水处理站处理（经调节池</w:t>
            </w:r>
            <w:r>
              <w:rPr>
                <w:rFonts w:hint="eastAsia" w:ascii="Times New Roman" w:hAnsi="Times New Roman" w:eastAsia="宋体" w:cs="Times New Roman"/>
                <w:color w:val="000000" w:themeColor="text1"/>
                <w:kern w:val="2"/>
                <w:sz w:val="24"/>
                <w:szCs w:val="24"/>
                <w14:textFill>
                  <w14:solidFill>
                    <w14:schemeClr w14:val="tx1"/>
                  </w14:solidFill>
                </w14:textFill>
              </w:rPr>
              <w:t>+混凝沉淀+二沉池处理</w:t>
            </w:r>
            <w:r>
              <w:rPr>
                <w:rFonts w:ascii="Times New Roman" w:hAnsi="Times New Roman" w:eastAsia="宋体" w:cs="Times New Roman"/>
                <w:color w:val="000000" w:themeColor="text1"/>
                <w:kern w:val="2"/>
                <w:sz w:val="24"/>
                <w:szCs w:val="24"/>
                <w14:textFill>
                  <w14:solidFill>
                    <w14:schemeClr w14:val="tx1"/>
                  </w14:solidFill>
                </w14:textFill>
              </w:rPr>
              <w:t>）后回用。</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项目水平衡见图2.1-1。</w:t>
            </w:r>
          </w:p>
          <w:p>
            <w:pPr>
              <w:widowControl w:val="0"/>
              <w:topLinePunct/>
              <w:spacing w:after="0" w:line="240" w:lineRule="auto"/>
              <w:jc w:val="center"/>
              <w:rPr>
                <w:color w:val="000000" w:themeColor="text1"/>
                <w14:textFill>
                  <w14:solidFill>
                    <w14:schemeClr w14:val="tx1"/>
                  </w14:solidFill>
                </w14:textFill>
              </w:rPr>
            </w:pPr>
            <w:bookmarkStart w:id="4" w:name="_MON_1791834777"/>
            <w:bookmarkEnd w:id="4"/>
            <w:r>
              <w:rPr>
                <w:rFonts w:ascii="Times New Roman" w:hAnsi="Times New Roman" w:eastAsia="宋体" w:cs="Times New Roman"/>
                <w:color w:val="000000" w:themeColor="text1"/>
                <w14:textFill>
                  <w14:solidFill>
                    <w14:schemeClr w14:val="tx1"/>
                  </w14:solidFill>
                </w14:textFill>
              </w:rPr>
              <w:object>
                <v:shape id="_x0000_i1025" o:spt="75" type="#_x0000_t75" style="height:244.55pt;width:431.35pt;" o:ole="t" filled="f" o:preferrelative="t" stroked="f" coordsize="21600,21600">
                  <v:path/>
                  <v:fill on="f" focussize="0,0"/>
                  <v:stroke on="f" joinstyle="miter"/>
                  <v:imagedata r:id="rId26" o:title=""/>
                  <o:lock v:ext="edit" aspectratio="t"/>
                  <w10:wrap type="none"/>
                  <w10:anchorlock/>
                </v:shape>
                <o:OLEObject Type="Embed" ProgID="PowerPoint.Slide.12" ShapeID="_x0000_i1025" DrawAspect="Content" ObjectID="_1468075725" r:id="rId25">
                  <o:LockedField>false</o:LockedField>
                </o:OLEObject>
              </w:object>
            </w:r>
            <w:r>
              <w:rPr>
                <w:color w:val="000000" w:themeColor="text1"/>
                <w14:textFill>
                  <w14:solidFill>
                    <w14:schemeClr w14:val="tx1"/>
                  </w14:solidFill>
                </w14:textFill>
              </w:rPr>
              <w:t>图2.1-1  项目水平衡图（单位：m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vAlign w:val="center"/>
          </w:tcPr>
          <w:p>
            <w:pPr>
              <w:pStyle w:val="29"/>
              <w:widowControl w:val="0"/>
              <w:topLinePunct/>
              <w:adjustRightInd w:val="0"/>
              <w:snapToGrid w:val="0"/>
              <w:spacing w:before="0" w:beforeAutospacing="0" w:after="0" w:afterAutospacing="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工艺流程和产排污环节</w:t>
            </w:r>
          </w:p>
        </w:tc>
        <w:tc>
          <w:tcPr>
            <w:tcW w:w="8833" w:type="dxa"/>
          </w:tcPr>
          <w:p>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2.2 工艺流程和产排污环节</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2.2.1工艺流程</w:t>
            </w:r>
          </w:p>
          <w:p>
            <w:pPr>
              <w:pStyle w:val="14"/>
              <w:widowControl w:val="0"/>
              <w:topLinePunct/>
              <w:spacing w:after="0"/>
              <w:ind w:left="480" w:firstLine="0" w:firstLineChars="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（1）中压式电缆附件生产工艺流程（工艺流程详见附图</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）和产排污环节。</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工艺流程说明：</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1）</w:t>
            </w:r>
            <w:r>
              <w:rPr>
                <w:rFonts w:ascii="Times New Roman" w:hAnsi="Times New Roman" w:eastAsia="宋体" w:cs="Times New Roman"/>
                <w:color w:val="000000" w:themeColor="text1"/>
                <w14:textFill>
                  <w14:solidFill>
                    <w14:schemeClr w14:val="tx1"/>
                  </w14:solidFill>
                </w14:textFill>
              </w:rPr>
              <w:t>半导电屏蔽层生产</w:t>
            </w:r>
          </w:p>
          <w:p>
            <w:pPr>
              <w:spacing w:after="0" w:line="360" w:lineRule="auto"/>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 xml:space="preserve">    ①橡胶开练：本项目</w:t>
            </w:r>
            <w:r>
              <w:rPr>
                <w:rFonts w:hint="eastAsia" w:ascii="Times New Roman" w:hAnsi="Times New Roman" w:eastAsia="宋体" w:cs="Times New Roman"/>
                <w:color w:val="000000" w:themeColor="text1"/>
                <w14:textFill>
                  <w14:solidFill>
                    <w14:schemeClr w14:val="tx1"/>
                  </w14:solidFill>
                </w14:textFill>
              </w:rPr>
              <w:t>外购的胶料为经过炼胶后的成品胶料，</w:t>
            </w:r>
            <w:r>
              <w:rPr>
                <w:rFonts w:ascii="Times New Roman" w:hAnsi="Times New Roman" w:eastAsia="宋体" w:cs="Times New Roman"/>
                <w:color w:val="000000" w:themeColor="text1"/>
                <w14:textFill>
                  <w14:solidFill>
                    <w14:schemeClr w14:val="tx1"/>
                  </w14:solidFill>
                </w14:textFill>
              </w:rPr>
              <w:t>部分胶料放久后</w:t>
            </w:r>
            <w:r>
              <w:rPr>
                <w:rFonts w:hint="eastAsia" w:ascii="Times New Roman" w:hAnsi="Times New Roman" w:eastAsia="宋体" w:cs="Times New Roman"/>
                <w:color w:val="000000" w:themeColor="text1"/>
                <w14:textFill>
                  <w14:solidFill>
                    <w14:schemeClr w14:val="tx1"/>
                  </w14:solidFill>
                </w14:textFill>
              </w:rPr>
              <w:t>会</w:t>
            </w:r>
            <w:r>
              <w:rPr>
                <w:rFonts w:ascii="Times New Roman" w:hAnsi="Times New Roman" w:eastAsia="宋体" w:cs="Times New Roman"/>
                <w:color w:val="000000" w:themeColor="text1"/>
                <w14:textFill>
                  <w14:solidFill>
                    <w14:schemeClr w14:val="tx1"/>
                  </w14:solidFill>
                </w14:textFill>
              </w:rPr>
              <w:t>变硬，需处理使其变软以便于后续注胶，硬胶料开炼仅进行物理加工拉扯变软，不加热和不加入辅料，因此，此工序只产生设备噪声。</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②注胶</w:t>
            </w:r>
            <w:r>
              <w:rPr>
                <w:rFonts w:hint="eastAsia" w:ascii="Times New Roman" w:hAnsi="Times New Roman" w:eastAsia="宋体" w:cs="Times New Roman"/>
                <w:color w:val="000000" w:themeColor="text1"/>
                <w14:textFill>
                  <w14:solidFill>
                    <w14:schemeClr w14:val="tx1"/>
                  </w14:solidFill>
                </w14:textFill>
              </w:rPr>
              <w:t>、硫化</w:t>
            </w:r>
            <w:r>
              <w:rPr>
                <w:rFonts w:ascii="Times New Roman" w:hAnsi="Times New Roman" w:eastAsia="宋体" w:cs="Times New Roman"/>
                <w:color w:val="000000" w:themeColor="text1"/>
                <w14:textFill>
                  <w14:solidFill>
                    <w14:schemeClr w14:val="tx1"/>
                  </w14:solidFill>
                </w14:textFill>
              </w:rPr>
              <w:t>：本项目将外购的三元乙丙胶料分别投入内、外层橡胶注射机设备料筒通过橡胶注射机将模具置于两层热板之间的间隙中，然后通过液压缸使平板硫化机的柱塞推着活动平台及热板向上或向下运动，并推动可动平板压紧模具。在进行上述运动同时向加热平板内通过电加热介质，从而使模型(或制品)获得硫化过程所需的压力和温度，硫化温度约155-180℃，硫化时间30min左右，制品硫化完毕,采用气吹的方式将硫化成品脱模取下。此环节会产生非甲烷总烃、臭气浓度、硫化氢。</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注胶、硫化的原理：将生橡胶通过交联转化成熟橡胶的加工方法叫做橡胶硫化工艺，未硫化橡胶的大分子呈卷曲的线状结构，通过在规定的温度、时间作用下，使橡胶线性大分子间发生交联转变成具有三维空间的网状结构，从而使塑性胶变为高弹性的硫化胶，产品显示出拉力、硬度、老化、弹性等各种优越的性能，满足使用要求。硫化是橡胶加工的一个重要的工艺过程，生胶需经过硫化来获得理想的使用性能生产过程中一定要严格控制硫化时间、温度和压力，以保证硫化后的橡胶具有最好的性能和最长久的寿命。</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③修边、打磨：由人工利用钢刀将成型的产品的边角修平整，此工序会产生废边角料。因修边时外层表面不平，需要使用砂纸对硫化得到的内、外层进行打磨，此工序会产生打磨碎屑和噪声；</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fldChar w:fldCharType="begin"/>
            </w:r>
            <w:r>
              <w:rPr>
                <w:rFonts w:ascii="Times New Roman" w:hAnsi="Times New Roman" w:eastAsia="宋体" w:cs="Times New Roman"/>
                <w:color w:val="000000" w:themeColor="text1"/>
                <w14:textFill>
                  <w14:solidFill>
                    <w14:schemeClr w14:val="tx1"/>
                  </w14:solidFill>
                </w14:textFill>
              </w:rPr>
              <w:instrText xml:space="preserve"> = 4 \* GB3 \* MERGEFORMAT </w:instrText>
            </w:r>
            <w:r>
              <w:rPr>
                <w:rFonts w:ascii="Times New Roman" w:hAnsi="Times New Roman" w:eastAsia="宋体" w:cs="Times New Roman"/>
                <w:color w:val="000000" w:themeColor="text1"/>
                <w14:textFill>
                  <w14:solidFill>
                    <w14:schemeClr w14:val="tx1"/>
                  </w14:solidFill>
                </w14:textFill>
              </w:rPr>
              <w:fldChar w:fldCharType="separate"/>
            </w:r>
            <w:r>
              <w:rPr>
                <w:rFonts w:ascii="Times New Roman" w:hAnsi="Times New Roman" w:eastAsia="宋体" w:cs="Times New Roman"/>
                <w:color w:val="000000" w:themeColor="text1"/>
                <w14:textFill>
                  <w14:solidFill>
                    <w14:schemeClr w14:val="tx1"/>
                  </w14:solidFill>
                </w14:textFill>
              </w:rPr>
              <w:t>④</w:t>
            </w:r>
            <w:r>
              <w:rPr>
                <w:rFonts w:ascii="Times New Roman" w:hAnsi="Times New Roman" w:eastAsia="宋体" w:cs="Times New Roman"/>
                <w:color w:val="000000" w:themeColor="text1"/>
                <w14:textFill>
                  <w14:solidFill>
                    <w14:schemeClr w14:val="tx1"/>
                  </w14:solidFill>
                </w14:textFill>
              </w:rPr>
              <w:fldChar w:fldCharType="end"/>
            </w:r>
            <w:r>
              <w:rPr>
                <w:rFonts w:ascii="Times New Roman" w:hAnsi="Times New Roman" w:eastAsia="宋体" w:cs="Times New Roman"/>
                <w:color w:val="000000" w:themeColor="text1"/>
                <w14:textFill>
                  <w14:solidFill>
                    <w14:schemeClr w14:val="tx1"/>
                  </w14:solidFill>
                </w14:textFill>
              </w:rPr>
              <w:t>清洗、冲洗：打磨后的内、外层放入超声波清洗机进行清洗，清洗时加入清洗剂，清洗后的内、外层捞出，此工序会产生清洗废水。</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2）橡胶绝缘件：</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①开练、注胶、硫化：同半导电屏蔽层硫化工艺相同。</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②修边:同半导电屏蔽层修边工艺相同。</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3）外购配件处理流程：</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①清洗、冲洗、刷涂：外购金属件放入超声波清洗机进行清洗，清洗时加入清洗剂，清洗后的内、外层捞出。刷涂粘接用表面处理剂此工序会产生废气。</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4）环氧绝缘件生产：</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①混料搅拌：通过在环氧搅拌机中按环氧树脂：固化剂：硅微粉：色浆=1：1：3.2：0.035的比例加入进行混料。此环节会产生少量有机废气和设备噪声。</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②浇注、固化：本项目固化工艺‌是通过环氧基团与固化剂反应而实现的。环氧树脂分子中含有两个或多个环氧基团，而固化剂则是一种具有活泼氢原子的物质。在混合环氧树脂和固化剂时，环氧基团与固化剂中的活泼氢原子发生加成反应，产生羟基或胺基等活性团，最终形成交联结构。交联结构使得环氧树脂由液态变为固态，从而实现固化过程。此工序会产生有机废气和设备噪声。</w:t>
            </w:r>
            <w:r>
              <w:rPr>
                <w:rFonts w:ascii="Times New Roman" w:hAnsi="Times New Roman" w:eastAsia="宋体" w:cs="Times New Roman"/>
                <w:color w:val="000000" w:themeColor="text1"/>
                <w:sz w:val="16"/>
                <w:szCs w:val="16"/>
                <w:shd w:val="clear" w:color="auto" w:fill="FFFFFF"/>
                <w14:textFill>
                  <w14:solidFill>
                    <w14:schemeClr w14:val="tx1"/>
                  </w14:solidFill>
                </w14:textFill>
              </w:rPr>
              <w:t>‌</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③后固化：后固化工艺是将固化后的产品在电烘箱进行140°温度下8小时二次固化。此工序会产生有机废气和设备噪声。</w:t>
            </w:r>
          </w:p>
          <w:p>
            <w:pPr>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fldChar w:fldCharType="begin"/>
            </w:r>
            <w:r>
              <w:rPr>
                <w:rFonts w:ascii="Times New Roman" w:hAnsi="Times New Roman" w:eastAsia="宋体" w:cs="Times New Roman"/>
                <w:color w:val="000000" w:themeColor="text1"/>
                <w14:textFill>
                  <w14:solidFill>
                    <w14:schemeClr w14:val="tx1"/>
                  </w14:solidFill>
                </w14:textFill>
              </w:rPr>
              <w:instrText xml:space="preserve"> = 4 \* GB3 \* MERGEFORMAT </w:instrText>
            </w:r>
            <w:r>
              <w:rPr>
                <w:rFonts w:ascii="Times New Roman" w:hAnsi="Times New Roman" w:eastAsia="宋体" w:cs="Times New Roman"/>
                <w:color w:val="000000" w:themeColor="text1"/>
                <w14:textFill>
                  <w14:solidFill>
                    <w14:schemeClr w14:val="tx1"/>
                  </w14:solidFill>
                </w14:textFill>
              </w:rPr>
              <w:fldChar w:fldCharType="separate"/>
            </w:r>
            <w:r>
              <w:rPr>
                <w:rFonts w:ascii="Times New Roman" w:hAnsi="Times New Roman" w:eastAsia="宋体" w:cs="Times New Roman"/>
                <w:color w:val="000000" w:themeColor="text1"/>
                <w14:textFill>
                  <w14:solidFill>
                    <w14:schemeClr w14:val="tx1"/>
                  </w14:solidFill>
                </w14:textFill>
              </w:rPr>
              <w:t>④</w:t>
            </w:r>
            <w:r>
              <w:rPr>
                <w:rFonts w:ascii="Times New Roman" w:hAnsi="Times New Roman" w:eastAsia="宋体" w:cs="Times New Roman"/>
                <w:color w:val="000000" w:themeColor="text1"/>
                <w14:textFill>
                  <w14:solidFill>
                    <w14:schemeClr w14:val="tx1"/>
                  </w14:solidFill>
                </w14:textFill>
              </w:rPr>
              <w:fldChar w:fldCharType="end"/>
            </w:r>
            <w:r>
              <w:rPr>
                <w:rFonts w:ascii="Times New Roman" w:hAnsi="Times New Roman" w:eastAsia="宋体" w:cs="Times New Roman"/>
                <w:color w:val="000000" w:themeColor="text1"/>
                <w14:textFill>
                  <w14:solidFill>
                    <w14:schemeClr w14:val="tx1"/>
                  </w14:solidFill>
                </w14:textFill>
              </w:rPr>
              <w:t>修边：由人工利用钢刀将成型的环氧绝缘件产品的边角修平整，此工序会产生废边角料。因修边时表面不平，需要使用砂纸对固化得到的产品进行打磨此工序会产生打磨树脂粉尘。</w:t>
            </w:r>
          </w:p>
          <w:p>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5）缠绕:先将外购的成型的PE 线通过超声波绕管机制成一定长度的筒状物，该工序会产生少量的 PE 线边角料和设备噪声;</w:t>
            </w:r>
          </w:p>
          <w:p>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6）套装:PE 筒状物套在扩张机上，然后再利用扩张机将橡胶制品（终端和中间头还有三指套）扩张,然后机器收缩后自动套在PE筒上，形成最终的产品，会产生设备噪声。</w:t>
            </w:r>
          </w:p>
          <w:p>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7）包装:将成品进行包装后入库，进行外售。</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2.2.2产污环节</w:t>
            </w:r>
          </w:p>
          <w:p>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本次项目产污环节见表2.2-1。</w:t>
            </w:r>
          </w:p>
          <w:p>
            <w:pPr>
              <w:pStyle w:val="222"/>
              <w:spacing w:before="12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表2.2-1 本次项目产污环节一览表</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7"/>
              <w:gridCol w:w="737"/>
              <w:gridCol w:w="2412"/>
              <w:gridCol w:w="2550"/>
              <w:gridCol w:w="24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主要污染物</w:t>
                  </w:r>
                </w:p>
              </w:tc>
              <w:tc>
                <w:tcPr>
                  <w:tcW w:w="139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治理措施及排放去向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注胶硫化废气</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非甲烷总烃、臭气浓度、</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139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车间负压收集+二级活性炭吸附后通过1根15m高排气筒（DA00</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2" w:type="pct"/>
                  <w:gridSpan w:val="2"/>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混料搅拌废气</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139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车间负压收集+二级活性炭吸附后通过1根15m高排气筒（DA00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浇注固化</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非甲烷总烃、酚类</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二次固化</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非甲烷总烃、酚类</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脱模废气</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涂刷废气</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非甲烷总烃、甲苯及二甲苯、苯系物、酚类</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打磨粉尘</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39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收集+单机布袋收尘处理后车间内无组织排放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textDirection w:val="tbRlV"/>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42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生产</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清洗用水</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PH、COD、BOD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、SS、</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石油类、LAS</w:t>
                  </w:r>
                </w:p>
              </w:tc>
              <w:tc>
                <w:tcPr>
                  <w:tcW w:w="139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经厂区污水站处理后回用于间接冷却工序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restart"/>
                  <w:textDirection w:val="tbRlV"/>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42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一般工业固废</w:t>
                  </w: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残次品</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不合格产品</w:t>
                  </w:r>
                </w:p>
              </w:tc>
              <w:tc>
                <w:tcPr>
                  <w:tcW w:w="139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集中收集后外售综合利用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废边角料</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废边角料</w:t>
                  </w:r>
                </w:p>
              </w:tc>
              <w:tc>
                <w:tcPr>
                  <w:tcW w:w="1398" w:type="pct"/>
                  <w:vMerge w:val="continue"/>
                  <w:vAlign w:val="center"/>
                </w:tcPr>
                <w:p>
                  <w:pPr>
                    <w:pStyle w:val="221"/>
                    <w:rPr>
                      <w:color w:val="000000" w:themeColor="text1"/>
                      <w:lang w:eastAsia="en-US"/>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废包装材料</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废包装袋</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废砂纸</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废砂纸</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打磨橡胶及树脂收集粉尘</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粉尘</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危险</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废物</w:t>
                  </w: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废润滑油</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废润滑油</w:t>
                  </w:r>
                </w:p>
              </w:tc>
              <w:tc>
                <w:tcPr>
                  <w:tcW w:w="139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暂存于危险废物暂存间，定期委托有处置资质单位进行处理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废活性炭</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废活性炭</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废包装桶（环氧树脂桶，装固化剂桶）</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废包装桶</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含油抹布及其他抹布</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含油抹布及其他抹布</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4" w:type="pct"/>
                  <w:vMerge w:val="continue"/>
                  <w:textDirection w:val="tbRlV"/>
                  <w:vAlign w:val="center"/>
                </w:tcPr>
                <w:p>
                  <w:pPr>
                    <w:pStyle w:val="221"/>
                    <w:rPr>
                      <w:color w:val="000000" w:themeColor="text1"/>
                      <w14:textFill>
                        <w14:solidFill>
                          <w14:schemeClr w14:val="tx1"/>
                        </w14:solidFill>
                      </w14:textFill>
                    </w:rPr>
                  </w:pPr>
                </w:p>
              </w:tc>
              <w:tc>
                <w:tcPr>
                  <w:tcW w:w="428" w:type="pct"/>
                  <w:vMerge w:val="continue"/>
                  <w:vAlign w:val="center"/>
                </w:tcPr>
                <w:p>
                  <w:pPr>
                    <w:pStyle w:val="221"/>
                    <w:rPr>
                      <w:color w:val="000000" w:themeColor="text1"/>
                      <w14:textFill>
                        <w14:solidFill>
                          <w14:schemeClr w14:val="tx1"/>
                        </w14:solidFill>
                      </w14:textFill>
                    </w:rPr>
                  </w:pP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污水站污泥</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污水站污泥</w:t>
                  </w:r>
                </w:p>
              </w:tc>
              <w:tc>
                <w:tcPr>
                  <w:tcW w:w="13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2" w:type="pct"/>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4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设备运行</w:t>
                  </w:r>
                </w:p>
              </w:tc>
              <w:tc>
                <w:tcPr>
                  <w:tcW w:w="14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39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设备基础减振、墙体隔声</w:t>
                  </w:r>
                </w:p>
              </w:tc>
            </w:tr>
          </w:tbl>
          <w:p>
            <w:pPr>
              <w:pStyle w:val="30"/>
              <w:widowControl w:val="0"/>
              <w:topLinePunct/>
              <w:rPr>
                <w:rFonts w:ascii="Times New Roman" w:hAnsi="Times New Roman" w:eastAsia="宋体" w:cs="Times New Roman"/>
                <w:bCs/>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dxa"/>
            <w:vAlign w:val="center"/>
          </w:tcPr>
          <w:p>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kern w:val="2"/>
                <w:szCs w:val="24"/>
                <w14:textFill>
                  <w14:solidFill>
                    <w14:schemeClr w14:val="tx1"/>
                  </w14:solidFill>
                </w14:textFill>
              </w:rPr>
              <w:t>与项目有关的原有环境污染问题</w:t>
            </w:r>
          </w:p>
        </w:tc>
        <w:tc>
          <w:tcPr>
            <w:tcW w:w="8833" w:type="dxa"/>
            <w:vAlign w:val="center"/>
          </w:tcPr>
          <w:p>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2.3 现有工程概况</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2.3.1 现有工程基本概况</w:t>
            </w:r>
          </w:p>
          <w:p>
            <w:pPr>
              <w:pStyle w:val="172"/>
              <w:spacing w:after="0" w:line="360" w:lineRule="auto"/>
              <w:ind w:firstLine="478"/>
              <w:jc w:val="both"/>
              <w:rPr>
                <w:rFonts w:ascii="Times New Roman" w:hAnsi="Times New Roman" w:eastAsia="宋体" w:cs="Times New Roman"/>
                <w:color w:val="000000" w:themeColor="text1"/>
                <w:spacing w:val="2"/>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福建中能电气有限公司位于福建省福州市福清市融侨经济技术开发区宏</w:t>
            </w:r>
            <w:r>
              <w:rPr>
                <w:rFonts w:ascii="Times New Roman" w:hAnsi="Times New Roman" w:eastAsia="宋体" w:cs="Times New Roman"/>
                <w:color w:val="000000" w:themeColor="text1"/>
                <w:spacing w:val="-1"/>
                <w:lang w:eastAsia="zh-CN"/>
                <w14:textFill>
                  <w14:solidFill>
                    <w14:schemeClr w14:val="tx1"/>
                  </w14:solidFill>
                </w14:textFill>
              </w:rPr>
              <w:t>路街道周店村，</w:t>
            </w:r>
            <w:r>
              <w:rPr>
                <w:rFonts w:ascii="Times New Roman" w:hAnsi="Times New Roman" w:eastAsia="宋体" w:cs="Times New Roman"/>
                <w:color w:val="000000" w:themeColor="text1"/>
                <w:spacing w:val="-50"/>
                <w:lang w:eastAsia="zh-CN"/>
                <w14:textFill>
                  <w14:solidFill>
                    <w14:schemeClr w14:val="tx1"/>
                  </w14:solidFill>
                </w14:textFill>
              </w:rPr>
              <w:t xml:space="preserve"> </w:t>
            </w:r>
            <w:r>
              <w:rPr>
                <w:rFonts w:ascii="Times New Roman" w:hAnsi="Times New Roman" w:eastAsia="宋体" w:cs="Times New Roman"/>
                <w:color w:val="000000" w:themeColor="text1"/>
                <w:spacing w:val="-1"/>
                <w:lang w:eastAsia="zh-CN"/>
                <w14:textFill>
                  <w14:solidFill>
                    <w14:schemeClr w14:val="tx1"/>
                  </w14:solidFill>
                </w14:textFill>
              </w:rPr>
              <w:t>目前主要生产中压预制式电缆附件</w:t>
            </w:r>
            <w:r>
              <w:rPr>
                <w:rFonts w:ascii="Times New Roman" w:hAnsi="Times New Roman" w:eastAsia="宋体" w:cs="Times New Roman"/>
                <w:color w:val="000000" w:themeColor="text1"/>
                <w:spacing w:val="-48"/>
                <w:lang w:eastAsia="zh-CN"/>
                <w14:textFill>
                  <w14:solidFill>
                    <w14:schemeClr w14:val="tx1"/>
                  </w14:solidFill>
                </w14:textFill>
              </w:rPr>
              <w:t xml:space="preserve"> </w:t>
            </w:r>
            <w:r>
              <w:rPr>
                <w:rFonts w:ascii="Times New Roman" w:hAnsi="Times New Roman" w:eastAsia="宋体" w:cs="Times New Roman"/>
                <w:color w:val="000000" w:themeColor="text1"/>
                <w:spacing w:val="-1"/>
                <w:lang w:eastAsia="zh-CN"/>
                <w14:textFill>
                  <w14:solidFill>
                    <w14:schemeClr w14:val="tx1"/>
                  </w14:solidFill>
                </w14:textFill>
              </w:rPr>
              <w:t>60万只/年、电缆分支箱</w:t>
            </w:r>
            <w:r>
              <w:rPr>
                <w:rFonts w:ascii="Times New Roman" w:hAnsi="Times New Roman" w:eastAsia="宋体" w:cs="Times New Roman"/>
                <w:color w:val="000000" w:themeColor="text1"/>
                <w:spacing w:val="-2"/>
                <w:lang w:eastAsia="zh-CN"/>
                <w14:textFill>
                  <w14:solidFill>
                    <w14:schemeClr w14:val="tx1"/>
                  </w14:solidFill>
                </w14:textFill>
              </w:rPr>
              <w:t>3000台/年、C-GIS</w:t>
            </w:r>
            <w:r>
              <w:rPr>
                <w:rFonts w:ascii="Times New Roman" w:hAnsi="Times New Roman" w:eastAsia="宋体" w:cs="Times New Roman"/>
                <w:color w:val="000000" w:themeColor="text1"/>
                <w:spacing w:val="18"/>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充气柜</w:t>
            </w:r>
            <w:r>
              <w:rPr>
                <w:rFonts w:ascii="Times New Roman" w:hAnsi="Times New Roman" w:eastAsia="宋体" w:cs="Times New Roman"/>
                <w:color w:val="000000" w:themeColor="text1"/>
                <w:spacing w:val="-53"/>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2万台套/年、交、直流充电桩</w:t>
            </w:r>
            <w:r>
              <w:rPr>
                <w:rFonts w:ascii="Times New Roman" w:hAnsi="Times New Roman" w:eastAsia="宋体" w:cs="Times New Roman"/>
                <w:color w:val="000000" w:themeColor="text1"/>
                <w:spacing w:val="-32"/>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11900 套/年、地铁</w:t>
            </w:r>
            <w:r>
              <w:rPr>
                <w:rFonts w:ascii="Times New Roman" w:hAnsi="Times New Roman" w:eastAsia="宋体" w:cs="Times New Roman"/>
                <w:color w:val="000000" w:themeColor="text1"/>
                <w:lang w:eastAsia="zh-CN"/>
                <w14:textFill>
                  <w14:solidFill>
                    <w14:schemeClr w14:val="tx1"/>
                  </w14:solidFill>
                </w14:textFill>
              </w:rPr>
              <w:t xml:space="preserve"> 系统用智能低压开关柜</w:t>
            </w:r>
            <w:r>
              <w:rPr>
                <w:rFonts w:ascii="Times New Roman" w:hAnsi="Times New Roman" w:eastAsia="宋体" w:cs="Times New Roman"/>
                <w:color w:val="000000" w:themeColor="text1"/>
                <w:spacing w:val="-47"/>
                <w:lang w:eastAsia="zh-CN"/>
                <w14:textFill>
                  <w14:solidFill>
                    <w14:schemeClr w14:val="tx1"/>
                  </w14:solidFill>
                </w14:textFill>
              </w:rPr>
              <w:t xml:space="preserve"> </w:t>
            </w:r>
            <w:r>
              <w:rPr>
                <w:rFonts w:ascii="Times New Roman" w:hAnsi="Times New Roman" w:eastAsia="宋体" w:cs="Times New Roman"/>
                <w:color w:val="000000" w:themeColor="text1"/>
                <w:lang w:eastAsia="zh-CN"/>
                <w14:textFill>
                  <w14:solidFill>
                    <w14:schemeClr w14:val="tx1"/>
                  </w14:solidFill>
                </w14:textFill>
              </w:rPr>
              <w:t>5000台、年产一二次融合成套配电开关设备</w:t>
            </w:r>
            <w:r>
              <w:rPr>
                <w:rFonts w:ascii="Times New Roman" w:hAnsi="Times New Roman" w:eastAsia="宋体" w:cs="Times New Roman"/>
                <w:color w:val="000000" w:themeColor="text1"/>
                <w:spacing w:val="-53"/>
                <w:lang w:eastAsia="zh-CN"/>
                <w14:textFill>
                  <w14:solidFill>
                    <w14:schemeClr w14:val="tx1"/>
                  </w14:solidFill>
                </w14:textFill>
              </w:rPr>
              <w:t xml:space="preserve"> </w:t>
            </w:r>
            <w:r>
              <w:rPr>
                <w:rFonts w:ascii="Times New Roman" w:hAnsi="Times New Roman" w:eastAsia="宋体" w:cs="Times New Roman"/>
                <w:color w:val="000000" w:themeColor="text1"/>
                <w:lang w:eastAsia="zh-CN"/>
                <w14:textFill>
                  <w14:solidFill>
                    <w14:schemeClr w14:val="tx1"/>
                  </w14:solidFill>
                </w14:textFill>
              </w:rPr>
              <w:t xml:space="preserve">2万台/ </w:t>
            </w:r>
            <w:r>
              <w:rPr>
                <w:rFonts w:ascii="Times New Roman" w:hAnsi="Times New Roman" w:eastAsia="宋体" w:cs="Times New Roman"/>
                <w:color w:val="000000" w:themeColor="text1"/>
                <w:spacing w:val="-3"/>
                <w:lang w:eastAsia="zh-CN"/>
                <w14:textFill>
                  <w14:solidFill>
                    <w14:schemeClr w14:val="tx1"/>
                  </w14:solidFill>
                </w14:textFill>
              </w:rPr>
              <w:t>年、边缘计算智能终端</w:t>
            </w:r>
            <w:r>
              <w:rPr>
                <w:rFonts w:ascii="Times New Roman" w:hAnsi="Times New Roman" w:eastAsia="宋体" w:cs="Times New Roman"/>
                <w:color w:val="000000" w:themeColor="text1"/>
                <w:spacing w:val="-51"/>
                <w:lang w:eastAsia="zh-CN"/>
                <w14:textFill>
                  <w14:solidFill>
                    <w14:schemeClr w14:val="tx1"/>
                  </w14:solidFill>
                </w14:textFill>
              </w:rPr>
              <w:t xml:space="preserve"> </w:t>
            </w:r>
            <w:r>
              <w:rPr>
                <w:rFonts w:ascii="Times New Roman" w:hAnsi="Times New Roman" w:eastAsia="宋体" w:cs="Times New Roman"/>
                <w:color w:val="000000" w:themeColor="text1"/>
                <w:spacing w:val="-3"/>
                <w:lang w:eastAsia="zh-CN"/>
                <w14:textFill>
                  <w14:solidFill>
                    <w14:schemeClr w14:val="tx1"/>
                  </w14:solidFill>
                </w14:textFill>
              </w:rPr>
              <w:t>7万套/年、智能传感器</w:t>
            </w:r>
            <w:r>
              <w:rPr>
                <w:rFonts w:ascii="Times New Roman" w:hAnsi="Times New Roman" w:eastAsia="宋体" w:cs="Times New Roman"/>
                <w:color w:val="000000" w:themeColor="text1"/>
                <w:spacing w:val="-49"/>
                <w:lang w:eastAsia="zh-CN"/>
                <w14:textFill>
                  <w14:solidFill>
                    <w14:schemeClr w14:val="tx1"/>
                  </w14:solidFill>
                </w14:textFill>
              </w:rPr>
              <w:t xml:space="preserve"> </w:t>
            </w:r>
            <w:r>
              <w:rPr>
                <w:rFonts w:ascii="Times New Roman" w:hAnsi="Times New Roman" w:eastAsia="宋体" w:cs="Times New Roman"/>
                <w:color w:val="000000" w:themeColor="text1"/>
                <w:spacing w:val="-3"/>
                <w:lang w:eastAsia="zh-CN"/>
                <w14:textFill>
                  <w14:solidFill>
                    <w14:schemeClr w14:val="tx1"/>
                  </w14:solidFill>
                </w14:textFill>
              </w:rPr>
              <w:t>5万套/</w:t>
            </w:r>
            <w:r>
              <w:rPr>
                <w:rFonts w:ascii="Times New Roman" w:hAnsi="Times New Roman" w:eastAsia="宋体" w:cs="Times New Roman"/>
                <w:color w:val="000000" w:themeColor="text1"/>
                <w:spacing w:val="-4"/>
                <w:lang w:eastAsia="zh-CN"/>
                <w14:textFill>
                  <w14:solidFill>
                    <w14:schemeClr w14:val="tx1"/>
                  </w14:solidFill>
                </w14:textFill>
              </w:rPr>
              <w:t>年、台箱式变电箱</w:t>
            </w:r>
            <w:r>
              <w:rPr>
                <w:rFonts w:ascii="Times New Roman" w:hAnsi="Times New Roman" w:eastAsia="宋体" w:cs="Times New Roman"/>
                <w:color w:val="000000" w:themeColor="text1"/>
                <w:spacing w:val="-51"/>
                <w:lang w:eastAsia="zh-CN"/>
                <w14:textFill>
                  <w14:solidFill>
                    <w14:schemeClr w14:val="tx1"/>
                  </w14:solidFill>
                </w14:textFill>
              </w:rPr>
              <w:t xml:space="preserve"> </w:t>
            </w:r>
            <w:r>
              <w:rPr>
                <w:rFonts w:ascii="Times New Roman" w:hAnsi="Times New Roman" w:eastAsia="宋体" w:cs="Times New Roman"/>
                <w:color w:val="000000" w:themeColor="text1"/>
                <w:spacing w:val="-4"/>
                <w:lang w:eastAsia="zh-CN"/>
                <w14:textFill>
                  <w14:solidFill>
                    <w14:schemeClr w14:val="tx1"/>
                  </w14:solidFill>
                </w14:textFill>
              </w:rPr>
              <w:t>900台/年、</w:t>
            </w:r>
            <w:r>
              <w:rPr>
                <w:rFonts w:ascii="Times New Roman" w:hAnsi="Times New Roman" w:eastAsia="宋体" w:cs="Times New Roman"/>
                <w:color w:val="000000" w:themeColor="text1"/>
                <w:spacing w:val="-2"/>
                <w:lang w:eastAsia="zh-CN"/>
                <w14:textFill>
                  <w14:solidFill>
                    <w14:schemeClr w14:val="tx1"/>
                  </w14:solidFill>
                </w14:textFill>
              </w:rPr>
              <w:t>产充电桩</w:t>
            </w:r>
            <w:r>
              <w:rPr>
                <w:rFonts w:ascii="Times New Roman" w:hAnsi="Times New Roman" w:eastAsia="宋体" w:cs="Times New Roman"/>
                <w:color w:val="000000" w:themeColor="text1"/>
                <w:spacing w:val="-46"/>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8000</w:t>
            </w:r>
            <w:r>
              <w:rPr>
                <w:rFonts w:ascii="Times New Roman" w:hAnsi="Times New Roman" w:eastAsia="宋体" w:cs="Times New Roman"/>
                <w:color w:val="000000" w:themeColor="text1"/>
                <w:spacing w:val="29"/>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台、储能集成系统</w:t>
            </w:r>
            <w:r>
              <w:rPr>
                <w:rFonts w:ascii="Times New Roman" w:hAnsi="Times New Roman" w:eastAsia="宋体" w:cs="Times New Roman"/>
                <w:color w:val="000000" w:themeColor="text1"/>
                <w:spacing w:val="-57"/>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400M</w:t>
            </w:r>
            <w:r>
              <w:rPr>
                <w:rFonts w:ascii="Times New Roman" w:hAnsi="Times New Roman" w:eastAsia="宋体" w:cs="Times New Roman"/>
                <w:color w:val="000000" w:themeColor="text1"/>
                <w:spacing w:val="-3"/>
                <w:lang w:eastAsia="zh-CN"/>
                <w14:textFill>
                  <w14:solidFill>
                    <w14:schemeClr w14:val="tx1"/>
                  </w14:solidFill>
                </w14:textFill>
              </w:rPr>
              <w:t>Wh</w:t>
            </w:r>
            <w:r>
              <w:rPr>
                <w:rFonts w:ascii="Times New Roman" w:hAnsi="Times New Roman" w:eastAsia="宋体" w:cs="Times New Roman"/>
                <w:color w:val="000000" w:themeColor="text1"/>
                <w:spacing w:val="-4"/>
                <w:lang w:eastAsia="zh-CN"/>
                <w14:textFill>
                  <w14:solidFill>
                    <w14:schemeClr w14:val="tx1"/>
                  </w14:solidFill>
                </w14:textFill>
              </w:rPr>
              <w:t>。厂内现有员工</w:t>
            </w:r>
            <w:r>
              <w:rPr>
                <w:rFonts w:ascii="Times New Roman" w:hAnsi="Times New Roman" w:eastAsia="宋体" w:cs="Times New Roman"/>
                <w:color w:val="000000" w:themeColor="text1"/>
                <w:lang w:eastAsia="zh-CN"/>
                <w14:textFill>
                  <w14:solidFill>
                    <w14:schemeClr w14:val="tx1"/>
                  </w14:solidFill>
                </w14:textFill>
              </w:rPr>
              <w:t>130</w:t>
            </w:r>
            <w:r>
              <w:rPr>
                <w:rFonts w:ascii="Times New Roman" w:hAnsi="Times New Roman" w:eastAsia="宋体" w:cs="Times New Roman"/>
                <w:color w:val="000000" w:themeColor="text1"/>
                <w:spacing w:val="-4"/>
                <w:lang w:eastAsia="zh-CN"/>
                <w14:textFill>
                  <w14:solidFill>
                    <w14:schemeClr w14:val="tx1"/>
                  </w14:solidFill>
                </w14:textFill>
              </w:rPr>
              <w:t>人，110人在厂食宿，设有食堂和宿舍，单班制，每班</w:t>
            </w:r>
            <w:r>
              <w:rPr>
                <w:rFonts w:ascii="Times New Roman" w:hAnsi="Times New Roman" w:eastAsia="宋体" w:cs="Times New Roman"/>
                <w:color w:val="000000" w:themeColor="text1"/>
                <w:spacing w:val="-46"/>
                <w:lang w:eastAsia="zh-CN"/>
                <w14:textFill>
                  <w14:solidFill>
                    <w14:schemeClr w14:val="tx1"/>
                  </w14:solidFill>
                </w14:textFill>
              </w:rPr>
              <w:t xml:space="preserve"> </w:t>
            </w:r>
            <w:r>
              <w:rPr>
                <w:rFonts w:ascii="Times New Roman" w:hAnsi="Times New Roman" w:eastAsia="宋体" w:cs="Times New Roman"/>
                <w:color w:val="000000" w:themeColor="text1"/>
                <w:spacing w:val="-4"/>
                <w:lang w:eastAsia="zh-CN"/>
                <w14:textFill>
                  <w14:solidFill>
                    <w14:schemeClr w14:val="tx1"/>
                  </w14:solidFill>
                </w14:textFill>
              </w:rPr>
              <w:t>8</w:t>
            </w:r>
            <w:r>
              <w:rPr>
                <w:rFonts w:ascii="Times New Roman" w:hAnsi="Times New Roman" w:eastAsia="宋体" w:cs="Times New Roman"/>
                <w:color w:val="000000" w:themeColor="text1"/>
                <w:spacing w:val="2"/>
                <w:lang w:eastAsia="zh-CN"/>
                <w14:textFill>
                  <w14:solidFill>
                    <w14:schemeClr w14:val="tx1"/>
                  </w14:solidFill>
                </w14:textFill>
              </w:rPr>
              <w:t>小时工作制，年工作时间300 天。</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2.3.2 环保手续履行情况</w:t>
            </w:r>
          </w:p>
          <w:p>
            <w:pPr>
              <w:widowControl w:val="0"/>
              <w:topLinePunct/>
              <w:spacing w:after="0" w:line="360" w:lineRule="auto"/>
              <w:rPr>
                <w:rFonts w:ascii="Times New Roman" w:hAnsi="Times New Roman" w:eastAsia="宋体" w:cs="Times New Roman"/>
                <w:color w:val="000000" w:themeColor="text1"/>
                <w:szCs w:val="24"/>
                <w:shd w:val="clear" w:color="auto" w:fill="FFFFFF"/>
                <w14:textFill>
                  <w14:solidFill>
                    <w14:schemeClr w14:val="tx1"/>
                  </w14:solidFill>
                </w14:textFill>
              </w:rPr>
            </w:pPr>
            <w:r>
              <w:rPr>
                <w:rFonts w:ascii="Times New Roman" w:hAnsi="Times New Roman" w:eastAsia="宋体" w:cs="Times New Roman"/>
                <w:color w:val="000000" w:themeColor="text1"/>
                <w:spacing w:val="-1"/>
                <w14:textFill>
                  <w14:solidFill>
                    <w14:schemeClr w14:val="tx1"/>
                  </w14:solidFill>
                </w14:textFill>
              </w:rPr>
              <w:t>福建中能电气有限公司现有工程环评审批、排污许可证及竣工验收情况见表</w:t>
            </w:r>
            <w:r>
              <w:rPr>
                <w:rFonts w:ascii="Times New Roman" w:hAnsi="Times New Roman" w:eastAsia="宋体" w:cs="Times New Roman"/>
                <w:color w:val="000000" w:themeColor="text1"/>
                <w:spacing w:val="-40"/>
                <w14:textFill>
                  <w14:solidFill>
                    <w14:schemeClr w14:val="tx1"/>
                  </w14:solidFill>
                </w14:textFill>
              </w:rPr>
              <w:t xml:space="preserve"> </w:t>
            </w:r>
            <w:r>
              <w:rPr>
                <w:rFonts w:ascii="Times New Roman" w:hAnsi="Times New Roman" w:eastAsia="宋体" w:cs="Times New Roman"/>
                <w:color w:val="000000" w:themeColor="text1"/>
                <w:spacing w:val="-1"/>
                <w14:textFill>
                  <w14:solidFill>
                    <w14:schemeClr w14:val="tx1"/>
                  </w14:solidFill>
                </w14:textFill>
              </w:rPr>
              <w:t>2.3-1。</w:t>
            </w:r>
            <w:r>
              <w:rPr>
                <w:rFonts w:ascii="Times New Roman" w:hAnsi="Times New Roman" w:eastAsia="宋体" w:cs="Times New Roman"/>
                <w:b/>
                <w:bCs/>
                <w:color w:val="000000" w:themeColor="text1"/>
                <w:szCs w:val="24"/>
                <w14:textFill>
                  <w14:solidFill>
                    <w14:schemeClr w14:val="tx1"/>
                  </w14:solidFill>
                </w14:textFill>
              </w:rPr>
              <w:t xml:space="preserve"> </w:t>
            </w:r>
          </w:p>
        </w:tc>
      </w:tr>
    </w:tbl>
    <w:p>
      <w:pPr>
        <w:pStyle w:val="29"/>
        <w:widowControl w:val="0"/>
        <w:topLinePunct/>
        <w:adjustRightInd w:val="0"/>
        <w:snapToGrid w:val="0"/>
        <w:spacing w:before="0" w:beforeAutospacing="0" w:after="0" w:afterAutospacing="0" w:line="14" w:lineRule="auto"/>
        <w:jc w:val="both"/>
        <w:rPr>
          <w:rFonts w:ascii="Times New Roman" w:hAnsi="Times New Roman" w:eastAsia="宋体" w:cs="Times New Roman"/>
          <w:snapToGrid w:val="0"/>
          <w:color w:val="000000" w:themeColor="text1"/>
          <w:sz w:val="30"/>
          <w:szCs w:val="30"/>
          <w14:textFill>
            <w14:solidFill>
              <w14:schemeClr w14:val="tx1"/>
            </w14:solidFill>
          </w14:textFill>
        </w:rPr>
        <w:sectPr>
          <w:footerReference r:id="rId10" w:type="default"/>
          <w:pgSz w:w="11907" w:h="16840"/>
          <w:pgMar w:top="1417" w:right="1417" w:bottom="1417" w:left="1417" w:header="992" w:footer="992" w:gutter="0"/>
          <w:cols w:space="720" w:num="1"/>
          <w:docGrid w:linePitch="312" w:charSpace="0"/>
        </w:sectPr>
      </w:pPr>
    </w:p>
    <w:p>
      <w:pPr>
        <w:pStyle w:val="222"/>
        <w:spacing w:before="120"/>
        <w:rPr>
          <w:rFonts w:hint="eastAsia" w:ascii="宋体" w:hAnsi="宋体" w:cs="宋体"/>
          <w:color w:val="000000" w:themeColor="text1"/>
          <w14:textFill>
            <w14:solidFill>
              <w14:schemeClr w14:val="tx1"/>
            </w14:solidFill>
          </w14:textFill>
        </w:rPr>
      </w:pPr>
      <w:bookmarkStart w:id="5" w:name="_Toc10004"/>
      <w:bookmarkStart w:id="6" w:name="_Toc14125"/>
      <w:r>
        <w:rPr>
          <w:rFonts w:ascii="宋体" w:hAnsi="宋体" w:cs="宋体"/>
          <w:bCs/>
          <w:color w:val="000000" w:themeColor="text1"/>
          <w:spacing w:val="-3"/>
          <w14:textFill>
            <w14:solidFill>
              <w14:schemeClr w14:val="tx1"/>
            </w14:solidFill>
          </w14:textFill>
        </w:rPr>
        <w:t>表</w:t>
      </w:r>
      <w:r>
        <w:rPr>
          <w:rFonts w:ascii="宋体" w:hAnsi="宋体" w:cs="宋体"/>
          <w:color w:val="000000" w:themeColor="text1"/>
          <w:spacing w:val="-50"/>
          <w14:textFill>
            <w14:solidFill>
              <w14:schemeClr w14:val="tx1"/>
            </w14:solidFill>
          </w14:textFill>
        </w:rPr>
        <w:t xml:space="preserve"> </w:t>
      </w:r>
      <w:r>
        <w:rPr>
          <w:rFonts w:hint="eastAsia"/>
          <w:bCs/>
          <w:color w:val="000000" w:themeColor="text1"/>
          <w:spacing w:val="-3"/>
          <w14:textFill>
            <w14:solidFill>
              <w14:schemeClr w14:val="tx1"/>
            </w14:solidFill>
          </w14:textFill>
        </w:rPr>
        <w:t>2.3-1</w:t>
      </w:r>
      <w:r>
        <w:rPr>
          <w:rFonts w:eastAsia="Times New Roman"/>
          <w:bCs/>
          <w:color w:val="000000" w:themeColor="text1"/>
          <w:spacing w:val="17"/>
          <w14:textFill>
            <w14:solidFill>
              <w14:schemeClr w14:val="tx1"/>
            </w14:solidFill>
          </w14:textFill>
        </w:rPr>
        <w:t xml:space="preserve">   </w:t>
      </w:r>
      <w:r>
        <w:rPr>
          <w:rFonts w:ascii="宋体" w:hAnsi="宋体" w:cs="宋体"/>
          <w:bCs/>
          <w:color w:val="000000" w:themeColor="text1"/>
          <w:spacing w:val="-3"/>
          <w14:textFill>
            <w14:solidFill>
              <w14:schemeClr w14:val="tx1"/>
            </w14:solidFill>
          </w14:textFill>
        </w:rPr>
        <w:t>现有工程环评及验收审批情况一览表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3826"/>
        <w:gridCol w:w="5106"/>
        <w:gridCol w:w="33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项目名称</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建设规模</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执行环评情况</w:t>
            </w:r>
          </w:p>
        </w:tc>
        <w:tc>
          <w:tcPr>
            <w:tcW w:w="1174"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申请排污许可证及环保验收情况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中压预制式电缆附件及组合设备、特种纤维增强聚酯绝缘材料及制品、智能化免维护型环网设备生产加工项目</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年产中压预制式电缆附件45万只、电缆分支箱2000台；智能化免维护型环网设备（C-GIS充气柜）1万台套；特种纤维增强聚酯绝缘材料及制品（SMC箱体）5万台套（已停产）</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2011年8月委托福建闽科环保技术开发有限公司编制环境影响报告表，福清市环境保护局于2011年8月29日对项目环境影响报告表进行批复，详见附件</w:t>
            </w:r>
            <w:r>
              <w:rPr>
                <w:rFonts w:hint="eastAsia" w:ascii="Times New Roman" w:hAnsi="Times New Roman" w:eastAsia="宋体" w:cs="Times New Roman"/>
                <w:color w:val="000000" w:themeColor="text1"/>
                <w:sz w:val="21"/>
                <w:szCs w:val="21"/>
                <w14:textFill>
                  <w14:solidFill>
                    <w14:schemeClr w14:val="tx1"/>
                  </w14:solidFill>
                </w14:textFill>
              </w:rPr>
              <w:t>7-1</w:t>
            </w:r>
            <w:r>
              <w:rPr>
                <w:rFonts w:ascii="Times New Roman" w:hAnsi="Times New Roman" w:eastAsia="宋体" w:cs="Times New Roman"/>
                <w:color w:val="000000" w:themeColor="text1"/>
                <w:sz w:val="21"/>
                <w:szCs w:val="21"/>
                <w14:textFill>
                  <w14:solidFill>
                    <w14:schemeClr w14:val="tx1"/>
                  </w14:solidFill>
                </w14:textFill>
              </w:rPr>
              <w:t>。</w:t>
            </w:r>
          </w:p>
        </w:tc>
        <w:tc>
          <w:tcPr>
            <w:tcW w:w="1174" w:type="pct"/>
            <w:vMerge w:val="restar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三个项目统一建设，统一验收</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2014年</w:t>
            </w:r>
            <w:r>
              <w:rPr>
                <w:rFonts w:hint="eastAsia" w:ascii="Times New Roman" w:hAnsi="Times New Roman" w:eastAsia="宋体" w:cs="Times New Roman"/>
                <w:color w:val="000000" w:themeColor="text1"/>
                <w:sz w:val="21"/>
                <w:szCs w:val="21"/>
                <w14:textFill>
                  <w14:solidFill>
                    <w14:schemeClr w14:val="tx1"/>
                  </w14:solidFill>
                </w14:textFill>
              </w:rPr>
              <w:t>6</w:t>
            </w:r>
            <w:r>
              <w:rPr>
                <w:rFonts w:ascii="Times New Roman" w:hAnsi="Times New Roman" w:eastAsia="宋体" w:cs="Times New Roman"/>
                <w:color w:val="000000" w:themeColor="text1"/>
                <w:sz w:val="21"/>
                <w:szCs w:val="21"/>
                <w14:textFill>
                  <w14:solidFill>
                    <w14:schemeClr w14:val="tx1"/>
                  </w14:solidFill>
                </w14:textFill>
              </w:rPr>
              <w:t>月</w:t>
            </w:r>
            <w:r>
              <w:rPr>
                <w:rFonts w:hint="eastAsia" w:ascii="Times New Roman" w:hAnsi="Times New Roman" w:eastAsia="宋体" w:cs="Times New Roman"/>
                <w:color w:val="000000" w:themeColor="text1"/>
                <w:sz w:val="21"/>
                <w:szCs w:val="21"/>
                <w14:textFill>
                  <w14:solidFill>
                    <w14:schemeClr w14:val="tx1"/>
                  </w14:solidFill>
                </w14:textFill>
              </w:rPr>
              <w:t>6</w:t>
            </w:r>
            <w:r>
              <w:rPr>
                <w:rFonts w:ascii="Times New Roman" w:hAnsi="Times New Roman" w:eastAsia="宋体" w:cs="Times New Roman"/>
                <w:color w:val="000000" w:themeColor="text1"/>
                <w:sz w:val="21"/>
                <w:szCs w:val="21"/>
                <w14:textFill>
                  <w14:solidFill>
                    <w14:schemeClr w14:val="tx1"/>
                  </w14:solidFill>
                </w14:textFill>
              </w:rPr>
              <w:t>日福淸市环境监测站进行了竣工环境保护验收监测，通过环境保护局验收，详见附件</w:t>
            </w:r>
            <w:r>
              <w:rPr>
                <w:rFonts w:hint="eastAsia" w:ascii="Times New Roman" w:hAnsi="Times New Roman" w:eastAsia="宋体" w:cs="Times New Roman"/>
                <w:color w:val="000000" w:themeColor="text1"/>
                <w:sz w:val="21"/>
                <w:szCs w:val="21"/>
                <w14:textFill>
                  <w14:solidFill>
                    <w14:schemeClr w14:val="tx1"/>
                  </w14:solidFill>
                </w14:textFill>
              </w:rPr>
              <w:t>7-4</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中压预制式电缆附件及组合设备、特种纤维增强聚酯绝缘材料及制品、智能化免维护型环网设备生产扩建项目</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年产中压预制式电缆附件15万只、电缆分支箱1000台；智能化免维护型环网设备（C-GIS充气柜）1万台套；特种纤维增强聚酯绝缘材料及制品（SMC箱体）1万台套（已停产）</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2014年1月委托福建闽科环保技术开发有限公司编 制环境影响报告表，福清市环境保护局于2014年3月17日对项目环境影响报告表进行批复，详见附件</w:t>
            </w:r>
            <w:r>
              <w:rPr>
                <w:rFonts w:hint="eastAsia" w:ascii="Times New Roman" w:hAnsi="Times New Roman" w:eastAsia="宋体" w:cs="Times New Roman"/>
                <w:color w:val="000000" w:themeColor="text1"/>
                <w:sz w:val="21"/>
                <w:szCs w:val="21"/>
                <w14:textFill>
                  <w14:solidFill>
                    <w14:schemeClr w14:val="tx1"/>
                  </w14:solidFill>
                </w14:textFill>
              </w:rPr>
              <w:t>7-2</w:t>
            </w:r>
            <w:r>
              <w:rPr>
                <w:rFonts w:ascii="Times New Roman" w:hAnsi="Times New Roman" w:eastAsia="宋体" w:cs="Times New Roman"/>
                <w:color w:val="000000" w:themeColor="text1"/>
                <w:sz w:val="21"/>
                <w:szCs w:val="21"/>
                <w14:textFill>
                  <w14:solidFill>
                    <w14:schemeClr w14:val="tx1"/>
                  </w14:solidFill>
                </w14:textFill>
              </w:rPr>
              <w:t>。</w:t>
            </w:r>
          </w:p>
        </w:tc>
        <w:tc>
          <w:tcPr>
            <w:tcW w:w="1174" w:type="pct"/>
            <w:vMerge w:val="continue"/>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中能电气(福淸）有限公司中压预制式电缆附件生产工艺变更环境影响补充说明</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生产规模不变，仅中压预制式电缆附件生产工艺变更</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2014年4月2日委托福建闽科环保技术开发有限公 司编制《中能电气（福淸）有限公司中压预制式电缆附件生产工艺变更环境影响补充说明》，福清市环境保护局于2014年4月给予了备案，详见附件</w:t>
            </w:r>
            <w:r>
              <w:rPr>
                <w:rFonts w:hint="eastAsia" w:ascii="Times New Roman" w:hAnsi="Times New Roman" w:eastAsia="宋体" w:cs="Times New Roman"/>
                <w:color w:val="000000" w:themeColor="text1"/>
                <w:sz w:val="21"/>
                <w:szCs w:val="21"/>
                <w14:textFill>
                  <w14:solidFill>
                    <w14:schemeClr w14:val="tx1"/>
                  </w14:solidFill>
                </w14:textFill>
              </w:rPr>
              <w:t>7-3</w:t>
            </w:r>
            <w:r>
              <w:rPr>
                <w:rFonts w:ascii="Times New Roman" w:hAnsi="Times New Roman" w:eastAsia="宋体" w:cs="Times New Roman"/>
                <w:color w:val="000000" w:themeColor="text1"/>
                <w:sz w:val="21"/>
                <w:szCs w:val="21"/>
                <w14:textFill>
                  <w14:solidFill>
                    <w14:schemeClr w14:val="tx1"/>
                  </w14:solidFill>
                </w14:textFill>
              </w:rPr>
              <w:t>。</w:t>
            </w:r>
          </w:p>
        </w:tc>
        <w:tc>
          <w:tcPr>
            <w:tcW w:w="1174" w:type="pct"/>
            <w:vMerge w:val="continue"/>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中能电气(福淸）有限公司充电桩研发制造项目（扩建）</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年产各类型交、直流充电桩11900套</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2016年4月委托广州环发环保工程有限公司编制环 境影响报告表，福清市环境保护局于2016年6月14日对项目环境影响报告表进行批复，详见附件</w:t>
            </w:r>
            <w:r>
              <w:rPr>
                <w:rFonts w:hint="eastAsia" w:ascii="Times New Roman" w:hAnsi="Times New Roman" w:eastAsia="宋体" w:cs="Times New Roman"/>
                <w:color w:val="000000" w:themeColor="text1"/>
                <w:sz w:val="21"/>
                <w:szCs w:val="21"/>
                <w14:textFill>
                  <w14:solidFill>
                    <w14:schemeClr w14:val="tx1"/>
                  </w14:solidFill>
                </w14:textFill>
              </w:rPr>
              <w:t>7-5</w:t>
            </w:r>
            <w:r>
              <w:rPr>
                <w:rFonts w:ascii="Times New Roman" w:hAnsi="Times New Roman" w:eastAsia="宋体" w:cs="Times New Roman"/>
                <w:color w:val="000000" w:themeColor="text1"/>
                <w:sz w:val="21"/>
                <w:szCs w:val="21"/>
                <w14:textFill>
                  <w14:solidFill>
                    <w14:schemeClr w14:val="tx1"/>
                  </w14:solidFill>
                </w14:textFill>
              </w:rPr>
              <w:t>。</w:t>
            </w:r>
          </w:p>
        </w:tc>
        <w:tc>
          <w:tcPr>
            <w:tcW w:w="1174"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2019年3月18日~19日建设单位进行竣工环境保护验收监测，并于2019年4月20日通过验收组验收，详见附件</w:t>
            </w:r>
            <w:r>
              <w:rPr>
                <w:rFonts w:hint="eastAsia" w:ascii="Times New Roman" w:hAnsi="Times New Roman" w:eastAsia="宋体" w:cs="Times New Roman"/>
                <w:color w:val="000000" w:themeColor="text1"/>
                <w:sz w:val="21"/>
                <w:szCs w:val="21"/>
                <w14:textFill>
                  <w14:solidFill>
                    <w14:schemeClr w14:val="tx1"/>
                  </w14:solidFill>
                </w14:textFill>
              </w:rPr>
              <w:t>7-6</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中能电气(福淸）有限公司地铁系统用智能化低压开关柜项目（扩建）</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年产地铁系统用智能低压开关柜5000台</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2016年9月委托中环华诚（厦门）环保科技有限公司编制环境影响报告表，福清市环境保护局于2016年11月22日对项目环境影响报告表进行批复，详见附件</w:t>
            </w:r>
            <w:r>
              <w:rPr>
                <w:rFonts w:hint="eastAsia" w:ascii="Times New Roman" w:hAnsi="Times New Roman" w:eastAsia="宋体" w:cs="Times New Roman"/>
                <w:color w:val="000000" w:themeColor="text1"/>
                <w:sz w:val="21"/>
                <w:szCs w:val="21"/>
                <w14:textFill>
                  <w14:solidFill>
                    <w14:schemeClr w14:val="tx1"/>
                  </w14:solidFill>
                </w14:textFill>
              </w:rPr>
              <w:t>7-7</w:t>
            </w:r>
            <w:r>
              <w:rPr>
                <w:rFonts w:ascii="Times New Roman" w:hAnsi="Times New Roman" w:eastAsia="宋体" w:cs="Times New Roman"/>
                <w:color w:val="000000" w:themeColor="text1"/>
                <w:sz w:val="21"/>
                <w:szCs w:val="21"/>
                <w14:textFill>
                  <w14:solidFill>
                    <w14:schemeClr w14:val="tx1"/>
                  </w14:solidFill>
                </w14:textFill>
              </w:rPr>
              <w:t>。</w:t>
            </w:r>
          </w:p>
        </w:tc>
        <w:tc>
          <w:tcPr>
            <w:tcW w:w="1174"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2019年3月18日~19日建设单位进行竣工环境保护验收监测，并于2019年4月27日通过验收组验收</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详见附</w:t>
            </w:r>
            <w:r>
              <w:rPr>
                <w:rFonts w:hint="eastAsia" w:ascii="Times New Roman" w:hAnsi="Times New Roman" w:eastAsia="宋体" w:cs="Times New Roman"/>
                <w:color w:val="000000" w:themeColor="text1"/>
                <w:sz w:val="21"/>
                <w:szCs w:val="21"/>
                <w14:textFill>
                  <w14:solidFill>
                    <w14:schemeClr w14:val="tx1"/>
                  </w14:solidFill>
                </w14:textFill>
              </w:rPr>
              <w:t>7-8</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福建中能电气有限公司一二次融合智能配电项目</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年产一二次融合成套配电开关设备2万台、边缘计算智能终端7万套、智能传感器5万套</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2020年3月委托北京水木丰岳环境咨询有限公司编制环境影响报告表，福州市福清生态环境局于2020年6月23日对项目编制环境影响报告表进行批复，详见附件</w:t>
            </w:r>
            <w:r>
              <w:rPr>
                <w:rFonts w:hint="eastAsia" w:ascii="Times New Roman" w:hAnsi="Times New Roman" w:eastAsia="宋体" w:cs="Times New Roman"/>
                <w:color w:val="000000" w:themeColor="text1"/>
                <w:sz w:val="21"/>
                <w:szCs w:val="21"/>
                <w14:textFill>
                  <w14:solidFill>
                    <w14:schemeClr w14:val="tx1"/>
                  </w14:solidFill>
                </w14:textFill>
              </w:rPr>
              <w:t>7-9</w:t>
            </w:r>
          </w:p>
        </w:tc>
        <w:tc>
          <w:tcPr>
            <w:tcW w:w="1174"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暂时未投产建设、未验收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福建中能电气有限公司5#车间及配套设施改扩建项目</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年产900台箱式变电箱</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2020年10月委托北京水木丰岳环境咨询有限公司编制环境影响报告表，福清市环境保护局于2020年12月3日对项目环境影响报告表进行批复，详见附件</w:t>
            </w:r>
            <w:r>
              <w:rPr>
                <w:rFonts w:hint="eastAsia" w:ascii="Times New Roman" w:hAnsi="Times New Roman" w:eastAsia="宋体" w:cs="Times New Roman"/>
                <w:color w:val="000000" w:themeColor="text1"/>
                <w:sz w:val="21"/>
                <w:szCs w:val="21"/>
                <w14:textFill>
                  <w14:solidFill>
                    <w14:schemeClr w14:val="tx1"/>
                  </w14:solidFill>
                </w14:textFill>
              </w:rPr>
              <w:t>7-10</w:t>
            </w:r>
            <w:r>
              <w:rPr>
                <w:rFonts w:ascii="Times New Roman" w:hAnsi="Times New Roman" w:eastAsia="宋体" w:cs="Times New Roman"/>
                <w:color w:val="000000" w:themeColor="text1"/>
                <w:sz w:val="21"/>
                <w:szCs w:val="21"/>
                <w14:textFill>
                  <w14:solidFill>
                    <w14:schemeClr w14:val="tx1"/>
                  </w14:solidFill>
                </w14:textFill>
              </w:rPr>
              <w:t>。</w:t>
            </w:r>
          </w:p>
        </w:tc>
        <w:tc>
          <w:tcPr>
            <w:tcW w:w="1174"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于</w:t>
            </w:r>
            <w:r>
              <w:rPr>
                <w:rFonts w:hint="eastAsia" w:ascii="Times New Roman" w:hAnsi="Times New Roman" w:eastAsia="宋体" w:cs="Times New Roman"/>
                <w:color w:val="000000" w:themeColor="text1"/>
                <w:sz w:val="21"/>
                <w:szCs w:val="21"/>
                <w14:textFill>
                  <w14:solidFill>
                    <w14:schemeClr w14:val="tx1"/>
                  </w14:solidFill>
                </w14:textFill>
              </w:rPr>
              <w:t>2020年5月29日办理排污许可登记（详见附件8-13）。</w:t>
            </w:r>
            <w:r>
              <w:rPr>
                <w:rFonts w:ascii="Times New Roman" w:hAnsi="Times New Roman" w:eastAsia="宋体" w:cs="Times New Roman"/>
                <w:color w:val="000000" w:themeColor="text1"/>
                <w:sz w:val="21"/>
                <w:szCs w:val="21"/>
                <w14:textFill>
                  <w14:solidFill>
                    <w14:schemeClr w14:val="tx1"/>
                  </w14:solidFill>
                </w14:textFill>
              </w:rPr>
              <w:t>2020年12月23日~24日建设单位进行竣工环境保护验收监测，并于2021年1月27日通过验收组验收，详见附</w:t>
            </w:r>
            <w:r>
              <w:rPr>
                <w:rFonts w:hint="eastAsia" w:ascii="Times New Roman" w:hAnsi="Times New Roman" w:eastAsia="宋体" w:cs="Times New Roman"/>
                <w:color w:val="000000" w:themeColor="text1"/>
                <w:sz w:val="21"/>
                <w:szCs w:val="21"/>
                <w14:textFill>
                  <w14:solidFill>
                    <w14:schemeClr w14:val="tx1"/>
                  </w14:solidFill>
                </w14:textFill>
              </w:rPr>
              <w:t>7-11</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中能电气新能源</w:t>
            </w:r>
          </w:p>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储充项目</w:t>
            </w:r>
          </w:p>
        </w:tc>
        <w:tc>
          <w:tcPr>
            <w:tcW w:w="134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年产充电桩8000台、储能集成系统400MWh</w:t>
            </w:r>
          </w:p>
        </w:tc>
        <w:tc>
          <w:tcPr>
            <w:tcW w:w="1795"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2023年3月委托福州庆林环保科技开发有限公司编制环境影响报告表，福州市生态环境局于2023年4月4日对项目环境影响报告表进行批复，详见附件7-12</w:t>
            </w:r>
          </w:p>
        </w:tc>
        <w:tc>
          <w:tcPr>
            <w:tcW w:w="1174" w:type="pct"/>
            <w:vAlign w:val="center"/>
          </w:tcPr>
          <w:p>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暂时未投产建设、未验收</w:t>
            </w:r>
          </w:p>
        </w:tc>
      </w:tr>
    </w:tbl>
    <w:p>
      <w:pPr>
        <w:rPr>
          <w:rFonts w:ascii="Times New Roman" w:hAnsi="Times New Roman" w:eastAsia="宋体" w:cs="Times New Roman"/>
          <w:b/>
          <w:bCs/>
          <w:snapToGrid w:val="0"/>
          <w:color w:val="000000" w:themeColor="text1"/>
          <w:sz w:val="32"/>
          <w:szCs w:val="32"/>
          <w14:textFill>
            <w14:solidFill>
              <w14:schemeClr w14:val="tx1"/>
            </w14:solidFill>
          </w14:textFill>
        </w:rPr>
      </w:pPr>
      <w:r>
        <w:rPr>
          <w:rFonts w:ascii="Times New Roman" w:hAnsi="Times New Roman" w:eastAsia="宋体" w:cs="Times New Roman"/>
          <w:b/>
          <w:bCs/>
          <w:snapToGrid w:val="0"/>
          <w:color w:val="000000" w:themeColor="text1"/>
          <w:sz w:val="32"/>
          <w:szCs w:val="32"/>
          <w14:textFill>
            <w14:solidFill>
              <w14:schemeClr w14:val="tx1"/>
            </w14:solidFill>
          </w14:textFill>
        </w:rPr>
        <w:br w:type="page"/>
      </w:r>
    </w:p>
    <w:p>
      <w:pPr>
        <w:pStyle w:val="29"/>
        <w:widowControl w:val="0"/>
        <w:topLinePunct/>
        <w:spacing w:before="0" w:beforeAutospacing="0" w:after="0" w:afterAutospacing="0" w:line="36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sectPr>
          <w:pgSz w:w="16840" w:h="11907" w:orient="landscape"/>
          <w:pgMar w:top="1417" w:right="1417" w:bottom="1417" w:left="1417" w:header="992" w:footer="992" w:gutter="0"/>
          <w:cols w:space="720" w:num="1"/>
          <w:docGrid w:linePitch="312" w:charSpace="0"/>
        </w:sectPr>
      </w:pPr>
    </w:p>
    <w:tbl>
      <w:tblPr>
        <w:tblStyle w:val="173"/>
        <w:tblW w:w="4919"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651"/>
        <w:gridCol w:w="8427"/>
      </w:tblGrid>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264" w:hRule="atLeast"/>
        </w:trPr>
        <w:tc>
          <w:tcPr>
            <w:tcW w:w="371" w:type="pct"/>
            <w:vAlign w:val="center"/>
          </w:tcPr>
          <w:p>
            <w:pPr>
              <w:spacing w:line="242" w:lineRule="auto"/>
              <w:jc w:val="center"/>
              <w:rPr>
                <w:rFonts w:ascii="Times New Roman" w:hAnsi="Times New Roman" w:cs="Times New Roman"/>
                <w:color w:val="000000" w:themeColor="text1"/>
                <w:sz w:val="21"/>
                <w14:textFill>
                  <w14:solidFill>
                    <w14:schemeClr w14:val="tx1"/>
                  </w14:solidFill>
                </w14:textFill>
              </w:rPr>
            </w:pPr>
          </w:p>
          <w:p>
            <w:pPr>
              <w:pStyle w:val="172"/>
              <w:spacing w:before="78" w:line="221" w:lineRule="auto"/>
              <w:ind w:left="221"/>
              <w:jc w:val="center"/>
              <w:outlineLvl w:val="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8"/>
                <w:lang w:eastAsia="zh-CN"/>
                <w14:textFill>
                  <w14:solidFill>
                    <w14:schemeClr w14:val="tx1"/>
                  </w14:solidFill>
                </w14:textFill>
              </w:rPr>
              <w:t>与项</w:t>
            </w:r>
          </w:p>
          <w:p>
            <w:pPr>
              <w:pStyle w:val="172"/>
              <w:spacing w:before="28" w:line="236" w:lineRule="auto"/>
              <w:ind w:left="216" w:right="207" w:firstLine="45"/>
              <w:jc w:val="both"/>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8"/>
                <w:lang w:eastAsia="zh-CN"/>
                <w14:textFill>
                  <w14:solidFill>
                    <w14:schemeClr w14:val="tx1"/>
                  </w14:solidFill>
                </w14:textFill>
              </w:rPr>
              <w:t>目有</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5"/>
                <w:lang w:eastAsia="zh-CN"/>
                <w14:textFill>
                  <w14:solidFill>
                    <w14:schemeClr w14:val="tx1"/>
                  </w14:solidFill>
                </w14:textFill>
              </w:rPr>
              <w:t>关的</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5"/>
                <w:lang w:eastAsia="zh-CN"/>
                <w14:textFill>
                  <w14:solidFill>
                    <w14:schemeClr w14:val="tx1"/>
                  </w14:solidFill>
                </w14:textFill>
              </w:rPr>
              <w:t>原有</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5"/>
                <w:lang w:eastAsia="zh-CN"/>
                <w14:textFill>
                  <w14:solidFill>
                    <w14:schemeClr w14:val="tx1"/>
                  </w14:solidFill>
                </w14:textFill>
              </w:rPr>
              <w:t>环境</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5"/>
                <w:lang w:eastAsia="zh-CN"/>
                <w14:textFill>
                  <w14:solidFill>
                    <w14:schemeClr w14:val="tx1"/>
                  </w14:solidFill>
                </w14:textFill>
              </w:rPr>
              <w:t>污染</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5"/>
                <w:lang w:eastAsia="zh-CN"/>
                <w14:textFill>
                  <w14:solidFill>
                    <w14:schemeClr w14:val="tx1"/>
                  </w14:solidFill>
                </w14:textFill>
              </w:rPr>
              <w:t>问题</w:t>
            </w:r>
          </w:p>
        </w:tc>
        <w:tc>
          <w:tcPr>
            <w:tcW w:w="4629" w:type="pct"/>
          </w:tcPr>
          <w:p>
            <w:pPr>
              <w:pStyle w:val="172"/>
              <w:spacing w:before="40" w:line="220" w:lineRule="auto"/>
              <w:ind w:left="109"/>
              <w:outlineLvl w:val="1"/>
              <w:rPr>
                <w:rFonts w:ascii="Times New Roman" w:hAnsi="Times New Roman" w:cs="Times New Roman"/>
                <w:color w:val="000000" w:themeColor="text1"/>
                <w:lang w:eastAsia="zh-CN"/>
                <w14:textFill>
                  <w14:solidFill>
                    <w14:schemeClr w14:val="tx1"/>
                  </w14:solidFill>
                </w14:textFill>
              </w:rPr>
            </w:pPr>
            <w:r>
              <w:rPr>
                <w:rFonts w:ascii="Times New Roman" w:hAnsi="Times New Roman" w:eastAsia="Times New Roman" w:cs="Times New Roman"/>
                <w:b/>
                <w:bCs/>
                <w:color w:val="000000" w:themeColor="text1"/>
                <w:spacing w:val="-2"/>
                <w:lang w:eastAsia="zh-CN"/>
                <w14:textFill>
                  <w14:solidFill>
                    <w14:schemeClr w14:val="tx1"/>
                  </w14:solidFill>
                </w14:textFill>
              </w:rPr>
              <w:t>2.</w:t>
            </w:r>
            <w:r>
              <w:rPr>
                <w:rFonts w:ascii="Times New Roman" w:hAnsi="Times New Roman" w:eastAsia="宋体" w:cs="Times New Roman"/>
                <w:b/>
                <w:bCs/>
                <w:color w:val="000000" w:themeColor="text1"/>
                <w:spacing w:val="-2"/>
                <w:lang w:eastAsia="zh-CN"/>
                <w14:textFill>
                  <w14:solidFill>
                    <w14:schemeClr w14:val="tx1"/>
                  </w14:solidFill>
                </w14:textFill>
              </w:rPr>
              <w:t>3</w:t>
            </w:r>
            <w:r>
              <w:rPr>
                <w:rFonts w:ascii="Times New Roman" w:hAnsi="Times New Roman" w:eastAsia="Times New Roman" w:cs="Times New Roman"/>
                <w:b/>
                <w:bCs/>
                <w:color w:val="000000" w:themeColor="text1"/>
                <w:spacing w:val="-2"/>
                <w:lang w:eastAsia="zh-CN"/>
                <w14:textFill>
                  <w14:solidFill>
                    <w14:schemeClr w14:val="tx1"/>
                  </w14:solidFill>
                </w14:textFill>
              </w:rPr>
              <w:t>.</w:t>
            </w:r>
            <w:r>
              <w:rPr>
                <w:rFonts w:hint="eastAsia" w:ascii="Times New Roman" w:hAnsi="Times New Roman" w:cs="Times New Roman"/>
                <w:b/>
                <w:bCs/>
                <w:color w:val="000000" w:themeColor="text1"/>
                <w:spacing w:val="-2"/>
                <w:lang w:eastAsia="zh-CN"/>
                <w14:textFill>
                  <w14:solidFill>
                    <w14:schemeClr w14:val="tx1"/>
                  </w14:solidFill>
                </w14:textFill>
              </w:rPr>
              <w:t>3</w:t>
            </w:r>
            <w:r>
              <w:rPr>
                <w:rFonts w:ascii="Times New Roman" w:hAnsi="Times New Roman" w:eastAsia="Times New Roman" w:cs="Times New Roman"/>
                <w:b/>
                <w:bCs/>
                <w:color w:val="000000" w:themeColor="text1"/>
                <w:spacing w:val="-2"/>
                <w:lang w:eastAsia="zh-CN"/>
                <w14:textFill>
                  <w14:solidFill>
                    <w14:schemeClr w14:val="tx1"/>
                  </w14:solidFill>
                </w14:textFill>
              </w:rPr>
              <w:t xml:space="preserve"> </w:t>
            </w:r>
            <w:r>
              <w:rPr>
                <w:rFonts w:ascii="Times New Roman" w:hAnsi="Times New Roman" w:cs="Times New Roman"/>
                <w:b/>
                <w:bCs/>
                <w:color w:val="000000" w:themeColor="text1"/>
                <w:spacing w:val="-2"/>
                <w:lang w:eastAsia="zh-CN"/>
                <w14:textFill>
                  <w14:solidFill>
                    <w14:schemeClr w14:val="tx1"/>
                  </w14:solidFill>
                </w14:textFill>
              </w:rPr>
              <w:t>现有工程主要产品及原辅材料</w:t>
            </w:r>
          </w:p>
          <w:p>
            <w:pPr>
              <w:pStyle w:val="172"/>
              <w:spacing w:before="180" w:line="219" w:lineRule="auto"/>
              <w:ind w:left="595"/>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现有工程主要产品详见</w:t>
            </w:r>
            <w:r>
              <w:rPr>
                <w:rFonts w:ascii="Times New Roman" w:hAnsi="Times New Roman" w:cs="Times New Roman"/>
                <w:color w:val="000000" w:themeColor="text1"/>
                <w:lang w:eastAsia="zh-CN"/>
                <w14:textFill>
                  <w14:solidFill>
                    <w14:schemeClr w14:val="tx1"/>
                  </w14:solidFill>
                </w14:textFill>
              </w:rPr>
              <w:t>表2.3-</w:t>
            </w:r>
            <w:r>
              <w:rPr>
                <w:rFonts w:hint="eastAsia" w:ascii="Times New Roman" w:hAnsi="Times New Roman" w:cs="Times New Roman"/>
                <w:color w:val="000000" w:themeColor="text1"/>
                <w:lang w:eastAsia="zh-CN"/>
                <w14:textFill>
                  <w14:solidFill>
                    <w14:schemeClr w14:val="tx1"/>
                  </w14:solidFill>
                </w14:textFill>
              </w:rPr>
              <w:t>2</w:t>
            </w:r>
            <w:r>
              <w:rPr>
                <w:rFonts w:ascii="Times New Roman" w:hAnsi="Times New Roman" w:cs="Times New Roman"/>
                <w:color w:val="000000" w:themeColor="text1"/>
                <w:spacing w:val="-2"/>
                <w:lang w:eastAsia="zh-CN"/>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表2.3-</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w:t>
            </w:r>
            <w:r>
              <w:rPr>
                <w:rFonts w:eastAsia="Times New Roman"/>
                <w:color w:val="000000" w:themeColor="text1"/>
                <w:spacing w:val="17"/>
                <w:w w:val="101"/>
                <w14:textFill>
                  <w14:solidFill>
                    <w14:schemeClr w14:val="tx1"/>
                  </w14:solidFill>
                </w14:textFill>
              </w:rPr>
              <w:t xml:space="preserve"> </w:t>
            </w:r>
            <w:r>
              <w:rPr>
                <w:color w:val="000000" w:themeColor="text1"/>
                <w14:textFill>
                  <w14:solidFill>
                    <w14:schemeClr w14:val="tx1"/>
                  </w14:solidFill>
                </w14:textFill>
              </w:rPr>
              <w:t>现有工程主要产品一览表</w:t>
            </w:r>
          </w:p>
          <w:tbl>
            <w:tblPr>
              <w:tblStyle w:val="226"/>
              <w:tblW w:w="85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3149"/>
              <w:gridCol w:w="991"/>
              <w:gridCol w:w="1259"/>
              <w:gridCol w:w="23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3149" w:type="dxa"/>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产品名称</w:t>
                  </w:r>
                </w:p>
              </w:tc>
              <w:tc>
                <w:tcPr>
                  <w:tcW w:w="991" w:type="dxa"/>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单位</w:t>
                  </w:r>
                </w:p>
              </w:tc>
              <w:tc>
                <w:tcPr>
                  <w:tcW w:w="1259" w:type="dxa"/>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生产规模</w:t>
                  </w:r>
                </w:p>
              </w:tc>
              <w:tc>
                <w:tcPr>
                  <w:tcW w:w="2333" w:type="dxa"/>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生产情况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1</w:t>
                  </w:r>
                </w:p>
              </w:tc>
              <w:tc>
                <w:tcPr>
                  <w:tcW w:w="3149" w:type="dxa"/>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中压预制式电缆附件</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3"/>
                      <w:position w:val="1"/>
                      <w14:textFill>
                        <w14:solidFill>
                          <w14:schemeClr w14:val="tx1"/>
                        </w14:solidFill>
                      </w14:textFill>
                    </w:rPr>
                    <w:t>万只</w:t>
                  </w:r>
                  <w:r>
                    <w:rPr>
                      <w:rFonts w:eastAsia="Times New Roman"/>
                      <w:color w:val="000000" w:themeColor="text1"/>
                      <w:spacing w:val="3"/>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60</w:t>
                  </w:r>
                </w:p>
              </w:tc>
              <w:tc>
                <w:tcPr>
                  <w:tcW w:w="233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停</w:t>
                  </w:r>
                  <w:r>
                    <w:rPr>
                      <w:rFonts w:hint="eastAsia"/>
                      <w:color w:val="000000" w:themeColor="text1"/>
                      <w14:textFill>
                        <w14:solidFill>
                          <w14:schemeClr w14:val="tx1"/>
                        </w14:solidFill>
                      </w14:textFill>
                    </w:rPr>
                    <w:t>产</w:t>
                  </w:r>
                  <w:r>
                    <w:rPr>
                      <w:color w:val="000000" w:themeColor="text1"/>
                      <w14:textFill>
                        <w14:solidFill>
                          <w14:schemeClr w14:val="tx1"/>
                        </w14:solidFill>
                      </w14:textFill>
                    </w:rPr>
                    <w:t>改扩建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2</w:t>
                  </w:r>
                </w:p>
              </w:tc>
              <w:tc>
                <w:tcPr>
                  <w:tcW w:w="3149" w:type="dxa"/>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电缆分支箱</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4"/>
                      <w:position w:val="1"/>
                      <w14:textFill>
                        <w14:solidFill>
                          <w14:schemeClr w14:val="tx1"/>
                        </w14:solidFill>
                      </w14:textFill>
                    </w:rPr>
                    <w:t>台</w:t>
                  </w:r>
                  <w:r>
                    <w:rPr>
                      <w:rFonts w:eastAsia="Times New Roman"/>
                      <w:color w:val="000000" w:themeColor="text1"/>
                      <w:spacing w:val="-4"/>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3000</w:t>
                  </w:r>
                </w:p>
              </w:tc>
              <w:tc>
                <w:tcPr>
                  <w:tcW w:w="233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已投入正常运行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3</w:t>
                  </w:r>
                </w:p>
              </w:tc>
              <w:tc>
                <w:tcPr>
                  <w:tcW w:w="3149" w:type="dxa"/>
                  <w:vAlign w:val="center"/>
                </w:tcPr>
                <w:p>
                  <w:pPr>
                    <w:pStyle w:val="221"/>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C-</w:t>
                  </w:r>
                  <w:r>
                    <w:rPr>
                      <w:rFonts w:eastAsia="Times New Roman"/>
                      <w:color w:val="000000" w:themeColor="text1"/>
                      <w14:textFill>
                        <w14:solidFill>
                          <w14:schemeClr w14:val="tx1"/>
                        </w14:solidFill>
                      </w14:textFill>
                    </w:rPr>
                    <w:t>GIS</w:t>
                  </w:r>
                  <w:r>
                    <w:rPr>
                      <w:rFonts w:eastAsia="Times New Roman"/>
                      <w:color w:val="000000" w:themeColor="text1"/>
                      <w:spacing w:val="18"/>
                      <w14:textFill>
                        <w14:solidFill>
                          <w14:schemeClr w14:val="tx1"/>
                        </w14:solidFill>
                      </w14:textFill>
                    </w:rPr>
                    <w:t xml:space="preserve"> </w:t>
                  </w:r>
                  <w:r>
                    <w:rPr>
                      <w:color w:val="000000" w:themeColor="text1"/>
                      <w:spacing w:val="6"/>
                      <w14:textFill>
                        <w14:solidFill>
                          <w14:schemeClr w14:val="tx1"/>
                        </w14:solidFill>
                      </w14:textFill>
                    </w:rPr>
                    <w:t>充气柜</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3"/>
                      <w:position w:val="1"/>
                      <w14:textFill>
                        <w14:solidFill>
                          <w14:schemeClr w14:val="tx1"/>
                        </w14:solidFill>
                      </w14:textFill>
                    </w:rPr>
                    <w:t>万套</w:t>
                  </w:r>
                  <w:r>
                    <w:rPr>
                      <w:rFonts w:eastAsia="Times New Roman"/>
                      <w:color w:val="000000" w:themeColor="text1"/>
                      <w:spacing w:val="3"/>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2</w:t>
                  </w:r>
                </w:p>
              </w:tc>
              <w:tc>
                <w:tcPr>
                  <w:tcW w:w="233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已投入正常运行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14:textFill>
                        <w14:solidFill>
                          <w14:schemeClr w14:val="tx1"/>
                        </w14:solidFill>
                      </w14:textFill>
                    </w:rPr>
                    <w:t>4</w:t>
                  </w:r>
                </w:p>
              </w:tc>
              <w:tc>
                <w:tcPr>
                  <w:tcW w:w="3149" w:type="dxa"/>
                  <w:vAlign w:val="center"/>
                </w:tcPr>
                <w:p>
                  <w:pPr>
                    <w:pStyle w:val="221"/>
                    <w:rPr>
                      <w:color w:val="000000" w:themeColor="text1"/>
                      <w14:textFill>
                        <w14:solidFill>
                          <w14:schemeClr w14:val="tx1"/>
                        </w14:solidFill>
                      </w14:textFill>
                    </w:rPr>
                  </w:pPr>
                  <w:r>
                    <w:rPr>
                      <w:rFonts w:eastAsia="Times New Roman"/>
                      <w:color w:val="000000" w:themeColor="text1"/>
                      <w14:textFill>
                        <w14:solidFill>
                          <w14:schemeClr w14:val="tx1"/>
                        </w14:solidFill>
                      </w14:textFill>
                    </w:rPr>
                    <w:t>SMC</w:t>
                  </w:r>
                  <w:r>
                    <w:rPr>
                      <w:rFonts w:eastAsia="Times New Roman"/>
                      <w:color w:val="000000" w:themeColor="text1"/>
                      <w:spacing w:val="15"/>
                      <w:w w:val="101"/>
                      <w14:textFill>
                        <w14:solidFill>
                          <w14:schemeClr w14:val="tx1"/>
                        </w14:solidFill>
                      </w14:textFill>
                    </w:rPr>
                    <w:t xml:space="preserve"> </w:t>
                  </w:r>
                  <w:r>
                    <w:rPr>
                      <w:color w:val="000000" w:themeColor="text1"/>
                      <w:spacing w:val="6"/>
                      <w14:textFill>
                        <w14:solidFill>
                          <w14:schemeClr w14:val="tx1"/>
                        </w14:solidFill>
                      </w14:textFill>
                    </w:rPr>
                    <w:t>箱体</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3"/>
                      <w:position w:val="1"/>
                      <w14:textFill>
                        <w14:solidFill>
                          <w14:schemeClr w14:val="tx1"/>
                        </w14:solidFill>
                      </w14:textFill>
                    </w:rPr>
                    <w:t>万套</w:t>
                  </w:r>
                  <w:r>
                    <w:rPr>
                      <w:rFonts w:eastAsia="Times New Roman"/>
                      <w:color w:val="000000" w:themeColor="text1"/>
                      <w:spacing w:val="3"/>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6</w:t>
                  </w:r>
                </w:p>
              </w:tc>
              <w:tc>
                <w:tcPr>
                  <w:tcW w:w="2333" w:type="dxa"/>
                  <w:vAlign w:val="center"/>
                </w:tcPr>
                <w:p>
                  <w:pPr>
                    <w:pStyle w:val="221"/>
                    <w:rPr>
                      <w:color w:val="000000" w:themeColor="text1"/>
                      <w14:textFill>
                        <w14:solidFill>
                          <w14:schemeClr w14:val="tx1"/>
                        </w14:solidFill>
                      </w14:textFill>
                    </w:rPr>
                  </w:pPr>
                  <w:r>
                    <w:rPr>
                      <w:color w:val="000000" w:themeColor="text1"/>
                      <w:spacing w:val="-2"/>
                      <w14:textFill>
                        <w14:solidFill>
                          <w14:schemeClr w14:val="tx1"/>
                        </w14:solidFill>
                      </w14:textFill>
                    </w:rPr>
                    <w:t>已停产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5</w:t>
                  </w:r>
                </w:p>
              </w:tc>
              <w:tc>
                <w:tcPr>
                  <w:tcW w:w="3149" w:type="dxa"/>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各类型交、直流充电桩</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3"/>
                      <w:position w:val="1"/>
                      <w14:textFill>
                        <w14:solidFill>
                          <w14:schemeClr w14:val="tx1"/>
                        </w14:solidFill>
                      </w14:textFill>
                    </w:rPr>
                    <w:t>万套</w:t>
                  </w:r>
                  <w:r>
                    <w:rPr>
                      <w:rFonts w:eastAsia="Times New Roman"/>
                      <w:color w:val="000000" w:themeColor="text1"/>
                      <w:spacing w:val="3"/>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1.19</w:t>
                  </w:r>
                </w:p>
              </w:tc>
              <w:tc>
                <w:tcPr>
                  <w:tcW w:w="233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已投入正常运行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6</w:t>
                  </w:r>
                </w:p>
              </w:tc>
              <w:tc>
                <w:tcPr>
                  <w:tcW w:w="3149" w:type="dxa"/>
                  <w:vAlign w:val="center"/>
                </w:tcPr>
                <w:p>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地铁系统用智能低压开关柜</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4"/>
                      <w:position w:val="1"/>
                      <w14:textFill>
                        <w14:solidFill>
                          <w14:schemeClr w14:val="tx1"/>
                        </w14:solidFill>
                      </w14:textFill>
                    </w:rPr>
                    <w:t>台</w:t>
                  </w:r>
                  <w:r>
                    <w:rPr>
                      <w:rFonts w:eastAsia="Times New Roman"/>
                      <w:color w:val="000000" w:themeColor="text1"/>
                      <w:spacing w:val="-4"/>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5000</w:t>
                  </w:r>
                </w:p>
              </w:tc>
              <w:tc>
                <w:tcPr>
                  <w:tcW w:w="233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已投入正常运行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7</w:t>
                  </w:r>
                </w:p>
              </w:tc>
              <w:tc>
                <w:tcPr>
                  <w:tcW w:w="3149" w:type="dxa"/>
                  <w:vAlign w:val="center"/>
                </w:tcPr>
                <w:p>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一二次融合成套配电开关设备</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3"/>
                      <w:position w:val="1"/>
                      <w14:textFill>
                        <w14:solidFill>
                          <w14:schemeClr w14:val="tx1"/>
                        </w14:solidFill>
                      </w14:textFill>
                    </w:rPr>
                    <w:t>万台</w:t>
                  </w:r>
                  <w:r>
                    <w:rPr>
                      <w:rFonts w:eastAsia="Times New Roman"/>
                      <w:color w:val="000000" w:themeColor="text1"/>
                      <w:spacing w:val="3"/>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2</w:t>
                  </w:r>
                </w:p>
              </w:tc>
              <w:tc>
                <w:tcPr>
                  <w:tcW w:w="2333" w:type="dxa"/>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暂时未投产建设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8</w:t>
                  </w:r>
                </w:p>
              </w:tc>
              <w:tc>
                <w:tcPr>
                  <w:tcW w:w="3149" w:type="dxa"/>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边缘计算智能终端</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3"/>
                      <w:position w:val="1"/>
                      <w14:textFill>
                        <w14:solidFill>
                          <w14:schemeClr w14:val="tx1"/>
                        </w14:solidFill>
                      </w14:textFill>
                    </w:rPr>
                    <w:t>万套</w:t>
                  </w:r>
                  <w:r>
                    <w:rPr>
                      <w:rFonts w:eastAsia="Times New Roman"/>
                      <w:color w:val="000000" w:themeColor="text1"/>
                      <w:spacing w:val="3"/>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5</w:t>
                  </w:r>
                </w:p>
              </w:tc>
              <w:tc>
                <w:tcPr>
                  <w:tcW w:w="2333" w:type="dxa"/>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暂时未投产建设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9</w:t>
                  </w:r>
                </w:p>
              </w:tc>
              <w:tc>
                <w:tcPr>
                  <w:tcW w:w="3149" w:type="dxa"/>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智能传感器</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3"/>
                      <w:position w:val="1"/>
                      <w14:textFill>
                        <w14:solidFill>
                          <w14:schemeClr w14:val="tx1"/>
                        </w14:solidFill>
                      </w14:textFill>
                    </w:rPr>
                    <w:t>万套</w:t>
                  </w:r>
                  <w:r>
                    <w:rPr>
                      <w:rFonts w:eastAsia="Times New Roman"/>
                      <w:color w:val="000000" w:themeColor="text1"/>
                      <w:spacing w:val="3"/>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1</w:t>
                  </w:r>
                </w:p>
              </w:tc>
              <w:tc>
                <w:tcPr>
                  <w:tcW w:w="2333" w:type="dxa"/>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暂时未投产建设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10</w:t>
                  </w:r>
                </w:p>
              </w:tc>
              <w:tc>
                <w:tcPr>
                  <w:tcW w:w="31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台箱式变电箱</w:t>
                  </w:r>
                </w:p>
              </w:tc>
              <w:tc>
                <w:tcPr>
                  <w:tcW w:w="991" w:type="dxa"/>
                  <w:vAlign w:val="center"/>
                </w:tcPr>
                <w:p>
                  <w:pPr>
                    <w:pStyle w:val="221"/>
                    <w:rPr>
                      <w:rFonts w:eastAsia="Times New Roman"/>
                      <w:color w:val="000000" w:themeColor="text1"/>
                      <w14:textFill>
                        <w14:solidFill>
                          <w14:schemeClr w14:val="tx1"/>
                        </w14:solidFill>
                      </w14:textFill>
                    </w:rPr>
                  </w:pPr>
                  <w:r>
                    <w:rPr>
                      <w:color w:val="000000" w:themeColor="text1"/>
                      <w:spacing w:val="-4"/>
                      <w:position w:val="1"/>
                      <w14:textFill>
                        <w14:solidFill>
                          <w14:schemeClr w14:val="tx1"/>
                        </w14:solidFill>
                      </w14:textFill>
                    </w:rPr>
                    <w:t>台</w:t>
                  </w:r>
                  <w:r>
                    <w:rPr>
                      <w:rFonts w:eastAsia="Times New Roman"/>
                      <w:color w:val="000000" w:themeColor="text1"/>
                      <w:spacing w:val="-4"/>
                      <w:position w:val="1"/>
                      <w14:textFill>
                        <w14:solidFill>
                          <w14:schemeClr w14:val="tx1"/>
                        </w14:solidFill>
                      </w14:textFill>
                    </w:rPr>
                    <w:t>/a</w:t>
                  </w:r>
                </w:p>
              </w:tc>
              <w:tc>
                <w:tcPr>
                  <w:tcW w:w="1259" w:type="dxa"/>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900</w:t>
                  </w:r>
                </w:p>
              </w:tc>
              <w:tc>
                <w:tcPr>
                  <w:tcW w:w="233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已投入正常运行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color w:val="000000" w:themeColor="text1"/>
                      <w:spacing w:val="-8"/>
                      <w14:textFill>
                        <w14:solidFill>
                          <w14:schemeClr w14:val="tx1"/>
                        </w14:solidFill>
                      </w14:textFill>
                    </w:rPr>
                  </w:pPr>
                  <w:r>
                    <w:rPr>
                      <w:color w:val="000000" w:themeColor="text1"/>
                      <w:spacing w:val="-8"/>
                      <w14:textFill>
                        <w14:solidFill>
                          <w14:schemeClr w14:val="tx1"/>
                        </w14:solidFill>
                      </w14:textFill>
                    </w:rPr>
                    <w:t>11</w:t>
                  </w:r>
                </w:p>
              </w:tc>
              <w:tc>
                <w:tcPr>
                  <w:tcW w:w="31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充电桩</w:t>
                  </w:r>
                </w:p>
              </w:tc>
              <w:tc>
                <w:tcPr>
                  <w:tcW w:w="991" w:type="dxa"/>
                  <w:vAlign w:val="center"/>
                </w:tcPr>
                <w:p>
                  <w:pPr>
                    <w:pStyle w:val="221"/>
                    <w:rPr>
                      <w:color w:val="000000" w:themeColor="text1"/>
                      <w:spacing w:val="-4"/>
                      <w:position w:val="1"/>
                      <w14:textFill>
                        <w14:solidFill>
                          <w14:schemeClr w14:val="tx1"/>
                        </w14:solidFill>
                      </w14:textFill>
                    </w:rPr>
                  </w:pPr>
                  <w:r>
                    <w:rPr>
                      <w:color w:val="000000" w:themeColor="text1"/>
                      <w:spacing w:val="-4"/>
                      <w:position w:val="1"/>
                      <w14:textFill>
                        <w14:solidFill>
                          <w14:schemeClr w14:val="tx1"/>
                        </w14:solidFill>
                      </w14:textFill>
                    </w:rPr>
                    <w:t>台</w:t>
                  </w:r>
                  <w:r>
                    <w:rPr>
                      <w:rFonts w:eastAsia="Times New Roman"/>
                      <w:color w:val="000000" w:themeColor="text1"/>
                      <w:spacing w:val="-4"/>
                      <w:position w:val="1"/>
                      <w14:textFill>
                        <w14:solidFill>
                          <w14:schemeClr w14:val="tx1"/>
                        </w14:solidFill>
                      </w14:textFill>
                    </w:rPr>
                    <w:t>/a</w:t>
                  </w:r>
                </w:p>
              </w:tc>
              <w:tc>
                <w:tcPr>
                  <w:tcW w:w="1259" w:type="dxa"/>
                  <w:vAlign w:val="center"/>
                </w:tcPr>
                <w:p>
                  <w:pPr>
                    <w:pStyle w:val="221"/>
                    <w:rPr>
                      <w:color w:val="000000" w:themeColor="text1"/>
                      <w:spacing w:val="2"/>
                      <w14:textFill>
                        <w14:solidFill>
                          <w14:schemeClr w14:val="tx1"/>
                        </w14:solidFill>
                      </w14:textFill>
                    </w:rPr>
                  </w:pPr>
                  <w:r>
                    <w:rPr>
                      <w:color w:val="000000" w:themeColor="text1"/>
                      <w:spacing w:val="2"/>
                      <w14:textFill>
                        <w14:solidFill>
                          <w14:schemeClr w14:val="tx1"/>
                        </w14:solidFill>
                      </w14:textFill>
                    </w:rPr>
                    <w:t>8000</w:t>
                  </w:r>
                </w:p>
              </w:tc>
              <w:tc>
                <w:tcPr>
                  <w:tcW w:w="2333" w:type="dxa"/>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暂时未投产建设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8" w:type="dxa"/>
                  <w:vAlign w:val="center"/>
                </w:tcPr>
                <w:p>
                  <w:pPr>
                    <w:pStyle w:val="221"/>
                    <w:rPr>
                      <w:color w:val="000000" w:themeColor="text1"/>
                      <w:spacing w:val="-8"/>
                      <w14:textFill>
                        <w14:solidFill>
                          <w14:schemeClr w14:val="tx1"/>
                        </w14:solidFill>
                      </w14:textFill>
                    </w:rPr>
                  </w:pPr>
                  <w:r>
                    <w:rPr>
                      <w:color w:val="000000" w:themeColor="text1"/>
                      <w:spacing w:val="-8"/>
                      <w14:textFill>
                        <w14:solidFill>
                          <w14:schemeClr w14:val="tx1"/>
                        </w14:solidFill>
                      </w14:textFill>
                    </w:rPr>
                    <w:t>12</w:t>
                  </w:r>
                </w:p>
              </w:tc>
              <w:tc>
                <w:tcPr>
                  <w:tcW w:w="31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储能集成系统</w:t>
                  </w:r>
                </w:p>
              </w:tc>
              <w:tc>
                <w:tcPr>
                  <w:tcW w:w="991" w:type="dxa"/>
                  <w:vAlign w:val="center"/>
                </w:tcPr>
                <w:p>
                  <w:pPr>
                    <w:pStyle w:val="221"/>
                    <w:rPr>
                      <w:color w:val="000000" w:themeColor="text1"/>
                      <w:spacing w:val="-4"/>
                      <w:position w:val="1"/>
                      <w14:textFill>
                        <w14:solidFill>
                          <w14:schemeClr w14:val="tx1"/>
                        </w14:solidFill>
                      </w14:textFill>
                    </w:rPr>
                  </w:pPr>
                  <w:r>
                    <w:rPr>
                      <w:color w:val="000000" w:themeColor="text1"/>
                      <w14:textFill>
                        <w14:solidFill>
                          <w14:schemeClr w14:val="tx1"/>
                        </w14:solidFill>
                      </w14:textFill>
                    </w:rPr>
                    <w:t>MWh</w:t>
                  </w:r>
                </w:p>
              </w:tc>
              <w:tc>
                <w:tcPr>
                  <w:tcW w:w="1259" w:type="dxa"/>
                  <w:vAlign w:val="center"/>
                </w:tcPr>
                <w:p>
                  <w:pPr>
                    <w:pStyle w:val="221"/>
                    <w:rPr>
                      <w:color w:val="000000" w:themeColor="text1"/>
                      <w:spacing w:val="2"/>
                      <w14:textFill>
                        <w14:solidFill>
                          <w14:schemeClr w14:val="tx1"/>
                        </w14:solidFill>
                      </w14:textFill>
                    </w:rPr>
                  </w:pPr>
                  <w:r>
                    <w:rPr>
                      <w:color w:val="000000" w:themeColor="text1"/>
                      <w:spacing w:val="2"/>
                      <w14:textFill>
                        <w14:solidFill>
                          <w14:schemeClr w14:val="tx1"/>
                        </w14:solidFill>
                      </w14:textFill>
                    </w:rPr>
                    <w:t>400</w:t>
                  </w:r>
                </w:p>
              </w:tc>
              <w:tc>
                <w:tcPr>
                  <w:tcW w:w="2333" w:type="dxa"/>
                  <w:vAlign w:val="center"/>
                </w:tcPr>
                <w:p>
                  <w:pPr>
                    <w:pStyle w:val="221"/>
                    <w:rPr>
                      <w:color w:val="000000" w:themeColor="text1"/>
                      <w:spacing w:val="7"/>
                      <w14:textFill>
                        <w14:solidFill>
                          <w14:schemeClr w14:val="tx1"/>
                        </w14:solidFill>
                      </w14:textFill>
                    </w:rPr>
                  </w:pPr>
                  <w:r>
                    <w:rPr>
                      <w:color w:val="000000" w:themeColor="text1"/>
                      <w:spacing w:val="7"/>
                      <w14:textFill>
                        <w14:solidFill>
                          <w14:schemeClr w14:val="tx1"/>
                        </w14:solidFill>
                      </w14:textFill>
                    </w:rPr>
                    <w:t>暂时未投产建设</w:t>
                  </w:r>
                </w:p>
              </w:tc>
            </w:tr>
          </w:tbl>
          <w:p>
            <w:pPr>
              <w:pStyle w:val="172"/>
              <w:spacing w:before="181" w:line="215" w:lineRule="auto"/>
              <w:jc w:val="both"/>
              <w:outlineLvl w:val="2"/>
              <w:rPr>
                <w:rFonts w:ascii="Times New Roman" w:hAnsi="Times New Roman" w:cs="Times New Roman"/>
                <w:b/>
                <w:bCs/>
                <w:color w:val="000000" w:themeColor="text1"/>
                <w:spacing w:val="-4"/>
                <w:lang w:eastAsia="zh-CN"/>
                <w14:textFill>
                  <w14:solidFill>
                    <w14:schemeClr w14:val="tx1"/>
                  </w14:solidFill>
                </w14:textFill>
              </w:rPr>
            </w:pPr>
            <w:r>
              <w:rPr>
                <w:rFonts w:ascii="Times New Roman" w:hAnsi="Times New Roman" w:cs="Times New Roman"/>
                <w:b/>
                <w:bCs/>
                <w:color w:val="000000" w:themeColor="text1"/>
                <w:spacing w:val="-4"/>
                <w:lang w:eastAsia="zh-CN"/>
                <w14:textFill>
                  <w14:solidFill>
                    <w14:schemeClr w14:val="tx1"/>
                  </w14:solidFill>
                </w14:textFill>
              </w:rPr>
              <w:t>2.3.</w:t>
            </w:r>
            <w:r>
              <w:rPr>
                <w:rFonts w:hint="eastAsia" w:ascii="Times New Roman" w:hAnsi="Times New Roman" w:cs="Times New Roman"/>
                <w:b/>
                <w:bCs/>
                <w:color w:val="000000" w:themeColor="text1"/>
                <w:spacing w:val="-4"/>
                <w:lang w:eastAsia="zh-CN"/>
                <w14:textFill>
                  <w14:solidFill>
                    <w14:schemeClr w14:val="tx1"/>
                  </w14:solidFill>
                </w14:textFill>
              </w:rPr>
              <w:t>4</w:t>
            </w:r>
            <w:r>
              <w:rPr>
                <w:rFonts w:ascii="Times New Roman" w:hAnsi="Times New Roman" w:cs="Times New Roman"/>
                <w:b/>
                <w:bCs/>
                <w:color w:val="000000" w:themeColor="text1"/>
                <w:spacing w:val="-4"/>
                <w:lang w:eastAsia="zh-CN"/>
                <w14:textFill>
                  <w14:solidFill>
                    <w14:schemeClr w14:val="tx1"/>
                  </w14:solidFill>
                </w14:textFill>
              </w:rPr>
              <w:t>现有工程生产工艺流程及产污环节</w:t>
            </w:r>
          </w:p>
          <w:p>
            <w:pPr>
              <w:pStyle w:val="224"/>
              <w:rPr>
                <w:bCs/>
                <w:color w:val="000000" w:themeColor="text1"/>
                <w:spacing w:val="-4"/>
                <w14:textFill>
                  <w14:solidFill>
                    <w14:schemeClr w14:val="tx1"/>
                  </w14:solidFill>
                </w14:textFill>
              </w:rPr>
            </w:pPr>
            <w:r>
              <w:rPr>
                <w:color w:val="000000" w:themeColor="text1"/>
                <w14:textFill>
                  <w14:solidFill>
                    <w14:schemeClr w14:val="tx1"/>
                  </w14:solidFill>
                </w14:textFill>
              </w:rPr>
              <w:drawing>
                <wp:inline distT="0" distB="0" distL="0" distR="0">
                  <wp:extent cx="4067175" cy="1685925"/>
                  <wp:effectExtent l="0" t="0" r="9525" b="9525"/>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7"/>
                          <a:stretch>
                            <a:fillRect/>
                          </a:stretch>
                        </pic:blipFill>
                        <pic:spPr>
                          <a:xfrm>
                            <a:off x="0" y="0"/>
                            <a:ext cx="4068264" cy="1686376"/>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spacing w:val="-44"/>
                <w14:textFill>
                  <w14:solidFill>
                    <w14:schemeClr w14:val="tx1"/>
                  </w14:solidFill>
                </w14:textFill>
              </w:rPr>
              <w:t xml:space="preserve"> </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5</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中压预制式电缆附件生产工艺流程及产污环节图</w:t>
            </w:r>
          </w:p>
          <w:p>
            <w:pPr>
              <w:pStyle w:val="224"/>
              <w:rPr>
                <w:bCs/>
                <w:color w:val="000000" w:themeColor="text1"/>
                <w:spacing w:val="-4"/>
                <w14:textFill>
                  <w14:solidFill>
                    <w14:schemeClr w14:val="tx1"/>
                  </w14:solidFill>
                </w14:textFill>
              </w:rPr>
            </w:pPr>
            <w:r>
              <w:rPr>
                <w:color w:val="000000" w:themeColor="text1"/>
                <w14:textFill>
                  <w14:solidFill>
                    <w14:schemeClr w14:val="tx1"/>
                  </w14:solidFill>
                </w14:textFill>
              </w:rPr>
              <w:drawing>
                <wp:inline distT="0" distB="0" distL="0" distR="0">
                  <wp:extent cx="4752975" cy="1247775"/>
                  <wp:effectExtent l="0" t="0" r="9525" b="9525"/>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8"/>
                          <a:stretch>
                            <a:fillRect/>
                          </a:stretch>
                        </pic:blipFill>
                        <pic:spPr>
                          <a:xfrm>
                            <a:off x="0" y="0"/>
                            <a:ext cx="4754228" cy="1248104"/>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spacing w:val="-49"/>
                <w14:textFill>
                  <w14:solidFill>
                    <w14:schemeClr w14:val="tx1"/>
                  </w14:solidFill>
                </w14:textFill>
              </w:rPr>
              <w:t xml:space="preserve"> </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电缆分支箱生产工艺流程及产污环节图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587240" cy="792480"/>
                  <wp:effectExtent l="0" t="0" r="3810" b="762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9"/>
                          <a:stretch>
                            <a:fillRect/>
                          </a:stretch>
                        </pic:blipFill>
                        <pic:spPr>
                          <a:xfrm>
                            <a:off x="0" y="0"/>
                            <a:ext cx="4587240" cy="792480"/>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spacing w:val="-52"/>
                <w14:textFill>
                  <w14:solidFill>
                    <w14:schemeClr w14:val="tx1"/>
                  </w14:solidFill>
                </w14:textFill>
              </w:rPr>
              <w:t xml:space="preserve"> </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7</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充气柜生产工艺流程及产污环节图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762375" cy="2609850"/>
                  <wp:effectExtent l="0" t="0" r="9525"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30"/>
                          <a:stretch>
                            <a:fillRect/>
                          </a:stretch>
                        </pic:blipFill>
                        <pic:spPr>
                          <a:xfrm>
                            <a:off x="0" y="0"/>
                            <a:ext cx="3762671" cy="2610055"/>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 2.3-</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地铁系统用智能低压开关柜生产工艺流程及产污环节图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67300" cy="632460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31"/>
                          <a:stretch>
                            <a:fillRect/>
                          </a:stretch>
                        </pic:blipFill>
                        <pic:spPr>
                          <a:xfrm>
                            <a:off x="0" y="0"/>
                            <a:ext cx="5065601" cy="6322480"/>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w:t>
            </w:r>
            <w:r>
              <w:rPr>
                <w:rFonts w:eastAsia="Times New Roman"/>
                <w:color w:val="000000" w:themeColor="text1"/>
                <w14:textFill>
                  <w14:solidFill>
                    <w14:schemeClr w14:val="tx1"/>
                  </w14:solidFill>
                </w14:textFill>
              </w:rPr>
              <w:t>2.3-</w:t>
            </w:r>
            <w:r>
              <w:rPr>
                <w:rFonts w:hint="eastAsia" w:eastAsiaTheme="minorEastAsia"/>
                <w:color w:val="000000" w:themeColor="text1"/>
                <w14:textFill>
                  <w14:solidFill>
                    <w14:schemeClr w14:val="tx1"/>
                  </w14:solidFill>
                </w14:textFill>
              </w:rPr>
              <w:t>9</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充电桩生产工艺流程及产污环节图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559300" cy="4860925"/>
                  <wp:effectExtent l="0" t="0" r="12700" b="15875"/>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32"/>
                          <a:stretch>
                            <a:fillRect/>
                          </a:stretch>
                        </pic:blipFill>
                        <pic:spPr>
                          <a:xfrm>
                            <a:off x="0" y="0"/>
                            <a:ext cx="4559807" cy="4861559"/>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10</w:t>
            </w:r>
            <w:r>
              <w:rPr>
                <w:rFonts w:eastAsia="Times New Roman"/>
                <w:color w:val="000000" w:themeColor="text1"/>
                <w:spacing w:val="-14"/>
                <w14:textFill>
                  <w14:solidFill>
                    <w14:schemeClr w14:val="tx1"/>
                  </w14:solidFill>
                </w14:textFill>
              </w:rPr>
              <w:t xml:space="preserve"> </w:t>
            </w:r>
            <w:r>
              <w:rPr>
                <w:color w:val="000000" w:themeColor="text1"/>
                <w14:textFill>
                  <w14:solidFill>
                    <w14:schemeClr w14:val="tx1"/>
                  </w14:solidFill>
                </w14:textFill>
              </w:rPr>
              <w:t>一二次融合成套配电开关设备生产工艺流程及产污环节图（暂未投产建设）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160520" cy="2163445"/>
                  <wp:effectExtent l="0" t="0" r="11430" b="8255"/>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33"/>
                          <a:stretch>
                            <a:fillRect/>
                          </a:stretch>
                        </pic:blipFill>
                        <pic:spPr>
                          <a:xfrm>
                            <a:off x="0" y="0"/>
                            <a:ext cx="4160520" cy="2164079"/>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 2.3-</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 xml:space="preserve"> 台箱式变电箱生产工艺流程及产污环节图</w:t>
            </w:r>
          </w:p>
          <w:p>
            <w:pPr>
              <w:pStyle w:val="224"/>
              <w:rPr>
                <w:color w:val="000000" w:themeColor="text1"/>
                <w14:textFill>
                  <w14:solidFill>
                    <w14:schemeClr w14:val="tx1"/>
                  </w14:solidFill>
                </w14:textFill>
              </w:rPr>
            </w:pP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893310" cy="3152775"/>
                  <wp:effectExtent l="0" t="0" r="2540" b="9525"/>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34"/>
                          <a:stretch>
                            <a:fillRect/>
                          </a:stretch>
                        </pic:blipFill>
                        <pic:spPr>
                          <a:xfrm>
                            <a:off x="0" y="0"/>
                            <a:ext cx="4893564" cy="3153155"/>
                          </a:xfrm>
                          <a:prstGeom prst="rect">
                            <a:avLst/>
                          </a:prstGeom>
                        </pic:spPr>
                      </pic:pic>
                    </a:graphicData>
                  </a:graphic>
                </wp:inline>
              </w:drawing>
            </w:r>
          </w:p>
          <w:p>
            <w:pPr>
              <w:pStyle w:val="224"/>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spacing w:val="-54"/>
                <w14:textFill>
                  <w14:solidFill>
                    <w14:schemeClr w14:val="tx1"/>
                  </w14:solidFill>
                </w14:textFill>
              </w:rPr>
              <w:t xml:space="preserve"> </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8</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边缘计算智能终端生产工艺流程</w:t>
            </w:r>
            <w:r>
              <w:rPr>
                <w:color w:val="000000" w:themeColor="text1"/>
                <w:spacing w:val="-3"/>
                <w14:textFill>
                  <w14:solidFill>
                    <w14:schemeClr w14:val="tx1"/>
                  </w14:solidFill>
                </w14:textFill>
              </w:rPr>
              <w:t>及产污环节图（暂未投产建设）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716145" cy="2904490"/>
                  <wp:effectExtent l="0" t="0" r="8255" b="1016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35"/>
                          <a:stretch>
                            <a:fillRect/>
                          </a:stretch>
                        </pic:blipFill>
                        <pic:spPr>
                          <a:xfrm>
                            <a:off x="0" y="0"/>
                            <a:ext cx="4716779" cy="2904744"/>
                          </a:xfrm>
                          <a:prstGeom prst="rect">
                            <a:avLst/>
                          </a:prstGeom>
                        </pic:spPr>
                      </pic:pic>
                    </a:graphicData>
                  </a:graphic>
                </wp:inline>
              </w:drawing>
            </w:r>
          </w:p>
          <w:p>
            <w:pPr>
              <w:pStyle w:val="224"/>
              <w:rPr>
                <w:color w:val="000000" w:themeColor="text1"/>
                <w:position w:val="-91"/>
                <w14:textFill>
                  <w14:solidFill>
                    <w14:schemeClr w14:val="tx1"/>
                  </w14:solidFill>
                </w14:textFill>
              </w:rPr>
            </w:pPr>
            <w:r>
              <w:rPr>
                <w:color w:val="000000" w:themeColor="text1"/>
                <w14:textFill>
                  <w14:solidFill>
                    <w14:schemeClr w14:val="tx1"/>
                  </w14:solidFill>
                </w14:textFill>
              </w:rPr>
              <w:t>图</w:t>
            </w:r>
            <w:r>
              <w:rPr>
                <w:color w:val="000000" w:themeColor="text1"/>
                <w:spacing w:val="-49"/>
                <w14:textFill>
                  <w14:solidFill>
                    <w14:schemeClr w14:val="tx1"/>
                  </w14:solidFill>
                </w14:textFill>
              </w:rPr>
              <w:t xml:space="preserve"> </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9</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边智能传感器生产工艺流程及产污环节图（暂未投产建设）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333750" cy="8191500"/>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36"/>
                          <a:stretch>
                            <a:fillRect/>
                          </a:stretch>
                        </pic:blipFill>
                        <pic:spPr>
                          <a:xfrm>
                            <a:off x="0" y="0"/>
                            <a:ext cx="3334361" cy="8193002"/>
                          </a:xfrm>
                          <a:prstGeom prst="rect">
                            <a:avLst/>
                          </a:prstGeom>
                        </pic:spPr>
                      </pic:pic>
                    </a:graphicData>
                  </a:graphic>
                </wp:inline>
              </w:drawing>
            </w:r>
          </w:p>
          <w:p>
            <w:pPr>
              <w:pStyle w:val="224"/>
              <w:rPr>
                <w:color w:val="000000" w:themeColor="text1"/>
                <w:position w:val="-262"/>
                <w14:textFill>
                  <w14:solidFill>
                    <w14:schemeClr w14:val="tx1"/>
                  </w14:solidFill>
                </w14:textFill>
              </w:rPr>
            </w:pPr>
            <w:r>
              <w:rPr>
                <w:color w:val="000000" w:themeColor="text1"/>
                <w14:textFill>
                  <w14:solidFill>
                    <w14:schemeClr w14:val="tx1"/>
                  </w14:solidFill>
                </w14:textFill>
              </w:rPr>
              <w:t>图</w:t>
            </w:r>
            <w:r>
              <w:rPr>
                <w:color w:val="000000" w:themeColor="text1"/>
                <w:spacing w:val="-55"/>
                <w14:textFill>
                  <w14:solidFill>
                    <w14:schemeClr w14:val="tx1"/>
                  </w14:solidFill>
                </w14:textFill>
              </w:rPr>
              <w:t xml:space="preserve"> </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10</w:t>
            </w:r>
            <w:r>
              <w:rPr>
                <w:rFonts w:eastAsia="Times New Roman"/>
                <w:color w:val="000000" w:themeColor="text1"/>
                <w:spacing w:val="14"/>
                <w14:textFill>
                  <w14:solidFill>
                    <w14:schemeClr w14:val="tx1"/>
                  </w14:solidFill>
                </w14:textFill>
              </w:rPr>
              <w:t xml:space="preserve"> </w:t>
            </w:r>
            <w:r>
              <w:rPr>
                <w:color w:val="000000" w:themeColor="text1"/>
                <w14:textFill>
                  <w14:solidFill>
                    <w14:schemeClr w14:val="tx1"/>
                  </w14:solidFill>
                </w14:textFill>
              </w:rPr>
              <w:t>充电桩生产工艺流程图</w:t>
            </w:r>
            <w:r>
              <w:rPr>
                <w:color w:val="000000" w:themeColor="text1"/>
                <w:spacing w:val="-3"/>
                <w14:textFill>
                  <w14:solidFill>
                    <w14:schemeClr w14:val="tx1"/>
                  </w14:solidFill>
                </w14:textFill>
              </w:rPr>
              <w:t>（暂未投产建设）</w:t>
            </w:r>
          </w:p>
          <w:p>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03395" cy="2133600"/>
                  <wp:effectExtent l="0" t="0" r="1905"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37"/>
                          <a:stretch>
                            <a:fillRect/>
                          </a:stretch>
                        </pic:blipFill>
                        <pic:spPr>
                          <a:xfrm>
                            <a:off x="0" y="0"/>
                            <a:ext cx="4303776" cy="2133600"/>
                          </a:xfrm>
                          <a:prstGeom prst="rect">
                            <a:avLst/>
                          </a:prstGeom>
                        </pic:spPr>
                      </pic:pic>
                    </a:graphicData>
                  </a:graphic>
                </wp:inline>
              </w:drawing>
            </w:r>
          </w:p>
          <w:p>
            <w:pPr>
              <w:pStyle w:val="224"/>
              <w:rPr>
                <w:color w:val="000000" w:themeColor="text1"/>
                <w:spacing w:val="-3"/>
                <w14:textFill>
                  <w14:solidFill>
                    <w14:schemeClr w14:val="tx1"/>
                  </w14:solidFill>
                </w14:textFill>
              </w:rPr>
            </w:pPr>
            <w:r>
              <w:rPr>
                <w:color w:val="000000" w:themeColor="text1"/>
                <w14:textFill>
                  <w14:solidFill>
                    <w14:schemeClr w14:val="tx1"/>
                  </w14:solidFill>
                </w14:textFill>
              </w:rPr>
              <w:t>图</w:t>
            </w:r>
            <w:r>
              <w:rPr>
                <w:color w:val="000000" w:themeColor="text1"/>
                <w:spacing w:val="-42"/>
                <w14:textFill>
                  <w14:solidFill>
                    <w14:schemeClr w14:val="tx1"/>
                  </w14:solidFill>
                </w14:textFill>
              </w:rPr>
              <w:t xml:space="preserve"> </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11</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储能集成系统生产工艺流程图 </w:t>
            </w:r>
            <w:r>
              <w:rPr>
                <w:color w:val="000000" w:themeColor="text1"/>
                <w:spacing w:val="-3"/>
                <w14:textFill>
                  <w14:solidFill>
                    <w14:schemeClr w14:val="tx1"/>
                  </w14:solidFill>
                </w14:textFill>
              </w:rPr>
              <w:t>（暂未投产建设）</w:t>
            </w:r>
          </w:p>
          <w:p>
            <w:pPr>
              <w:pStyle w:val="172"/>
              <w:spacing w:before="181" w:line="220" w:lineRule="auto"/>
              <w:ind w:left="109"/>
              <w:outlineLvl w:val="1"/>
              <w:rPr>
                <w:rFonts w:ascii="Times New Roman" w:hAnsi="Times New Roman" w:cs="Times New Roman"/>
                <w:color w:val="000000" w:themeColor="text1"/>
                <w:lang w:eastAsia="zh-CN"/>
                <w14:textFill>
                  <w14:solidFill>
                    <w14:schemeClr w14:val="tx1"/>
                  </w14:solidFill>
                </w14:textFill>
              </w:rPr>
            </w:pPr>
            <w:r>
              <w:rPr>
                <w:rFonts w:ascii="Times New Roman" w:hAnsi="Times New Roman" w:eastAsia="Times New Roman" w:cs="Times New Roman"/>
                <w:b/>
                <w:bCs/>
                <w:color w:val="000000" w:themeColor="text1"/>
                <w:spacing w:val="-2"/>
                <w:lang w:eastAsia="zh-CN"/>
                <w14:textFill>
                  <w14:solidFill>
                    <w14:schemeClr w14:val="tx1"/>
                  </w14:solidFill>
                </w14:textFill>
              </w:rPr>
              <w:t>2.</w:t>
            </w:r>
            <w:r>
              <w:rPr>
                <w:rFonts w:hint="eastAsia" w:ascii="Times New Roman" w:hAnsi="Times New Roman" w:cs="Times New Roman"/>
                <w:b/>
                <w:bCs/>
                <w:color w:val="000000" w:themeColor="text1"/>
                <w:spacing w:val="-2"/>
                <w:lang w:eastAsia="zh-CN"/>
                <w14:textFill>
                  <w14:solidFill>
                    <w14:schemeClr w14:val="tx1"/>
                  </w14:solidFill>
                </w14:textFill>
              </w:rPr>
              <w:t>3</w:t>
            </w:r>
            <w:r>
              <w:rPr>
                <w:rFonts w:ascii="Times New Roman" w:hAnsi="Times New Roman" w:eastAsia="Times New Roman" w:cs="Times New Roman"/>
                <w:b/>
                <w:bCs/>
                <w:color w:val="000000" w:themeColor="text1"/>
                <w:spacing w:val="-2"/>
                <w:lang w:eastAsia="zh-CN"/>
                <w14:textFill>
                  <w14:solidFill>
                    <w14:schemeClr w14:val="tx1"/>
                  </w14:solidFill>
                </w14:textFill>
              </w:rPr>
              <w:t>.</w:t>
            </w:r>
            <w:r>
              <w:rPr>
                <w:rFonts w:hint="eastAsia" w:ascii="Times New Roman" w:hAnsi="Times New Roman" w:cs="Times New Roman"/>
                <w:b/>
                <w:bCs/>
                <w:color w:val="000000" w:themeColor="text1"/>
                <w:spacing w:val="-2"/>
                <w:lang w:eastAsia="zh-CN"/>
                <w14:textFill>
                  <w14:solidFill>
                    <w14:schemeClr w14:val="tx1"/>
                  </w14:solidFill>
                </w14:textFill>
              </w:rPr>
              <w:t>6</w:t>
            </w:r>
            <w:r>
              <w:rPr>
                <w:rFonts w:ascii="Times New Roman" w:hAnsi="Times New Roman" w:cs="Times New Roman"/>
                <w:b/>
                <w:bCs/>
                <w:color w:val="000000" w:themeColor="text1"/>
                <w:spacing w:val="-2"/>
                <w:lang w:eastAsia="zh-CN"/>
                <w14:textFill>
                  <w14:solidFill>
                    <w14:schemeClr w14:val="tx1"/>
                  </w14:solidFill>
                </w14:textFill>
              </w:rPr>
              <w:t>现有工程污染物实际排放情况核算</w:t>
            </w:r>
          </w:p>
          <w:p>
            <w:pPr>
              <w:pStyle w:val="172"/>
              <w:spacing w:before="179" w:line="220" w:lineRule="auto"/>
              <w:ind w:left="605"/>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5"/>
                <w:lang w:eastAsia="zh-CN"/>
                <w14:textFill>
                  <w14:solidFill>
                    <w14:schemeClr w14:val="tx1"/>
                  </w14:solidFill>
                </w14:textFill>
              </w:rPr>
              <w:t>（</w:t>
            </w:r>
            <w:r>
              <w:rPr>
                <w:rFonts w:ascii="Times New Roman" w:hAnsi="Times New Roman" w:eastAsia="Times New Roman" w:cs="Times New Roman"/>
                <w:color w:val="000000" w:themeColor="text1"/>
                <w:spacing w:val="-5"/>
                <w:lang w:eastAsia="zh-CN"/>
                <w14:textFill>
                  <w14:solidFill>
                    <w14:schemeClr w14:val="tx1"/>
                  </w14:solidFill>
                </w14:textFill>
              </w:rPr>
              <w:t>1</w:t>
            </w:r>
            <w:r>
              <w:rPr>
                <w:rFonts w:ascii="Times New Roman" w:hAnsi="Times New Roman" w:cs="Times New Roman"/>
                <w:color w:val="000000" w:themeColor="text1"/>
                <w:spacing w:val="-5"/>
                <w:lang w:eastAsia="zh-CN"/>
                <w14:textFill>
                  <w14:solidFill>
                    <w14:schemeClr w14:val="tx1"/>
                  </w14:solidFill>
                </w14:textFill>
              </w:rPr>
              <w:t>）废水</w:t>
            </w:r>
          </w:p>
          <w:p>
            <w:pPr>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运营期间项目废水主要为职工生活污水，生活用水量为</w:t>
            </w:r>
            <w:r>
              <w:rPr>
                <w:rFonts w:ascii="Times New Roman" w:hAnsi="Times New Roman" w:eastAsia="Times New Roman" w:cs="Times New Roman"/>
                <w:color w:val="000000" w:themeColor="text1"/>
                <w14:textFill>
                  <w14:solidFill>
                    <w14:schemeClr w14:val="tx1"/>
                  </w14:solidFill>
                </w14:textFill>
              </w:rPr>
              <w:t>11.2t/d</w:t>
            </w:r>
            <w:r>
              <w:rPr>
                <w:rFonts w:ascii="Times New Roman" w:hAnsi="Times New Roman" w:cs="Times New Roman"/>
                <w:color w:val="000000" w:themeColor="text1"/>
                <w14:textFill>
                  <w14:solidFill>
                    <w14:schemeClr w14:val="tx1"/>
                  </w14:solidFill>
                </w14:textFill>
              </w:rPr>
              <w:t>（</w:t>
            </w:r>
            <w:r>
              <w:rPr>
                <w:rFonts w:ascii="Times New Roman" w:hAnsi="Times New Roman" w:eastAsia="Times New Roman" w:cs="Times New Roman"/>
                <w:color w:val="000000" w:themeColor="text1"/>
                <w14:textFill>
                  <w14:solidFill>
                    <w14:schemeClr w14:val="tx1"/>
                  </w14:solidFill>
                </w14:textFill>
              </w:rPr>
              <w:t>336</w:t>
            </w:r>
            <w:r>
              <w:rPr>
                <w:rFonts w:ascii="Times New Roman" w:hAnsi="Times New Roman" w:eastAsia="Times New Roman" w:cs="Times New Roman"/>
                <w:color w:val="000000" w:themeColor="text1"/>
                <w:spacing w:val="-1"/>
                <w14:textFill>
                  <w14:solidFill>
                    <w14:schemeClr w14:val="tx1"/>
                  </w14:solidFill>
                </w14:textFill>
              </w:rPr>
              <w:t>0t/a</w:t>
            </w:r>
            <w:r>
              <w:rPr>
                <w:rFonts w:ascii="Times New Roman" w:hAnsi="Times New Roman" w:cs="Times New Roman"/>
                <w:color w:val="000000" w:themeColor="text1"/>
                <w:spacing w:val="-45"/>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 生活污水排放系数按 80%计，生活污水排放量为</w:t>
            </w:r>
            <w:r>
              <w:rPr>
                <w:rFonts w:ascii="Times New Roman" w:hAnsi="Times New Roman" w:eastAsia="Times New Roman" w:cs="Times New Roman"/>
                <w:color w:val="000000" w:themeColor="text1"/>
                <w:spacing w:val="1"/>
                <w14:textFill>
                  <w14:solidFill>
                    <w14:schemeClr w14:val="tx1"/>
                  </w14:solidFill>
                </w14:textFill>
              </w:rPr>
              <w:t>268</w:t>
            </w:r>
            <w:r>
              <w:rPr>
                <w:rFonts w:ascii="Times New Roman" w:hAnsi="Times New Roman" w:eastAsia="Times New Roman" w:cs="Times New Roman"/>
                <w:color w:val="000000" w:themeColor="text1"/>
                <w14:textFill>
                  <w14:solidFill>
                    <w14:schemeClr w14:val="tx1"/>
                  </w14:solidFill>
                </w14:textFill>
              </w:rPr>
              <w:t>8t/a</w:t>
            </w:r>
            <w:r>
              <w:rPr>
                <w:rFonts w:ascii="Times New Roman" w:hAnsi="Times New Roman" w:cs="Times New Roman"/>
                <w:color w:val="000000" w:themeColor="text1"/>
                <w14:textFill>
                  <w14:solidFill>
                    <w14:schemeClr w14:val="tx1"/>
                  </w14:solidFill>
                </w14:textFill>
              </w:rPr>
              <w:t>t/a 。项目生活污水中污染 物成分简单、浓度较低，主要污染指标浓度为 COD</w:t>
            </w:r>
            <w:r>
              <w:rPr>
                <w:rFonts w:hint="eastAsia"/>
                <w:color w:val="000000" w:themeColor="text1"/>
                <w14:textFill>
                  <w14:solidFill>
                    <w14:schemeClr w14:val="tx1"/>
                  </w14:solidFill>
                </w14:textFill>
              </w:rPr>
              <w:t>cr</w:t>
            </w:r>
            <w:r>
              <w:rPr>
                <w:rFonts w:ascii="Times New Roman" w:hAnsi="Times New Roman" w:cs="Times New Roman"/>
                <w:color w:val="000000" w:themeColor="text1"/>
                <w14:textFill>
                  <w14:solidFill>
                    <w14:schemeClr w14:val="tx1"/>
                  </w14:solidFill>
                </w14:textFill>
              </w:rPr>
              <w:t>：400mg/L，动植物油：22mg/L， SS：200mg/L ，NH</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-N：36mg/L，总磷：</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mg/L ，总氮：</w:t>
            </w:r>
            <w:r>
              <w:rPr>
                <w:rFonts w:hint="eastAsia" w:ascii="Times New Roman" w:hAnsi="Times New Roman" w:cs="Times New Roman"/>
                <w:color w:val="000000" w:themeColor="text1"/>
                <w14:textFill>
                  <w14:solidFill>
                    <w14:schemeClr w14:val="tx1"/>
                  </w14:solidFill>
                </w14:textFill>
              </w:rPr>
              <w:t>40</w:t>
            </w:r>
            <w:r>
              <w:rPr>
                <w:rFonts w:ascii="Times New Roman" w:hAnsi="Times New Roman" w:cs="Times New Roman"/>
                <w:color w:val="000000" w:themeColor="text1"/>
                <w14:textFill>
                  <w14:solidFill>
                    <w14:schemeClr w14:val="tx1"/>
                  </w14:solidFill>
                </w14:textFill>
              </w:rPr>
              <w:t>mg/L。</w:t>
            </w:r>
          </w:p>
          <w:p>
            <w:pPr>
              <w:pStyle w:val="172"/>
              <w:spacing w:after="0" w:line="360" w:lineRule="auto"/>
              <w:ind w:firstLine="479"/>
              <w:jc w:val="both"/>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5"/>
                <w:lang w:eastAsia="zh-CN"/>
                <w14:textFill>
                  <w14:solidFill>
                    <w14:schemeClr w14:val="tx1"/>
                  </w14:solidFill>
                </w14:textFill>
              </w:rPr>
              <w:t>现有工程生活污水经化粪池预处理后通过园区污水管网纳入福清市融元污</w:t>
            </w:r>
            <w:r>
              <w:rPr>
                <w:rFonts w:ascii="Times New Roman" w:hAnsi="Times New Roman" w:cs="Times New Roman"/>
                <w:color w:val="000000" w:themeColor="text1"/>
                <w:spacing w:val="2"/>
                <w:lang w:eastAsia="zh-CN"/>
                <w14:textFill>
                  <w14:solidFill>
                    <w14:schemeClr w14:val="tx1"/>
                  </w14:solidFill>
                </w14:textFill>
              </w:rPr>
              <w:t>水处理厂集中处理。根据</w:t>
            </w:r>
            <w:r>
              <w:rPr>
                <w:rFonts w:ascii="Times New Roman" w:hAnsi="Times New Roman" w:cs="Times New Roman"/>
                <w:color w:val="000000" w:themeColor="text1"/>
                <w:spacing w:val="-1"/>
                <w:lang w:eastAsia="zh-CN"/>
                <w14:textFill>
                  <w14:solidFill>
                    <w14:schemeClr w14:val="tx1"/>
                  </w14:solidFill>
                </w14:textFill>
              </w:rPr>
              <w:t>福建安谱环境检测技术有限公司于</w:t>
            </w:r>
            <w:r>
              <w:rPr>
                <w:rFonts w:ascii="Times New Roman" w:hAnsi="Times New Roman" w:cs="Times New Roman"/>
                <w:color w:val="000000" w:themeColor="text1"/>
                <w:spacing w:val="-37"/>
                <w:lang w:eastAsia="zh-CN"/>
                <w14:textFill>
                  <w14:solidFill>
                    <w14:schemeClr w14:val="tx1"/>
                  </w14:solidFill>
                </w14:textFill>
              </w:rPr>
              <w:t xml:space="preserve"> </w:t>
            </w:r>
            <w:r>
              <w:rPr>
                <w:rFonts w:ascii="Times New Roman" w:hAnsi="Times New Roman" w:eastAsia="Times New Roman" w:cs="Times New Roman"/>
                <w:color w:val="000000" w:themeColor="text1"/>
                <w:spacing w:val="-1"/>
                <w:lang w:eastAsia="zh-CN"/>
                <w14:textFill>
                  <w14:solidFill>
                    <w14:schemeClr w14:val="tx1"/>
                  </w14:solidFill>
                </w14:textFill>
              </w:rPr>
              <w:t>202</w:t>
            </w:r>
            <w:r>
              <w:rPr>
                <w:rFonts w:ascii="Times New Roman" w:hAnsi="Times New Roman" w:eastAsia="宋体" w:cs="Times New Roman"/>
                <w:color w:val="000000" w:themeColor="text1"/>
                <w:spacing w:val="-1"/>
                <w:lang w:eastAsia="zh-CN"/>
                <w14:textFill>
                  <w14:solidFill>
                    <w14:schemeClr w14:val="tx1"/>
                  </w14:solidFill>
                </w14:textFill>
              </w:rPr>
              <w:t>4</w:t>
            </w:r>
            <w:r>
              <w:rPr>
                <w:rFonts w:ascii="Times New Roman" w:hAnsi="Times New Roman" w:eastAsia="Times New Roman" w:cs="Times New Roman"/>
                <w:color w:val="000000" w:themeColor="text1"/>
                <w:spacing w:val="-1"/>
                <w:lang w:eastAsia="zh-CN"/>
                <w14:textFill>
                  <w14:solidFill>
                    <w14:schemeClr w14:val="tx1"/>
                  </w14:solidFill>
                </w14:textFill>
              </w:rPr>
              <w:t xml:space="preserve"> </w:t>
            </w:r>
            <w:r>
              <w:rPr>
                <w:rFonts w:ascii="Times New Roman" w:hAnsi="Times New Roman" w:cs="Times New Roman"/>
                <w:color w:val="000000" w:themeColor="text1"/>
                <w:spacing w:val="-1"/>
                <w:lang w:eastAsia="zh-CN"/>
                <w14:textFill>
                  <w14:solidFill>
                    <w14:schemeClr w14:val="tx1"/>
                  </w14:solidFill>
                </w14:textFill>
              </w:rPr>
              <w:t>年</w:t>
            </w:r>
            <w:r>
              <w:rPr>
                <w:rFonts w:hint="eastAsia" w:ascii="Times New Roman" w:hAnsi="Times New Roman" w:cs="Times New Roman"/>
                <w:color w:val="000000" w:themeColor="text1"/>
                <w:spacing w:val="-1"/>
                <w:lang w:eastAsia="zh-CN"/>
                <w14:textFill>
                  <w14:solidFill>
                    <w14:schemeClr w14:val="tx1"/>
                  </w14:solidFill>
                </w14:textFill>
              </w:rPr>
              <w:t>10</w:t>
            </w:r>
            <w:r>
              <w:rPr>
                <w:rFonts w:ascii="Times New Roman" w:hAnsi="Times New Roman" w:cs="Times New Roman"/>
                <w:color w:val="000000" w:themeColor="text1"/>
                <w:spacing w:val="-1"/>
                <w:lang w:eastAsia="zh-CN"/>
                <w14:textFill>
                  <w14:solidFill>
                    <w14:schemeClr w14:val="tx1"/>
                  </w14:solidFill>
                </w14:textFill>
              </w:rPr>
              <w:t>月</w:t>
            </w:r>
            <w:r>
              <w:rPr>
                <w:rFonts w:hint="eastAsia" w:ascii="Times New Roman" w:hAnsi="Times New Roman" w:cs="Times New Roman"/>
                <w:color w:val="000000" w:themeColor="text1"/>
                <w:spacing w:val="-53"/>
                <w:lang w:eastAsia="zh-CN"/>
                <w14:textFill>
                  <w14:solidFill>
                    <w14:schemeClr w14:val="tx1"/>
                  </w14:solidFill>
                </w14:textFill>
              </w:rPr>
              <w:t>16</w:t>
            </w:r>
            <w:r>
              <w:rPr>
                <w:rFonts w:ascii="Times New Roman" w:hAnsi="Times New Roman" w:cs="Times New Roman"/>
                <w:color w:val="000000" w:themeColor="text1"/>
                <w:spacing w:val="-1"/>
                <w:lang w:eastAsia="zh-CN"/>
                <w14:textFill>
                  <w14:solidFill>
                    <w14:schemeClr w14:val="tx1"/>
                  </w14:solidFill>
                </w14:textFill>
              </w:rPr>
              <w:t>日对现有工程生活污水处理措</w:t>
            </w:r>
            <w:r>
              <w:rPr>
                <w:rFonts w:ascii="Times New Roman" w:hAnsi="Times New Roman" w:cs="Times New Roman"/>
                <w:color w:val="000000" w:themeColor="text1"/>
                <w:spacing w:val="-2"/>
                <w:lang w:eastAsia="zh-CN"/>
                <w14:textFill>
                  <w14:solidFill>
                    <w14:schemeClr w14:val="tx1"/>
                  </w14:solidFill>
                </w14:textFill>
              </w:rPr>
              <w:t>施出口的监测数据统计（监测报告</w:t>
            </w:r>
            <w:r>
              <w:rPr>
                <w:rFonts w:ascii="Times New Roman" w:hAnsi="Times New Roman" w:cs="Times New Roman"/>
                <w:color w:val="000000" w:themeColor="text1"/>
                <w:spacing w:val="-3"/>
                <w:lang w:eastAsia="zh-CN"/>
                <w14:textFill>
                  <w14:solidFill>
                    <w14:schemeClr w14:val="tx1"/>
                  </w14:solidFill>
                </w14:textFill>
              </w:rPr>
              <w:t>见附件</w:t>
            </w:r>
            <w:r>
              <w:rPr>
                <w:rFonts w:ascii="Times New Roman" w:hAnsi="Times New Roman" w:cs="Times New Roman"/>
                <w:color w:val="000000" w:themeColor="text1"/>
                <w:spacing w:val="-31"/>
                <w:lang w:eastAsia="zh-CN"/>
                <w14:textFill>
                  <w14:solidFill>
                    <w14:schemeClr w14:val="tx1"/>
                  </w14:solidFill>
                </w14:textFill>
              </w:rPr>
              <w:t xml:space="preserve"> </w:t>
            </w:r>
            <w:r>
              <w:rPr>
                <w:rFonts w:ascii="Times New Roman" w:hAnsi="Times New Roman" w:eastAsia="Times New Roman" w:cs="Times New Roman"/>
                <w:color w:val="000000" w:themeColor="text1"/>
                <w:spacing w:val="-3"/>
                <w:lang w:eastAsia="zh-CN"/>
                <w14:textFill>
                  <w14:solidFill>
                    <w14:schemeClr w14:val="tx1"/>
                  </w14:solidFill>
                </w14:textFill>
              </w:rPr>
              <w:t>1</w:t>
            </w:r>
            <w:r>
              <w:rPr>
                <w:rFonts w:hint="eastAsia" w:ascii="Times New Roman" w:hAnsi="Times New Roman" w:cs="Times New Roman"/>
                <w:color w:val="000000" w:themeColor="text1"/>
                <w:spacing w:val="-3"/>
                <w:lang w:eastAsia="zh-CN"/>
                <w14:textFill>
                  <w14:solidFill>
                    <w14:schemeClr w14:val="tx1"/>
                  </w14:solidFill>
                </w14:textFill>
              </w:rPr>
              <w:t>1</w:t>
            </w:r>
            <w:r>
              <w:rPr>
                <w:rFonts w:ascii="Times New Roman" w:hAnsi="Times New Roman" w:cs="Times New Roman"/>
                <w:color w:val="000000" w:themeColor="text1"/>
                <w:spacing w:val="-52"/>
                <w:lang w:eastAsia="zh-CN"/>
                <w14:textFill>
                  <w14:solidFill>
                    <w14:schemeClr w14:val="tx1"/>
                  </w14:solidFill>
                </w14:textFill>
              </w:rPr>
              <w:t>），</w:t>
            </w:r>
            <w:r>
              <w:rPr>
                <w:rFonts w:ascii="Times New Roman" w:hAnsi="Times New Roman" w:cs="Times New Roman"/>
                <w:color w:val="000000" w:themeColor="text1"/>
                <w:spacing w:val="-3"/>
                <w:lang w:eastAsia="zh-CN"/>
                <w14:textFill>
                  <w14:solidFill>
                    <w14:schemeClr w14:val="tx1"/>
                  </w14:solidFill>
                </w14:textFill>
              </w:rPr>
              <w:t>现有工程废水排放情况详见表</w:t>
            </w:r>
            <w:r>
              <w:rPr>
                <w:rFonts w:hint="eastAsia" w:ascii="Times New Roman" w:hAnsi="Times New Roman" w:cs="Times New Roman"/>
                <w:color w:val="000000" w:themeColor="text1"/>
                <w:spacing w:val="-3"/>
                <w:lang w:eastAsia="zh-CN"/>
                <w14:textFill>
                  <w14:solidFill>
                    <w14:schemeClr w14:val="tx1"/>
                  </w14:solidFill>
                </w14:textFill>
              </w:rPr>
              <w:t>2.3-5</w:t>
            </w:r>
            <w:r>
              <w:rPr>
                <w:rFonts w:ascii="Times New Roman" w:hAnsi="Times New Roman" w:cs="Times New Roman"/>
                <w:color w:val="000000" w:themeColor="text1"/>
                <w:spacing w:val="-3"/>
                <w:lang w:eastAsia="zh-CN"/>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spacing w:val="-42"/>
                <w14:textFill>
                  <w14:solidFill>
                    <w14:schemeClr w14:val="tx1"/>
                  </w14:solidFill>
                </w14:textFill>
              </w:rPr>
              <w:t xml:space="preserve"> </w:t>
            </w:r>
            <w:r>
              <w:rPr>
                <w:rFonts w:eastAsia="Times New Roman"/>
                <w:color w:val="000000" w:themeColor="text1"/>
                <w14:textFill>
                  <w14:solidFill>
                    <w14:schemeClr w14:val="tx1"/>
                  </w14:solidFill>
                </w14:textFill>
              </w:rPr>
              <w:t>2.</w:t>
            </w:r>
            <w:r>
              <w:rPr>
                <w:rFonts w:hint="eastAsia"/>
                <w:color w:val="000000" w:themeColor="text1"/>
                <w14:textFill>
                  <w14:solidFill>
                    <w14:schemeClr w14:val="tx1"/>
                  </w14:solidFill>
                </w14:textFill>
              </w:rPr>
              <w:t>3</w:t>
            </w:r>
            <w:r>
              <w:rPr>
                <w:rFonts w:eastAsia="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5</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现有工程废水主要污染物产生量和排放量一览表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756"/>
              <w:gridCol w:w="1003"/>
              <w:gridCol w:w="1345"/>
              <w:gridCol w:w="688"/>
              <w:gridCol w:w="941"/>
              <w:gridCol w:w="757"/>
              <w:gridCol w:w="757"/>
              <w:gridCol w:w="833"/>
              <w:gridCol w:w="8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2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454" w:type="pct"/>
                  <w:vMerge w:val="restart"/>
                  <w:vAlign w:val="center"/>
                </w:tcPr>
                <w:p>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类别</w:t>
                  </w:r>
                </w:p>
              </w:tc>
              <w:tc>
                <w:tcPr>
                  <w:tcW w:w="600" w:type="pct"/>
                  <w:vMerge w:val="restart"/>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废水量</w:t>
                  </w:r>
                  <w:r>
                    <w:rPr>
                      <w:color w:val="000000" w:themeColor="text1"/>
                      <w14:textFill>
                        <w14:solidFill>
                          <w14:schemeClr w14:val="tx1"/>
                        </w14:solidFill>
                      </w14:textFill>
                    </w:rPr>
                    <w:t xml:space="preserve"> </w:t>
                  </w:r>
                  <w:r>
                    <w:rPr>
                      <w:color w:val="000000" w:themeColor="text1"/>
                      <w:spacing w:val="-1"/>
                      <w14:textFill>
                        <w14:solidFill>
                          <w14:schemeClr w14:val="tx1"/>
                        </w14:solidFill>
                      </w14:textFill>
                    </w:rPr>
                    <w:t>（</w:t>
                  </w:r>
                  <w:r>
                    <w:rPr>
                      <w:rFonts w:eastAsia="Times New Roman"/>
                      <w:color w:val="000000" w:themeColor="text1"/>
                      <w:spacing w:val="-1"/>
                      <w14:textFill>
                        <w14:solidFill>
                          <w14:schemeClr w14:val="tx1"/>
                        </w14:solidFill>
                      </w14:textFill>
                    </w:rPr>
                    <w:t>t/a</w:t>
                  </w:r>
                  <w:r>
                    <w:rPr>
                      <w:color w:val="000000" w:themeColor="text1"/>
                      <w:spacing w:val="-1"/>
                      <w14:textFill>
                        <w14:solidFill>
                          <w14:schemeClr w14:val="tx1"/>
                        </w14:solidFill>
                      </w14:textFill>
                    </w:rPr>
                    <w:t>）</w:t>
                  </w:r>
                </w:p>
              </w:tc>
              <w:tc>
                <w:tcPr>
                  <w:tcW w:w="80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2339" w:type="pct"/>
                  <w:gridSpan w:val="5"/>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主要污染物</w:t>
                  </w:r>
                </w:p>
              </w:tc>
              <w:tc>
                <w:tcPr>
                  <w:tcW w:w="481" w:type="pct"/>
                  <w:vMerge w:val="restar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废水</w:t>
                  </w:r>
                  <w:r>
                    <w:rPr>
                      <w:color w:val="000000" w:themeColor="text1"/>
                      <w14:textFill>
                        <w14:solidFill>
                          <w14:schemeClr w14:val="tx1"/>
                        </w14:solidFill>
                      </w14:textFill>
                    </w:rPr>
                    <w:t xml:space="preserve"> 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23" w:type="pct"/>
                  <w:vMerge w:val="continue"/>
                  <w:vAlign w:val="center"/>
                </w:tcPr>
                <w:p>
                  <w:pPr>
                    <w:pStyle w:val="221"/>
                    <w:rPr>
                      <w:color w:val="000000" w:themeColor="text1"/>
                      <w14:textFill>
                        <w14:solidFill>
                          <w14:schemeClr w14:val="tx1"/>
                        </w14:solidFill>
                      </w14:textFill>
                    </w:rPr>
                  </w:pPr>
                </w:p>
              </w:tc>
              <w:tc>
                <w:tcPr>
                  <w:tcW w:w="454" w:type="pct"/>
                  <w:vMerge w:val="continue"/>
                  <w:vAlign w:val="center"/>
                </w:tcPr>
                <w:p>
                  <w:pPr>
                    <w:pStyle w:val="221"/>
                    <w:rPr>
                      <w:color w:val="000000" w:themeColor="text1"/>
                      <w14:textFill>
                        <w14:solidFill>
                          <w14:schemeClr w14:val="tx1"/>
                        </w14:solidFill>
                      </w14:textFill>
                    </w:rPr>
                  </w:pPr>
                </w:p>
              </w:tc>
              <w:tc>
                <w:tcPr>
                  <w:tcW w:w="600" w:type="pct"/>
                  <w:vMerge w:val="continue"/>
                  <w:vAlign w:val="center"/>
                </w:tcPr>
                <w:p>
                  <w:pPr>
                    <w:pStyle w:val="221"/>
                    <w:rPr>
                      <w:color w:val="000000" w:themeColor="text1"/>
                      <w14:textFill>
                        <w14:solidFill>
                          <w14:schemeClr w14:val="tx1"/>
                        </w14:solidFill>
                      </w14:textFill>
                    </w:rPr>
                  </w:pPr>
                </w:p>
              </w:tc>
              <w:tc>
                <w:tcPr>
                  <w:tcW w:w="803" w:type="pct"/>
                  <w:vMerge w:val="continue"/>
                  <w:vAlign w:val="center"/>
                </w:tcPr>
                <w:p>
                  <w:pPr>
                    <w:pStyle w:val="221"/>
                    <w:rPr>
                      <w:color w:val="000000" w:themeColor="text1"/>
                      <w14:textFill>
                        <w14:solidFill>
                          <w14:schemeClr w14:val="tx1"/>
                        </w14:solidFill>
                      </w14:textFill>
                    </w:rPr>
                  </w:pPr>
                </w:p>
              </w:tc>
              <w:tc>
                <w:tcPr>
                  <w:tcW w:w="413"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COD</w:t>
                  </w:r>
                </w:p>
              </w:tc>
              <w:tc>
                <w:tcPr>
                  <w:tcW w:w="563" w:type="pct"/>
                  <w:vAlign w:val="center"/>
                </w:tcPr>
                <w:p>
                  <w:pPr>
                    <w:pStyle w:val="221"/>
                    <w:rPr>
                      <w:color w:val="000000" w:themeColor="text1"/>
                      <w:spacing w:val="7"/>
                      <w14:textFill>
                        <w14:solidFill>
                          <w14:schemeClr w14:val="tx1"/>
                        </w14:solidFill>
                      </w14:textFill>
                    </w:rPr>
                  </w:pPr>
                  <w:r>
                    <w:rPr>
                      <w:color w:val="000000" w:themeColor="text1"/>
                      <w:spacing w:val="7"/>
                      <w14:textFill>
                        <w14:solidFill>
                          <w14:schemeClr w14:val="tx1"/>
                        </w14:solidFill>
                      </w14:textFill>
                    </w:rPr>
                    <w:t>动植</w:t>
                  </w:r>
                </w:p>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物油</w:t>
                  </w:r>
                </w:p>
              </w:tc>
              <w:tc>
                <w:tcPr>
                  <w:tcW w:w="454" w:type="pct"/>
                  <w:vAlign w:val="center"/>
                </w:tcPr>
                <w:p>
                  <w:pPr>
                    <w:pStyle w:val="221"/>
                    <w:rPr>
                      <w:color w:val="000000" w:themeColor="text1"/>
                      <w:spacing w:val="-3"/>
                      <w14:textFill>
                        <w14:solidFill>
                          <w14:schemeClr w14:val="tx1"/>
                        </w14:solidFill>
                      </w14:textFill>
                    </w:rPr>
                  </w:pPr>
                  <w:r>
                    <w:rPr>
                      <w:rFonts w:hint="eastAsia"/>
                      <w:color w:val="000000" w:themeColor="text1"/>
                      <w:spacing w:val="-3"/>
                      <w14:textFill>
                        <w14:solidFill>
                          <w14:schemeClr w14:val="tx1"/>
                        </w14:solidFill>
                      </w14:textFill>
                    </w:rPr>
                    <w:t>BOD</w:t>
                  </w:r>
                  <w:r>
                    <w:rPr>
                      <w:rFonts w:hint="eastAsia"/>
                      <w:color w:val="000000" w:themeColor="text1"/>
                      <w:spacing w:val="-3"/>
                      <w:vertAlign w:val="subscript"/>
                      <w14:textFill>
                        <w14:solidFill>
                          <w14:schemeClr w14:val="tx1"/>
                        </w14:solidFill>
                      </w14:textFill>
                    </w:rPr>
                    <w:t>5</w:t>
                  </w:r>
                </w:p>
              </w:tc>
              <w:tc>
                <w:tcPr>
                  <w:tcW w:w="45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SS</w:t>
                  </w:r>
                </w:p>
              </w:tc>
              <w:tc>
                <w:tcPr>
                  <w:tcW w:w="455"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NH</w:t>
                  </w:r>
                  <w:r>
                    <w:rPr>
                      <w:rFonts w:eastAsia="Times New Roman"/>
                      <w:color w:val="000000" w:themeColor="text1"/>
                      <w:spacing w:val="9"/>
                      <w:sz w:val="13"/>
                      <w:szCs w:val="13"/>
                      <w14:textFill>
                        <w14:solidFill>
                          <w14:schemeClr w14:val="tx1"/>
                        </w14:solidFill>
                      </w14:textFill>
                    </w:rPr>
                    <w:t>3</w:t>
                  </w:r>
                  <w:r>
                    <w:rPr>
                      <w:rFonts w:eastAsia="Times New Roman"/>
                      <w:color w:val="000000" w:themeColor="text1"/>
                      <w:spacing w:val="9"/>
                      <w14:textFill>
                        <w14:solidFill>
                          <w14:schemeClr w14:val="tx1"/>
                        </w14:solidFill>
                      </w14:textFill>
                    </w:rPr>
                    <w:t>-N</w:t>
                  </w:r>
                </w:p>
              </w:tc>
              <w:tc>
                <w:tcPr>
                  <w:tcW w:w="48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2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生活 污水</w:t>
                  </w:r>
                </w:p>
              </w:tc>
              <w:tc>
                <w:tcPr>
                  <w:tcW w:w="454" w:type="pct"/>
                  <w:vMerge w:val="restart"/>
                  <w:vAlign w:val="center"/>
                </w:tcPr>
                <w:p>
                  <w:pPr>
                    <w:pStyle w:val="221"/>
                    <w:rPr>
                      <w:color w:val="000000" w:themeColor="text1"/>
                      <w:spacing w:val="5"/>
                      <w14:textFill>
                        <w14:solidFill>
                          <w14:schemeClr w14:val="tx1"/>
                        </w14:solidFill>
                      </w14:textFill>
                    </w:rPr>
                  </w:pPr>
                  <w:r>
                    <w:rPr>
                      <w:color w:val="000000" w:themeColor="text1"/>
                      <w:spacing w:val="5"/>
                      <w14:textFill>
                        <w14:solidFill>
                          <w14:schemeClr w14:val="tx1"/>
                        </w14:solidFill>
                      </w14:textFill>
                    </w:rPr>
                    <w:t>治</w:t>
                  </w:r>
                </w:p>
                <w:p>
                  <w:pPr>
                    <w:pStyle w:val="221"/>
                    <w:rPr>
                      <w:color w:val="000000" w:themeColor="text1"/>
                      <w:spacing w:val="5"/>
                      <w14:textFill>
                        <w14:solidFill>
                          <w14:schemeClr w14:val="tx1"/>
                        </w14:solidFill>
                      </w14:textFill>
                    </w:rPr>
                  </w:pPr>
                  <w:r>
                    <w:rPr>
                      <w:color w:val="000000" w:themeColor="text1"/>
                      <w:spacing w:val="5"/>
                      <w14:textFill>
                        <w14:solidFill>
                          <w14:schemeClr w14:val="tx1"/>
                        </w14:solidFill>
                      </w14:textFill>
                    </w:rPr>
                    <w:t>理</w:t>
                  </w:r>
                </w:p>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前</w:t>
                  </w:r>
                </w:p>
              </w:tc>
              <w:tc>
                <w:tcPr>
                  <w:tcW w:w="600"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3724.8</w:t>
                  </w:r>
                </w:p>
              </w:tc>
              <w:tc>
                <w:tcPr>
                  <w:tcW w:w="803" w:type="pct"/>
                  <w:vAlign w:val="center"/>
                </w:tcPr>
                <w:p>
                  <w:pPr>
                    <w:pStyle w:val="221"/>
                    <w:rPr>
                      <w:color w:val="000000" w:themeColor="text1"/>
                      <w14:textFill>
                        <w14:solidFill>
                          <w14:schemeClr w14:val="tx1"/>
                        </w14:solidFill>
                      </w14:textFill>
                    </w:rPr>
                  </w:pPr>
                  <w:r>
                    <w:rPr>
                      <w:color w:val="000000" w:themeColor="text1"/>
                      <w:spacing w:val="6"/>
                      <w:position w:val="2"/>
                      <w14:textFill>
                        <w14:solidFill>
                          <w14:schemeClr w14:val="tx1"/>
                        </w14:solidFill>
                      </w14:textFill>
                    </w:rPr>
                    <w:t>浓度（</w:t>
                  </w:r>
                  <w:r>
                    <w:rPr>
                      <w:rFonts w:eastAsia="Times New Roman"/>
                      <w:color w:val="000000" w:themeColor="text1"/>
                      <w:position w:val="2"/>
                      <w14:textFill>
                        <w14:solidFill>
                          <w14:schemeClr w14:val="tx1"/>
                        </w14:solidFill>
                      </w14:textFill>
                    </w:rPr>
                    <w:t>mg</w:t>
                  </w:r>
                  <w:r>
                    <w:rPr>
                      <w:rFonts w:eastAsia="Times New Roman"/>
                      <w:color w:val="000000" w:themeColor="text1"/>
                      <w:spacing w:val="6"/>
                      <w:position w:val="2"/>
                      <w14:textFill>
                        <w14:solidFill>
                          <w14:schemeClr w14:val="tx1"/>
                        </w14:solidFill>
                      </w14:textFill>
                    </w:rPr>
                    <w:t>/L</w:t>
                  </w:r>
                  <w:r>
                    <w:rPr>
                      <w:color w:val="000000" w:themeColor="text1"/>
                      <w:spacing w:val="6"/>
                      <w:position w:val="2"/>
                      <w14:textFill>
                        <w14:solidFill>
                          <w14:schemeClr w14:val="tx1"/>
                        </w14:solidFill>
                      </w14:textFill>
                    </w:rPr>
                    <w:t>）</w:t>
                  </w:r>
                </w:p>
              </w:tc>
              <w:tc>
                <w:tcPr>
                  <w:tcW w:w="413" w:type="pct"/>
                  <w:vAlign w:val="center"/>
                </w:tcPr>
                <w:p>
                  <w:pPr>
                    <w:pStyle w:val="221"/>
                    <w:rPr>
                      <w:rFonts w:eastAsia="Times New Roman"/>
                      <w:color w:val="000000" w:themeColor="text1"/>
                      <w:spacing w:val="2"/>
                      <w14:textFill>
                        <w14:solidFill>
                          <w14:schemeClr w14:val="tx1"/>
                        </w14:solidFill>
                      </w14:textFill>
                    </w:rPr>
                  </w:pPr>
                  <w:r>
                    <w:rPr>
                      <w:rFonts w:eastAsia="Times New Roman"/>
                      <w:color w:val="000000" w:themeColor="text1"/>
                      <w:spacing w:val="2"/>
                      <w14:textFill>
                        <w14:solidFill>
                          <w14:schemeClr w14:val="tx1"/>
                        </w14:solidFill>
                      </w14:textFill>
                    </w:rPr>
                    <w:t>400</w:t>
                  </w:r>
                </w:p>
              </w:tc>
              <w:tc>
                <w:tcPr>
                  <w:tcW w:w="563" w:type="pct"/>
                  <w:vAlign w:val="center"/>
                </w:tcPr>
                <w:p>
                  <w:pPr>
                    <w:pStyle w:val="221"/>
                    <w:rPr>
                      <w:rFonts w:eastAsia="Times New Roman"/>
                      <w:color w:val="000000" w:themeColor="text1"/>
                      <w:spacing w:val="2"/>
                      <w14:textFill>
                        <w14:solidFill>
                          <w14:schemeClr w14:val="tx1"/>
                        </w14:solidFill>
                      </w14:textFill>
                    </w:rPr>
                  </w:pPr>
                  <w:r>
                    <w:rPr>
                      <w:rFonts w:eastAsia="Times New Roman"/>
                      <w:color w:val="000000" w:themeColor="text1"/>
                      <w:spacing w:val="2"/>
                      <w14:textFill>
                        <w14:solidFill>
                          <w14:schemeClr w14:val="tx1"/>
                        </w14:solidFill>
                      </w14:textFill>
                    </w:rPr>
                    <w:t>22</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220</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eastAsia="Times New Roman"/>
                      <w:color w:val="000000" w:themeColor="text1"/>
                      <w:spacing w:val="2"/>
                      <w14:textFill>
                        <w14:solidFill>
                          <w14:schemeClr w14:val="tx1"/>
                        </w14:solidFill>
                      </w14:textFill>
                    </w:rPr>
                    <w:t>200</w:t>
                  </w:r>
                </w:p>
              </w:tc>
              <w:tc>
                <w:tcPr>
                  <w:tcW w:w="455" w:type="pct"/>
                  <w:vAlign w:val="center"/>
                </w:tcPr>
                <w:p>
                  <w:pPr>
                    <w:pStyle w:val="221"/>
                    <w:rPr>
                      <w:rFonts w:eastAsia="Times New Roman"/>
                      <w:color w:val="000000" w:themeColor="text1"/>
                      <w:spacing w:val="2"/>
                      <w14:textFill>
                        <w14:solidFill>
                          <w14:schemeClr w14:val="tx1"/>
                        </w14:solidFill>
                      </w14:textFill>
                    </w:rPr>
                  </w:pPr>
                  <w:r>
                    <w:rPr>
                      <w:rFonts w:eastAsia="Times New Roman"/>
                      <w:color w:val="000000" w:themeColor="text1"/>
                      <w:spacing w:val="2"/>
                      <w14:textFill>
                        <w14:solidFill>
                          <w14:schemeClr w14:val="tx1"/>
                        </w14:solidFill>
                      </w14:textFill>
                    </w:rPr>
                    <w:t>36</w:t>
                  </w:r>
                </w:p>
              </w:tc>
              <w:tc>
                <w:tcPr>
                  <w:tcW w:w="481" w:type="pct"/>
                  <w:vMerge w:val="restart"/>
                  <w:vAlign w:val="center"/>
                </w:tcPr>
                <w:p>
                  <w:pPr>
                    <w:pStyle w:val="221"/>
                    <w:rPr>
                      <w:rFonts w:eastAsia="Times New Roman"/>
                      <w:color w:val="000000" w:themeColor="text1"/>
                      <w:spacing w:val="2"/>
                      <w14:textFill>
                        <w14:solidFill>
                          <w14:schemeClr w14:val="tx1"/>
                        </w14:solidFill>
                      </w14:textFill>
                    </w:rPr>
                  </w:pPr>
                  <w:r>
                    <w:rPr>
                      <w:rFonts w:hint="eastAsia" w:ascii="宋体" w:hAnsi="宋体" w:cs="宋体"/>
                      <w:color w:val="000000" w:themeColor="text1"/>
                      <w:spacing w:val="2"/>
                      <w14:textFill>
                        <w14:solidFill>
                          <w14:schemeClr w14:val="tx1"/>
                        </w14:solidFill>
                      </w14:textFill>
                    </w:rPr>
                    <w:t>福清市融元污水处理厂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23" w:type="pct"/>
                  <w:vMerge w:val="continue"/>
                  <w:vAlign w:val="center"/>
                </w:tcPr>
                <w:p>
                  <w:pPr>
                    <w:pStyle w:val="221"/>
                    <w:rPr>
                      <w:color w:val="000000" w:themeColor="text1"/>
                      <w14:textFill>
                        <w14:solidFill>
                          <w14:schemeClr w14:val="tx1"/>
                        </w14:solidFill>
                      </w14:textFill>
                    </w:rPr>
                  </w:pPr>
                </w:p>
              </w:tc>
              <w:tc>
                <w:tcPr>
                  <w:tcW w:w="454" w:type="pct"/>
                  <w:vMerge w:val="continue"/>
                  <w:vAlign w:val="center"/>
                </w:tcPr>
                <w:p>
                  <w:pPr>
                    <w:pStyle w:val="221"/>
                    <w:rPr>
                      <w:color w:val="000000" w:themeColor="text1"/>
                      <w14:textFill>
                        <w14:solidFill>
                          <w14:schemeClr w14:val="tx1"/>
                        </w14:solidFill>
                      </w14:textFill>
                    </w:rPr>
                  </w:pPr>
                </w:p>
              </w:tc>
              <w:tc>
                <w:tcPr>
                  <w:tcW w:w="600" w:type="pct"/>
                  <w:vMerge w:val="continue"/>
                  <w:vAlign w:val="center"/>
                </w:tcPr>
                <w:p>
                  <w:pPr>
                    <w:pStyle w:val="221"/>
                    <w:rPr>
                      <w:color w:val="000000" w:themeColor="text1"/>
                      <w14:textFill>
                        <w14:solidFill>
                          <w14:schemeClr w14:val="tx1"/>
                        </w14:solidFill>
                      </w14:textFill>
                    </w:rPr>
                  </w:pPr>
                </w:p>
              </w:tc>
              <w:tc>
                <w:tcPr>
                  <w:tcW w:w="803" w:type="pct"/>
                  <w:vAlign w:val="center"/>
                </w:tcPr>
                <w:p>
                  <w:pPr>
                    <w:pStyle w:val="221"/>
                    <w:rPr>
                      <w:color w:val="000000" w:themeColor="text1"/>
                      <w14:textFill>
                        <w14:solidFill>
                          <w14:schemeClr w14:val="tx1"/>
                        </w14:solidFill>
                      </w14:textFill>
                    </w:rPr>
                  </w:pPr>
                  <w:r>
                    <w:rPr>
                      <w:color w:val="000000" w:themeColor="text1"/>
                      <w:spacing w:val="4"/>
                      <w:position w:val="1"/>
                      <w14:textFill>
                        <w14:solidFill>
                          <w14:schemeClr w14:val="tx1"/>
                        </w14:solidFill>
                      </w14:textFill>
                    </w:rPr>
                    <w:t>产生量（</w:t>
                  </w:r>
                  <w:r>
                    <w:rPr>
                      <w:rFonts w:eastAsia="Times New Roman"/>
                      <w:color w:val="000000" w:themeColor="text1"/>
                      <w:spacing w:val="4"/>
                      <w:position w:val="1"/>
                      <w14:textFill>
                        <w14:solidFill>
                          <w14:schemeClr w14:val="tx1"/>
                        </w14:solidFill>
                      </w14:textFill>
                    </w:rPr>
                    <w:t>t/a</w:t>
                  </w:r>
                  <w:r>
                    <w:rPr>
                      <w:color w:val="000000" w:themeColor="text1"/>
                      <w:spacing w:val="4"/>
                      <w:position w:val="1"/>
                      <w14:textFill>
                        <w14:solidFill>
                          <w14:schemeClr w14:val="tx1"/>
                        </w14:solidFill>
                      </w14:textFill>
                    </w:rPr>
                    <w:t>）</w:t>
                  </w:r>
                </w:p>
              </w:tc>
              <w:tc>
                <w:tcPr>
                  <w:tcW w:w="413"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1.49</w:t>
                  </w:r>
                </w:p>
              </w:tc>
              <w:tc>
                <w:tcPr>
                  <w:tcW w:w="563"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0.089</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0.82</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0.75</w:t>
                  </w:r>
                </w:p>
              </w:tc>
              <w:tc>
                <w:tcPr>
                  <w:tcW w:w="455"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0.13</w:t>
                  </w:r>
                </w:p>
              </w:tc>
              <w:tc>
                <w:tcPr>
                  <w:tcW w:w="481" w:type="pct"/>
                  <w:vMerge w:val="continue"/>
                  <w:vAlign w:val="center"/>
                </w:tcPr>
                <w:p>
                  <w:pPr>
                    <w:pStyle w:val="221"/>
                    <w:rPr>
                      <w:rFonts w:eastAsia="Times New Roman"/>
                      <w:color w:val="000000" w:themeColor="text1"/>
                      <w:spacing w:val="2"/>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23" w:type="pct"/>
                  <w:vMerge w:val="continue"/>
                  <w:vAlign w:val="center"/>
                </w:tcPr>
                <w:p>
                  <w:pPr>
                    <w:pStyle w:val="221"/>
                    <w:rPr>
                      <w:color w:val="000000" w:themeColor="text1"/>
                      <w14:textFill>
                        <w14:solidFill>
                          <w14:schemeClr w14:val="tx1"/>
                        </w14:solidFill>
                      </w14:textFill>
                    </w:rPr>
                  </w:pPr>
                </w:p>
              </w:tc>
              <w:tc>
                <w:tcPr>
                  <w:tcW w:w="454" w:type="pct"/>
                  <w:vMerge w:val="restar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经化粪池</w:t>
                  </w:r>
                  <w:r>
                    <w:rPr>
                      <w:color w:val="000000" w:themeColor="text1"/>
                      <w:spacing w:val="2"/>
                      <w14:textFill>
                        <w14:solidFill>
                          <w14:schemeClr w14:val="tx1"/>
                        </w14:solidFill>
                      </w14:textFill>
                    </w:rPr>
                    <w:t xml:space="preserve"> </w:t>
                  </w:r>
                  <w:r>
                    <w:rPr>
                      <w:color w:val="000000" w:themeColor="text1"/>
                      <w:spacing w:val="5"/>
                      <w14:textFill>
                        <w14:solidFill>
                          <w14:schemeClr w14:val="tx1"/>
                        </w14:solidFill>
                      </w14:textFill>
                    </w:rPr>
                    <w:t>处理后</w:t>
                  </w:r>
                </w:p>
              </w:tc>
              <w:tc>
                <w:tcPr>
                  <w:tcW w:w="600" w:type="pct"/>
                  <w:vMerge w:val="continue"/>
                  <w:vAlign w:val="center"/>
                </w:tcPr>
                <w:p>
                  <w:pPr>
                    <w:pStyle w:val="221"/>
                    <w:rPr>
                      <w:color w:val="000000" w:themeColor="text1"/>
                      <w14:textFill>
                        <w14:solidFill>
                          <w14:schemeClr w14:val="tx1"/>
                        </w14:solidFill>
                      </w14:textFill>
                    </w:rPr>
                  </w:pPr>
                </w:p>
              </w:tc>
              <w:tc>
                <w:tcPr>
                  <w:tcW w:w="803" w:type="pct"/>
                  <w:vAlign w:val="center"/>
                </w:tcPr>
                <w:p>
                  <w:pPr>
                    <w:pStyle w:val="221"/>
                    <w:rPr>
                      <w:color w:val="000000" w:themeColor="text1"/>
                      <w14:textFill>
                        <w14:solidFill>
                          <w14:schemeClr w14:val="tx1"/>
                        </w14:solidFill>
                      </w14:textFill>
                    </w:rPr>
                  </w:pPr>
                  <w:r>
                    <w:rPr>
                      <w:color w:val="000000" w:themeColor="text1"/>
                      <w:spacing w:val="6"/>
                      <w:position w:val="2"/>
                      <w14:textFill>
                        <w14:solidFill>
                          <w14:schemeClr w14:val="tx1"/>
                        </w14:solidFill>
                      </w14:textFill>
                    </w:rPr>
                    <w:t>浓度（</w:t>
                  </w:r>
                  <w:r>
                    <w:rPr>
                      <w:rFonts w:eastAsia="Times New Roman"/>
                      <w:color w:val="000000" w:themeColor="text1"/>
                      <w:position w:val="2"/>
                      <w14:textFill>
                        <w14:solidFill>
                          <w14:schemeClr w14:val="tx1"/>
                        </w14:solidFill>
                      </w14:textFill>
                    </w:rPr>
                    <w:t>mg</w:t>
                  </w:r>
                  <w:r>
                    <w:rPr>
                      <w:rFonts w:eastAsia="Times New Roman"/>
                      <w:color w:val="000000" w:themeColor="text1"/>
                      <w:spacing w:val="6"/>
                      <w:position w:val="2"/>
                      <w14:textFill>
                        <w14:solidFill>
                          <w14:schemeClr w14:val="tx1"/>
                        </w14:solidFill>
                      </w14:textFill>
                    </w:rPr>
                    <w:t>/L</w:t>
                  </w:r>
                  <w:r>
                    <w:rPr>
                      <w:color w:val="000000" w:themeColor="text1"/>
                      <w:spacing w:val="6"/>
                      <w:position w:val="2"/>
                      <w14:textFill>
                        <w14:solidFill>
                          <w14:schemeClr w14:val="tx1"/>
                        </w14:solidFill>
                      </w14:textFill>
                    </w:rPr>
                    <w:t>）</w:t>
                  </w:r>
                </w:p>
              </w:tc>
              <w:tc>
                <w:tcPr>
                  <w:tcW w:w="413"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49</w:t>
                  </w:r>
                </w:p>
              </w:tc>
              <w:tc>
                <w:tcPr>
                  <w:tcW w:w="563"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0.06</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22.2</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85</w:t>
                  </w:r>
                </w:p>
              </w:tc>
              <w:tc>
                <w:tcPr>
                  <w:tcW w:w="455"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0.089</w:t>
                  </w:r>
                </w:p>
              </w:tc>
              <w:tc>
                <w:tcPr>
                  <w:tcW w:w="481" w:type="pct"/>
                  <w:vMerge w:val="continue"/>
                  <w:vAlign w:val="center"/>
                </w:tcPr>
                <w:p>
                  <w:pPr>
                    <w:pStyle w:val="221"/>
                    <w:rPr>
                      <w:rFonts w:eastAsia="Times New Roman"/>
                      <w:color w:val="000000" w:themeColor="text1"/>
                      <w:spacing w:val="2"/>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323" w:type="pct"/>
                  <w:vMerge w:val="continue"/>
                  <w:vAlign w:val="center"/>
                </w:tcPr>
                <w:p>
                  <w:pPr>
                    <w:pStyle w:val="221"/>
                    <w:rPr>
                      <w:color w:val="000000" w:themeColor="text1"/>
                      <w14:textFill>
                        <w14:solidFill>
                          <w14:schemeClr w14:val="tx1"/>
                        </w14:solidFill>
                      </w14:textFill>
                    </w:rPr>
                  </w:pPr>
                </w:p>
              </w:tc>
              <w:tc>
                <w:tcPr>
                  <w:tcW w:w="454" w:type="pct"/>
                  <w:vMerge w:val="continue"/>
                  <w:vAlign w:val="center"/>
                </w:tcPr>
                <w:p>
                  <w:pPr>
                    <w:pStyle w:val="221"/>
                    <w:rPr>
                      <w:color w:val="000000" w:themeColor="text1"/>
                      <w14:textFill>
                        <w14:solidFill>
                          <w14:schemeClr w14:val="tx1"/>
                        </w14:solidFill>
                      </w14:textFill>
                    </w:rPr>
                  </w:pPr>
                </w:p>
              </w:tc>
              <w:tc>
                <w:tcPr>
                  <w:tcW w:w="600" w:type="pct"/>
                  <w:vMerge w:val="continue"/>
                  <w:vAlign w:val="center"/>
                </w:tcPr>
                <w:p>
                  <w:pPr>
                    <w:pStyle w:val="221"/>
                    <w:rPr>
                      <w:color w:val="000000" w:themeColor="text1"/>
                      <w14:textFill>
                        <w14:solidFill>
                          <w14:schemeClr w14:val="tx1"/>
                        </w14:solidFill>
                      </w14:textFill>
                    </w:rPr>
                  </w:pPr>
                </w:p>
              </w:tc>
              <w:tc>
                <w:tcPr>
                  <w:tcW w:w="803" w:type="pct"/>
                  <w:vAlign w:val="center"/>
                </w:tcPr>
                <w:p>
                  <w:pPr>
                    <w:pStyle w:val="221"/>
                    <w:rPr>
                      <w:color w:val="000000" w:themeColor="text1"/>
                      <w14:textFill>
                        <w14:solidFill>
                          <w14:schemeClr w14:val="tx1"/>
                        </w14:solidFill>
                      </w14:textFill>
                    </w:rPr>
                  </w:pPr>
                  <w:r>
                    <w:rPr>
                      <w:color w:val="000000" w:themeColor="text1"/>
                      <w:spacing w:val="4"/>
                      <w:position w:val="1"/>
                      <w14:textFill>
                        <w14:solidFill>
                          <w14:schemeClr w14:val="tx1"/>
                        </w14:solidFill>
                      </w14:textFill>
                    </w:rPr>
                    <w:t>排放量（</w:t>
                  </w:r>
                  <w:r>
                    <w:rPr>
                      <w:rFonts w:eastAsia="Times New Roman"/>
                      <w:color w:val="000000" w:themeColor="text1"/>
                      <w:spacing w:val="4"/>
                      <w:position w:val="1"/>
                      <w14:textFill>
                        <w14:solidFill>
                          <w14:schemeClr w14:val="tx1"/>
                        </w14:solidFill>
                      </w14:textFill>
                    </w:rPr>
                    <w:t>t/a</w:t>
                  </w:r>
                  <w:r>
                    <w:rPr>
                      <w:color w:val="000000" w:themeColor="text1"/>
                      <w:spacing w:val="4"/>
                      <w:position w:val="1"/>
                      <w14:textFill>
                        <w14:solidFill>
                          <w14:schemeClr w14:val="tx1"/>
                        </w14:solidFill>
                      </w14:textFill>
                    </w:rPr>
                    <w:t>）</w:t>
                  </w:r>
                </w:p>
              </w:tc>
              <w:tc>
                <w:tcPr>
                  <w:tcW w:w="413"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 xml:space="preserve">0.18 </w:t>
                  </w:r>
                </w:p>
              </w:tc>
              <w:tc>
                <w:tcPr>
                  <w:tcW w:w="563"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 xml:space="preserve">0.0002 </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 xml:space="preserve">0.08 </w:t>
                  </w:r>
                </w:p>
              </w:tc>
              <w:tc>
                <w:tcPr>
                  <w:tcW w:w="454"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0.3</w:t>
                  </w:r>
                  <w:r>
                    <w:rPr>
                      <w:rFonts w:hint="eastAsia"/>
                      <w:color w:val="000000" w:themeColor="text1"/>
                      <w:spacing w:val="2"/>
                      <w14:textFill>
                        <w14:solidFill>
                          <w14:schemeClr w14:val="tx1"/>
                        </w14:solidFill>
                      </w14:textFill>
                    </w:rPr>
                    <w:t>2</w:t>
                  </w:r>
                  <w:r>
                    <w:rPr>
                      <w:rFonts w:hint="eastAsia" w:eastAsia="Times New Roman"/>
                      <w:color w:val="000000" w:themeColor="text1"/>
                      <w:spacing w:val="2"/>
                      <w14:textFill>
                        <w14:solidFill>
                          <w14:schemeClr w14:val="tx1"/>
                        </w14:solidFill>
                      </w14:textFill>
                    </w:rPr>
                    <w:t xml:space="preserve"> </w:t>
                  </w:r>
                </w:p>
              </w:tc>
              <w:tc>
                <w:tcPr>
                  <w:tcW w:w="455" w:type="pct"/>
                  <w:vAlign w:val="center"/>
                </w:tcPr>
                <w:p>
                  <w:pPr>
                    <w:pStyle w:val="221"/>
                    <w:rPr>
                      <w:rFonts w:eastAsia="Times New Roman"/>
                      <w:color w:val="000000" w:themeColor="text1"/>
                      <w:spacing w:val="2"/>
                      <w14:textFill>
                        <w14:solidFill>
                          <w14:schemeClr w14:val="tx1"/>
                        </w14:solidFill>
                      </w14:textFill>
                    </w:rPr>
                  </w:pPr>
                  <w:r>
                    <w:rPr>
                      <w:rFonts w:hint="eastAsia" w:eastAsia="Times New Roman"/>
                      <w:color w:val="000000" w:themeColor="text1"/>
                      <w:spacing w:val="2"/>
                      <w14:textFill>
                        <w14:solidFill>
                          <w14:schemeClr w14:val="tx1"/>
                        </w14:solidFill>
                      </w14:textFill>
                    </w:rPr>
                    <w:t xml:space="preserve">0.0003 </w:t>
                  </w:r>
                </w:p>
              </w:tc>
              <w:tc>
                <w:tcPr>
                  <w:tcW w:w="481" w:type="pct"/>
                  <w:vMerge w:val="continue"/>
                  <w:vAlign w:val="center"/>
                </w:tcPr>
                <w:p>
                  <w:pPr>
                    <w:pStyle w:val="221"/>
                    <w:rPr>
                      <w:rFonts w:eastAsia="Times New Roman"/>
                      <w:color w:val="000000" w:themeColor="text1"/>
                      <w:spacing w:val="2"/>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180" w:type="pct"/>
                  <w:gridSpan w:val="4"/>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排放标准限值</w:t>
                  </w:r>
                </w:p>
              </w:tc>
              <w:tc>
                <w:tcPr>
                  <w:tcW w:w="413"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4"/>
                      <w14:textFill>
                        <w14:solidFill>
                          <w14:schemeClr w14:val="tx1"/>
                        </w14:solidFill>
                      </w14:textFill>
                    </w:rPr>
                    <w:t>400</w:t>
                  </w:r>
                </w:p>
              </w:tc>
              <w:tc>
                <w:tcPr>
                  <w:tcW w:w="563"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300</w:t>
                  </w:r>
                </w:p>
              </w:tc>
              <w:tc>
                <w:tcPr>
                  <w:tcW w:w="454" w:type="pct"/>
                  <w:vAlign w:val="center"/>
                </w:tcPr>
                <w:p>
                  <w:pPr>
                    <w:pStyle w:val="221"/>
                    <w:rPr>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300</w:t>
                  </w:r>
                </w:p>
              </w:tc>
              <w:tc>
                <w:tcPr>
                  <w:tcW w:w="45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14:textFill>
                        <w14:solidFill>
                          <w14:schemeClr w14:val="tx1"/>
                        </w14:solidFill>
                      </w14:textFill>
                    </w:rPr>
                    <w:t>500</w:t>
                  </w:r>
                </w:p>
              </w:tc>
              <w:tc>
                <w:tcPr>
                  <w:tcW w:w="455"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45</w:t>
                  </w:r>
                </w:p>
              </w:tc>
              <w:tc>
                <w:tcPr>
                  <w:tcW w:w="48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180" w:type="pct"/>
                  <w:gridSpan w:val="4"/>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达标</w:t>
                  </w:r>
                </w:p>
              </w:tc>
              <w:tc>
                <w:tcPr>
                  <w:tcW w:w="413" w:type="pc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达标</w:t>
                  </w:r>
                </w:p>
              </w:tc>
              <w:tc>
                <w:tcPr>
                  <w:tcW w:w="563" w:type="pc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达标</w:t>
                  </w:r>
                </w:p>
              </w:tc>
              <w:tc>
                <w:tcPr>
                  <w:tcW w:w="454" w:type="pct"/>
                  <w:vAlign w:val="center"/>
                </w:tcPr>
                <w:p>
                  <w:pPr>
                    <w:pStyle w:val="221"/>
                    <w:rPr>
                      <w:color w:val="000000" w:themeColor="text1"/>
                      <w:spacing w:val="5"/>
                      <w14:textFill>
                        <w14:solidFill>
                          <w14:schemeClr w14:val="tx1"/>
                        </w14:solidFill>
                      </w14:textFill>
                    </w:rPr>
                  </w:pPr>
                  <w:r>
                    <w:rPr>
                      <w:color w:val="000000" w:themeColor="text1"/>
                      <w:spacing w:val="5"/>
                      <w14:textFill>
                        <w14:solidFill>
                          <w14:schemeClr w14:val="tx1"/>
                        </w14:solidFill>
                      </w14:textFill>
                    </w:rPr>
                    <w:t>达</w:t>
                  </w:r>
                </w:p>
              </w:tc>
              <w:tc>
                <w:tcPr>
                  <w:tcW w:w="454" w:type="pc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达标</w:t>
                  </w:r>
                </w:p>
              </w:tc>
              <w:tc>
                <w:tcPr>
                  <w:tcW w:w="455" w:type="pc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达标</w:t>
                  </w:r>
                </w:p>
              </w:tc>
              <w:tc>
                <w:tcPr>
                  <w:tcW w:w="48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323" w:type="pct"/>
                  <w:vAlign w:val="center"/>
                </w:tcPr>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r>
                    <w:rPr>
                      <w:color w:val="000000" w:themeColor="text1"/>
                      <w14:textFill>
                        <w14:solidFill>
                          <w14:schemeClr w14:val="tx1"/>
                        </w14:solidFill>
                      </w14:textFill>
                    </w:rPr>
                    <w:t>备注</w:t>
                  </w:r>
                </w:p>
              </w:tc>
              <w:tc>
                <w:tcPr>
                  <w:tcW w:w="454" w:type="pct"/>
                  <w:vAlign w:val="center"/>
                </w:tcPr>
                <w:p>
                  <w:pPr>
                    <w:pStyle w:val="221"/>
                    <w:rPr>
                      <w:color w:val="000000" w:themeColor="text1"/>
                      <w:spacing w:val="4"/>
                      <w14:textFill>
                        <w14:solidFill>
                          <w14:schemeClr w14:val="tx1"/>
                        </w14:solidFill>
                      </w14:textFill>
                    </w:rPr>
                  </w:pPr>
                </w:p>
              </w:tc>
              <w:tc>
                <w:tcPr>
                  <w:tcW w:w="4223" w:type="pct"/>
                  <w:gridSpan w:val="8"/>
                  <w:vAlign w:val="center"/>
                </w:tcPr>
                <w:p>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废水排放执行《污水综合排放标准》（</w:t>
                  </w:r>
                  <w:r>
                    <w:rPr>
                      <w:rFonts w:eastAsia="Times New Roman"/>
                      <w:color w:val="000000" w:themeColor="text1"/>
                      <w14:textFill>
                        <w14:solidFill>
                          <w14:schemeClr w14:val="tx1"/>
                        </w14:solidFill>
                      </w14:textFill>
                    </w:rPr>
                    <w:t>GB</w:t>
                  </w:r>
                  <w:r>
                    <w:rPr>
                      <w:rFonts w:eastAsia="Times New Roman"/>
                      <w:color w:val="000000" w:themeColor="text1"/>
                      <w:spacing w:val="4"/>
                      <w14:textFill>
                        <w14:solidFill>
                          <w14:schemeClr w14:val="tx1"/>
                        </w14:solidFill>
                      </w14:textFill>
                    </w:rPr>
                    <w:t>8978-1996</w:t>
                  </w:r>
                  <w:r>
                    <w:rPr>
                      <w:color w:val="000000" w:themeColor="text1"/>
                      <w:spacing w:val="4"/>
                      <w14:textFill>
                        <w14:solidFill>
                          <w14:schemeClr w14:val="tx1"/>
                        </w14:solidFill>
                      </w14:textFill>
                    </w:rPr>
                    <w:t>）</w:t>
                  </w:r>
                  <w:r>
                    <w:rPr>
                      <w:color w:val="000000" w:themeColor="text1"/>
                      <w14:textFill>
                        <w14:solidFill>
                          <w14:schemeClr w14:val="tx1"/>
                        </w14:solidFill>
                      </w14:textFill>
                    </w:rPr>
                    <w:t>表</w:t>
                  </w:r>
                  <w:r>
                    <w:rPr>
                      <w:color w:val="000000" w:themeColor="text1"/>
                      <w:spacing w:val="-44"/>
                      <w14:textFill>
                        <w14:solidFill>
                          <w14:schemeClr w14:val="tx1"/>
                        </w14:solidFill>
                      </w14:textFill>
                    </w:rPr>
                    <w:t xml:space="preserve"> </w:t>
                  </w:r>
                  <w:r>
                    <w:rPr>
                      <w:rFonts w:eastAsia="Times New Roman"/>
                      <w:color w:val="000000" w:themeColor="text1"/>
                      <w14:textFill>
                        <w14:solidFill>
                          <w14:schemeClr w14:val="tx1"/>
                        </w14:solidFill>
                      </w14:textFill>
                    </w:rPr>
                    <w:t>4</w:t>
                  </w:r>
                  <w:r>
                    <w:rPr>
                      <w:rFonts w:eastAsia="Times New Roman"/>
                      <w:color w:val="000000" w:themeColor="text1"/>
                      <w:spacing w:val="29"/>
                      <w14:textFill>
                        <w14:solidFill>
                          <w14:schemeClr w14:val="tx1"/>
                        </w14:solidFill>
                      </w14:textFill>
                    </w:rPr>
                    <w:t xml:space="preserve"> </w:t>
                  </w:r>
                  <w:r>
                    <w:rPr>
                      <w:color w:val="000000" w:themeColor="text1"/>
                      <w14:textFill>
                        <w14:solidFill>
                          <w14:schemeClr w14:val="tx1"/>
                        </w14:solidFill>
                      </w14:textFill>
                    </w:rPr>
                    <w:t xml:space="preserve">的三级排放标准，其中 </w:t>
                  </w:r>
                  <w:r>
                    <w:rPr>
                      <w:rFonts w:eastAsia="Times New Roman"/>
                      <w:color w:val="000000" w:themeColor="text1"/>
                      <w14:textFill>
                        <w14:solidFill>
                          <w14:schemeClr w14:val="tx1"/>
                        </w14:solidFill>
                      </w14:textFill>
                    </w:rPr>
                    <w:t>NH</w:t>
                  </w:r>
                  <w:r>
                    <w:rPr>
                      <w:rFonts w:eastAsia="Times New Roman"/>
                      <w:color w:val="000000" w:themeColor="text1"/>
                      <w:sz w:val="13"/>
                      <w:szCs w:val="13"/>
                      <w14:textFill>
                        <w14:solidFill>
                          <w14:schemeClr w14:val="tx1"/>
                        </w14:solidFill>
                      </w14:textFill>
                    </w:rPr>
                    <w:t>3</w:t>
                  </w:r>
                  <w:r>
                    <w:rPr>
                      <w:rFonts w:eastAsia="Times New Roman"/>
                      <w:color w:val="000000" w:themeColor="text1"/>
                      <w14:textFill>
                        <w14:solidFill>
                          <w14:schemeClr w14:val="tx1"/>
                        </w14:solidFill>
                      </w14:textFill>
                    </w:rPr>
                    <w:t xml:space="preserve">-N </w:t>
                  </w:r>
                  <w:r>
                    <w:rPr>
                      <w:color w:val="000000" w:themeColor="text1"/>
                      <w14:textFill>
                        <w14:solidFill>
                          <w14:schemeClr w14:val="tx1"/>
                        </w14:solidFill>
                      </w14:textFill>
                    </w:rPr>
                    <w:t>执行《污水排入城镇下水道水质标准》（</w:t>
                  </w:r>
                  <w:r>
                    <w:rPr>
                      <w:rFonts w:eastAsia="Times New Roman"/>
                      <w:color w:val="000000" w:themeColor="text1"/>
                      <w14:textFill>
                        <w14:solidFill>
                          <w14:schemeClr w14:val="tx1"/>
                        </w14:solidFill>
                      </w14:textFill>
                    </w:rPr>
                    <w:t>GB/T 31962-2015</w:t>
                  </w:r>
                  <w:r>
                    <w:rPr>
                      <w:color w:val="000000" w:themeColor="text1"/>
                      <w14:textFill>
                        <w14:solidFill>
                          <w14:schemeClr w14:val="tx1"/>
                        </w14:solidFill>
                      </w14:textFill>
                    </w:rPr>
                    <w:t>）表</w:t>
                  </w:r>
                  <w:r>
                    <w:rPr>
                      <w:color w:val="000000" w:themeColor="text1"/>
                      <w:spacing w:val="-11"/>
                      <w14:textFill>
                        <w14:solidFill>
                          <w14:schemeClr w14:val="tx1"/>
                        </w14:solidFill>
                      </w14:textFill>
                    </w:rPr>
                    <w:t xml:space="preserve"> </w:t>
                  </w:r>
                  <w:r>
                    <w:rPr>
                      <w:rFonts w:eastAsia="Times New Roman"/>
                      <w:color w:val="000000" w:themeColor="text1"/>
                      <w14:textFill>
                        <w14:solidFill>
                          <w14:schemeClr w14:val="tx1"/>
                        </w14:solidFill>
                      </w14:textFill>
                    </w:rPr>
                    <w:t>1</w:t>
                  </w:r>
                  <w:r>
                    <w:rPr>
                      <w:rFonts w:eastAsia="Times New Roman"/>
                      <w:color w:val="000000" w:themeColor="text1"/>
                      <w:spacing w:val="32"/>
                      <w:w w:val="101"/>
                      <w14:textFill>
                        <w14:solidFill>
                          <w14:schemeClr w14:val="tx1"/>
                        </w14:solidFill>
                      </w14:textFill>
                    </w:rPr>
                    <w:t xml:space="preserve"> </w:t>
                  </w:r>
                  <w:r>
                    <w:rPr>
                      <w:color w:val="000000" w:themeColor="text1"/>
                      <w14:textFill>
                        <w14:solidFill>
                          <w14:schemeClr w14:val="tx1"/>
                        </w14:solidFill>
                      </w14:textFill>
                    </w:rPr>
                    <w:t>中</w:t>
                  </w:r>
                  <w:r>
                    <w:rPr>
                      <w:color w:val="000000" w:themeColor="text1"/>
                      <w:spacing w:val="-44"/>
                      <w14:textFill>
                        <w14:solidFill>
                          <w14:schemeClr w14:val="tx1"/>
                        </w14:solidFill>
                      </w14:textFill>
                    </w:rPr>
                    <w:t xml:space="preserve"> </w:t>
                  </w:r>
                  <w:r>
                    <w:rPr>
                      <w:rFonts w:eastAsia="Times New Roman"/>
                      <w:color w:val="000000" w:themeColor="text1"/>
                      <w14:textFill>
                        <w14:solidFill>
                          <w14:schemeClr w14:val="tx1"/>
                        </w14:solidFill>
                      </w14:textFill>
                    </w:rPr>
                    <w:t>B</w:t>
                  </w:r>
                  <w:r>
                    <w:rPr>
                      <w:rFonts w:eastAsia="Times New Roman"/>
                      <w:color w:val="000000" w:themeColor="text1"/>
                      <w:spacing w:val="14"/>
                      <w:w w:val="101"/>
                      <w14:textFill>
                        <w14:solidFill>
                          <w14:schemeClr w14:val="tx1"/>
                        </w14:solidFill>
                      </w14:textFill>
                    </w:rPr>
                    <w:t xml:space="preserve"> </w:t>
                  </w:r>
                  <w:r>
                    <w:rPr>
                      <w:color w:val="000000" w:themeColor="text1"/>
                      <w14:textFill>
                        <w14:solidFill>
                          <w14:schemeClr w14:val="tx1"/>
                        </w14:solidFill>
                      </w14:textFill>
                    </w:rPr>
                    <w:t xml:space="preserve">级标 </w:t>
                  </w:r>
                  <w:r>
                    <w:rPr>
                      <w:color w:val="000000" w:themeColor="text1"/>
                      <w:spacing w:val="5"/>
                      <w14:textFill>
                        <w14:solidFill>
                          <w14:schemeClr w14:val="tx1"/>
                        </w14:solidFill>
                      </w14:textFill>
                    </w:rPr>
                    <w:t>准。</w:t>
                  </w:r>
                </w:p>
              </w:tc>
            </w:tr>
          </w:tbl>
          <w:p>
            <w:pPr>
              <w:pStyle w:val="172"/>
              <w:spacing w:before="36" w:line="221" w:lineRule="auto"/>
              <w:ind w:left="605"/>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5"/>
                <w:lang w:eastAsia="zh-CN"/>
                <w14:textFill>
                  <w14:solidFill>
                    <w14:schemeClr w14:val="tx1"/>
                  </w14:solidFill>
                </w14:textFill>
              </w:rPr>
              <w:t>（</w:t>
            </w:r>
            <w:r>
              <w:rPr>
                <w:rFonts w:ascii="Times New Roman" w:hAnsi="Times New Roman" w:eastAsia="Times New Roman" w:cs="Times New Roman"/>
                <w:color w:val="000000" w:themeColor="text1"/>
                <w:spacing w:val="-5"/>
                <w:lang w:eastAsia="zh-CN"/>
                <w14:textFill>
                  <w14:solidFill>
                    <w14:schemeClr w14:val="tx1"/>
                  </w14:solidFill>
                </w14:textFill>
              </w:rPr>
              <w:t>2</w:t>
            </w:r>
            <w:r>
              <w:rPr>
                <w:rFonts w:ascii="Times New Roman" w:hAnsi="Times New Roman" w:cs="Times New Roman"/>
                <w:color w:val="000000" w:themeColor="text1"/>
                <w:spacing w:val="-5"/>
                <w:lang w:eastAsia="zh-CN"/>
                <w14:textFill>
                  <w14:solidFill>
                    <w14:schemeClr w14:val="tx1"/>
                  </w14:solidFill>
                </w14:textFill>
              </w:rPr>
              <w:t>）废气</w:t>
            </w:r>
          </w:p>
          <w:p>
            <w:pPr>
              <w:pStyle w:val="172"/>
              <w:spacing w:after="0" w:line="360" w:lineRule="auto"/>
              <w:ind w:firstLine="494" w:firstLineChars="201"/>
              <w:jc w:val="both"/>
              <w:rPr>
                <w:rFonts w:hint="eastAsia"/>
                <w:color w:val="000000" w:themeColor="text1"/>
                <w:lang w:eastAsia="zh-CN"/>
                <w14:textFill>
                  <w14:solidFill>
                    <w14:schemeClr w14:val="tx1"/>
                  </w14:solidFill>
                </w14:textFill>
              </w:rPr>
            </w:pPr>
            <w:r>
              <w:rPr>
                <w:rFonts w:ascii="Times New Roman" w:hAnsi="Times New Roman" w:cs="Times New Roman"/>
                <w:color w:val="000000" w:themeColor="text1"/>
                <w:spacing w:val="3"/>
                <w:position w:val="2"/>
                <w:lang w:eastAsia="zh-CN"/>
                <w14:textFill>
                  <w14:solidFill>
                    <w14:schemeClr w14:val="tx1"/>
                  </w14:solidFill>
                </w14:textFill>
              </w:rPr>
              <w:t>现有工程目前产生废气主要来源于</w:t>
            </w:r>
            <w:r>
              <w:rPr>
                <w:color w:val="000000" w:themeColor="text1"/>
                <w:lang w:eastAsia="zh-CN"/>
                <w14:textFill>
                  <w14:solidFill>
                    <w14:schemeClr w14:val="tx1"/>
                  </w14:solidFill>
                </w14:textFill>
              </w:rPr>
              <w:t>年产电缆分支箱</w:t>
            </w:r>
            <w:r>
              <w:rPr>
                <w:rFonts w:hint="eastAsia"/>
                <w:color w:val="000000" w:themeColor="text1"/>
                <w:lang w:eastAsia="zh-CN"/>
                <w14:textFill>
                  <w14:solidFill>
                    <w14:schemeClr w14:val="tx1"/>
                  </w14:solidFill>
                </w14:textFill>
              </w:rPr>
              <w:t>3000</w:t>
            </w:r>
            <w:r>
              <w:rPr>
                <w:color w:val="000000" w:themeColor="text1"/>
                <w:lang w:eastAsia="zh-CN"/>
                <w14:textFill>
                  <w14:solidFill>
                    <w14:schemeClr w14:val="tx1"/>
                  </w14:solidFill>
                </w14:textFill>
              </w:rPr>
              <w:t>台、年产地铁系统用智能低压开关柜5000台生产线产生的焊接烟尘收集后经焊烟除尘器处理后通过</w:t>
            </w:r>
            <w:r>
              <w:rPr>
                <w:rFonts w:hint="eastAsia"/>
                <w:color w:val="000000" w:themeColor="text1"/>
                <w:lang w:eastAsia="zh-CN"/>
                <w14:textFill>
                  <w14:solidFill>
                    <w14:schemeClr w14:val="tx1"/>
                  </w14:solidFill>
                </w14:textFill>
              </w:rPr>
              <w:t>1</w:t>
            </w:r>
            <w:r>
              <w:rPr>
                <w:color w:val="000000" w:themeColor="text1"/>
                <w:lang w:eastAsia="zh-CN"/>
                <w14:textFill>
                  <w14:solidFill>
                    <w14:schemeClr w14:val="tx1"/>
                  </w14:solidFill>
                </w14:textFill>
              </w:rPr>
              <w:t>根15m 高排气筒排放（DA001）</w:t>
            </w:r>
            <w:r>
              <w:rPr>
                <w:rFonts w:hint="eastAsia"/>
                <w:color w:val="000000" w:themeColor="text1"/>
                <w:lang w:eastAsia="zh-CN"/>
                <w14:textFill>
                  <w14:solidFill>
                    <w14:schemeClr w14:val="tx1"/>
                  </w14:solidFill>
                </w14:textFill>
              </w:rPr>
              <w:t>；3#车间</w:t>
            </w:r>
            <w:r>
              <w:rPr>
                <w:color w:val="000000" w:themeColor="text1"/>
                <w:lang w:eastAsia="zh-CN"/>
                <w14:textFill>
                  <w14:solidFill>
                    <w14:schemeClr w14:val="tx1"/>
                  </w14:solidFill>
                </w14:textFill>
              </w:rPr>
              <w:t>年产900台箱式变电箱生产线产生的焊接烟尘收集后经焊烟除尘器处理后通过</w:t>
            </w:r>
            <w:r>
              <w:rPr>
                <w:rFonts w:hint="eastAsia"/>
                <w:color w:val="000000" w:themeColor="text1"/>
                <w:lang w:eastAsia="zh-CN"/>
                <w14:textFill>
                  <w14:solidFill>
                    <w14:schemeClr w14:val="tx1"/>
                  </w14:solidFill>
                </w14:textFill>
              </w:rPr>
              <w:t>1</w:t>
            </w:r>
            <w:r>
              <w:rPr>
                <w:color w:val="000000" w:themeColor="text1"/>
                <w:lang w:eastAsia="zh-CN"/>
                <w14:textFill>
                  <w14:solidFill>
                    <w14:schemeClr w14:val="tx1"/>
                  </w14:solidFill>
                </w14:textFill>
              </w:rPr>
              <w:t>根15m 高排气筒排放（DA00</w:t>
            </w:r>
            <w:r>
              <w:rPr>
                <w:rFonts w:hint="eastAsia"/>
                <w:color w:val="000000" w:themeColor="text1"/>
                <w:lang w:eastAsia="zh-CN"/>
                <w14:textFill>
                  <w14:solidFill>
                    <w14:schemeClr w14:val="tx1"/>
                  </w14:solidFill>
                </w14:textFill>
              </w:rPr>
              <w:t>2</w:t>
            </w:r>
            <w:r>
              <w:rPr>
                <w:color w:val="000000" w:themeColor="text1"/>
                <w:lang w:eastAsia="zh-CN"/>
                <w14:textFill>
                  <w14:solidFill>
                    <w14:schemeClr w14:val="tx1"/>
                  </w14:solidFill>
                </w14:textFill>
              </w:rPr>
              <w:t>）</w:t>
            </w:r>
            <w:r>
              <w:rPr>
                <w:rFonts w:ascii="Times New Roman" w:hAnsi="Times New Roman" w:cs="Times New Roman"/>
                <w:color w:val="000000" w:themeColor="text1"/>
                <w:spacing w:val="-57"/>
                <w:lang w:eastAsia="zh-CN"/>
                <w14:textFill>
                  <w14:solidFill>
                    <w14:schemeClr w14:val="tx1"/>
                  </w14:solidFill>
                </w14:textFill>
              </w:rPr>
              <w:t>；</w:t>
            </w:r>
            <w:r>
              <w:rPr>
                <w:rFonts w:ascii="Times New Roman" w:hAnsi="Times New Roman" w:eastAsia="Times New Roman" w:cs="Times New Roman"/>
                <w:color w:val="000000" w:themeColor="text1"/>
                <w:lang w:eastAsia="zh-CN"/>
                <w14:textFill>
                  <w14:solidFill>
                    <w14:schemeClr w14:val="tx1"/>
                  </w14:solidFill>
                </w14:textFill>
              </w:rPr>
              <w:t xml:space="preserve"> 3#</w:t>
            </w:r>
            <w:r>
              <w:rPr>
                <w:rFonts w:ascii="Times New Roman" w:hAnsi="Times New Roman" w:cs="Times New Roman"/>
                <w:color w:val="000000" w:themeColor="text1"/>
                <w:lang w:eastAsia="zh-CN"/>
                <w14:textFill>
                  <w14:solidFill>
                    <w14:schemeClr w14:val="tx1"/>
                  </w14:solidFill>
                </w14:textFill>
              </w:rPr>
              <w:t>车间、</w:t>
            </w:r>
            <w:r>
              <w:rPr>
                <w:rFonts w:hint="eastAsia" w:ascii="Times New Roman" w:hAnsi="Times New Roman" w:cs="Times New Roman"/>
                <w:color w:val="000000" w:themeColor="text1"/>
                <w:lang w:eastAsia="zh-CN"/>
                <w14:textFill>
                  <w14:solidFill>
                    <w14:schemeClr w14:val="tx1"/>
                  </w14:solidFill>
                </w14:textFill>
              </w:rPr>
              <w:t>4#车间和钣金车间</w:t>
            </w:r>
            <w:r>
              <w:rPr>
                <w:rFonts w:ascii="Times New Roman" w:hAnsi="Times New Roman" w:cs="Times New Roman"/>
                <w:color w:val="000000" w:themeColor="text1"/>
                <w:lang w:eastAsia="zh-CN"/>
                <w14:textFill>
                  <w14:solidFill>
                    <w14:schemeClr w14:val="tx1"/>
                  </w14:solidFill>
                </w14:textFill>
              </w:rPr>
              <w:t>不锈钢板机加工过程产生的金属粉尘，均呈无组织排</w:t>
            </w:r>
            <w:r>
              <w:rPr>
                <w:rFonts w:ascii="Times New Roman" w:hAnsi="Times New Roman" w:cs="Times New Roman"/>
                <w:color w:val="000000" w:themeColor="text1"/>
                <w:spacing w:val="5"/>
                <w:lang w:eastAsia="zh-CN"/>
                <w14:textFill>
                  <w14:solidFill>
                    <w14:schemeClr w14:val="tx1"/>
                  </w14:solidFill>
                </w14:textFill>
              </w:rPr>
              <w:t>放，各车间均设通风设施；</w:t>
            </w:r>
            <w:r>
              <w:rPr>
                <w:rFonts w:hint="eastAsia" w:ascii="Times New Roman" w:hAnsi="Times New Roman" w:cs="Times New Roman"/>
                <w:color w:val="000000" w:themeColor="text1"/>
                <w:spacing w:val="5"/>
                <w:lang w:eastAsia="zh-CN"/>
                <w14:textFill>
                  <w14:solidFill>
                    <w14:schemeClr w14:val="tx1"/>
                  </w14:solidFill>
                </w14:textFill>
              </w:rPr>
              <w:t>4#车间</w:t>
            </w:r>
            <w:r>
              <w:rPr>
                <w:rFonts w:hint="eastAsia"/>
                <w:color w:val="000000" w:themeColor="text1"/>
                <w:szCs w:val="21"/>
                <w:lang w:eastAsia="zh-CN"/>
                <w14:textFill>
                  <w14:solidFill>
                    <w14:schemeClr w14:val="tx1"/>
                  </w14:solidFill>
                </w14:textFill>
              </w:rPr>
              <w:t>年产充电桩8000台、储能集成系统400MWh生产线</w:t>
            </w:r>
            <w:r>
              <w:rPr>
                <w:color w:val="000000" w:themeColor="text1"/>
                <w:szCs w:val="21"/>
                <w:lang w:eastAsia="zh-CN"/>
                <w14:textFill>
                  <w14:solidFill>
                    <w14:schemeClr w14:val="tx1"/>
                  </w14:solidFill>
                </w14:textFill>
              </w:rPr>
              <w:t>产生的焊接烟尘、有机废气收集后</w:t>
            </w:r>
            <w:r>
              <w:rPr>
                <w:rFonts w:hint="eastAsia"/>
                <w:color w:val="000000" w:themeColor="text1"/>
                <w:szCs w:val="21"/>
                <w:lang w:eastAsia="zh-CN"/>
                <w14:textFill>
                  <w14:solidFill>
                    <w14:schemeClr w14:val="tx1"/>
                  </w14:solidFill>
                </w14:textFill>
              </w:rPr>
              <w:t>经</w:t>
            </w:r>
            <w:r>
              <w:rPr>
                <w:color w:val="000000" w:themeColor="text1"/>
                <w:szCs w:val="21"/>
                <w:lang w:eastAsia="zh-CN"/>
                <w14:textFill>
                  <w14:solidFill>
                    <w14:schemeClr w14:val="tx1"/>
                  </w14:solidFill>
                </w14:textFill>
              </w:rPr>
              <w:t>滤筒除尘器+活性炭+15m高排气筒排放（DA003），现未</w:t>
            </w:r>
            <w:r>
              <w:rPr>
                <w:color w:val="000000" w:themeColor="text1"/>
                <w:lang w:eastAsia="zh-CN"/>
                <w14:textFill>
                  <w14:solidFill>
                    <w14:schemeClr w14:val="tx1"/>
                  </w14:solidFill>
                </w14:textFill>
              </w:rPr>
              <w:t>建设投产；6#车间</w:t>
            </w:r>
            <w:r>
              <w:rPr>
                <w:rFonts w:hint="eastAsia"/>
                <w:color w:val="000000" w:themeColor="text1"/>
                <w:lang w:eastAsia="zh-CN"/>
                <w14:textFill>
                  <w14:solidFill>
                    <w14:schemeClr w14:val="tx1"/>
                  </w14:solidFill>
                </w14:textFill>
              </w:rPr>
              <w:t>仅组装，无废气产生，</w:t>
            </w:r>
            <w:r>
              <w:rPr>
                <w:color w:val="000000" w:themeColor="text1"/>
                <w:lang w:eastAsia="zh-CN"/>
                <w14:textFill>
                  <w14:solidFill>
                    <w14:schemeClr w14:val="tx1"/>
                  </w14:solidFill>
                </w14:textFill>
              </w:rPr>
              <w:t>年产一二次融合成套配电开关设备2万台、边缘计算智能终端7万套、智能传感器5万套生产线焊接工序产生的焊接烟尘，其收集后经焊烟除尘器处理后通过 15m 排气筒排放（DA00</w:t>
            </w:r>
            <w:r>
              <w:rPr>
                <w:rFonts w:hint="eastAsia"/>
                <w:color w:val="000000" w:themeColor="text1"/>
                <w:lang w:eastAsia="zh-CN"/>
                <w14:textFill>
                  <w14:solidFill>
                    <w14:schemeClr w14:val="tx1"/>
                  </w14:solidFill>
                </w14:textFill>
              </w:rPr>
              <w:t>3</w:t>
            </w:r>
            <w:r>
              <w:rPr>
                <w:color w:val="000000" w:themeColor="text1"/>
                <w:lang w:eastAsia="zh-CN"/>
                <w14:textFill>
                  <w14:solidFill>
                    <w14:schemeClr w14:val="tx1"/>
                  </w14:solidFill>
                </w14:textFill>
              </w:rPr>
              <w:t xml:space="preserve">），6#车间该项目目前未建设；因此， 目前现有工程仅 </w:t>
            </w:r>
            <w:r>
              <w:rPr>
                <w:rFonts w:hint="eastAsia"/>
                <w:color w:val="000000" w:themeColor="text1"/>
                <w:lang w:eastAsia="zh-CN"/>
                <w14:textFill>
                  <w14:solidFill>
                    <w14:schemeClr w14:val="tx1"/>
                  </w14:solidFill>
                </w14:textFill>
              </w:rPr>
              <w:t>3#车间的</w:t>
            </w:r>
            <w:r>
              <w:rPr>
                <w:color w:val="000000" w:themeColor="text1"/>
                <w:lang w:eastAsia="zh-CN"/>
                <w14:textFill>
                  <w14:solidFill>
                    <w14:schemeClr w14:val="tx1"/>
                  </w14:solidFill>
                </w14:textFill>
              </w:rPr>
              <w:t xml:space="preserve">DA001 </w:t>
            </w:r>
            <w:r>
              <w:rPr>
                <w:rFonts w:hint="eastAsia"/>
                <w:color w:val="000000" w:themeColor="text1"/>
                <w:lang w:eastAsia="zh-CN"/>
                <w14:textFill>
                  <w14:solidFill>
                    <w14:schemeClr w14:val="tx1"/>
                  </w14:solidFill>
                </w14:textFill>
              </w:rPr>
              <w:t>、DA002两根</w:t>
            </w:r>
            <w:r>
              <w:rPr>
                <w:color w:val="000000" w:themeColor="text1"/>
                <w:lang w:eastAsia="zh-CN"/>
                <w14:textFill>
                  <w14:solidFill>
                    <w14:schemeClr w14:val="tx1"/>
                  </w14:solidFill>
                </w14:textFill>
              </w:rPr>
              <w:t>排气筒在运行。</w:t>
            </w:r>
          </w:p>
          <w:p>
            <w:pPr>
              <w:pStyle w:val="172"/>
              <w:spacing w:after="0" w:line="360" w:lineRule="auto"/>
              <w:ind w:firstLine="480"/>
              <w:jc w:val="both"/>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根据于</w:t>
            </w:r>
            <w:r>
              <w:rPr>
                <w:rFonts w:hint="eastAsia" w:ascii="Times New Roman" w:hAnsi="Times New Roman" w:cs="Times New Roman"/>
                <w:color w:val="000000" w:themeColor="text1"/>
                <w:spacing w:val="-3"/>
                <w:lang w:eastAsia="zh-CN"/>
                <w14:textFill>
                  <w14:solidFill>
                    <w14:schemeClr w14:val="tx1"/>
                  </w14:solidFill>
                </w14:textFill>
              </w:rPr>
              <w:t>2024</w:t>
            </w:r>
            <w:r>
              <w:rPr>
                <w:rFonts w:ascii="Times New Roman" w:hAnsi="Times New Roman" w:cs="Times New Roman"/>
                <w:color w:val="000000" w:themeColor="text1"/>
                <w:spacing w:val="-3"/>
                <w:lang w:eastAsia="zh-CN"/>
                <w14:textFill>
                  <w14:solidFill>
                    <w14:schemeClr w14:val="tx1"/>
                  </w14:solidFill>
                </w14:textFill>
              </w:rPr>
              <w:t xml:space="preserve">年 </w:t>
            </w:r>
            <w:r>
              <w:rPr>
                <w:rFonts w:hint="eastAsia" w:ascii="Times New Roman" w:hAnsi="Times New Roman" w:cs="Times New Roman"/>
                <w:color w:val="000000" w:themeColor="text1"/>
                <w:spacing w:val="-3"/>
                <w:lang w:eastAsia="zh-CN"/>
                <w14:textFill>
                  <w14:solidFill>
                    <w14:schemeClr w14:val="tx1"/>
                  </w14:solidFill>
                </w14:textFill>
              </w:rPr>
              <w:t>10</w:t>
            </w:r>
            <w:r>
              <w:rPr>
                <w:rFonts w:ascii="Times New Roman" w:hAnsi="Times New Roman" w:cs="Times New Roman"/>
                <w:color w:val="000000" w:themeColor="text1"/>
                <w:spacing w:val="-3"/>
                <w:lang w:eastAsia="zh-CN"/>
                <w14:textFill>
                  <w14:solidFill>
                    <w14:schemeClr w14:val="tx1"/>
                  </w14:solidFill>
                </w14:textFill>
              </w:rPr>
              <w:t xml:space="preserve">月 </w:t>
            </w:r>
            <w:r>
              <w:rPr>
                <w:rFonts w:hint="eastAsia" w:ascii="Times New Roman" w:hAnsi="Times New Roman" w:cs="Times New Roman"/>
                <w:color w:val="000000" w:themeColor="text1"/>
                <w:spacing w:val="-3"/>
                <w:lang w:eastAsia="zh-CN"/>
                <w14:textFill>
                  <w14:solidFill>
                    <w14:schemeClr w14:val="tx1"/>
                  </w14:solidFill>
                </w14:textFill>
              </w:rPr>
              <w:t>16</w:t>
            </w:r>
            <w:r>
              <w:rPr>
                <w:rFonts w:ascii="Times New Roman" w:hAnsi="Times New Roman" w:cs="Times New Roman"/>
                <w:color w:val="000000" w:themeColor="text1"/>
                <w:spacing w:val="-3"/>
                <w:lang w:eastAsia="zh-CN"/>
                <w14:textFill>
                  <w14:solidFill>
                    <w14:schemeClr w14:val="tx1"/>
                  </w14:solidFill>
                </w14:textFill>
              </w:rPr>
              <w:t>日对</w:t>
            </w:r>
            <w:r>
              <w:rPr>
                <w:rFonts w:ascii="Times New Roman" w:hAnsi="Times New Roman" w:cs="Times New Roman"/>
                <w:color w:val="000000" w:themeColor="text1"/>
                <w:spacing w:val="-53"/>
                <w:lang w:eastAsia="zh-CN"/>
                <w14:textFill>
                  <w14:solidFill>
                    <w14:schemeClr w14:val="tx1"/>
                  </w14:solidFill>
                </w14:textFill>
              </w:rPr>
              <w:t xml:space="preserve"> </w:t>
            </w:r>
            <w:r>
              <w:rPr>
                <w:rFonts w:ascii="Times New Roman" w:hAnsi="Times New Roman" w:eastAsia="Times New Roman" w:cs="Times New Roman"/>
                <w:color w:val="000000" w:themeColor="text1"/>
                <w:spacing w:val="-3"/>
                <w:lang w:eastAsia="zh-CN"/>
                <w14:textFill>
                  <w14:solidFill>
                    <w14:schemeClr w14:val="tx1"/>
                  </w14:solidFill>
                </w14:textFill>
              </w:rPr>
              <w:t>3#</w:t>
            </w:r>
            <w:r>
              <w:rPr>
                <w:rFonts w:ascii="Times New Roman" w:hAnsi="Times New Roman" w:cs="Times New Roman"/>
                <w:color w:val="000000" w:themeColor="text1"/>
                <w:spacing w:val="-3"/>
                <w:lang w:eastAsia="zh-CN"/>
                <w14:textFill>
                  <w14:solidFill>
                    <w14:schemeClr w14:val="tx1"/>
                  </w14:solidFill>
                </w14:textFill>
              </w:rPr>
              <w:t>车间两根焊接</w:t>
            </w:r>
            <w:r>
              <w:rPr>
                <w:rFonts w:ascii="Times New Roman" w:hAnsi="Times New Roman" w:cs="Times New Roman"/>
                <w:color w:val="000000" w:themeColor="text1"/>
                <w:spacing w:val="-4"/>
                <w:lang w:eastAsia="zh-CN"/>
                <w14:textFill>
                  <w14:solidFill>
                    <w14:schemeClr w14:val="tx1"/>
                  </w14:solidFill>
                </w14:textFill>
              </w:rPr>
              <w:t>烟尘</w:t>
            </w:r>
            <w:r>
              <w:rPr>
                <w:rFonts w:ascii="Times New Roman" w:hAnsi="Times New Roman" w:cs="Times New Roman"/>
                <w:color w:val="000000" w:themeColor="text1"/>
                <w:spacing w:val="-1"/>
                <w:lang w:eastAsia="zh-CN"/>
                <w14:textFill>
                  <w14:solidFill>
                    <w14:schemeClr w14:val="tx1"/>
                  </w14:solidFill>
                </w14:textFill>
              </w:rPr>
              <w:t>排气筒（</w:t>
            </w:r>
            <w:r>
              <w:rPr>
                <w:rFonts w:hint="eastAsia" w:ascii="Times New Roman" w:hAnsi="Times New Roman" w:cs="Times New Roman"/>
                <w:color w:val="000000" w:themeColor="text1"/>
                <w:spacing w:val="-1"/>
                <w:lang w:eastAsia="zh-CN"/>
                <w14:textFill>
                  <w14:solidFill>
                    <w14:schemeClr w14:val="tx1"/>
                  </w14:solidFill>
                </w14:textFill>
              </w:rPr>
              <w:t>DA001和DA002</w:t>
            </w:r>
            <w:r>
              <w:rPr>
                <w:rFonts w:ascii="Times New Roman" w:hAnsi="Times New Roman" w:cs="Times New Roman"/>
                <w:color w:val="000000" w:themeColor="text1"/>
                <w:spacing w:val="-1"/>
                <w:lang w:eastAsia="zh-CN"/>
                <w14:textFill>
                  <w14:solidFill>
                    <w14:schemeClr w14:val="tx1"/>
                  </w14:solidFill>
                </w14:textFill>
              </w:rPr>
              <w:t>）以及</w:t>
            </w:r>
            <w:r>
              <w:rPr>
                <w:rFonts w:ascii="Times New Roman" w:hAnsi="Times New Roman" w:cs="Times New Roman"/>
                <w:color w:val="000000" w:themeColor="text1"/>
                <w:spacing w:val="-3"/>
                <w:lang w:eastAsia="zh-CN"/>
                <w14:textFill>
                  <w14:solidFill>
                    <w14:schemeClr w14:val="tx1"/>
                  </w14:solidFill>
                </w14:textFill>
              </w:rPr>
              <w:t xml:space="preserve">厂界无组织颗粒物进行监测（监测报告见附件 </w:t>
            </w:r>
            <w:r>
              <w:rPr>
                <w:rFonts w:hint="eastAsia" w:ascii="Times New Roman" w:hAnsi="Times New Roman" w:cs="Times New Roman"/>
                <w:color w:val="000000" w:themeColor="text1"/>
                <w:spacing w:val="-3"/>
                <w:lang w:eastAsia="zh-CN"/>
                <w14:textFill>
                  <w14:solidFill>
                    <w14:schemeClr w14:val="tx1"/>
                  </w14:solidFill>
                </w14:textFill>
              </w:rPr>
              <w:t>11</w:t>
            </w:r>
            <w:r>
              <w:rPr>
                <w:rFonts w:ascii="Times New Roman" w:hAnsi="Times New Roman" w:cs="Times New Roman"/>
                <w:color w:val="000000" w:themeColor="text1"/>
                <w:spacing w:val="-3"/>
                <w:lang w:eastAsia="zh-CN"/>
                <w14:textFill>
                  <w14:solidFill>
                    <w14:schemeClr w14:val="tx1"/>
                  </w14:solidFill>
                </w14:textFill>
              </w:rPr>
              <w:t>），废气监测结果见 表 2.</w:t>
            </w:r>
            <w:r>
              <w:rPr>
                <w:rFonts w:hint="eastAsia" w:ascii="Times New Roman" w:hAnsi="Times New Roman" w:cs="Times New Roman"/>
                <w:color w:val="000000" w:themeColor="text1"/>
                <w:spacing w:val="-3"/>
                <w:lang w:eastAsia="zh-CN"/>
                <w14:textFill>
                  <w14:solidFill>
                    <w14:schemeClr w14:val="tx1"/>
                  </w14:solidFill>
                </w14:textFill>
              </w:rPr>
              <w:t>3</w:t>
            </w:r>
            <w:r>
              <w:rPr>
                <w:rFonts w:ascii="Times New Roman" w:hAnsi="Times New Roman" w:cs="Times New Roman"/>
                <w:color w:val="000000" w:themeColor="text1"/>
                <w:spacing w:val="-3"/>
                <w:lang w:eastAsia="zh-CN"/>
                <w14:textFill>
                  <w14:solidFill>
                    <w14:schemeClr w14:val="tx1"/>
                  </w14:solidFill>
                </w14:textFill>
              </w:rPr>
              <w:t>-</w:t>
            </w:r>
            <w:r>
              <w:rPr>
                <w:rFonts w:hint="eastAsia" w:ascii="Times New Roman" w:hAnsi="Times New Roman" w:cs="Times New Roman"/>
                <w:color w:val="000000" w:themeColor="text1"/>
                <w:spacing w:val="-3"/>
                <w:lang w:eastAsia="zh-CN"/>
                <w14:textFill>
                  <w14:solidFill>
                    <w14:schemeClr w14:val="tx1"/>
                  </w14:solidFill>
                </w14:textFill>
              </w:rPr>
              <w:t>6</w:t>
            </w:r>
            <w:r>
              <w:rPr>
                <w:rFonts w:ascii="Times New Roman" w:hAnsi="Times New Roman" w:cs="Times New Roman"/>
                <w:color w:val="000000" w:themeColor="text1"/>
                <w:spacing w:val="-3"/>
                <w:lang w:eastAsia="zh-CN"/>
                <w14:textFill>
                  <w14:solidFill>
                    <w14:schemeClr w14:val="tx1"/>
                  </w14:solidFill>
                </w14:textFill>
              </w:rPr>
              <w:t>和表</w:t>
            </w:r>
            <w:r>
              <w:rPr>
                <w:rFonts w:hint="eastAsia" w:ascii="Times New Roman" w:hAnsi="Times New Roman" w:cs="Times New Roman"/>
                <w:color w:val="000000" w:themeColor="text1"/>
                <w:spacing w:val="-3"/>
                <w:lang w:eastAsia="zh-CN"/>
                <w14:textFill>
                  <w14:solidFill>
                    <w14:schemeClr w14:val="tx1"/>
                  </w14:solidFill>
                </w14:textFill>
              </w:rPr>
              <w:t>2.3-7</w:t>
            </w:r>
            <w:r>
              <w:rPr>
                <w:rFonts w:ascii="Times New Roman" w:hAnsi="Times New Roman" w:cs="Times New Roman"/>
                <w:color w:val="000000" w:themeColor="text1"/>
                <w:spacing w:val="-3"/>
                <w:lang w:eastAsia="zh-CN"/>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spacing w:val="-42"/>
                <w14:textFill>
                  <w14:solidFill>
                    <w14:schemeClr w14:val="tx1"/>
                  </w14:solidFill>
                </w14:textFill>
              </w:rPr>
              <w:t xml:space="preserve"> </w:t>
            </w:r>
            <w:r>
              <w:rPr>
                <w:rFonts w:eastAsia="Times New Roman"/>
                <w:color w:val="000000" w:themeColor="text1"/>
                <w14:textFill>
                  <w14:solidFill>
                    <w14:schemeClr w14:val="tx1"/>
                  </w14:solidFill>
                </w14:textFill>
              </w:rPr>
              <w:t>2.</w:t>
            </w:r>
            <w:r>
              <w:rPr>
                <w:rFonts w:hint="eastAsia"/>
                <w:color w:val="000000" w:themeColor="text1"/>
                <w14:textFill>
                  <w14:solidFill>
                    <w14:schemeClr w14:val="tx1"/>
                  </w14:solidFill>
                </w14:textFill>
              </w:rPr>
              <w:t>3-6</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现有工程有组织废气污染物监测结果一览表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0"/>
              <w:gridCol w:w="815"/>
              <w:gridCol w:w="1054"/>
              <w:gridCol w:w="781"/>
              <w:gridCol w:w="636"/>
              <w:gridCol w:w="636"/>
              <w:gridCol w:w="636"/>
              <w:gridCol w:w="636"/>
              <w:gridCol w:w="5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采样点位</w:t>
                  </w:r>
                </w:p>
              </w:tc>
              <w:tc>
                <w:tcPr>
                  <w:tcW w:w="1138" w:type="pct"/>
                  <w:gridSpan w:val="2"/>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检测项目</w:t>
                  </w:r>
                </w:p>
              </w:tc>
              <w:tc>
                <w:tcPr>
                  <w:tcW w:w="478" w:type="pct"/>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单位</w:t>
                  </w:r>
                </w:p>
              </w:tc>
              <w:tc>
                <w:tcPr>
                  <w:tcW w:w="1441" w:type="pct"/>
                  <w:gridSpan w:val="4"/>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检测数据</w:t>
                  </w:r>
                </w:p>
              </w:tc>
              <w:tc>
                <w:tcPr>
                  <w:tcW w:w="356" w:type="pct"/>
                  <w:vMerge w:val="restart"/>
                  <w:vAlign w:val="center"/>
                </w:tcPr>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r>
                    <w:rPr>
                      <w:color w:val="000000" w:themeColor="text1"/>
                      <w14:textFill>
                        <w14:solidFill>
                          <w14:schemeClr w14:val="tx1"/>
                        </w14:solidFill>
                      </w14:textFill>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continue"/>
                  <w:vAlign w:val="center"/>
                </w:tcPr>
                <w:p>
                  <w:pPr>
                    <w:pStyle w:val="221"/>
                    <w:rPr>
                      <w:color w:val="000000" w:themeColor="text1"/>
                      <w:kern w:val="2"/>
                      <w14:textFill>
                        <w14:solidFill>
                          <w14:schemeClr w14:val="tx1"/>
                        </w14:solidFill>
                      </w14:textFill>
                    </w:rPr>
                  </w:pPr>
                </w:p>
              </w:tc>
              <w:tc>
                <w:tcPr>
                  <w:tcW w:w="1138" w:type="pct"/>
                  <w:gridSpan w:val="2"/>
                  <w:vMerge w:val="continue"/>
                  <w:vAlign w:val="center"/>
                </w:tcPr>
                <w:p>
                  <w:pPr>
                    <w:pStyle w:val="221"/>
                    <w:rPr>
                      <w:color w:val="000000" w:themeColor="text1"/>
                      <w:kern w:val="2"/>
                      <w14:textFill>
                        <w14:solidFill>
                          <w14:schemeClr w14:val="tx1"/>
                        </w14:solidFill>
                      </w14:textFill>
                    </w:rPr>
                  </w:pPr>
                </w:p>
              </w:tc>
              <w:tc>
                <w:tcPr>
                  <w:tcW w:w="478" w:type="pct"/>
                  <w:vMerge w:val="continue"/>
                  <w:vAlign w:val="center"/>
                </w:tcPr>
                <w:p>
                  <w:pPr>
                    <w:pStyle w:val="221"/>
                    <w:rPr>
                      <w:color w:val="000000" w:themeColor="text1"/>
                      <w:kern w:val="2"/>
                      <w14:textFill>
                        <w14:solidFill>
                          <w14:schemeClr w14:val="tx1"/>
                        </w14:solidFill>
                      </w14:textFill>
                    </w:rPr>
                  </w:pP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均值</w:t>
                  </w:r>
                </w:p>
              </w:tc>
              <w:tc>
                <w:tcPr>
                  <w:tcW w:w="356"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restart"/>
                  <w:vAlign w:val="center"/>
                </w:tcPr>
                <w:p>
                  <w:pPr>
                    <w:pStyle w:val="221"/>
                    <w:rPr>
                      <w:color w:val="000000" w:themeColor="text1"/>
                      <w:kern w:val="2"/>
                      <w14:textFill>
                        <w14:solidFill>
                          <w14:schemeClr w14:val="tx1"/>
                        </w14:solidFill>
                      </w14:textFill>
                    </w:rPr>
                  </w:pPr>
                  <w:r>
                    <w:rPr>
                      <w:bCs/>
                      <w:color w:val="000000" w:themeColor="text1"/>
                      <w:spacing w:val="-6"/>
                      <w14:textFill>
                        <w14:solidFill>
                          <w14:schemeClr w14:val="tx1"/>
                        </w14:solidFill>
                      </w14:textFill>
                    </w:rPr>
                    <w:t>Q5 3#车间焊接烟尘DA001</w:t>
                  </w:r>
                  <w:r>
                    <w:rPr>
                      <w:rFonts w:hint="eastAsia"/>
                      <w:bCs/>
                      <w:color w:val="000000" w:themeColor="text1"/>
                      <w:spacing w:val="-6"/>
                      <w14:textFill>
                        <w14:solidFill>
                          <w14:schemeClr w14:val="tx1"/>
                        </w14:solidFill>
                      </w14:textFill>
                    </w:rPr>
                    <w:t>出口</w:t>
                  </w:r>
                </w:p>
              </w:tc>
              <w:tc>
                <w:tcPr>
                  <w:tcW w:w="49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颗</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粒</w:t>
                  </w:r>
                </w:p>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物</w:t>
                  </w:r>
                </w:p>
              </w:tc>
              <w:tc>
                <w:tcPr>
                  <w:tcW w:w="64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标干流量</w:t>
                  </w:r>
                </w:p>
              </w:tc>
              <w:tc>
                <w:tcPr>
                  <w:tcW w:w="478"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4884</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4831</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4920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4878</w:t>
                  </w:r>
                </w:p>
              </w:tc>
              <w:tc>
                <w:tcPr>
                  <w:tcW w:w="35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continue"/>
                  <w:vAlign w:val="center"/>
                </w:tcPr>
                <w:p>
                  <w:pPr>
                    <w:pStyle w:val="221"/>
                    <w:rPr>
                      <w:color w:val="000000" w:themeColor="text1"/>
                      <w:kern w:val="2"/>
                      <w14:textFill>
                        <w14:solidFill>
                          <w14:schemeClr w14:val="tx1"/>
                        </w14:solidFill>
                      </w14:textFill>
                    </w:rPr>
                  </w:pPr>
                </w:p>
              </w:tc>
              <w:tc>
                <w:tcPr>
                  <w:tcW w:w="498" w:type="pct"/>
                  <w:vMerge w:val="continue"/>
                  <w:vAlign w:val="center"/>
                </w:tcPr>
                <w:p>
                  <w:pPr>
                    <w:pStyle w:val="221"/>
                    <w:rPr>
                      <w:color w:val="000000" w:themeColor="text1"/>
                      <w:kern w:val="2"/>
                      <w14:textFill>
                        <w14:solidFill>
                          <w14:schemeClr w14:val="tx1"/>
                        </w14:solidFill>
                      </w14:textFill>
                    </w:rPr>
                  </w:pPr>
                </w:p>
              </w:tc>
              <w:tc>
                <w:tcPr>
                  <w:tcW w:w="64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实测浓度</w:t>
                  </w:r>
                </w:p>
              </w:tc>
              <w:tc>
                <w:tcPr>
                  <w:tcW w:w="478"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&lt;20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&lt;20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&lt;20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5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continue"/>
                  <w:vAlign w:val="center"/>
                </w:tcPr>
                <w:p>
                  <w:pPr>
                    <w:pStyle w:val="221"/>
                    <w:rPr>
                      <w:color w:val="000000" w:themeColor="text1"/>
                      <w:kern w:val="2"/>
                      <w14:textFill>
                        <w14:solidFill>
                          <w14:schemeClr w14:val="tx1"/>
                        </w14:solidFill>
                      </w14:textFill>
                    </w:rPr>
                  </w:pPr>
                </w:p>
              </w:tc>
              <w:tc>
                <w:tcPr>
                  <w:tcW w:w="498" w:type="pct"/>
                  <w:vMerge w:val="continue"/>
                  <w:vAlign w:val="center"/>
                </w:tcPr>
                <w:p>
                  <w:pPr>
                    <w:pStyle w:val="221"/>
                    <w:rPr>
                      <w:color w:val="000000" w:themeColor="text1"/>
                      <w:kern w:val="2"/>
                      <w14:textFill>
                        <w14:solidFill>
                          <w14:schemeClr w14:val="tx1"/>
                        </w14:solidFill>
                      </w14:textFill>
                    </w:rPr>
                  </w:pPr>
                </w:p>
              </w:tc>
              <w:tc>
                <w:tcPr>
                  <w:tcW w:w="64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排放速率</w:t>
                  </w:r>
                </w:p>
              </w:tc>
              <w:tc>
                <w:tcPr>
                  <w:tcW w:w="478"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kg/h</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5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restart"/>
                  <w:vAlign w:val="center"/>
                </w:tcPr>
                <w:p>
                  <w:pPr>
                    <w:pStyle w:val="221"/>
                    <w:rPr>
                      <w:color w:val="000000" w:themeColor="text1"/>
                      <w:kern w:val="2"/>
                      <w14:textFill>
                        <w14:solidFill>
                          <w14:schemeClr w14:val="tx1"/>
                        </w14:solidFill>
                      </w14:textFill>
                    </w:rPr>
                  </w:pPr>
                  <w:r>
                    <w:rPr>
                      <w:bCs/>
                      <w:color w:val="000000" w:themeColor="text1"/>
                      <w:spacing w:val="-6"/>
                      <w14:textFill>
                        <w14:solidFill>
                          <w14:schemeClr w14:val="tx1"/>
                        </w14:solidFill>
                      </w14:textFill>
                    </w:rPr>
                    <w:t>Q6 3#车间焊接烟尘DA002</w:t>
                  </w:r>
                  <w:r>
                    <w:rPr>
                      <w:rFonts w:hint="eastAsia"/>
                      <w:bCs/>
                      <w:color w:val="000000" w:themeColor="text1"/>
                      <w:spacing w:val="-6"/>
                      <w14:textFill>
                        <w14:solidFill>
                          <w14:schemeClr w14:val="tx1"/>
                        </w14:solidFill>
                      </w14:textFill>
                    </w:rPr>
                    <w:t>出口</w:t>
                  </w:r>
                </w:p>
              </w:tc>
              <w:tc>
                <w:tcPr>
                  <w:tcW w:w="49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颗</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粒</w:t>
                  </w:r>
                </w:p>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物</w:t>
                  </w:r>
                </w:p>
              </w:tc>
              <w:tc>
                <w:tcPr>
                  <w:tcW w:w="64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标干流量</w:t>
                  </w:r>
                </w:p>
              </w:tc>
              <w:tc>
                <w:tcPr>
                  <w:tcW w:w="478"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2923</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2885</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2880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2896</w:t>
                  </w:r>
                </w:p>
              </w:tc>
              <w:tc>
                <w:tcPr>
                  <w:tcW w:w="35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continue"/>
                  <w:vAlign w:val="center"/>
                </w:tcPr>
                <w:p>
                  <w:pPr>
                    <w:pStyle w:val="221"/>
                    <w:rPr>
                      <w:color w:val="000000" w:themeColor="text1"/>
                      <w:kern w:val="2"/>
                      <w14:textFill>
                        <w14:solidFill>
                          <w14:schemeClr w14:val="tx1"/>
                        </w14:solidFill>
                      </w14:textFill>
                    </w:rPr>
                  </w:pPr>
                </w:p>
              </w:tc>
              <w:tc>
                <w:tcPr>
                  <w:tcW w:w="498" w:type="pct"/>
                  <w:vMerge w:val="continue"/>
                  <w:vAlign w:val="center"/>
                </w:tcPr>
                <w:p>
                  <w:pPr>
                    <w:pStyle w:val="221"/>
                    <w:rPr>
                      <w:color w:val="000000" w:themeColor="text1"/>
                      <w:kern w:val="2"/>
                      <w14:textFill>
                        <w14:solidFill>
                          <w14:schemeClr w14:val="tx1"/>
                        </w14:solidFill>
                      </w14:textFill>
                    </w:rPr>
                  </w:pPr>
                </w:p>
              </w:tc>
              <w:tc>
                <w:tcPr>
                  <w:tcW w:w="64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实测浓度</w:t>
                  </w:r>
                </w:p>
              </w:tc>
              <w:tc>
                <w:tcPr>
                  <w:tcW w:w="478"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&lt;20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&lt;20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&lt;20</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5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Merge w:val="continue"/>
                  <w:vAlign w:val="center"/>
                </w:tcPr>
                <w:p>
                  <w:pPr>
                    <w:pStyle w:val="221"/>
                    <w:rPr>
                      <w:color w:val="000000" w:themeColor="text1"/>
                      <w:kern w:val="2"/>
                      <w14:textFill>
                        <w14:solidFill>
                          <w14:schemeClr w14:val="tx1"/>
                        </w14:solidFill>
                      </w14:textFill>
                    </w:rPr>
                  </w:pPr>
                </w:p>
              </w:tc>
              <w:tc>
                <w:tcPr>
                  <w:tcW w:w="498" w:type="pct"/>
                  <w:vMerge w:val="continue"/>
                  <w:vAlign w:val="center"/>
                </w:tcPr>
                <w:p>
                  <w:pPr>
                    <w:pStyle w:val="221"/>
                    <w:rPr>
                      <w:color w:val="000000" w:themeColor="text1"/>
                      <w:kern w:val="2"/>
                      <w14:textFill>
                        <w14:solidFill>
                          <w14:schemeClr w14:val="tx1"/>
                        </w14:solidFill>
                      </w14:textFill>
                    </w:rPr>
                  </w:pPr>
                </w:p>
              </w:tc>
              <w:tc>
                <w:tcPr>
                  <w:tcW w:w="64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排放速率</w:t>
                  </w:r>
                </w:p>
              </w:tc>
              <w:tc>
                <w:tcPr>
                  <w:tcW w:w="478"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kg/h</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w:t>
                  </w:r>
                </w:p>
              </w:tc>
              <w:tc>
                <w:tcPr>
                  <w:tcW w:w="35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spacing w:val="-42"/>
                <w14:textFill>
                  <w14:solidFill>
                    <w14:schemeClr w14:val="tx1"/>
                  </w14:solidFill>
                </w14:textFill>
              </w:rPr>
              <w:t xml:space="preserve"> </w:t>
            </w:r>
            <w:r>
              <w:rPr>
                <w:rFonts w:eastAsia="Times New Roman"/>
                <w:color w:val="000000" w:themeColor="text1"/>
                <w14:textFill>
                  <w14:solidFill>
                    <w14:schemeClr w14:val="tx1"/>
                  </w14:solidFill>
                </w14:textFill>
              </w:rPr>
              <w:t>2.</w:t>
            </w:r>
            <w:r>
              <w:rPr>
                <w:rFonts w:hint="eastAsia"/>
                <w:color w:val="000000" w:themeColor="text1"/>
                <w14:textFill>
                  <w14:solidFill>
                    <w14:schemeClr w14:val="tx1"/>
                  </w14:solidFill>
                </w14:textFill>
              </w:rPr>
              <w:t>3-7</w:t>
            </w:r>
            <w:r>
              <w:rPr>
                <w:rFonts w:eastAsia="Times New Roman"/>
                <w:color w:val="000000" w:themeColor="text1"/>
                <w14:textFill>
                  <w14:solidFill>
                    <w14:schemeClr w14:val="tx1"/>
                  </w14:solidFill>
                </w14:textFill>
              </w:rPr>
              <w:t xml:space="preserve"> </w:t>
            </w:r>
            <w:r>
              <w:rPr>
                <w:color w:val="000000" w:themeColor="text1"/>
                <w14:textFill>
                  <w14:solidFill>
                    <w14:schemeClr w14:val="tx1"/>
                  </w14:solidFill>
                </w14:textFill>
              </w:rPr>
              <w:t>现有工程无组织废气污染物监测结果一览表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1"/>
              <w:gridCol w:w="835"/>
              <w:gridCol w:w="973"/>
              <w:gridCol w:w="975"/>
              <w:gridCol w:w="695"/>
              <w:gridCol w:w="1253"/>
              <w:gridCol w:w="1254"/>
              <w:gridCol w:w="9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采样点位</w:t>
                  </w:r>
                </w:p>
              </w:tc>
              <w:tc>
                <w:tcPr>
                  <w:tcW w:w="496"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检测项目</w:t>
                  </w:r>
                </w:p>
              </w:tc>
              <w:tc>
                <w:tcPr>
                  <w:tcW w:w="578" w:type="pct"/>
                  <w:vMerge w:val="restar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单位</w:t>
                  </w:r>
                </w:p>
              </w:tc>
              <w:tc>
                <w:tcPr>
                  <w:tcW w:w="2481" w:type="pct"/>
                  <w:gridSpan w:val="4"/>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检测</w:t>
                  </w:r>
                  <w:r>
                    <w:rPr>
                      <w:bCs/>
                      <w:color w:val="000000" w:themeColor="text1"/>
                      <w14:textFill>
                        <w14:solidFill>
                          <w14:schemeClr w14:val="tx1"/>
                        </w14:solidFill>
                      </w14:textFill>
                    </w:rPr>
                    <w:t>数据</w:t>
                  </w:r>
                </w:p>
              </w:tc>
              <w:tc>
                <w:tcPr>
                  <w:tcW w:w="589" w:type="pct"/>
                  <w:vMerge w:val="restart"/>
                  <w:vAlign w:val="center"/>
                </w:tcPr>
                <w:p>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vAlign w:val="center"/>
                </w:tcPr>
                <w:p>
                  <w:pPr>
                    <w:pStyle w:val="221"/>
                    <w:rPr>
                      <w:color w:val="000000" w:themeColor="text1"/>
                      <w:kern w:val="2"/>
                      <w14:textFill>
                        <w14:solidFill>
                          <w14:schemeClr w14:val="tx1"/>
                        </w14:solidFill>
                      </w14:textFill>
                    </w:rPr>
                  </w:pPr>
                </w:p>
              </w:tc>
              <w:tc>
                <w:tcPr>
                  <w:tcW w:w="496" w:type="pct"/>
                  <w:vMerge w:val="continue"/>
                  <w:vAlign w:val="center"/>
                </w:tcPr>
                <w:p>
                  <w:pPr>
                    <w:pStyle w:val="221"/>
                    <w:rPr>
                      <w:color w:val="000000" w:themeColor="text1"/>
                      <w:kern w:val="2"/>
                      <w14:textFill>
                        <w14:solidFill>
                          <w14:schemeClr w14:val="tx1"/>
                        </w14:solidFill>
                      </w14:textFill>
                    </w:rPr>
                  </w:pPr>
                </w:p>
              </w:tc>
              <w:tc>
                <w:tcPr>
                  <w:tcW w:w="578" w:type="pct"/>
                  <w:vMerge w:val="continue"/>
                  <w:vAlign w:val="center"/>
                </w:tcPr>
                <w:p>
                  <w:pPr>
                    <w:pStyle w:val="221"/>
                    <w:rPr>
                      <w:bCs/>
                      <w:color w:val="000000" w:themeColor="text1"/>
                      <w:kern w:val="2"/>
                      <w14:textFill>
                        <w14:solidFill>
                          <w14:schemeClr w14:val="tx1"/>
                        </w14:solidFill>
                      </w14:textFill>
                    </w:rPr>
                  </w:pPr>
                </w:p>
              </w:tc>
              <w:tc>
                <w:tcPr>
                  <w:tcW w:w="57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w:t>
                  </w:r>
                </w:p>
              </w:tc>
              <w:tc>
                <w:tcPr>
                  <w:tcW w:w="413"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w:t>
                  </w:r>
                </w:p>
              </w:tc>
              <w:tc>
                <w:tcPr>
                  <w:tcW w:w="744"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w:t>
                  </w:r>
                </w:p>
              </w:tc>
              <w:tc>
                <w:tcPr>
                  <w:tcW w:w="744" w:type="pct"/>
                  <w:vAlign w:val="center"/>
                </w:tcPr>
                <w:p>
                  <w:pPr>
                    <w:pStyle w:val="221"/>
                    <w:rPr>
                      <w:color w:val="000000" w:themeColor="text1"/>
                      <w:kern w:val="2"/>
                      <w14:textFill>
                        <w14:solidFill>
                          <w14:schemeClr w14:val="tx1"/>
                        </w14:solidFill>
                      </w14:textFill>
                    </w:rPr>
                  </w:pPr>
                  <w:r>
                    <w:rPr>
                      <w:rFonts w:hint="eastAsia" w:ascii="宋体" w:hAnsi="宋体"/>
                      <w:color w:val="000000" w:themeColor="text1"/>
                      <w14:textFill>
                        <w14:solidFill>
                          <w14:schemeClr w14:val="tx1"/>
                        </w14:solidFill>
                      </w14:textFill>
                    </w:rPr>
                    <w:t>最大值</w:t>
                  </w:r>
                </w:p>
              </w:tc>
              <w:tc>
                <w:tcPr>
                  <w:tcW w:w="589" w:type="pct"/>
                  <w:vMerge w:val="continue"/>
                  <w:vAlign w:val="center"/>
                </w:tcPr>
                <w:p>
                  <w:pPr>
                    <w:pStyle w:val="221"/>
                    <w:rPr>
                      <w:rFonts w:hint="eastAsia" w:ascii="宋体" w:hAnsi="宋体"/>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Q1厂界上风向</w:t>
                  </w:r>
                </w:p>
              </w:tc>
              <w:tc>
                <w:tcPr>
                  <w:tcW w:w="496"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颗</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粒</w:t>
                  </w:r>
                </w:p>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物</w:t>
                  </w:r>
                </w:p>
              </w:tc>
              <w:tc>
                <w:tcPr>
                  <w:tcW w:w="578"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579"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0.189</w:t>
                  </w:r>
                </w:p>
              </w:tc>
              <w:tc>
                <w:tcPr>
                  <w:tcW w:w="413"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0.202</w:t>
                  </w:r>
                </w:p>
              </w:tc>
              <w:tc>
                <w:tcPr>
                  <w:tcW w:w="744"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0.196</w:t>
                  </w:r>
                </w:p>
              </w:tc>
              <w:tc>
                <w:tcPr>
                  <w:tcW w:w="744" w:type="pct"/>
                  <w:vMerge w:val="restart"/>
                  <w:vAlign w:val="center"/>
                </w:tcPr>
                <w:p>
                  <w:pPr>
                    <w:pStyle w:val="221"/>
                    <w:rPr>
                      <w:bCs/>
                      <w:color w:val="000000" w:themeColor="text1"/>
                      <w:kern w:val="2"/>
                      <w14:textFill>
                        <w14:solidFill>
                          <w14:schemeClr w14:val="tx1"/>
                        </w14:solidFill>
                      </w14:textFill>
                    </w:rPr>
                  </w:pPr>
                  <w:r>
                    <w:rPr>
                      <w:rFonts w:hint="eastAsia"/>
                      <w:bCs/>
                      <w:color w:val="000000" w:themeColor="text1"/>
                      <w14:textFill>
                        <w14:solidFill>
                          <w14:schemeClr w14:val="tx1"/>
                        </w14:solidFill>
                      </w14:textFill>
                    </w:rPr>
                    <w:t>0.273</w:t>
                  </w:r>
                </w:p>
              </w:tc>
              <w:tc>
                <w:tcPr>
                  <w:tcW w:w="589" w:type="pct"/>
                  <w:vMerge w:val="restart"/>
                  <w:vAlign w:val="center"/>
                </w:tcPr>
                <w:p>
                  <w:pPr>
                    <w:pStyle w:val="221"/>
                    <w:rPr>
                      <w:bCs/>
                      <w:color w:val="000000" w:themeColor="text1"/>
                      <w14:textFill>
                        <w14:solidFill>
                          <w14:schemeClr w14:val="tx1"/>
                        </w14:solidFill>
                      </w14:textFill>
                    </w:rPr>
                  </w:pPr>
                </w:p>
                <w:p>
                  <w:pPr>
                    <w:pStyle w:val="221"/>
                    <w:rPr>
                      <w:bCs/>
                      <w:color w:val="000000" w:themeColor="text1"/>
                      <w14:textFill>
                        <w14:solidFill>
                          <w14:schemeClr w14:val="tx1"/>
                        </w14:solidFill>
                      </w14:textFill>
                    </w:rPr>
                  </w:pPr>
                </w:p>
                <w:p>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Q2厂界下风向</w:t>
                  </w:r>
                </w:p>
              </w:tc>
              <w:tc>
                <w:tcPr>
                  <w:tcW w:w="496" w:type="pct"/>
                  <w:vMerge w:val="continue"/>
                  <w:vAlign w:val="center"/>
                </w:tcPr>
                <w:p>
                  <w:pPr>
                    <w:pStyle w:val="221"/>
                    <w:rPr>
                      <w:color w:val="000000" w:themeColor="text1"/>
                      <w:kern w:val="2"/>
                      <w14:textFill>
                        <w14:solidFill>
                          <w14:schemeClr w14:val="tx1"/>
                        </w14:solidFill>
                      </w14:textFill>
                    </w:rPr>
                  </w:pPr>
                </w:p>
              </w:tc>
              <w:tc>
                <w:tcPr>
                  <w:tcW w:w="578" w:type="pct"/>
                  <w:vMerge w:val="continue"/>
                  <w:vAlign w:val="center"/>
                </w:tcPr>
                <w:p>
                  <w:pPr>
                    <w:pStyle w:val="221"/>
                    <w:rPr>
                      <w:color w:val="000000" w:themeColor="text1"/>
                      <w:kern w:val="2"/>
                      <w14:textFill>
                        <w14:solidFill>
                          <w14:schemeClr w14:val="tx1"/>
                        </w14:solidFill>
                      </w14:textFill>
                    </w:rPr>
                  </w:pPr>
                </w:p>
              </w:tc>
              <w:tc>
                <w:tcPr>
                  <w:tcW w:w="579"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0.242</w:t>
                  </w:r>
                </w:p>
              </w:tc>
              <w:tc>
                <w:tcPr>
                  <w:tcW w:w="413"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0.264</w:t>
                  </w:r>
                </w:p>
              </w:tc>
              <w:tc>
                <w:tcPr>
                  <w:tcW w:w="744"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0.229</w:t>
                  </w:r>
                </w:p>
              </w:tc>
              <w:tc>
                <w:tcPr>
                  <w:tcW w:w="744" w:type="pct"/>
                  <w:vMerge w:val="continue"/>
                  <w:vAlign w:val="center"/>
                </w:tcPr>
                <w:p>
                  <w:pPr>
                    <w:pStyle w:val="221"/>
                    <w:rPr>
                      <w:b/>
                      <w:bCs/>
                      <w:color w:val="000000" w:themeColor="text1"/>
                      <w:kern w:val="2"/>
                      <w14:textFill>
                        <w14:solidFill>
                          <w14:schemeClr w14:val="tx1"/>
                        </w14:solidFill>
                      </w14:textFill>
                    </w:rPr>
                  </w:pPr>
                </w:p>
              </w:tc>
              <w:tc>
                <w:tcPr>
                  <w:tcW w:w="589" w:type="pct"/>
                  <w:vMerge w:val="continue"/>
                  <w:vAlign w:val="center"/>
                </w:tcPr>
                <w:p>
                  <w:pPr>
                    <w:pStyle w:val="221"/>
                    <w:rPr>
                      <w:b/>
                      <w:bCs/>
                      <w:color w:val="000000" w:themeColor="text1"/>
                      <w:kern w:val="2"/>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Q3厂界下风向</w:t>
                  </w:r>
                </w:p>
              </w:tc>
              <w:tc>
                <w:tcPr>
                  <w:tcW w:w="496" w:type="pct"/>
                  <w:vMerge w:val="continue"/>
                  <w:vAlign w:val="center"/>
                </w:tcPr>
                <w:p>
                  <w:pPr>
                    <w:pStyle w:val="221"/>
                    <w:rPr>
                      <w:color w:val="000000" w:themeColor="text1"/>
                      <w:kern w:val="2"/>
                      <w14:textFill>
                        <w14:solidFill>
                          <w14:schemeClr w14:val="tx1"/>
                        </w14:solidFill>
                      </w14:textFill>
                    </w:rPr>
                  </w:pPr>
                </w:p>
              </w:tc>
              <w:tc>
                <w:tcPr>
                  <w:tcW w:w="578" w:type="pct"/>
                  <w:vMerge w:val="continue"/>
                  <w:vAlign w:val="center"/>
                </w:tcPr>
                <w:p>
                  <w:pPr>
                    <w:pStyle w:val="221"/>
                    <w:rPr>
                      <w:color w:val="000000" w:themeColor="text1"/>
                      <w:kern w:val="2"/>
                      <w14:textFill>
                        <w14:solidFill>
                          <w14:schemeClr w14:val="tx1"/>
                        </w14:solidFill>
                      </w14:textFill>
                    </w:rPr>
                  </w:pPr>
                </w:p>
              </w:tc>
              <w:tc>
                <w:tcPr>
                  <w:tcW w:w="579"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0.273</w:t>
                  </w:r>
                </w:p>
              </w:tc>
              <w:tc>
                <w:tcPr>
                  <w:tcW w:w="413"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0.233</w:t>
                  </w:r>
                </w:p>
              </w:tc>
              <w:tc>
                <w:tcPr>
                  <w:tcW w:w="744"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0.209</w:t>
                  </w:r>
                </w:p>
              </w:tc>
              <w:tc>
                <w:tcPr>
                  <w:tcW w:w="744" w:type="pct"/>
                  <w:vMerge w:val="continue"/>
                  <w:vAlign w:val="center"/>
                </w:tcPr>
                <w:p>
                  <w:pPr>
                    <w:pStyle w:val="221"/>
                    <w:rPr>
                      <w:b/>
                      <w:bCs/>
                      <w:color w:val="000000" w:themeColor="text1"/>
                      <w:kern w:val="2"/>
                      <w14:textFill>
                        <w14:solidFill>
                          <w14:schemeClr w14:val="tx1"/>
                        </w14:solidFill>
                      </w14:textFill>
                    </w:rPr>
                  </w:pPr>
                </w:p>
              </w:tc>
              <w:tc>
                <w:tcPr>
                  <w:tcW w:w="589" w:type="pct"/>
                  <w:vMerge w:val="continue"/>
                  <w:vAlign w:val="center"/>
                </w:tcPr>
                <w:p>
                  <w:pPr>
                    <w:pStyle w:val="221"/>
                    <w:rPr>
                      <w:b/>
                      <w:bCs/>
                      <w:color w:val="000000" w:themeColor="text1"/>
                      <w:kern w:val="2"/>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Q4厂界下风向</w:t>
                  </w:r>
                </w:p>
              </w:tc>
              <w:tc>
                <w:tcPr>
                  <w:tcW w:w="496" w:type="pct"/>
                  <w:vMerge w:val="continue"/>
                  <w:vAlign w:val="center"/>
                </w:tcPr>
                <w:p>
                  <w:pPr>
                    <w:pStyle w:val="221"/>
                    <w:rPr>
                      <w:color w:val="000000" w:themeColor="text1"/>
                      <w:kern w:val="2"/>
                      <w14:textFill>
                        <w14:solidFill>
                          <w14:schemeClr w14:val="tx1"/>
                        </w14:solidFill>
                      </w14:textFill>
                    </w:rPr>
                  </w:pPr>
                </w:p>
              </w:tc>
              <w:tc>
                <w:tcPr>
                  <w:tcW w:w="578" w:type="pct"/>
                  <w:vMerge w:val="continue"/>
                  <w:vAlign w:val="center"/>
                </w:tcPr>
                <w:p>
                  <w:pPr>
                    <w:pStyle w:val="221"/>
                    <w:rPr>
                      <w:color w:val="000000" w:themeColor="text1"/>
                      <w:kern w:val="2"/>
                      <w14:textFill>
                        <w14:solidFill>
                          <w14:schemeClr w14:val="tx1"/>
                        </w14:solidFill>
                      </w14:textFill>
                    </w:rPr>
                  </w:pPr>
                </w:p>
              </w:tc>
              <w:tc>
                <w:tcPr>
                  <w:tcW w:w="579"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0.217</w:t>
                  </w:r>
                </w:p>
              </w:tc>
              <w:tc>
                <w:tcPr>
                  <w:tcW w:w="413"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0.257</w:t>
                  </w:r>
                </w:p>
              </w:tc>
              <w:tc>
                <w:tcPr>
                  <w:tcW w:w="744" w:type="pct"/>
                  <w:vAlign w:val="center"/>
                </w:tcPr>
                <w:p>
                  <w:pPr>
                    <w:pStyle w:val="221"/>
                    <w:rPr>
                      <w:bCs/>
                      <w:color w:val="000000" w:themeColor="text1"/>
                      <w:kern w:val="2"/>
                      <w14:textFill>
                        <w14:solidFill>
                          <w14:schemeClr w14:val="tx1"/>
                        </w14:solidFill>
                      </w14:textFill>
                    </w:rPr>
                  </w:pPr>
                  <w:r>
                    <w:rPr>
                      <w:bCs/>
                      <w:color w:val="000000" w:themeColor="text1"/>
                      <w14:textFill>
                        <w14:solidFill>
                          <w14:schemeClr w14:val="tx1"/>
                        </w14:solidFill>
                      </w14:textFill>
                    </w:rPr>
                    <w:t>0.227</w:t>
                  </w:r>
                </w:p>
              </w:tc>
              <w:tc>
                <w:tcPr>
                  <w:tcW w:w="744" w:type="pct"/>
                  <w:vMerge w:val="continue"/>
                  <w:vAlign w:val="center"/>
                </w:tcPr>
                <w:p>
                  <w:pPr>
                    <w:pStyle w:val="221"/>
                    <w:rPr>
                      <w:b/>
                      <w:bCs/>
                      <w:color w:val="000000" w:themeColor="text1"/>
                      <w:kern w:val="2"/>
                      <w14:textFill>
                        <w14:solidFill>
                          <w14:schemeClr w14:val="tx1"/>
                        </w14:solidFill>
                      </w14:textFill>
                    </w:rPr>
                  </w:pPr>
                </w:p>
              </w:tc>
              <w:tc>
                <w:tcPr>
                  <w:tcW w:w="589" w:type="pct"/>
                  <w:vMerge w:val="continue"/>
                  <w:vAlign w:val="center"/>
                </w:tcPr>
                <w:p>
                  <w:pPr>
                    <w:pStyle w:val="221"/>
                    <w:rPr>
                      <w:b/>
                      <w:bCs/>
                      <w:color w:val="000000" w:themeColor="text1"/>
                      <w:kern w:val="2"/>
                      <w14:textFill>
                        <w14:solidFill>
                          <w14:schemeClr w14:val="tx1"/>
                        </w14:solidFill>
                      </w14:textFill>
                    </w:rPr>
                  </w:pPr>
                </w:p>
              </w:tc>
            </w:tr>
          </w:tbl>
          <w:p>
            <w:pPr>
              <w:pStyle w:val="172"/>
              <w:spacing w:after="0" w:line="360" w:lineRule="auto"/>
              <w:ind w:firstLine="472" w:firstLineChars="20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根据监测结果表明，颗粒物有组织及无组织排放</w:t>
            </w:r>
            <w:r>
              <w:rPr>
                <w:rFonts w:ascii="Times New Roman" w:hAnsi="Times New Roman" w:cs="Times New Roman"/>
                <w:color w:val="000000" w:themeColor="text1"/>
                <w:spacing w:val="-3"/>
                <w:lang w:eastAsia="zh-CN"/>
                <w14:textFill>
                  <w14:solidFill>
                    <w14:schemeClr w14:val="tx1"/>
                  </w14:solidFill>
                </w14:textFill>
              </w:rPr>
              <w:t>浓度均可满足《大气污染物</w:t>
            </w:r>
            <w:r>
              <w:rPr>
                <w:rFonts w:ascii="Times New Roman" w:hAnsi="Times New Roman" w:cs="Times New Roman"/>
                <w:color w:val="000000" w:themeColor="text1"/>
                <w:spacing w:val="-5"/>
                <w:lang w:eastAsia="zh-CN"/>
                <w14:textFill>
                  <w14:solidFill>
                    <w14:schemeClr w14:val="tx1"/>
                  </w14:solidFill>
                </w14:textFill>
              </w:rPr>
              <w:t>综合排放标准》（</w:t>
            </w:r>
            <w:r>
              <w:rPr>
                <w:rFonts w:ascii="Times New Roman" w:hAnsi="Times New Roman" w:eastAsia="Times New Roman" w:cs="Times New Roman"/>
                <w:color w:val="000000" w:themeColor="text1"/>
                <w:spacing w:val="-5"/>
                <w:lang w:eastAsia="zh-CN"/>
                <w14:textFill>
                  <w14:solidFill>
                    <w14:schemeClr w14:val="tx1"/>
                  </w14:solidFill>
                </w14:textFill>
              </w:rPr>
              <w:t>GB16297-1996</w:t>
            </w:r>
            <w:r>
              <w:rPr>
                <w:rFonts w:ascii="Times New Roman" w:hAnsi="Times New Roman" w:cs="Times New Roman"/>
                <w:color w:val="000000" w:themeColor="text1"/>
                <w:spacing w:val="-5"/>
                <w:lang w:eastAsia="zh-CN"/>
                <w14:textFill>
                  <w14:solidFill>
                    <w14:schemeClr w14:val="tx1"/>
                  </w14:solidFill>
                </w14:textFill>
              </w:rPr>
              <w:t>）中的表</w:t>
            </w:r>
            <w:r>
              <w:rPr>
                <w:rFonts w:hint="eastAsia" w:ascii="Times New Roman" w:hAnsi="Times New Roman" w:cs="Times New Roman"/>
                <w:color w:val="000000" w:themeColor="text1"/>
                <w:spacing w:val="-5"/>
                <w:lang w:eastAsia="zh-CN"/>
                <w14:textFill>
                  <w14:solidFill>
                    <w14:schemeClr w14:val="tx1"/>
                  </w14:solidFill>
                </w14:textFill>
              </w:rPr>
              <w:t>2</w:t>
            </w:r>
            <w:r>
              <w:rPr>
                <w:rFonts w:ascii="Times New Roman" w:hAnsi="Times New Roman" w:cs="Times New Roman"/>
                <w:color w:val="000000" w:themeColor="text1"/>
                <w:spacing w:val="-5"/>
                <w:lang w:eastAsia="zh-CN"/>
                <w14:textFill>
                  <w14:solidFill>
                    <w14:schemeClr w14:val="tx1"/>
                  </w14:solidFill>
                </w14:textFill>
              </w:rPr>
              <w:t>二级排放标准。</w:t>
            </w:r>
          </w:p>
          <w:p>
            <w:pPr>
              <w:pStyle w:val="172"/>
              <w:spacing w:after="0" w:line="360" w:lineRule="auto"/>
              <w:ind w:firstLine="460" w:firstLineChars="20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5"/>
                <w:lang w:eastAsia="zh-CN"/>
                <w14:textFill>
                  <w14:solidFill>
                    <w14:schemeClr w14:val="tx1"/>
                  </w14:solidFill>
                </w14:textFill>
              </w:rPr>
              <w:t>（</w:t>
            </w:r>
            <w:r>
              <w:rPr>
                <w:rFonts w:ascii="Times New Roman" w:hAnsi="Times New Roman" w:eastAsia="Times New Roman" w:cs="Times New Roman"/>
                <w:color w:val="000000" w:themeColor="text1"/>
                <w:spacing w:val="-5"/>
                <w:lang w:eastAsia="zh-CN"/>
                <w14:textFill>
                  <w14:solidFill>
                    <w14:schemeClr w14:val="tx1"/>
                  </w14:solidFill>
                </w14:textFill>
              </w:rPr>
              <w:t>3</w:t>
            </w:r>
            <w:r>
              <w:rPr>
                <w:rFonts w:ascii="Times New Roman" w:hAnsi="Times New Roman" w:cs="Times New Roman"/>
                <w:color w:val="000000" w:themeColor="text1"/>
                <w:spacing w:val="-5"/>
                <w:lang w:eastAsia="zh-CN"/>
                <w14:textFill>
                  <w14:solidFill>
                    <w14:schemeClr w14:val="tx1"/>
                  </w14:solidFill>
                </w14:textFill>
              </w:rPr>
              <w:t>）噪声</w:t>
            </w:r>
          </w:p>
          <w:p>
            <w:pPr>
              <w:pStyle w:val="172"/>
              <w:spacing w:after="0" w:line="360" w:lineRule="auto"/>
              <w:ind w:firstLine="480"/>
              <w:rPr>
                <w:rFonts w:ascii="Times New Roman" w:hAnsi="Times New Roman" w:cs="Times New Roman"/>
                <w:color w:val="000000" w:themeColor="text1"/>
                <w:spacing w:val="-3"/>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根据</w:t>
            </w:r>
            <w:r>
              <w:rPr>
                <w:rFonts w:ascii="Times New Roman" w:hAnsi="Times New Roman" w:cs="Times New Roman"/>
                <w:color w:val="000000" w:themeColor="text1"/>
                <w:spacing w:val="-6"/>
                <w:lang w:eastAsia="zh-CN"/>
                <w14:textFill>
                  <w14:solidFill>
                    <w14:schemeClr w14:val="tx1"/>
                  </w14:solidFill>
                </w14:textFill>
              </w:rPr>
              <w:t>福建安谱环境检测技术有限公司于</w:t>
            </w:r>
            <w:r>
              <w:rPr>
                <w:rFonts w:ascii="Times New Roman" w:hAnsi="Times New Roman" w:cs="Times New Roman"/>
                <w:color w:val="000000" w:themeColor="text1"/>
                <w:spacing w:val="-55"/>
                <w:lang w:eastAsia="zh-CN"/>
                <w14:textFill>
                  <w14:solidFill>
                    <w14:schemeClr w14:val="tx1"/>
                  </w14:solidFill>
                </w14:textFill>
              </w:rPr>
              <w:t xml:space="preserve"> </w:t>
            </w:r>
            <w:r>
              <w:rPr>
                <w:rFonts w:ascii="Times New Roman" w:hAnsi="Times New Roman" w:eastAsia="Times New Roman" w:cs="Times New Roman"/>
                <w:color w:val="000000" w:themeColor="text1"/>
                <w:spacing w:val="-6"/>
                <w:lang w:eastAsia="zh-CN"/>
                <w14:textFill>
                  <w14:solidFill>
                    <w14:schemeClr w14:val="tx1"/>
                  </w14:solidFill>
                </w14:textFill>
              </w:rPr>
              <w:t>202</w:t>
            </w:r>
            <w:r>
              <w:rPr>
                <w:rFonts w:hint="eastAsia" w:ascii="Times New Roman" w:hAnsi="Times New Roman" w:cs="Times New Roman"/>
                <w:color w:val="000000" w:themeColor="text1"/>
                <w:spacing w:val="-6"/>
                <w:lang w:eastAsia="zh-CN"/>
                <w14:textFill>
                  <w14:solidFill>
                    <w14:schemeClr w14:val="tx1"/>
                  </w14:solidFill>
                </w14:textFill>
              </w:rPr>
              <w:t>4</w:t>
            </w:r>
            <w:r>
              <w:rPr>
                <w:rFonts w:ascii="Times New Roman" w:hAnsi="Times New Roman" w:eastAsia="Times New Roman" w:cs="Times New Roman"/>
                <w:color w:val="000000" w:themeColor="text1"/>
                <w:spacing w:val="-6"/>
                <w:lang w:eastAsia="zh-CN"/>
                <w14:textFill>
                  <w14:solidFill>
                    <w14:schemeClr w14:val="tx1"/>
                  </w14:solidFill>
                </w14:textFill>
              </w:rPr>
              <w:t xml:space="preserve"> </w:t>
            </w:r>
            <w:r>
              <w:rPr>
                <w:rFonts w:ascii="Times New Roman" w:hAnsi="Times New Roman" w:cs="Times New Roman"/>
                <w:color w:val="000000" w:themeColor="text1"/>
                <w:spacing w:val="-6"/>
                <w:lang w:eastAsia="zh-CN"/>
                <w14:textFill>
                  <w14:solidFill>
                    <w14:schemeClr w14:val="tx1"/>
                  </w14:solidFill>
                </w14:textFill>
              </w:rPr>
              <w:t>年</w:t>
            </w:r>
            <w:r>
              <w:rPr>
                <w:rFonts w:hint="eastAsia" w:ascii="Times New Roman" w:hAnsi="Times New Roman" w:cs="Times New Roman"/>
                <w:color w:val="000000" w:themeColor="text1"/>
                <w:spacing w:val="-6"/>
                <w:lang w:eastAsia="zh-CN"/>
                <w14:textFill>
                  <w14:solidFill>
                    <w14:schemeClr w14:val="tx1"/>
                  </w14:solidFill>
                </w14:textFill>
              </w:rPr>
              <w:t>10</w:t>
            </w:r>
            <w:r>
              <w:rPr>
                <w:rFonts w:ascii="Times New Roman" w:hAnsi="Times New Roman" w:cs="Times New Roman"/>
                <w:color w:val="000000" w:themeColor="text1"/>
                <w:spacing w:val="-6"/>
                <w:lang w:eastAsia="zh-CN"/>
                <w14:textFill>
                  <w14:solidFill>
                    <w14:schemeClr w14:val="tx1"/>
                  </w14:solidFill>
                </w14:textFill>
              </w:rPr>
              <w:t>月</w:t>
            </w:r>
            <w:r>
              <w:rPr>
                <w:rFonts w:hint="eastAsia" w:ascii="Times New Roman" w:hAnsi="Times New Roman" w:cs="Times New Roman"/>
                <w:color w:val="000000" w:themeColor="text1"/>
                <w:spacing w:val="-6"/>
                <w:lang w:eastAsia="zh-CN"/>
                <w14:textFill>
                  <w14:solidFill>
                    <w14:schemeClr w14:val="tx1"/>
                  </w14:solidFill>
                </w14:textFill>
              </w:rPr>
              <w:t>15</w:t>
            </w:r>
            <w:r>
              <w:rPr>
                <w:rFonts w:ascii="Times New Roman" w:hAnsi="Times New Roman" w:eastAsia="Times New Roman" w:cs="Times New Roman"/>
                <w:color w:val="000000" w:themeColor="text1"/>
                <w:spacing w:val="-6"/>
                <w:lang w:eastAsia="zh-CN"/>
                <w14:textFill>
                  <w14:solidFill>
                    <w14:schemeClr w14:val="tx1"/>
                  </w14:solidFill>
                </w14:textFill>
              </w:rPr>
              <w:t xml:space="preserve"> </w:t>
            </w:r>
            <w:r>
              <w:rPr>
                <w:rFonts w:ascii="Times New Roman" w:hAnsi="Times New Roman" w:cs="Times New Roman"/>
                <w:color w:val="000000" w:themeColor="text1"/>
                <w:spacing w:val="-6"/>
                <w:lang w:eastAsia="zh-CN"/>
                <w14:textFill>
                  <w14:solidFill>
                    <w14:schemeClr w14:val="tx1"/>
                  </w14:solidFill>
                </w14:textFill>
              </w:rPr>
              <w:t>日</w:t>
            </w:r>
            <w:r>
              <w:rPr>
                <w:rFonts w:ascii="Times New Roman" w:hAnsi="Times New Roman" w:eastAsia="Times New Roman" w:cs="Times New Roman"/>
                <w:color w:val="000000" w:themeColor="text1"/>
                <w:spacing w:val="-7"/>
                <w:lang w:eastAsia="zh-CN"/>
                <w14:textFill>
                  <w14:solidFill>
                    <w14:schemeClr w14:val="tx1"/>
                  </w14:solidFill>
                </w14:textFill>
              </w:rPr>
              <w:t>-</w:t>
            </w:r>
            <w:r>
              <w:rPr>
                <w:rFonts w:hint="eastAsia" w:ascii="Times New Roman" w:hAnsi="Times New Roman" w:cs="Times New Roman"/>
                <w:color w:val="000000" w:themeColor="text1"/>
                <w:spacing w:val="-7"/>
                <w:lang w:eastAsia="zh-CN"/>
                <w14:textFill>
                  <w14:solidFill>
                    <w14:schemeClr w14:val="tx1"/>
                  </w14:solidFill>
                </w14:textFill>
              </w:rPr>
              <w:t>16</w:t>
            </w:r>
            <w:r>
              <w:rPr>
                <w:rFonts w:ascii="Times New Roman" w:hAnsi="Times New Roman" w:cs="Times New Roman"/>
                <w:color w:val="000000" w:themeColor="text1"/>
                <w:spacing w:val="-7"/>
                <w:lang w:eastAsia="zh-CN"/>
                <w14:textFill>
                  <w14:solidFill>
                    <w14:schemeClr w14:val="tx1"/>
                  </w14:solidFill>
                </w14:textFill>
              </w:rPr>
              <w:t>日</w:t>
            </w:r>
            <w:r>
              <w:rPr>
                <w:rFonts w:ascii="Times New Roman" w:hAnsi="Times New Roman" w:cs="Times New Roman"/>
                <w:color w:val="000000" w:themeColor="text1"/>
                <w:spacing w:val="-2"/>
                <w:lang w:eastAsia="zh-CN"/>
                <w14:textFill>
                  <w14:solidFill>
                    <w14:schemeClr w14:val="tx1"/>
                  </w14:solidFill>
                </w14:textFill>
              </w:rPr>
              <w:t>对厂界及敏感点的噪声监测结果</w:t>
            </w:r>
            <w:r>
              <w:rPr>
                <w:rFonts w:ascii="Times New Roman" w:hAnsi="Times New Roman" w:cs="Times New Roman"/>
                <w:color w:val="000000" w:themeColor="text1"/>
                <w:spacing w:val="-4"/>
                <w:lang w:eastAsia="zh-CN"/>
                <w14:textFill>
                  <w14:solidFill>
                    <w14:schemeClr w14:val="tx1"/>
                  </w14:solidFill>
                </w14:textFill>
              </w:rPr>
              <w:t>详</w:t>
            </w:r>
            <w:r>
              <w:rPr>
                <w:rFonts w:ascii="Times New Roman" w:hAnsi="Times New Roman" w:cs="Times New Roman"/>
                <w:color w:val="000000" w:themeColor="text1"/>
                <w:spacing w:val="-3"/>
                <w:lang w:eastAsia="zh-CN"/>
                <w14:textFill>
                  <w14:solidFill>
                    <w14:schemeClr w14:val="tx1"/>
                  </w14:solidFill>
                </w14:textFill>
              </w:rPr>
              <w:t>见表</w:t>
            </w:r>
            <w:r>
              <w:rPr>
                <w:rFonts w:ascii="Times New Roman" w:hAnsi="Times New Roman" w:cs="Times New Roman"/>
                <w:color w:val="000000" w:themeColor="text1"/>
                <w:spacing w:val="-50"/>
                <w:lang w:eastAsia="zh-CN"/>
                <w14:textFill>
                  <w14:solidFill>
                    <w14:schemeClr w14:val="tx1"/>
                  </w14:solidFill>
                </w14:textFill>
              </w:rPr>
              <w:t xml:space="preserve"> </w:t>
            </w:r>
            <w:r>
              <w:rPr>
                <w:rFonts w:hint="eastAsia" w:ascii="Times New Roman" w:hAnsi="Times New Roman" w:cs="Times New Roman"/>
                <w:color w:val="000000" w:themeColor="text1"/>
                <w:spacing w:val="-3"/>
                <w:lang w:eastAsia="zh-CN"/>
                <w14:textFill>
                  <w14:solidFill>
                    <w14:schemeClr w14:val="tx1"/>
                  </w14:solidFill>
                </w14:textFill>
              </w:rPr>
              <w:t>2.3-8</w:t>
            </w:r>
            <w:r>
              <w:rPr>
                <w:rFonts w:ascii="Times New Roman" w:hAnsi="Times New Roman" w:cs="Times New Roman"/>
                <w:color w:val="000000" w:themeColor="text1"/>
                <w:spacing w:val="-3"/>
                <w:lang w:eastAsia="zh-CN"/>
                <w14:textFill>
                  <w14:solidFill>
                    <w14:schemeClr w14:val="tx1"/>
                  </w14:solidFill>
                </w14:textFill>
              </w:rPr>
              <w:t>。</w:t>
            </w:r>
            <w:r>
              <w:rPr>
                <w:rFonts w:ascii="Times New Roman" w:hAnsi="Times New Roman" w:cs="Times New Roman"/>
                <w:color w:val="000000" w:themeColor="text1"/>
                <w:spacing w:val="-2"/>
                <w:lang w:eastAsia="zh-CN"/>
                <w14:textFill>
                  <w14:solidFill>
                    <w14:schemeClr w14:val="tx1"/>
                  </w14:solidFill>
                </w14:textFill>
              </w:rPr>
              <w:t>（监测报告见附件</w:t>
            </w:r>
            <w:r>
              <w:rPr>
                <w:rFonts w:ascii="Times New Roman" w:hAnsi="Times New Roman" w:cs="Times New Roman"/>
                <w:color w:val="000000" w:themeColor="text1"/>
                <w:spacing w:val="-31"/>
                <w:lang w:eastAsia="zh-CN"/>
                <w14:textFill>
                  <w14:solidFill>
                    <w14:schemeClr w14:val="tx1"/>
                  </w14:solidFill>
                </w14:textFill>
              </w:rPr>
              <w:t xml:space="preserve"> </w:t>
            </w:r>
            <w:r>
              <w:rPr>
                <w:rFonts w:ascii="Times New Roman" w:hAnsi="Times New Roman" w:eastAsia="Times New Roman" w:cs="Times New Roman"/>
                <w:color w:val="000000" w:themeColor="text1"/>
                <w:spacing w:val="-2"/>
                <w:lang w:eastAsia="zh-CN"/>
                <w14:textFill>
                  <w14:solidFill>
                    <w14:schemeClr w14:val="tx1"/>
                  </w14:solidFill>
                </w14:textFill>
              </w:rPr>
              <w:t>1</w:t>
            </w:r>
            <w:r>
              <w:rPr>
                <w:rFonts w:hint="eastAsia" w:ascii="Times New Roman" w:hAnsi="Times New Roman" w:cs="Times New Roman"/>
                <w:color w:val="000000" w:themeColor="text1"/>
                <w:spacing w:val="-2"/>
                <w:lang w:eastAsia="zh-CN"/>
                <w14:textFill>
                  <w14:solidFill>
                    <w14:schemeClr w14:val="tx1"/>
                  </w14:solidFill>
                </w14:textFill>
              </w:rPr>
              <w:t>1</w:t>
            </w:r>
            <w:r>
              <w:rPr>
                <w:rFonts w:ascii="Times New Roman" w:hAnsi="Times New Roman" w:cs="Times New Roman"/>
                <w:color w:val="000000" w:themeColor="text1"/>
                <w:spacing w:val="-49"/>
                <w:lang w:eastAsia="zh-CN"/>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2.3-8 厂界及敏感点</w:t>
            </w:r>
            <w:r>
              <w:rPr>
                <w:color w:val="000000" w:themeColor="text1"/>
                <w14:textFill>
                  <w14:solidFill>
                    <w14:schemeClr w14:val="tx1"/>
                  </w14:solidFill>
                </w14:textFill>
              </w:rPr>
              <w:t>噪声监测结果一览表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787"/>
              <w:gridCol w:w="2397"/>
              <w:gridCol w:w="1053"/>
              <w:gridCol w:w="1610"/>
              <w:gridCol w:w="14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检测日期</w:t>
                  </w:r>
                </w:p>
              </w:tc>
              <w:tc>
                <w:tcPr>
                  <w:tcW w:w="51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检测</w:t>
                  </w:r>
                </w:p>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时段</w:t>
                  </w: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检测点位</w:t>
                  </w:r>
                </w:p>
              </w:tc>
              <w:tc>
                <w:tcPr>
                  <w:tcW w:w="671"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单位</w:t>
                  </w: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检测数据（L</w:t>
                  </w:r>
                  <w:r>
                    <w:rPr>
                      <w:color w:val="000000" w:themeColor="text1"/>
                      <w:vertAlign w:val="subscript"/>
                      <w14:textFill>
                        <w14:solidFill>
                          <w14:schemeClr w14:val="tx1"/>
                        </w14:solidFill>
                      </w14:textFill>
                    </w:rPr>
                    <w:t>eq</w:t>
                  </w:r>
                  <w:r>
                    <w:rPr>
                      <w:color w:val="000000" w:themeColor="text1"/>
                      <w14:textFill>
                        <w14:solidFill>
                          <w14:schemeClr w14:val="tx1"/>
                        </w14:solidFill>
                      </w14:textFill>
                    </w:rPr>
                    <w:t>）</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限值（L</w:t>
                  </w:r>
                  <w:r>
                    <w:rPr>
                      <w:color w:val="000000" w:themeColor="text1"/>
                      <w:vertAlign w:val="subscript"/>
                      <w14:textFill>
                        <w14:solidFill>
                          <w14:schemeClr w14:val="tx1"/>
                        </w14:solidFill>
                      </w14:textFill>
                    </w:rPr>
                    <w:t>eq</w:t>
                  </w:r>
                  <w:r>
                    <w:rPr>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2024.10.15</w:t>
                  </w:r>
                </w:p>
              </w:tc>
              <w:tc>
                <w:tcPr>
                  <w:tcW w:w="514" w:type="pct"/>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夜间</w:t>
                  </w: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Z1厂界东侧外1m</w:t>
                  </w:r>
                </w:p>
              </w:tc>
              <w:tc>
                <w:tcPr>
                  <w:tcW w:w="671"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dB（A）</w:t>
                  </w: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48.4</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Z2厂界南侧外1m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49.5</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Z3厂界西侧外1m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54.3</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Z4厂界北侧外1m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53.4</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Z5下底埔</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42.3</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2024.10.16</w:t>
                  </w:r>
                </w:p>
              </w:tc>
              <w:tc>
                <w:tcPr>
                  <w:tcW w:w="514" w:type="pct"/>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昼间</w:t>
                  </w: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Z1厂界东侧外1m</w:t>
                  </w:r>
                </w:p>
              </w:tc>
              <w:tc>
                <w:tcPr>
                  <w:tcW w:w="671"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dB（A）</w:t>
                  </w: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54.3</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Z2厂界南侧外1m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56.5</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Z3厂界西侧外1m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68.1</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Z4厂界北侧外1m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61.2</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rPr>
                      <w:color w:val="000000" w:themeColor="text1"/>
                      <w:kern w:val="2"/>
                      <w14:textFill>
                        <w14:solidFill>
                          <w14:schemeClr w14:val="tx1"/>
                        </w14:solidFill>
                      </w14:textFill>
                    </w:rPr>
                  </w:pPr>
                </w:p>
              </w:tc>
              <w:tc>
                <w:tcPr>
                  <w:tcW w:w="514" w:type="pct"/>
                  <w:vMerge w:val="continue"/>
                  <w:vAlign w:val="center"/>
                </w:tcPr>
                <w:p>
                  <w:pPr>
                    <w:pStyle w:val="221"/>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Z5下底埔</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49.8</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60</w:t>
                  </w:r>
                </w:p>
              </w:tc>
            </w:tr>
          </w:tbl>
          <w:p>
            <w:pPr>
              <w:pStyle w:val="172"/>
              <w:spacing w:after="0" w:line="360" w:lineRule="auto"/>
              <w:ind w:firstLine="480"/>
              <w:rPr>
                <w:rFonts w:ascii="Times New Roman" w:hAnsi="Times New Roman" w:cs="Times New Roman"/>
                <w:color w:val="000000" w:themeColor="text1"/>
                <w:spacing w:val="-3"/>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根据上表可知，厂界东南北侧噪声符合《工业企</w:t>
            </w:r>
            <w:r>
              <w:rPr>
                <w:rFonts w:ascii="Times New Roman" w:hAnsi="Times New Roman" w:cs="Times New Roman"/>
                <w:color w:val="000000" w:themeColor="text1"/>
                <w:spacing w:val="-3"/>
                <w:lang w:eastAsia="zh-CN"/>
                <w14:textFill>
                  <w14:solidFill>
                    <w14:schemeClr w14:val="tx1"/>
                  </w14:solidFill>
                </w14:textFill>
              </w:rPr>
              <w:t>业厂界环境噪声排放标准》（</w:t>
            </w:r>
            <w:r>
              <w:rPr>
                <w:rFonts w:ascii="Times New Roman" w:hAnsi="Times New Roman" w:eastAsia="Times New Roman" w:cs="Times New Roman"/>
                <w:color w:val="000000" w:themeColor="text1"/>
                <w:spacing w:val="-3"/>
                <w:lang w:eastAsia="zh-CN"/>
                <w14:textFill>
                  <w14:solidFill>
                    <w14:schemeClr w14:val="tx1"/>
                  </w14:solidFill>
                </w14:textFill>
              </w:rPr>
              <w:t>GB12348-2008</w:t>
            </w:r>
            <w:r>
              <w:rPr>
                <w:rFonts w:ascii="Times New Roman" w:hAnsi="Times New Roman" w:cs="Times New Roman"/>
                <w:color w:val="000000" w:themeColor="text1"/>
                <w:spacing w:val="-3"/>
                <w:lang w:eastAsia="zh-CN"/>
                <w14:textFill>
                  <w14:solidFill>
                    <w14:schemeClr w14:val="tx1"/>
                  </w14:solidFill>
                </w14:textFill>
              </w:rPr>
              <w:t>）中</w:t>
            </w:r>
            <w:r>
              <w:rPr>
                <w:rFonts w:ascii="Times New Roman" w:hAnsi="Times New Roman" w:cs="Times New Roman"/>
                <w:color w:val="000000" w:themeColor="text1"/>
                <w:spacing w:val="-50"/>
                <w:lang w:eastAsia="zh-CN"/>
                <w14:textFill>
                  <w14:solidFill>
                    <w14:schemeClr w14:val="tx1"/>
                  </w14:solidFill>
                </w14:textFill>
              </w:rPr>
              <w:t xml:space="preserve"> </w:t>
            </w:r>
            <w:r>
              <w:rPr>
                <w:rFonts w:ascii="Times New Roman" w:hAnsi="Times New Roman" w:eastAsia="Times New Roman" w:cs="Times New Roman"/>
                <w:color w:val="000000" w:themeColor="text1"/>
                <w:spacing w:val="-3"/>
                <w:lang w:eastAsia="zh-CN"/>
                <w14:textFill>
                  <w14:solidFill>
                    <w14:schemeClr w14:val="tx1"/>
                  </w14:solidFill>
                </w14:textFill>
              </w:rPr>
              <w:t xml:space="preserve">3 </w:t>
            </w:r>
            <w:r>
              <w:rPr>
                <w:rFonts w:ascii="Times New Roman" w:hAnsi="Times New Roman" w:cs="Times New Roman"/>
                <w:color w:val="000000" w:themeColor="text1"/>
                <w:spacing w:val="-3"/>
                <w:lang w:eastAsia="zh-CN"/>
                <w14:textFill>
                  <w14:solidFill>
                    <w14:schemeClr w14:val="tx1"/>
                  </w14:solidFill>
                </w14:textFill>
              </w:rPr>
              <w:t>类</w:t>
            </w:r>
            <w:r>
              <w:rPr>
                <w:rFonts w:ascii="Times New Roman" w:hAnsi="Times New Roman" w:cs="Times New Roman"/>
                <w:color w:val="000000" w:themeColor="text1"/>
                <w:spacing w:val="-4"/>
                <w:lang w:eastAsia="zh-CN"/>
                <w14:textFill>
                  <w14:solidFill>
                    <w14:schemeClr w14:val="tx1"/>
                  </w14:solidFill>
                </w14:textFill>
              </w:rPr>
              <w:t>标准，</w:t>
            </w:r>
            <w:r>
              <w:rPr>
                <w:rFonts w:ascii="Times New Roman" w:hAnsi="Times New Roman" w:cs="Times New Roman"/>
                <w:color w:val="000000" w:themeColor="text1"/>
                <w:spacing w:val="-2"/>
                <w:lang w:eastAsia="zh-CN"/>
                <w14:textFill>
                  <w14:solidFill>
                    <w14:schemeClr w14:val="tx1"/>
                  </w14:solidFill>
                </w14:textFill>
              </w:rPr>
              <w:t>厂界西侧噪声符合《工业企</w:t>
            </w:r>
            <w:r>
              <w:rPr>
                <w:rFonts w:ascii="Times New Roman" w:hAnsi="Times New Roman" w:cs="Times New Roman"/>
                <w:color w:val="000000" w:themeColor="text1"/>
                <w:spacing w:val="-3"/>
                <w:lang w:eastAsia="zh-CN"/>
                <w14:textFill>
                  <w14:solidFill>
                    <w14:schemeClr w14:val="tx1"/>
                  </w14:solidFill>
                </w14:textFill>
              </w:rPr>
              <w:t>业厂界环境噪声排放标准》（</w:t>
            </w:r>
            <w:r>
              <w:rPr>
                <w:rFonts w:ascii="Times New Roman" w:hAnsi="Times New Roman" w:eastAsia="Times New Roman" w:cs="Times New Roman"/>
                <w:color w:val="000000" w:themeColor="text1"/>
                <w:spacing w:val="-3"/>
                <w:lang w:eastAsia="zh-CN"/>
                <w14:textFill>
                  <w14:solidFill>
                    <w14:schemeClr w14:val="tx1"/>
                  </w14:solidFill>
                </w14:textFill>
              </w:rPr>
              <w:t>GB12348-2008</w:t>
            </w:r>
            <w:r>
              <w:rPr>
                <w:rFonts w:ascii="Times New Roman" w:hAnsi="Times New Roman" w:cs="Times New Roman"/>
                <w:color w:val="000000" w:themeColor="text1"/>
                <w:spacing w:val="-3"/>
                <w:lang w:eastAsia="zh-CN"/>
                <w14:textFill>
                  <w14:solidFill>
                    <w14:schemeClr w14:val="tx1"/>
                  </w14:solidFill>
                </w14:textFill>
              </w:rPr>
              <w:t>）中</w:t>
            </w:r>
            <w:r>
              <w:rPr>
                <w:rFonts w:ascii="Times New Roman" w:hAnsi="Times New Roman" w:cs="Times New Roman"/>
                <w:color w:val="000000" w:themeColor="text1"/>
                <w:spacing w:val="-50"/>
                <w:lang w:eastAsia="zh-CN"/>
                <w14:textFill>
                  <w14:solidFill>
                    <w14:schemeClr w14:val="tx1"/>
                  </w14:solidFill>
                </w14:textFill>
              </w:rPr>
              <w:t xml:space="preserve"> </w:t>
            </w:r>
            <w:r>
              <w:rPr>
                <w:rFonts w:hint="eastAsia" w:ascii="Times New Roman" w:hAnsi="Times New Roman" w:cs="Times New Roman"/>
                <w:color w:val="000000" w:themeColor="text1"/>
                <w:spacing w:val="-3"/>
                <w:lang w:eastAsia="zh-CN"/>
                <w14:textFill>
                  <w14:solidFill>
                    <w14:schemeClr w14:val="tx1"/>
                  </w14:solidFill>
                </w14:textFill>
              </w:rPr>
              <w:t>4</w:t>
            </w:r>
            <w:r>
              <w:rPr>
                <w:rFonts w:ascii="Times New Roman" w:hAnsi="Times New Roman" w:eastAsia="Times New Roman" w:cs="Times New Roman"/>
                <w:color w:val="000000" w:themeColor="text1"/>
                <w:spacing w:val="-3"/>
                <w:lang w:eastAsia="zh-CN"/>
                <w14:textFill>
                  <w14:solidFill>
                    <w14:schemeClr w14:val="tx1"/>
                  </w14:solidFill>
                </w14:textFill>
              </w:rPr>
              <w:t xml:space="preserve"> </w:t>
            </w:r>
            <w:r>
              <w:rPr>
                <w:rFonts w:ascii="Times New Roman" w:hAnsi="Times New Roman" w:cs="Times New Roman"/>
                <w:color w:val="000000" w:themeColor="text1"/>
                <w:spacing w:val="-3"/>
                <w:lang w:eastAsia="zh-CN"/>
                <w14:textFill>
                  <w14:solidFill>
                    <w14:schemeClr w14:val="tx1"/>
                  </w14:solidFill>
                </w14:textFill>
              </w:rPr>
              <w:t>类</w:t>
            </w:r>
            <w:r>
              <w:rPr>
                <w:rFonts w:ascii="Times New Roman" w:hAnsi="Times New Roman" w:cs="Times New Roman"/>
                <w:color w:val="000000" w:themeColor="text1"/>
                <w:spacing w:val="-4"/>
                <w:lang w:eastAsia="zh-CN"/>
                <w14:textFill>
                  <w14:solidFill>
                    <w14:schemeClr w14:val="tx1"/>
                  </w14:solidFill>
                </w14:textFill>
              </w:rPr>
              <w:t>标准要求。</w:t>
            </w:r>
          </w:p>
          <w:p>
            <w:pPr>
              <w:pStyle w:val="172"/>
              <w:spacing w:before="27" w:line="221" w:lineRule="auto"/>
              <w:ind w:firstLine="460" w:firstLineChars="20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5"/>
                <w:lang w:eastAsia="zh-CN"/>
                <w14:textFill>
                  <w14:solidFill>
                    <w14:schemeClr w14:val="tx1"/>
                  </w14:solidFill>
                </w14:textFill>
              </w:rPr>
              <w:t>（</w:t>
            </w:r>
            <w:r>
              <w:rPr>
                <w:rFonts w:ascii="Times New Roman" w:hAnsi="Times New Roman" w:eastAsia="Times New Roman" w:cs="Times New Roman"/>
                <w:color w:val="000000" w:themeColor="text1"/>
                <w:spacing w:val="-5"/>
                <w:lang w:eastAsia="zh-CN"/>
                <w14:textFill>
                  <w14:solidFill>
                    <w14:schemeClr w14:val="tx1"/>
                  </w14:solidFill>
                </w14:textFill>
              </w:rPr>
              <w:t>4</w:t>
            </w:r>
            <w:r>
              <w:rPr>
                <w:rFonts w:ascii="Times New Roman" w:hAnsi="Times New Roman" w:cs="Times New Roman"/>
                <w:color w:val="000000" w:themeColor="text1"/>
                <w:spacing w:val="-5"/>
                <w:lang w:eastAsia="zh-CN"/>
                <w14:textFill>
                  <w14:solidFill>
                    <w14:schemeClr w14:val="tx1"/>
                  </w14:solidFill>
                </w14:textFill>
              </w:rPr>
              <w:t>）固废</w:t>
            </w:r>
          </w:p>
          <w:p>
            <w:pPr>
              <w:pStyle w:val="172"/>
              <w:spacing w:before="178" w:line="220" w:lineRule="auto"/>
              <w:ind w:left="595"/>
              <w:rPr>
                <w:rFonts w:ascii="Times New Roman" w:hAnsi="Times New Roman" w:cs="Times New Roman"/>
                <w:b/>
                <w:bCs/>
                <w:color w:val="000000" w:themeColor="text1"/>
                <w:spacing w:val="-3"/>
                <w:lang w:eastAsia="zh-CN"/>
                <w14:textFill>
                  <w14:solidFill>
                    <w14:schemeClr w14:val="tx1"/>
                  </w14:solidFill>
                </w14:textFill>
              </w:rPr>
            </w:pPr>
            <w:r>
              <w:rPr>
                <w:rFonts w:ascii="Times New Roman" w:hAnsi="Times New Roman" w:cs="Times New Roman"/>
                <w:color w:val="000000" w:themeColor="text1"/>
                <w:spacing w:val="-1"/>
                <w:lang w:eastAsia="zh-CN"/>
                <w14:textFill>
                  <w14:solidFill>
                    <w14:schemeClr w14:val="tx1"/>
                  </w14:solidFill>
                </w14:textFill>
              </w:rPr>
              <w:t>现有工程主要固体废物产生及处置情况详见表</w:t>
            </w:r>
            <w:r>
              <w:rPr>
                <w:rFonts w:ascii="Times New Roman" w:hAnsi="Times New Roman" w:cs="Times New Roman"/>
                <w:color w:val="000000" w:themeColor="text1"/>
                <w:spacing w:val="-49"/>
                <w:lang w:eastAsia="zh-CN"/>
                <w14:textFill>
                  <w14:solidFill>
                    <w14:schemeClr w14:val="tx1"/>
                  </w14:solidFill>
                </w14:textFill>
              </w:rPr>
              <w:t xml:space="preserve"> </w:t>
            </w:r>
            <w:r>
              <w:rPr>
                <w:rFonts w:hint="eastAsia" w:ascii="Times New Roman" w:hAnsi="Times New Roman" w:cs="Times New Roman"/>
                <w:color w:val="000000" w:themeColor="text1"/>
                <w:spacing w:val="-1"/>
                <w:lang w:eastAsia="zh-CN"/>
                <w14:textFill>
                  <w14:solidFill>
                    <w14:schemeClr w14:val="tx1"/>
                  </w14:solidFill>
                </w14:textFill>
              </w:rPr>
              <w:t>2.3-9</w:t>
            </w:r>
            <w:r>
              <w:rPr>
                <w:rFonts w:ascii="Times New Roman" w:hAnsi="Times New Roman" w:cs="Times New Roman"/>
                <w:color w:val="000000" w:themeColor="text1"/>
                <w:spacing w:val="-1"/>
                <w:lang w:eastAsia="zh-CN"/>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spacing w:val="-44"/>
                <w14:textFill>
                  <w14:solidFill>
                    <w14:schemeClr w14:val="tx1"/>
                  </w14:solidFill>
                </w14:textFill>
              </w:rPr>
              <w:t xml:space="preserve"> </w:t>
            </w:r>
            <w:r>
              <w:rPr>
                <w:rFonts w:hint="eastAsia"/>
                <w:color w:val="000000" w:themeColor="text1"/>
                <w14:textFill>
                  <w14:solidFill>
                    <w14:schemeClr w14:val="tx1"/>
                  </w14:solidFill>
                </w14:textFill>
              </w:rPr>
              <w:t>2.3-9</w:t>
            </w:r>
            <w:r>
              <w:rPr>
                <w:rFonts w:eastAsia="Times New Roman"/>
                <w:color w:val="000000" w:themeColor="text1"/>
                <w:spacing w:val="52"/>
                <w14:textFill>
                  <w14:solidFill>
                    <w14:schemeClr w14:val="tx1"/>
                  </w14:solidFill>
                </w14:textFill>
              </w:rPr>
              <w:t xml:space="preserve"> </w:t>
            </w:r>
            <w:r>
              <w:rPr>
                <w:color w:val="000000" w:themeColor="text1"/>
                <w14:textFill>
                  <w14:solidFill>
                    <w14:schemeClr w14:val="tx1"/>
                  </w14:solidFill>
                </w14:textFill>
              </w:rPr>
              <w:t>现有工程主要固体废物及处置情况一览表</w:t>
            </w:r>
          </w:p>
          <w:tbl>
            <w:tblPr>
              <w:tblStyle w:val="226"/>
              <w:tblW w:w="491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2423"/>
              <w:gridCol w:w="1092"/>
              <w:gridCol w:w="1196"/>
              <w:gridCol w:w="809"/>
              <w:gridCol w:w="20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469"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固废名称</w:t>
                  </w:r>
                </w:p>
              </w:tc>
              <w:tc>
                <w:tcPr>
                  <w:tcW w:w="1364" w:type="pct"/>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固废属性</w:t>
                  </w:r>
                </w:p>
              </w:tc>
              <w:tc>
                <w:tcPr>
                  <w:tcW w:w="49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产生量 t/a</w:t>
                  </w:r>
                </w:p>
              </w:tc>
              <w:tc>
                <w:tcPr>
                  <w:tcW w:w="1251"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vAlign w:val="center"/>
                </w:tcPr>
                <w:p>
                  <w:pPr>
                    <w:pStyle w:val="221"/>
                    <w:rPr>
                      <w:color w:val="000000" w:themeColor="text1"/>
                      <w14:textFill>
                        <w14:solidFill>
                          <w14:schemeClr w14:val="tx1"/>
                        </w14:solidFill>
                      </w14:textFill>
                    </w:rPr>
                  </w:pPr>
                </w:p>
              </w:tc>
              <w:tc>
                <w:tcPr>
                  <w:tcW w:w="1469" w:type="pct"/>
                  <w:vMerge w:val="continue"/>
                  <w:vAlign w:val="center"/>
                </w:tcPr>
                <w:p>
                  <w:pPr>
                    <w:pStyle w:val="221"/>
                    <w:rPr>
                      <w:color w:val="000000" w:themeColor="text1"/>
                      <w14:textFill>
                        <w14:solidFill>
                          <w14:schemeClr w14:val="tx1"/>
                        </w14:solidFill>
                      </w14:textFill>
                    </w:rPr>
                  </w:pPr>
                </w:p>
              </w:tc>
              <w:tc>
                <w:tcPr>
                  <w:tcW w:w="66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废物类别</w:t>
                  </w:r>
                </w:p>
              </w:tc>
              <w:tc>
                <w:tcPr>
                  <w:tcW w:w="7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编号</w:t>
                  </w:r>
                </w:p>
              </w:tc>
              <w:tc>
                <w:tcPr>
                  <w:tcW w:w="493" w:type="pct"/>
                  <w:vMerge w:val="continue"/>
                  <w:vAlign w:val="center"/>
                </w:tcPr>
                <w:p>
                  <w:pPr>
                    <w:pStyle w:val="221"/>
                    <w:rPr>
                      <w:color w:val="000000" w:themeColor="text1"/>
                      <w14:textFill>
                        <w14:solidFill>
                          <w14:schemeClr w14:val="tx1"/>
                        </w14:solidFill>
                      </w14:textFill>
                    </w:rPr>
                  </w:pPr>
                </w:p>
              </w:tc>
              <w:tc>
                <w:tcPr>
                  <w:tcW w:w="125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4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664"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一般固废</w:t>
                  </w:r>
                </w:p>
              </w:tc>
              <w:tc>
                <w:tcPr>
                  <w:tcW w:w="7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49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70.5</w:t>
                  </w:r>
                </w:p>
              </w:tc>
              <w:tc>
                <w:tcPr>
                  <w:tcW w:w="125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环卫部门统一清运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14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钣金加工边角料</w:t>
                  </w:r>
                </w:p>
              </w:tc>
              <w:tc>
                <w:tcPr>
                  <w:tcW w:w="664" w:type="pct"/>
                  <w:vMerge w:val="continue"/>
                  <w:vAlign w:val="center"/>
                </w:tcPr>
                <w:p>
                  <w:pPr>
                    <w:pStyle w:val="221"/>
                    <w:rPr>
                      <w:color w:val="000000" w:themeColor="text1"/>
                      <w14:textFill>
                        <w14:solidFill>
                          <w14:schemeClr w14:val="tx1"/>
                        </w14:solidFill>
                      </w14:textFill>
                    </w:rPr>
                  </w:pPr>
                </w:p>
              </w:tc>
              <w:tc>
                <w:tcPr>
                  <w:tcW w:w="7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49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25</w:t>
                  </w:r>
                </w:p>
              </w:tc>
              <w:tc>
                <w:tcPr>
                  <w:tcW w:w="1251"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集中收集后外卖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14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树脂粉尘及金属粉尘</w:t>
                  </w:r>
                </w:p>
              </w:tc>
              <w:tc>
                <w:tcPr>
                  <w:tcW w:w="664" w:type="pct"/>
                  <w:vMerge w:val="continue"/>
                  <w:vAlign w:val="center"/>
                </w:tcPr>
                <w:p>
                  <w:pPr>
                    <w:pStyle w:val="221"/>
                    <w:rPr>
                      <w:color w:val="000000" w:themeColor="text1"/>
                      <w14:textFill>
                        <w14:solidFill>
                          <w14:schemeClr w14:val="tx1"/>
                        </w14:solidFill>
                      </w14:textFill>
                    </w:rPr>
                  </w:pPr>
                </w:p>
              </w:tc>
              <w:tc>
                <w:tcPr>
                  <w:tcW w:w="7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49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11. 1</w:t>
                  </w:r>
                </w:p>
              </w:tc>
              <w:tc>
                <w:tcPr>
                  <w:tcW w:w="125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4</w:t>
                  </w:r>
                </w:p>
              </w:tc>
              <w:tc>
                <w:tcPr>
                  <w:tcW w:w="14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废弃组装件</w:t>
                  </w:r>
                </w:p>
              </w:tc>
              <w:tc>
                <w:tcPr>
                  <w:tcW w:w="664" w:type="pct"/>
                  <w:vMerge w:val="continue"/>
                  <w:vAlign w:val="center"/>
                </w:tcPr>
                <w:p>
                  <w:pPr>
                    <w:pStyle w:val="221"/>
                    <w:rPr>
                      <w:color w:val="000000" w:themeColor="text1"/>
                      <w14:textFill>
                        <w14:solidFill>
                          <w14:schemeClr w14:val="tx1"/>
                        </w14:solidFill>
                      </w14:textFill>
                    </w:rPr>
                  </w:pPr>
                </w:p>
              </w:tc>
              <w:tc>
                <w:tcPr>
                  <w:tcW w:w="7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49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c>
                <w:tcPr>
                  <w:tcW w:w="125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废弃沾有润滑剂和机 油的棉纱、碎布</w:t>
                  </w:r>
                </w:p>
              </w:tc>
              <w:tc>
                <w:tcPr>
                  <w:tcW w:w="66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危险废物：HW49</w:t>
                  </w:r>
                </w:p>
              </w:tc>
              <w:tc>
                <w:tcPr>
                  <w:tcW w:w="7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900-041-49</w:t>
                  </w:r>
                </w:p>
              </w:tc>
              <w:tc>
                <w:tcPr>
                  <w:tcW w:w="49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0.03</w:t>
                  </w:r>
                </w:p>
              </w:tc>
              <w:tc>
                <w:tcPr>
                  <w:tcW w:w="1251"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委托有资质单位处 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w:t>
                  </w:r>
                </w:p>
              </w:tc>
              <w:tc>
                <w:tcPr>
                  <w:tcW w:w="14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废切削液</w:t>
                  </w:r>
                </w:p>
              </w:tc>
              <w:tc>
                <w:tcPr>
                  <w:tcW w:w="664"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危险废物：HW08</w:t>
                  </w:r>
                </w:p>
              </w:tc>
              <w:tc>
                <w:tcPr>
                  <w:tcW w:w="700"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900-214-08</w:t>
                  </w:r>
                </w:p>
              </w:tc>
              <w:tc>
                <w:tcPr>
                  <w:tcW w:w="49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0.9</w:t>
                  </w:r>
                </w:p>
              </w:tc>
              <w:tc>
                <w:tcPr>
                  <w:tcW w:w="125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w:t>
                  </w:r>
                </w:p>
              </w:tc>
              <w:tc>
                <w:tcPr>
                  <w:tcW w:w="14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废机油</w:t>
                  </w:r>
                </w:p>
              </w:tc>
              <w:tc>
                <w:tcPr>
                  <w:tcW w:w="664" w:type="pct"/>
                  <w:vMerge w:val="continue"/>
                  <w:vAlign w:val="center"/>
                </w:tcPr>
                <w:p>
                  <w:pPr>
                    <w:pStyle w:val="221"/>
                    <w:rPr>
                      <w:color w:val="000000" w:themeColor="text1"/>
                      <w14:textFill>
                        <w14:solidFill>
                          <w14:schemeClr w14:val="tx1"/>
                        </w14:solidFill>
                      </w14:textFill>
                    </w:rPr>
                  </w:pPr>
                </w:p>
              </w:tc>
              <w:tc>
                <w:tcPr>
                  <w:tcW w:w="700" w:type="pct"/>
                  <w:vMerge w:val="continue"/>
                  <w:vAlign w:val="center"/>
                </w:tcPr>
                <w:p>
                  <w:pPr>
                    <w:pStyle w:val="221"/>
                    <w:rPr>
                      <w:color w:val="000000" w:themeColor="text1"/>
                      <w14:textFill>
                        <w14:solidFill>
                          <w14:schemeClr w14:val="tx1"/>
                        </w14:solidFill>
                      </w14:textFill>
                    </w:rPr>
                  </w:pPr>
                </w:p>
              </w:tc>
              <w:tc>
                <w:tcPr>
                  <w:tcW w:w="49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1.4</w:t>
                  </w:r>
                </w:p>
              </w:tc>
              <w:tc>
                <w:tcPr>
                  <w:tcW w:w="1251" w:type="pct"/>
                  <w:vMerge w:val="continue"/>
                  <w:vAlign w:val="center"/>
                </w:tcPr>
                <w:p>
                  <w:pPr>
                    <w:pStyle w:val="221"/>
                    <w:rPr>
                      <w:color w:val="000000" w:themeColor="text1"/>
                      <w14:textFill>
                        <w14:solidFill>
                          <w14:schemeClr w14:val="tx1"/>
                        </w14:solidFill>
                      </w14:textFill>
                    </w:rPr>
                  </w:pPr>
                </w:p>
              </w:tc>
            </w:tr>
          </w:tbl>
          <w:p>
            <w:pPr>
              <w:pStyle w:val="172"/>
              <w:spacing w:before="147" w:line="221" w:lineRule="auto"/>
              <w:outlineLvl w:val="1"/>
              <w:rPr>
                <w:rFonts w:ascii="Times New Roman" w:hAnsi="Times New Roman" w:cs="Times New Roman"/>
                <w:color w:val="000000" w:themeColor="text1"/>
                <w:lang w:eastAsia="zh-CN"/>
                <w14:textFill>
                  <w14:solidFill>
                    <w14:schemeClr w14:val="tx1"/>
                  </w14:solidFill>
                </w14:textFill>
              </w:rPr>
            </w:pPr>
            <w:r>
              <w:rPr>
                <w:rFonts w:ascii="Times New Roman" w:hAnsi="Times New Roman" w:eastAsia="Times New Roman" w:cs="Times New Roman"/>
                <w:b/>
                <w:bCs/>
                <w:color w:val="000000" w:themeColor="text1"/>
                <w:spacing w:val="-2"/>
                <w:lang w:eastAsia="zh-CN"/>
                <w14:textFill>
                  <w14:solidFill>
                    <w14:schemeClr w14:val="tx1"/>
                  </w14:solidFill>
                </w14:textFill>
              </w:rPr>
              <w:t>2.</w:t>
            </w:r>
            <w:r>
              <w:rPr>
                <w:rFonts w:hint="eastAsia" w:ascii="Times New Roman" w:hAnsi="Times New Roman" w:cs="Times New Roman"/>
                <w:b/>
                <w:bCs/>
                <w:color w:val="000000" w:themeColor="text1"/>
                <w:spacing w:val="-2"/>
                <w:lang w:eastAsia="zh-CN"/>
                <w14:textFill>
                  <w14:solidFill>
                    <w14:schemeClr w14:val="tx1"/>
                  </w14:solidFill>
                </w14:textFill>
              </w:rPr>
              <w:t>3.7</w:t>
            </w:r>
            <w:r>
              <w:rPr>
                <w:rFonts w:ascii="Times New Roman" w:hAnsi="Times New Roman" w:eastAsia="Times New Roman" w:cs="Times New Roman"/>
                <w:b/>
                <w:bCs/>
                <w:color w:val="000000" w:themeColor="text1"/>
                <w:spacing w:val="-2"/>
                <w:lang w:eastAsia="zh-CN"/>
                <w14:textFill>
                  <w14:solidFill>
                    <w14:schemeClr w14:val="tx1"/>
                  </w14:solidFill>
                </w14:textFill>
              </w:rPr>
              <w:t xml:space="preserve"> </w:t>
            </w:r>
            <w:r>
              <w:rPr>
                <w:rFonts w:ascii="Times New Roman" w:hAnsi="Times New Roman" w:cs="Times New Roman"/>
                <w:b/>
                <w:bCs/>
                <w:color w:val="000000" w:themeColor="text1"/>
                <w:spacing w:val="-2"/>
                <w:lang w:eastAsia="zh-CN"/>
                <w14:textFill>
                  <w14:solidFill>
                    <w14:schemeClr w14:val="tx1"/>
                  </w14:solidFill>
                </w14:textFill>
              </w:rPr>
              <w:t>现有工程污染物排放情况汇总</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2.3-10</w:t>
            </w:r>
            <w:r>
              <w:rPr>
                <w:rFonts w:eastAsia="Times New Roman"/>
                <w:color w:val="000000" w:themeColor="text1"/>
                <w:spacing w:val="52"/>
                <w14:textFill>
                  <w14:solidFill>
                    <w14:schemeClr w14:val="tx1"/>
                  </w14:solidFill>
                </w14:textFill>
              </w:rPr>
              <w:t xml:space="preserve"> </w:t>
            </w:r>
            <w:r>
              <w:rPr>
                <w:color w:val="000000" w:themeColor="text1"/>
                <w14:textFill>
                  <w14:solidFill>
                    <w14:schemeClr w14:val="tx1"/>
                  </w14:solidFill>
                </w14:textFill>
              </w:rPr>
              <w:t>现有工程污染物排放情况汇总一览表</w:t>
            </w:r>
          </w:p>
          <w:tbl>
            <w:tblPr>
              <w:tblStyle w:val="226"/>
              <w:tblW w:w="495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841"/>
              <w:gridCol w:w="529"/>
              <w:gridCol w:w="1009"/>
              <w:gridCol w:w="1009"/>
              <w:gridCol w:w="31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102" w:type="pct"/>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项目</w:t>
                  </w:r>
                </w:p>
              </w:tc>
              <w:tc>
                <w:tcPr>
                  <w:tcW w:w="317" w:type="pct"/>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单位</w:t>
                  </w:r>
                </w:p>
              </w:tc>
              <w:tc>
                <w:tcPr>
                  <w:tcW w:w="604" w:type="pc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产生量</w:t>
                  </w:r>
                </w:p>
              </w:tc>
              <w:tc>
                <w:tcPr>
                  <w:tcW w:w="604" w:type="pc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排放量</w:t>
                  </w:r>
                </w:p>
              </w:tc>
              <w:tc>
                <w:tcPr>
                  <w:tcW w:w="1898" w:type="pc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restar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废水</w:t>
                  </w:r>
                </w:p>
              </w:tc>
              <w:tc>
                <w:tcPr>
                  <w:tcW w:w="1102" w:type="pct"/>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废水量</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color w:val="000000" w:themeColor="text1"/>
                      <w14:textFill>
                        <w14:solidFill>
                          <w14:schemeClr w14:val="tx1"/>
                        </w14:solidFill>
                      </w14:textFill>
                    </w:rPr>
                  </w:pPr>
                  <w:r>
                    <w:rPr>
                      <w:rFonts w:hint="eastAsia"/>
                      <w:color w:val="000000" w:themeColor="text1"/>
                      <w:spacing w:val="3"/>
                      <w14:textFill>
                        <w14:solidFill>
                          <w14:schemeClr w14:val="tx1"/>
                        </w14:solidFill>
                      </w14:textFill>
                    </w:rPr>
                    <w:t>3724.8</w:t>
                  </w:r>
                </w:p>
              </w:tc>
              <w:tc>
                <w:tcPr>
                  <w:tcW w:w="604" w:type="pct"/>
                  <w:vAlign w:val="center"/>
                </w:tcPr>
                <w:p>
                  <w:pPr>
                    <w:pStyle w:val="221"/>
                    <w:rPr>
                      <w:rFonts w:eastAsia="Times New Roman"/>
                      <w:color w:val="000000" w:themeColor="text1"/>
                      <w14:textFill>
                        <w14:solidFill>
                          <w14:schemeClr w14:val="tx1"/>
                        </w14:solidFill>
                      </w14:textFill>
                    </w:rPr>
                  </w:pPr>
                  <w:r>
                    <w:rPr>
                      <w:rFonts w:hint="eastAsia"/>
                      <w:color w:val="000000" w:themeColor="text1"/>
                      <w:spacing w:val="3"/>
                      <w14:textFill>
                        <w14:solidFill>
                          <w14:schemeClr w14:val="tx1"/>
                        </w14:solidFill>
                      </w14:textFill>
                    </w:rPr>
                    <w:t>3724.8</w:t>
                  </w:r>
                </w:p>
              </w:tc>
              <w:tc>
                <w:tcPr>
                  <w:tcW w:w="1898" w:type="pct"/>
                  <w:vMerge w:val="restart"/>
                  <w:vAlign w:val="center"/>
                </w:tcPr>
                <w:p>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经化粪池预处理后通过园区污水</w:t>
                  </w:r>
                  <w:r>
                    <w:rPr>
                      <w:color w:val="000000" w:themeColor="text1"/>
                      <w:spacing w:val="8"/>
                      <w14:textFill>
                        <w14:solidFill>
                          <w14:schemeClr w14:val="tx1"/>
                        </w14:solidFill>
                      </w14:textFill>
                    </w:rPr>
                    <w:t>管网纳入福清市融元污水处理厂</w:t>
                  </w:r>
                  <w:r>
                    <w:rPr>
                      <w:color w:val="000000" w:themeColor="text1"/>
                      <w:spacing w:val="5"/>
                      <w14:textFill>
                        <w14:solidFill>
                          <w14:schemeClr w14:val="tx1"/>
                        </w14:solidFill>
                      </w14:textFill>
                    </w:rPr>
                    <w:t>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continue"/>
                  <w:vAlign w:val="center"/>
                </w:tcPr>
                <w:p>
                  <w:pPr>
                    <w:pStyle w:val="221"/>
                    <w:rPr>
                      <w:color w:val="000000" w:themeColor="text1"/>
                      <w14:textFill>
                        <w14:solidFill>
                          <w14:schemeClr w14:val="tx1"/>
                        </w14:solidFill>
                      </w14:textFill>
                    </w:rPr>
                  </w:pPr>
                </w:p>
              </w:tc>
              <w:tc>
                <w:tcPr>
                  <w:tcW w:w="1102"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COD</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1.49</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0.30</w:t>
                  </w:r>
                </w:p>
              </w:tc>
              <w:tc>
                <w:tcPr>
                  <w:tcW w:w="18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continue"/>
                  <w:vAlign w:val="center"/>
                </w:tcPr>
                <w:p>
                  <w:pPr>
                    <w:pStyle w:val="221"/>
                    <w:rPr>
                      <w:color w:val="000000" w:themeColor="text1"/>
                      <w14:textFill>
                        <w14:solidFill>
                          <w14:schemeClr w14:val="tx1"/>
                        </w14:solidFill>
                      </w14:textFill>
                    </w:rPr>
                  </w:pPr>
                </w:p>
              </w:tc>
              <w:tc>
                <w:tcPr>
                  <w:tcW w:w="1102" w:type="pct"/>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动植物油</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0.089</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0.03</w:t>
                  </w:r>
                </w:p>
              </w:tc>
              <w:tc>
                <w:tcPr>
                  <w:tcW w:w="18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continue"/>
                  <w:vAlign w:val="center"/>
                </w:tcPr>
                <w:p>
                  <w:pPr>
                    <w:pStyle w:val="221"/>
                    <w:rPr>
                      <w:color w:val="000000" w:themeColor="text1"/>
                      <w14:textFill>
                        <w14:solidFill>
                          <w14:schemeClr w14:val="tx1"/>
                        </w14:solidFill>
                      </w14:textFill>
                    </w:rPr>
                  </w:pPr>
                </w:p>
              </w:tc>
              <w:tc>
                <w:tcPr>
                  <w:tcW w:w="1102" w:type="pct"/>
                  <w:vAlign w:val="center"/>
                </w:tcPr>
                <w:p>
                  <w:pPr>
                    <w:pStyle w:val="221"/>
                    <w:rPr>
                      <w:rFonts w:eastAsia="Times New Roman"/>
                      <w:color w:val="000000" w:themeColor="text1"/>
                      <w:spacing w:val="-3"/>
                      <w14:textFill>
                        <w14:solidFill>
                          <w14:schemeClr w14:val="tx1"/>
                        </w14:solidFill>
                      </w14:textFill>
                    </w:rPr>
                  </w:pPr>
                  <w:r>
                    <w:rPr>
                      <w:rFonts w:hint="eastAsia"/>
                      <w:color w:val="000000" w:themeColor="text1"/>
                      <w:spacing w:val="-3"/>
                      <w:sz w:val="20"/>
                      <w:szCs w:val="20"/>
                      <w14:textFill>
                        <w14:solidFill>
                          <w14:schemeClr w14:val="tx1"/>
                        </w14:solidFill>
                      </w14:textFill>
                    </w:rPr>
                    <w:t>BOD</w:t>
                  </w:r>
                  <w:r>
                    <w:rPr>
                      <w:rFonts w:hint="eastAsia"/>
                      <w:color w:val="000000" w:themeColor="text1"/>
                      <w:spacing w:val="-3"/>
                      <w:sz w:val="20"/>
                      <w:szCs w:val="20"/>
                      <w:vertAlign w:val="subscript"/>
                      <w14:textFill>
                        <w14:solidFill>
                          <w14:schemeClr w14:val="tx1"/>
                        </w14:solidFill>
                      </w14:textFill>
                    </w:rPr>
                    <w:t>5</w:t>
                  </w:r>
                </w:p>
              </w:tc>
              <w:tc>
                <w:tcPr>
                  <w:tcW w:w="317" w:type="pct"/>
                  <w:vAlign w:val="center"/>
                </w:tcPr>
                <w:p>
                  <w:pPr>
                    <w:pStyle w:val="221"/>
                    <w:rPr>
                      <w:rFonts w:eastAsia="Times New Roman"/>
                      <w:color w:val="000000" w:themeColor="text1"/>
                      <w:spacing w:val="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0.82</w:t>
                  </w:r>
                </w:p>
              </w:tc>
              <w:tc>
                <w:tcPr>
                  <w:tcW w:w="604" w:type="pct"/>
                  <w:vAlign w:val="center"/>
                </w:tcPr>
                <w:p>
                  <w:pPr>
                    <w:pStyle w:val="221"/>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0.08</w:t>
                  </w:r>
                </w:p>
              </w:tc>
              <w:tc>
                <w:tcPr>
                  <w:tcW w:w="18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continue"/>
                  <w:vAlign w:val="center"/>
                </w:tcPr>
                <w:p>
                  <w:pPr>
                    <w:pStyle w:val="221"/>
                    <w:rPr>
                      <w:color w:val="000000" w:themeColor="text1"/>
                      <w14:textFill>
                        <w14:solidFill>
                          <w14:schemeClr w14:val="tx1"/>
                        </w14:solidFill>
                      </w14:textFill>
                    </w:rPr>
                  </w:pPr>
                </w:p>
              </w:tc>
              <w:tc>
                <w:tcPr>
                  <w:tcW w:w="1102"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SS</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14:textFill>
                        <w14:solidFill>
                          <w14:schemeClr w14:val="tx1"/>
                        </w14:solidFill>
                      </w14:textFill>
                    </w:rPr>
                    <w:t>t/a</w:t>
                  </w:r>
                </w:p>
              </w:tc>
              <w:tc>
                <w:tcPr>
                  <w:tcW w:w="604" w:type="pct"/>
                  <w:vAlign w:val="center"/>
                </w:tcPr>
                <w:p>
                  <w:pPr>
                    <w:pStyle w:val="221"/>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0.75</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4"/>
                      <w14:textFill>
                        <w14:solidFill>
                          <w14:schemeClr w14:val="tx1"/>
                        </w14:solidFill>
                      </w14:textFill>
                    </w:rPr>
                    <w:t>0.</w:t>
                  </w:r>
                  <w:r>
                    <w:rPr>
                      <w:rFonts w:eastAsia="Times New Roman"/>
                      <w:color w:val="000000" w:themeColor="text1"/>
                      <w:spacing w:val="-25"/>
                      <w14:textFill>
                        <w14:solidFill>
                          <w14:schemeClr w14:val="tx1"/>
                        </w14:solidFill>
                      </w14:textFill>
                    </w:rPr>
                    <w:t xml:space="preserve"> </w:t>
                  </w:r>
                  <w:r>
                    <w:rPr>
                      <w:rFonts w:eastAsia="Times New Roman"/>
                      <w:color w:val="000000" w:themeColor="text1"/>
                      <w:spacing w:val="-4"/>
                      <w14:textFill>
                        <w14:solidFill>
                          <w14:schemeClr w14:val="tx1"/>
                        </w14:solidFill>
                      </w14:textFill>
                    </w:rPr>
                    <w:t>14</w:t>
                  </w:r>
                </w:p>
              </w:tc>
              <w:tc>
                <w:tcPr>
                  <w:tcW w:w="18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continue"/>
                  <w:vAlign w:val="center"/>
                </w:tcPr>
                <w:p>
                  <w:pPr>
                    <w:pStyle w:val="221"/>
                    <w:rPr>
                      <w:color w:val="000000" w:themeColor="text1"/>
                      <w14:textFill>
                        <w14:solidFill>
                          <w14:schemeClr w14:val="tx1"/>
                        </w14:solidFill>
                      </w14:textFill>
                    </w:rPr>
                  </w:pPr>
                </w:p>
              </w:tc>
              <w:tc>
                <w:tcPr>
                  <w:tcW w:w="110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0.1</w:t>
                  </w:r>
                  <w:r>
                    <w:rPr>
                      <w:rFonts w:hint="eastAsia"/>
                      <w:color w:val="000000" w:themeColor="text1"/>
                      <w:spacing w:val="2"/>
                      <w14:textFill>
                        <w14:solidFill>
                          <w14:schemeClr w14:val="tx1"/>
                        </w14:solidFill>
                      </w14:textFill>
                    </w:rPr>
                    <w:t>3</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0.0</w:t>
                  </w:r>
                  <w:r>
                    <w:rPr>
                      <w:rFonts w:hint="eastAsia"/>
                      <w:color w:val="000000" w:themeColor="text1"/>
                      <w:spacing w:val="2"/>
                      <w14:textFill>
                        <w14:solidFill>
                          <w14:schemeClr w14:val="tx1"/>
                        </w14:solidFill>
                      </w14:textFill>
                    </w:rPr>
                    <w:t>00</w:t>
                  </w:r>
                  <w:r>
                    <w:rPr>
                      <w:rFonts w:eastAsia="Times New Roman"/>
                      <w:color w:val="000000" w:themeColor="text1"/>
                      <w:spacing w:val="2"/>
                      <w14:textFill>
                        <w14:solidFill>
                          <w14:schemeClr w14:val="tx1"/>
                        </w14:solidFill>
                      </w14:textFill>
                    </w:rPr>
                    <w:t>3</w:t>
                  </w:r>
                </w:p>
              </w:tc>
              <w:tc>
                <w:tcPr>
                  <w:tcW w:w="189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废气</w:t>
                  </w:r>
                </w:p>
              </w:tc>
              <w:tc>
                <w:tcPr>
                  <w:tcW w:w="1102" w:type="pct"/>
                  <w:vAlign w:val="center"/>
                </w:tcPr>
                <w:p>
                  <w:pPr>
                    <w:pStyle w:val="221"/>
                    <w:rPr>
                      <w:color w:val="000000" w:themeColor="text1"/>
                      <w14:textFill>
                        <w14:solidFill>
                          <w14:schemeClr w14:val="tx1"/>
                        </w14:solidFill>
                      </w14:textFill>
                    </w:rPr>
                  </w:pPr>
                  <w:r>
                    <w:rPr>
                      <w:color w:val="000000" w:themeColor="text1"/>
                      <w:spacing w:val="7"/>
                      <w14:textFill>
                        <w14:solidFill>
                          <w14:schemeClr w14:val="tx1"/>
                        </w14:solidFill>
                      </w14:textFill>
                    </w:rPr>
                    <w:t>颗粒物</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0.0031</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0.00</w:t>
                  </w:r>
                  <w:r>
                    <w:rPr>
                      <w:rFonts w:hint="eastAsia" w:eastAsiaTheme="minorEastAsia"/>
                      <w:color w:val="000000" w:themeColor="text1"/>
                      <w:spacing w:val="3"/>
                      <w14:textFill>
                        <w14:solidFill>
                          <w14:schemeClr w14:val="tx1"/>
                        </w14:solidFill>
                      </w14:textFill>
                    </w:rPr>
                    <w:t>0</w:t>
                  </w:r>
                  <w:r>
                    <w:rPr>
                      <w:rFonts w:eastAsia="Times New Roman"/>
                      <w:color w:val="000000" w:themeColor="text1"/>
                      <w:spacing w:val="3"/>
                      <w14:textFill>
                        <w14:solidFill>
                          <w14:schemeClr w14:val="tx1"/>
                        </w14:solidFill>
                      </w14:textFill>
                    </w:rPr>
                    <w:t>31</w:t>
                  </w:r>
                </w:p>
              </w:tc>
              <w:tc>
                <w:tcPr>
                  <w:tcW w:w="1898" w:type="pct"/>
                  <w:vAlign w:val="center"/>
                </w:tcPr>
                <w:p>
                  <w:pPr>
                    <w:pStyle w:val="221"/>
                    <w:rPr>
                      <w:color w:val="000000" w:themeColor="text1"/>
                      <w14:textFill>
                        <w14:solidFill>
                          <w14:schemeClr w14:val="tx1"/>
                        </w14:solidFill>
                      </w14:textFill>
                    </w:rPr>
                  </w:pPr>
                  <w:r>
                    <w:rPr>
                      <w:color w:val="000000" w:themeColor="text1"/>
                      <w:spacing w:val="11"/>
                      <w14:textFill>
                        <w14:solidFill>
                          <w14:schemeClr w14:val="tx1"/>
                        </w14:solidFill>
                      </w14:textFill>
                    </w:rPr>
                    <w:t>经两套焊烟除尘器处理</w:t>
                  </w:r>
                  <w:r>
                    <w:rPr>
                      <w:color w:val="000000" w:themeColor="text1"/>
                      <w:spacing w:val="2"/>
                      <w14:textFill>
                        <w14:solidFill>
                          <w14:schemeClr w14:val="tx1"/>
                        </w14:solidFill>
                      </w14:textFill>
                    </w:rPr>
                    <w:t>后通过</w:t>
                  </w:r>
                  <w:r>
                    <w:rPr>
                      <w:color w:val="000000" w:themeColor="text1"/>
                      <w:spacing w:val="-33"/>
                      <w14:textFill>
                        <w14:solidFill>
                          <w14:schemeClr w14:val="tx1"/>
                        </w14:solidFill>
                      </w14:textFill>
                    </w:rPr>
                    <w:t xml:space="preserve"> </w:t>
                  </w:r>
                  <w:r>
                    <w:rPr>
                      <w:rFonts w:eastAsia="Times New Roman"/>
                      <w:color w:val="000000" w:themeColor="text1"/>
                      <w:spacing w:val="2"/>
                      <w14:textFill>
                        <w14:solidFill>
                          <w14:schemeClr w14:val="tx1"/>
                        </w14:solidFill>
                      </w14:textFill>
                    </w:rPr>
                    <w:t>15m</w:t>
                  </w:r>
                  <w:r>
                    <w:rPr>
                      <w:color w:val="000000" w:themeColor="text1"/>
                      <w:spacing w:val="2"/>
                      <w14:textFill>
                        <w14:solidFill>
                          <w14:schemeClr w14:val="tx1"/>
                        </w14:solidFill>
                      </w14:textFill>
                    </w:rPr>
                    <w:t>排气筒排放（</w:t>
                  </w:r>
                  <w:r>
                    <w:rPr>
                      <w:rFonts w:eastAsia="Times New Roman"/>
                      <w:color w:val="000000" w:themeColor="text1"/>
                      <w14:textFill>
                        <w14:solidFill>
                          <w14:schemeClr w14:val="tx1"/>
                        </w14:solidFill>
                      </w14:textFill>
                    </w:rPr>
                    <w:t>DA</w:t>
                  </w:r>
                  <w:r>
                    <w:rPr>
                      <w:rFonts w:eastAsia="Times New Roman"/>
                      <w:color w:val="000000" w:themeColor="text1"/>
                      <w:spacing w:val="2"/>
                      <w14:textFill>
                        <w14:solidFill>
                          <w14:schemeClr w14:val="tx1"/>
                        </w14:solidFill>
                      </w14:textFill>
                    </w:rPr>
                    <w:t>001</w:t>
                  </w:r>
                  <w:r>
                    <w:rPr>
                      <w:color w:val="000000" w:themeColor="text1"/>
                      <w:spacing w:val="2"/>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restart"/>
                  <w:vAlign w:val="center"/>
                </w:tcPr>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固体</w:t>
                  </w:r>
                </w:p>
                <w:p>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废物</w:t>
                  </w:r>
                </w:p>
              </w:tc>
              <w:tc>
                <w:tcPr>
                  <w:tcW w:w="1102" w:type="pc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生活垃圾</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70.5</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0</w:t>
                  </w:r>
                </w:p>
              </w:tc>
              <w:tc>
                <w:tcPr>
                  <w:tcW w:w="1898" w:type="pct"/>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环卫部门统一清运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continue"/>
                  <w:vAlign w:val="center"/>
                </w:tcPr>
                <w:p>
                  <w:pPr>
                    <w:pStyle w:val="221"/>
                    <w:rPr>
                      <w:color w:val="000000" w:themeColor="text1"/>
                      <w14:textFill>
                        <w14:solidFill>
                          <w14:schemeClr w14:val="tx1"/>
                        </w14:solidFill>
                      </w14:textFill>
                    </w:rPr>
                  </w:pPr>
                </w:p>
              </w:tc>
              <w:tc>
                <w:tcPr>
                  <w:tcW w:w="1102" w:type="pct"/>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钣金加工边角料</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25</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0</w:t>
                  </w:r>
                </w:p>
              </w:tc>
              <w:tc>
                <w:tcPr>
                  <w:tcW w:w="1898" w:type="pct"/>
                  <w:vMerge w:val="restart"/>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集中收集后外卖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Merge w:val="continue"/>
                  <w:vAlign w:val="center"/>
                </w:tcPr>
                <w:p>
                  <w:pPr>
                    <w:pStyle w:val="221"/>
                    <w:rPr>
                      <w:color w:val="000000" w:themeColor="text1"/>
                      <w14:textFill>
                        <w14:solidFill>
                          <w14:schemeClr w14:val="tx1"/>
                        </w14:solidFill>
                      </w14:textFill>
                    </w:rPr>
                  </w:pPr>
                </w:p>
              </w:tc>
              <w:tc>
                <w:tcPr>
                  <w:tcW w:w="1102" w:type="pct"/>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树脂粉尘及金属粉</w:t>
                  </w:r>
                </w:p>
              </w:tc>
              <w:tc>
                <w:tcPr>
                  <w:tcW w:w="317"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1"/>
                      <w:position w:val="1"/>
                      <w14:textFill>
                        <w14:solidFill>
                          <w14:schemeClr w14:val="tx1"/>
                        </w14:solidFill>
                      </w14:textFill>
                    </w:rPr>
                    <w:t>t/a</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11.</w:t>
                  </w:r>
                  <w:r>
                    <w:rPr>
                      <w:rFonts w:eastAsia="Times New Roman"/>
                      <w:color w:val="000000" w:themeColor="text1"/>
                      <w:spacing w:val="-25"/>
                      <w14:textFill>
                        <w14:solidFill>
                          <w14:schemeClr w14:val="tx1"/>
                        </w14:solidFill>
                      </w14:textFill>
                    </w:rPr>
                    <w:t xml:space="preserve"> </w:t>
                  </w:r>
                  <w:r>
                    <w:rPr>
                      <w:rFonts w:eastAsia="Times New Roman"/>
                      <w:color w:val="000000" w:themeColor="text1"/>
                      <w:spacing w:val="-3"/>
                      <w14:textFill>
                        <w14:solidFill>
                          <w14:schemeClr w14:val="tx1"/>
                        </w14:solidFill>
                      </w14:textFill>
                    </w:rPr>
                    <w:t>1</w:t>
                  </w:r>
                </w:p>
              </w:tc>
              <w:tc>
                <w:tcPr>
                  <w:tcW w:w="604"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0</w:t>
                  </w:r>
                </w:p>
              </w:tc>
              <w:tc>
                <w:tcPr>
                  <w:tcW w:w="1898" w:type="pct"/>
                  <w:vMerge w:val="continue"/>
                  <w:vAlign w:val="center"/>
                </w:tcPr>
                <w:p>
                  <w:pPr>
                    <w:pStyle w:val="221"/>
                    <w:rPr>
                      <w:color w:val="000000" w:themeColor="text1"/>
                      <w14:textFill>
                        <w14:solidFill>
                          <w14:schemeClr w14:val="tx1"/>
                        </w14:solidFill>
                      </w14:textFill>
                    </w:rPr>
                  </w:pPr>
                </w:p>
              </w:tc>
            </w:tr>
          </w:tbl>
          <w:p>
            <w:pPr>
              <w:ind w:firstLine="480"/>
              <w:rPr>
                <w:b/>
                <w:bCs/>
                <w:color w:val="000000" w:themeColor="text1"/>
                <w14:textFill>
                  <w14:solidFill>
                    <w14:schemeClr w14:val="tx1"/>
                  </w14:solidFill>
                </w14:textFill>
              </w:rPr>
            </w:pPr>
            <w:r>
              <w:rPr>
                <w:rFonts w:ascii="Times New Roman" w:hAnsi="Times New Roman" w:eastAsia="Times New Roman" w:cs="Times New Roman"/>
                <w:b/>
                <w:bCs/>
                <w:color w:val="000000" w:themeColor="text1"/>
                <w:spacing w:val="-2"/>
                <w14:textFill>
                  <w14:solidFill>
                    <w14:schemeClr w14:val="tx1"/>
                  </w14:solidFill>
                </w14:textFill>
              </w:rPr>
              <w:t>2.</w:t>
            </w:r>
            <w:r>
              <w:rPr>
                <w:rFonts w:hint="eastAsia" w:ascii="Times New Roman" w:hAnsi="Times New Roman" w:cs="Times New Roman"/>
                <w:b/>
                <w:bCs/>
                <w:color w:val="000000" w:themeColor="text1"/>
                <w:spacing w:val="-2"/>
                <w14:textFill>
                  <w14:solidFill>
                    <w14:schemeClr w14:val="tx1"/>
                  </w14:solidFill>
                </w14:textFill>
              </w:rPr>
              <w:t>3.8</w:t>
            </w:r>
            <w:r>
              <w:rPr>
                <w:rFonts w:ascii="Times New Roman" w:hAnsi="Times New Roman" w:eastAsia="Times New Roman" w:cs="Times New Roman"/>
                <w:b/>
                <w:bCs/>
                <w:color w:val="000000" w:themeColor="text1"/>
                <w:spacing w:val="-2"/>
                <w14:textFill>
                  <w14:solidFill>
                    <w14:schemeClr w14:val="tx1"/>
                  </w14:solidFill>
                </w14:textFill>
              </w:rPr>
              <w:t xml:space="preserve"> </w:t>
            </w:r>
            <w:r>
              <w:rPr>
                <w:rFonts w:ascii="宋体" w:hAnsi="宋体"/>
                <w:b/>
                <w:bCs/>
                <w:color w:val="000000" w:themeColor="text1"/>
                <w14:textFill>
                  <w14:solidFill>
                    <w14:schemeClr w14:val="tx1"/>
                  </w14:solidFill>
                </w14:textFill>
              </w:rPr>
              <w:t>与本项目有关的现有环境问题及整改措施</w:t>
            </w:r>
          </w:p>
          <w:p>
            <w:pPr>
              <w:spacing w:after="0" w:line="360" w:lineRule="auto"/>
              <w:ind w:firstLine="480" w:firstLineChars="200"/>
              <w:jc w:val="both"/>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根据现场踏勘，已建投产项目已经通过环保验收，根据监测数据，污染物可以达标排放，基本落实了环评及批复的相关环保措施，本项目</w:t>
            </w:r>
            <w:r>
              <w:rPr>
                <w:rFonts w:hint="eastAsia" w:ascii="宋体" w:hAnsi="宋体"/>
                <w:color w:val="000000" w:themeColor="text1"/>
                <w14:textFill>
                  <w14:solidFill>
                    <w14:schemeClr w14:val="tx1"/>
                  </w14:solidFill>
                </w14:textFill>
              </w:rPr>
              <w:t>1#车间现场为空置</w:t>
            </w:r>
            <w:r>
              <w:rPr>
                <w:rFonts w:ascii="宋体" w:hAnsi="宋体"/>
                <w:color w:val="000000" w:themeColor="text1"/>
                <w14:textFill>
                  <w14:solidFill>
                    <w14:schemeClr w14:val="tx1"/>
                  </w14:solidFill>
                </w14:textFill>
              </w:rPr>
              <w:t>车间</w:t>
            </w:r>
            <w:r>
              <w:rPr>
                <w:rFonts w:hint="eastAsia" w:ascii="宋体" w:hAnsi="宋体"/>
                <w:color w:val="000000" w:themeColor="text1"/>
                <w14:textFill>
                  <w14:solidFill>
                    <w14:schemeClr w14:val="tx1"/>
                  </w14:solidFill>
                </w14:textFill>
              </w:rPr>
              <w:t>（现状照片见附图3），1#车间内无遗留环境问题</w:t>
            </w:r>
            <w:r>
              <w:rPr>
                <w:rFonts w:ascii="宋体" w:hAnsi="宋体"/>
                <w:color w:val="000000" w:themeColor="text1"/>
                <w14:textFill>
                  <w14:solidFill>
                    <w14:schemeClr w14:val="tx1"/>
                  </w14:solidFill>
                </w14:textFill>
              </w:rPr>
              <w:t>。</w:t>
            </w: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rFonts w:hint="eastAsia" w:ascii="宋体" w:hAnsi="宋体"/>
                <w:color w:val="000000" w:themeColor="text1"/>
                <w14:textFill>
                  <w14:solidFill>
                    <w14:schemeClr w14:val="tx1"/>
                  </w14:solidFill>
                </w14:textFill>
              </w:rPr>
            </w:pPr>
          </w:p>
          <w:p>
            <w:pPr>
              <w:spacing w:after="0" w:line="360" w:lineRule="auto"/>
              <w:ind w:firstLine="480" w:firstLineChars="200"/>
              <w:jc w:val="both"/>
              <w:rPr>
                <w:color w:val="000000" w:themeColor="text1"/>
                <w14:textFill>
                  <w14:solidFill>
                    <w14:schemeClr w14:val="tx1"/>
                  </w14:solidFill>
                </w14:textFill>
              </w:rPr>
            </w:pPr>
          </w:p>
        </w:tc>
      </w:tr>
    </w:tbl>
    <w:p>
      <w:pPr>
        <w:pStyle w:val="29"/>
        <w:widowControl w:val="0"/>
        <w:topLinePunct/>
        <w:spacing w:before="0" w:beforeAutospacing="0" w:after="0" w:afterAutospacing="0" w:line="36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r>
        <w:rPr>
          <w:rFonts w:ascii="Times New Roman" w:hAnsi="Times New Roman" w:eastAsia="宋体" w:cs="Times New Roman"/>
          <w:b/>
          <w:bCs/>
          <w:snapToGrid w:val="0"/>
          <w:color w:val="000000" w:themeColor="text1"/>
          <w:sz w:val="32"/>
          <w:szCs w:val="32"/>
          <w14:textFill>
            <w14:solidFill>
              <w14:schemeClr w14:val="tx1"/>
            </w14:solidFill>
          </w14:textFill>
        </w:rPr>
        <w:t>三、区域环境质量现状、环境保护目标及评价标准</w:t>
      </w:r>
      <w:bookmarkEnd w:id="5"/>
      <w:bookmarkEnd w:id="6"/>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424"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区域</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环境</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质量</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现状</w:t>
            </w:r>
          </w:p>
        </w:tc>
        <w:tc>
          <w:tcPr>
            <w:tcW w:w="8865" w:type="dxa"/>
            <w:vAlign w:val="center"/>
          </w:tcPr>
          <w:p>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3.1 区域环境质量现状</w:t>
            </w:r>
          </w:p>
          <w:p>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 xml:space="preserve">3.1.1 </w:t>
            </w:r>
            <w:r>
              <w:rPr>
                <w:rFonts w:hint="eastAsia" w:ascii="Times New Roman" w:hAnsi="Times New Roman" w:eastAsia="宋体" w:cs="Times New Roman"/>
                <w:b/>
                <w:bCs/>
                <w:color w:val="000000" w:themeColor="text1"/>
                <w:szCs w:val="24"/>
                <w14:textFill>
                  <w14:solidFill>
                    <w14:schemeClr w14:val="tx1"/>
                  </w14:solidFill>
                </w14:textFill>
              </w:rPr>
              <w:t>空气环境</w:t>
            </w:r>
            <w:r>
              <w:rPr>
                <w:rFonts w:ascii="Times New Roman" w:hAnsi="Times New Roman" w:eastAsia="宋体" w:cs="Times New Roman"/>
                <w:b/>
                <w:bCs/>
                <w:color w:val="000000" w:themeColor="text1"/>
                <w:szCs w:val="24"/>
                <w14:textFill>
                  <w14:solidFill>
                    <w14:schemeClr w14:val="tx1"/>
                  </w14:solidFill>
                </w14:textFill>
              </w:rPr>
              <w:t>质量现状</w:t>
            </w:r>
          </w:p>
          <w:p>
            <w:pPr>
              <w:widowControl w:val="0"/>
              <w:topLinePunct/>
              <w:spacing w:after="0" w:line="360" w:lineRule="auto"/>
              <w:ind w:firstLine="488" w:firstLineChars="200"/>
              <w:contextualSpacing/>
              <w:jc w:val="both"/>
              <w:rPr>
                <w:rFonts w:ascii="Times New Roman" w:hAnsi="Times New Roman" w:eastAsia="宋体" w:cs="Times New Roman"/>
                <w:b/>
                <w:bCs/>
                <w:color w:val="000000" w:themeColor="text1"/>
                <w:szCs w:val="24"/>
                <w14:textFill>
                  <w14:solidFill>
                    <w14:schemeClr w14:val="tx1"/>
                  </w14:solidFill>
                </w14:textFill>
              </w:rPr>
            </w:pPr>
            <w:r>
              <w:rPr>
                <w:color w:val="000000" w:themeColor="text1"/>
                <w:spacing w:val="2"/>
                <w14:textFill>
                  <w14:solidFill>
                    <w14:schemeClr w14:val="tx1"/>
                  </w14:solidFill>
                </w14:textFill>
              </w:rPr>
              <w:t>根据《建设项目环境影响报告表编制技术指南</w:t>
            </w:r>
            <w:r>
              <w:rPr>
                <w:rFonts w:ascii="Times New Roman" w:hAnsi="Times New Roman" w:eastAsia="Times New Roman" w:cs="Times New Roman"/>
                <w:color w:val="000000" w:themeColor="text1"/>
                <w:spacing w:val="2"/>
                <w14:textFill>
                  <w14:solidFill>
                    <w14:schemeClr w14:val="tx1"/>
                  </w14:solidFill>
                </w14:textFill>
              </w:rPr>
              <w:t>(</w:t>
            </w:r>
            <w:r>
              <w:rPr>
                <w:color w:val="000000" w:themeColor="text1"/>
                <w:spacing w:val="2"/>
                <w14:textFill>
                  <w14:solidFill>
                    <w14:schemeClr w14:val="tx1"/>
                  </w14:solidFill>
                </w14:textFill>
              </w:rPr>
              <w:t>污染影响类</w:t>
            </w:r>
            <w:r>
              <w:rPr>
                <w:rFonts w:ascii="Times New Roman" w:hAnsi="Times New Roman" w:eastAsia="Times New Roman" w:cs="Times New Roman"/>
                <w:color w:val="000000" w:themeColor="text1"/>
                <w:spacing w:val="2"/>
                <w14:textFill>
                  <w14:solidFill>
                    <w14:schemeClr w14:val="tx1"/>
                  </w14:solidFill>
                </w14:textFill>
              </w:rPr>
              <w:t>)(</w:t>
            </w:r>
            <w:r>
              <w:rPr>
                <w:color w:val="000000" w:themeColor="text1"/>
                <w:spacing w:val="2"/>
                <w14:textFill>
                  <w14:solidFill>
                    <w14:schemeClr w14:val="tx1"/>
                  </w14:solidFill>
                </w14:textFill>
              </w:rPr>
              <w:t>试</w:t>
            </w:r>
            <w:r>
              <w:rPr>
                <w:color w:val="000000" w:themeColor="text1"/>
                <w:spacing w:val="1"/>
                <w14:textFill>
                  <w14:solidFill>
                    <w14:schemeClr w14:val="tx1"/>
                  </w14:solidFill>
                </w14:textFill>
              </w:rPr>
              <w:t>行</w:t>
            </w:r>
            <w:r>
              <w:rPr>
                <w:rFonts w:ascii="Times New Roman" w:hAnsi="Times New Roman" w:eastAsia="Times New Roman" w:cs="Times New Roman"/>
                <w:color w:val="000000" w:themeColor="text1"/>
                <w:spacing w:val="1"/>
                <w14:textFill>
                  <w14:solidFill>
                    <w14:schemeClr w14:val="tx1"/>
                  </w14:solidFill>
                </w14:textFill>
              </w:rPr>
              <w:t>)</w:t>
            </w:r>
            <w:r>
              <w:rPr>
                <w:color w:val="000000" w:themeColor="text1"/>
                <w:spacing w:val="1"/>
                <w14:textFill>
                  <w14:solidFill>
                    <w14:schemeClr w14:val="tx1"/>
                  </w14:solidFill>
                </w14:textFill>
              </w:rPr>
              <w:t>》</w:t>
            </w:r>
            <w:r>
              <w:rPr>
                <w:rFonts w:ascii="Times New Roman" w:hAnsi="Times New Roman" w:eastAsia="Times New Roman" w:cs="Times New Roman"/>
                <w:color w:val="000000" w:themeColor="text1"/>
                <w:spacing w:val="1"/>
                <w14:textFill>
                  <w14:solidFill>
                    <w14:schemeClr w14:val="tx1"/>
                  </w14:solidFill>
                </w14:textFill>
              </w:rPr>
              <w:t>(</w:t>
            </w:r>
            <w:r>
              <w:rPr>
                <w:color w:val="000000" w:themeColor="text1"/>
                <w:spacing w:val="1"/>
                <w14:textFill>
                  <w14:solidFill>
                    <w14:schemeClr w14:val="tx1"/>
                  </w14:solidFill>
                </w14:textFill>
              </w:rPr>
              <w:t>环办环</w:t>
            </w:r>
            <w:r>
              <w:rPr>
                <w:color w:val="000000" w:themeColor="text1"/>
                <w:spacing w:val="-1"/>
                <w14:textFill>
                  <w14:solidFill>
                    <w14:schemeClr w14:val="tx1"/>
                  </w14:solidFill>
                </w14:textFill>
              </w:rPr>
              <w:t>评〔</w:t>
            </w:r>
            <w:r>
              <w:rPr>
                <w:rFonts w:ascii="Times New Roman" w:hAnsi="Times New Roman" w:eastAsia="Times New Roman" w:cs="Times New Roman"/>
                <w:color w:val="000000" w:themeColor="text1"/>
                <w:spacing w:val="-1"/>
                <w14:textFill>
                  <w14:solidFill>
                    <w14:schemeClr w14:val="tx1"/>
                  </w14:solidFill>
                </w14:textFill>
              </w:rPr>
              <w:t>2020</w:t>
            </w:r>
            <w:r>
              <w:rPr>
                <w:color w:val="000000" w:themeColor="text1"/>
                <w:spacing w:val="-1"/>
                <w14:textFill>
                  <w14:solidFill>
                    <w14:schemeClr w14:val="tx1"/>
                  </w14:solidFill>
                </w14:textFill>
              </w:rPr>
              <w:t>〕</w:t>
            </w:r>
            <w:r>
              <w:rPr>
                <w:rFonts w:ascii="Times New Roman" w:hAnsi="Times New Roman" w:eastAsia="Times New Roman" w:cs="Times New Roman"/>
                <w:color w:val="000000" w:themeColor="text1"/>
                <w:spacing w:val="-1"/>
                <w14:textFill>
                  <w14:solidFill>
                    <w14:schemeClr w14:val="tx1"/>
                  </w14:solidFill>
                </w14:textFill>
              </w:rPr>
              <w:t>33</w:t>
            </w:r>
            <w:r>
              <w:rPr>
                <w:color w:val="000000" w:themeColor="text1"/>
                <w:spacing w:val="-1"/>
                <w14:textFill>
                  <w14:solidFill>
                    <w14:schemeClr w14:val="tx1"/>
                  </w14:solidFill>
                </w14:textFill>
              </w:rPr>
              <w:t>号</w:t>
            </w:r>
            <w:r>
              <w:rPr>
                <w:rFonts w:ascii="Times New Roman" w:hAnsi="Times New Roman" w:eastAsia="Times New Roman" w:cs="Times New Roman"/>
                <w:color w:val="000000" w:themeColor="text1"/>
                <w:spacing w:val="-1"/>
                <w14:textFill>
                  <w14:solidFill>
                    <w14:schemeClr w14:val="tx1"/>
                  </w14:solidFill>
                </w14:textFill>
              </w:rPr>
              <w:t>)</w:t>
            </w:r>
            <w:r>
              <w:rPr>
                <w:color w:val="000000" w:themeColor="text1"/>
                <w:spacing w:val="-1"/>
                <w14:textFill>
                  <w14:solidFill>
                    <w14:schemeClr w14:val="tx1"/>
                  </w14:solidFill>
                </w14:textFill>
              </w:rPr>
              <w:t>的要求：</w:t>
            </w:r>
            <w:r>
              <w:rPr>
                <w:rFonts w:ascii="Times New Roman" w:hAnsi="Times New Roman" w:eastAsia="Times New Roman" w:cs="Times New Roman"/>
                <w:color w:val="000000" w:themeColor="text1"/>
                <w:spacing w:val="-1"/>
                <w14:textFill>
                  <w14:solidFill>
                    <w14:schemeClr w14:val="tx1"/>
                  </w14:solidFill>
                </w14:textFill>
              </w:rPr>
              <w:t>“</w:t>
            </w:r>
            <w:r>
              <w:rPr>
                <w:color w:val="000000" w:themeColor="text1"/>
                <w:spacing w:val="-1"/>
                <w14:textFill>
                  <w14:solidFill>
                    <w14:schemeClr w14:val="tx1"/>
                  </w14:solidFill>
                </w14:textFill>
              </w:rPr>
              <w:t>大气环境区域环境质量现状常规污染物引用与建设项目距离近的有效数据，包括近</w:t>
            </w:r>
            <w:r>
              <w:rPr>
                <w:rFonts w:ascii="Times New Roman" w:hAnsi="Times New Roman" w:eastAsia="Times New Roman" w:cs="Times New Roman"/>
                <w:color w:val="000000" w:themeColor="text1"/>
                <w:spacing w:val="-1"/>
                <w14:textFill>
                  <w14:solidFill>
                    <w14:schemeClr w14:val="tx1"/>
                  </w14:solidFill>
                </w14:textFill>
              </w:rPr>
              <w:t>3</w:t>
            </w:r>
            <w:r>
              <w:rPr>
                <w:color w:val="000000" w:themeColor="text1"/>
                <w:spacing w:val="-1"/>
                <w14:textFill>
                  <w14:solidFill>
                    <w14:schemeClr w14:val="tx1"/>
                  </w14:solidFill>
                </w14:textFill>
              </w:rPr>
              <w:t>年的规划环境影响评价的监测数据，国家、地方</w:t>
            </w:r>
            <w:r>
              <w:rPr>
                <w:color w:val="000000" w:themeColor="text1"/>
                <w:spacing w:val="6"/>
                <w14:textFill>
                  <w14:solidFill>
                    <w14:schemeClr w14:val="tx1"/>
                  </w14:solidFill>
                </w14:textFill>
              </w:rPr>
              <w:t>环境空气质量监测网数据或生态环境主管部门公开发布的质量数据等，排放国</w:t>
            </w:r>
            <w:r>
              <w:rPr>
                <w:color w:val="000000" w:themeColor="text1"/>
                <w:spacing w:val="-1"/>
                <w14:textFill>
                  <w14:solidFill>
                    <w14:schemeClr w14:val="tx1"/>
                  </w14:solidFill>
                </w14:textFill>
              </w:rPr>
              <w:t>家、地方环境空气质量标准中有标准限值要求的特征污染物时，引用建设项目周</w:t>
            </w:r>
            <w:r>
              <w:rPr>
                <w:color w:val="000000" w:themeColor="text1"/>
                <w:spacing w:val="-4"/>
                <w14:textFill>
                  <w14:solidFill>
                    <w14:schemeClr w14:val="tx1"/>
                  </w14:solidFill>
                </w14:textFill>
              </w:rPr>
              <w:t>边</w:t>
            </w:r>
            <w:r>
              <w:rPr>
                <w:rFonts w:ascii="Times New Roman" w:hAnsi="Times New Roman" w:eastAsia="Times New Roman" w:cs="Times New Roman"/>
                <w:color w:val="000000" w:themeColor="text1"/>
                <w:spacing w:val="-4"/>
                <w14:textFill>
                  <w14:solidFill>
                    <w14:schemeClr w14:val="tx1"/>
                  </w14:solidFill>
                </w14:textFill>
              </w:rPr>
              <w:t>5</w:t>
            </w:r>
            <w:r>
              <w:rPr>
                <w:color w:val="000000" w:themeColor="text1"/>
                <w:spacing w:val="-4"/>
                <w14:textFill>
                  <w14:solidFill>
                    <w14:schemeClr w14:val="tx1"/>
                  </w14:solidFill>
                </w14:textFill>
              </w:rPr>
              <w:t>千米范围内近</w:t>
            </w:r>
            <w:r>
              <w:rPr>
                <w:rFonts w:ascii="Times New Roman" w:hAnsi="Times New Roman" w:eastAsia="Times New Roman" w:cs="Times New Roman"/>
                <w:color w:val="000000" w:themeColor="text1"/>
                <w:spacing w:val="-4"/>
                <w14:textFill>
                  <w14:solidFill>
                    <w14:schemeClr w14:val="tx1"/>
                  </w14:solidFill>
                </w14:textFill>
              </w:rPr>
              <w:t>3</w:t>
            </w:r>
            <w:r>
              <w:rPr>
                <w:color w:val="000000" w:themeColor="text1"/>
                <w:spacing w:val="-4"/>
                <w14:textFill>
                  <w14:solidFill>
                    <w14:schemeClr w14:val="tx1"/>
                  </w14:solidFill>
                </w14:textFill>
              </w:rPr>
              <w:t>年的现有监测数据</w:t>
            </w:r>
            <w:r>
              <w:rPr>
                <w:rFonts w:ascii="Times New Roman" w:hAnsi="Times New Roman" w:eastAsia="Times New Roman" w:cs="Times New Roman"/>
                <w:color w:val="000000" w:themeColor="text1"/>
                <w:spacing w:val="-4"/>
                <w14:textFill>
                  <w14:solidFill>
                    <w14:schemeClr w14:val="tx1"/>
                  </w14:solidFill>
                </w14:textFill>
              </w:rPr>
              <w:t>”</w:t>
            </w:r>
            <w:r>
              <w:rPr>
                <w:color w:val="000000" w:themeColor="text1"/>
                <w:spacing w:val="-4"/>
                <w14:textFill>
                  <w14:solidFill>
                    <w14:schemeClr w14:val="tx1"/>
                  </w14:solidFill>
                </w14:textFill>
              </w:rPr>
              <w:t>。本评价常规污染因子选取福建省生态环</w:t>
            </w:r>
            <w:r>
              <w:rPr>
                <w:color w:val="000000" w:themeColor="text1"/>
                <w:spacing w:val="-1"/>
                <w14:textFill>
                  <w14:solidFill>
                    <w14:schemeClr w14:val="tx1"/>
                  </w14:solidFill>
                </w14:textFill>
              </w:rPr>
              <w:t>境厅、福州市闽侯县人民政府网址发布的环境空气质量现状信息，符合《建设项</w:t>
            </w:r>
            <w:r>
              <w:rPr>
                <w:color w:val="000000" w:themeColor="text1"/>
                <w:spacing w:val="4"/>
                <w14:textFill>
                  <w14:solidFill>
                    <w14:schemeClr w14:val="tx1"/>
                  </w14:solidFill>
                </w14:textFill>
              </w:rPr>
              <w:t>目环境影响报告表编制技术指南</w:t>
            </w:r>
            <w:r>
              <w:rPr>
                <w:rFonts w:ascii="Times New Roman" w:hAnsi="Times New Roman" w:eastAsia="Times New Roman" w:cs="Times New Roman"/>
                <w:color w:val="000000" w:themeColor="text1"/>
                <w:spacing w:val="4"/>
                <w14:textFill>
                  <w14:solidFill>
                    <w14:schemeClr w14:val="tx1"/>
                  </w14:solidFill>
                </w14:textFill>
              </w:rPr>
              <w:t>(</w:t>
            </w:r>
            <w:r>
              <w:rPr>
                <w:color w:val="000000" w:themeColor="text1"/>
                <w:spacing w:val="4"/>
                <w14:textFill>
                  <w14:solidFill>
                    <w14:schemeClr w14:val="tx1"/>
                  </w14:solidFill>
                </w14:textFill>
              </w:rPr>
              <w:t>污染影响类</w:t>
            </w:r>
            <w:r>
              <w:rPr>
                <w:rFonts w:ascii="Times New Roman" w:hAnsi="Times New Roman" w:eastAsia="Times New Roman" w:cs="Times New Roman"/>
                <w:color w:val="000000" w:themeColor="text1"/>
                <w:spacing w:val="4"/>
                <w14:textFill>
                  <w14:solidFill>
                    <w14:schemeClr w14:val="tx1"/>
                  </w14:solidFill>
                </w14:textFill>
              </w:rPr>
              <w:t>)</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试行</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环办环评〔</w:t>
            </w:r>
            <w:r>
              <w:rPr>
                <w:rFonts w:ascii="Times New Roman" w:hAnsi="Times New Roman" w:eastAsia="Times New Roman" w:cs="Times New Roman"/>
                <w:color w:val="000000" w:themeColor="text1"/>
                <w:spacing w:val="3"/>
                <w14:textFill>
                  <w14:solidFill>
                    <w14:schemeClr w14:val="tx1"/>
                  </w14:solidFill>
                </w14:textFill>
              </w:rPr>
              <w:t>2020</w:t>
            </w:r>
            <w:r>
              <w:rPr>
                <w:color w:val="000000" w:themeColor="text1"/>
                <w:spacing w:val="3"/>
                <w14:textFill>
                  <w14:solidFill>
                    <w14:schemeClr w14:val="tx1"/>
                  </w14:solidFill>
                </w14:textFill>
              </w:rPr>
              <w:t>〕</w:t>
            </w:r>
            <w:r>
              <w:rPr>
                <w:rFonts w:ascii="Times New Roman" w:hAnsi="Times New Roman" w:eastAsia="Times New Roman" w:cs="Times New Roman"/>
                <w:color w:val="000000" w:themeColor="text1"/>
                <w:spacing w:val="3"/>
                <w14:textFill>
                  <w14:solidFill>
                    <w14:schemeClr w14:val="tx1"/>
                  </w14:solidFill>
                </w14:textFill>
              </w:rPr>
              <w:t>33</w:t>
            </w:r>
            <w:r>
              <w:rPr>
                <w:color w:val="000000" w:themeColor="text1"/>
                <w:spacing w:val="3"/>
                <w14:textFill>
                  <w14:solidFill>
                    <w14:schemeClr w14:val="tx1"/>
                  </w14:solidFill>
                </w14:textFill>
              </w:rPr>
              <w:t>号</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的要求。</w:t>
            </w:r>
          </w:p>
          <w:p>
            <w:pPr>
              <w:widowControl w:val="0"/>
              <w:topLinePunct/>
              <w:spacing w:after="0" w:line="360" w:lineRule="auto"/>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b/>
                <w:bCs/>
                <w:color w:val="000000" w:themeColor="text1"/>
                <w:szCs w:val="24"/>
                <w14:textFill>
                  <w14:solidFill>
                    <w14:schemeClr w14:val="tx1"/>
                  </w14:solidFill>
                </w14:textFill>
              </w:rPr>
              <w:t xml:space="preserve">  </w:t>
            </w:r>
            <w:r>
              <w:rPr>
                <w:rFonts w:hint="eastAsia" w:ascii="Times New Roman" w:hAnsi="Times New Roman" w:eastAsia="宋体" w:cs="Times New Roman"/>
                <w:color w:val="000000" w:themeColor="text1"/>
                <w:szCs w:val="24"/>
                <w14:textFill>
                  <w14:solidFill>
                    <w14:schemeClr w14:val="tx1"/>
                  </w14:solidFill>
                </w14:textFill>
              </w:rPr>
              <w:t>（1）常规污染因子</w:t>
            </w:r>
          </w:p>
          <w:p>
            <w:pPr>
              <w:widowControl w:val="0"/>
              <w:topLinePunct/>
              <w:adjustRightInd w:val="0"/>
              <w:snapToGrid w:val="0"/>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2023年福州市环境状况公报》，全省68个城市(9个设区城市、平潭综合实验区和58个县级城市)环境空气中细颗粒物、可吸入颗粒物、二氧化硫和二氧化氮年均浓度分别为16微克/立方米、31微克/立方米、5微克/立方米和12微克/立方米，臭氧和一氧化碳特定百分位数平均值分别为113微克/立方米和0.8毫克/立方米。按照《环境空气质量标准》(CB3095-2012)评价，空气质量优良天数比例99.4%。</w:t>
            </w:r>
          </w:p>
          <w:p>
            <w:pPr>
              <w:widowControl w:val="0"/>
              <w:topLinePunct/>
              <w:adjustRightInd w:val="0"/>
              <w:snapToGrid w:val="0"/>
              <w:spacing w:after="0" w:line="360" w:lineRule="auto"/>
              <w:ind w:firstLine="480" w:firstLineChars="200"/>
              <w:jc w:val="both"/>
              <w:rPr>
                <w:rStyle w:val="44"/>
                <w:rFonts w:ascii="Times New Roman" w:hAnsi="Times New Roman" w:eastAsia="宋体" w:cs="Times New Roman"/>
                <w:color w:val="000000" w:themeColor="text1"/>
                <w:szCs w:val="20"/>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根据福州市福清生态环境局发布的2023年1月至2023年12月空气质量月报数据，详见表3.1-1，空气环境中SO</w:t>
            </w:r>
            <w:r>
              <w:rPr>
                <w:rFonts w:ascii="Times New Roman" w:hAnsi="Times New Roman" w:eastAsia="宋体" w:cs="Times New Roman"/>
                <w:color w:val="000000" w:themeColor="text1"/>
                <w:szCs w:val="24"/>
                <w:vertAlign w:val="sub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、NO</w:t>
            </w:r>
            <w:r>
              <w:rPr>
                <w:rFonts w:ascii="Times New Roman" w:hAnsi="Times New Roman" w:eastAsia="宋体" w:cs="Times New Roman"/>
                <w:color w:val="000000" w:themeColor="text1"/>
                <w:szCs w:val="24"/>
                <w:vertAlign w:val="sub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、PM</w:t>
            </w:r>
            <w:r>
              <w:rPr>
                <w:rFonts w:ascii="Times New Roman" w:hAnsi="Times New Roman" w:eastAsia="宋体" w:cs="Times New Roman"/>
                <w:color w:val="000000" w:themeColor="text1"/>
                <w:szCs w:val="24"/>
                <w:vertAlign w:val="subscript"/>
                <w14:textFill>
                  <w14:solidFill>
                    <w14:schemeClr w14:val="tx1"/>
                  </w14:solidFill>
                </w14:textFill>
              </w:rPr>
              <w:t>10</w:t>
            </w:r>
            <w:r>
              <w:rPr>
                <w:rFonts w:ascii="Times New Roman" w:hAnsi="Times New Roman" w:eastAsia="宋体" w:cs="Times New Roman"/>
                <w:color w:val="000000" w:themeColor="text1"/>
                <w:szCs w:val="24"/>
                <w14:textFill>
                  <w14:solidFill>
                    <w14:schemeClr w14:val="tx1"/>
                  </w14:solidFill>
                </w14:textFill>
              </w:rPr>
              <w:t>和PM</w:t>
            </w:r>
            <w:r>
              <w:rPr>
                <w:rFonts w:ascii="Times New Roman" w:hAnsi="Times New Roman" w:eastAsia="宋体" w:cs="Times New Roman"/>
                <w:color w:val="000000" w:themeColor="text1"/>
                <w:szCs w:val="24"/>
                <w:vertAlign w:val="subscript"/>
                <w14:textFill>
                  <w14:solidFill>
                    <w14:schemeClr w14:val="tx1"/>
                  </w14:solidFill>
                </w14:textFill>
              </w:rPr>
              <w:t>2.5</w:t>
            </w:r>
            <w:r>
              <w:rPr>
                <w:rFonts w:ascii="Times New Roman" w:hAnsi="Times New Roman" w:eastAsia="宋体" w:cs="Times New Roman"/>
                <w:color w:val="000000" w:themeColor="text1"/>
                <w:szCs w:val="24"/>
                <w14:textFill>
                  <w14:solidFill>
                    <w14:schemeClr w14:val="tx1"/>
                  </w14:solidFill>
                </w14:textFill>
              </w:rPr>
              <w:t>均未超过国家二级标准，CO日均值第95百分数和O</w:t>
            </w:r>
            <w:r>
              <w:rPr>
                <w:rFonts w:ascii="Times New Roman" w:hAnsi="Times New Roman" w:eastAsia="宋体" w:cs="Times New Roman"/>
                <w:color w:val="000000" w:themeColor="text1"/>
                <w:szCs w:val="24"/>
                <w:vertAlign w:val="sub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最大8小时值第90百分数未超过国家二级标准。</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表3.1-1  2023年福清市空气质量月报数据</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1142"/>
              <w:gridCol w:w="1142"/>
              <w:gridCol w:w="1142"/>
              <w:gridCol w:w="1578"/>
              <w:gridCol w:w="1090"/>
              <w:gridCol w:w="11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时间</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SO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NO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10</w:t>
                  </w:r>
                </w:p>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2.5</w:t>
                  </w: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w:t>
                  </w:r>
                </w:p>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vertAlign w:val="subscript"/>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O</w:t>
                  </w:r>
                  <w:r>
                    <w:rPr>
                      <w:rFonts w:ascii="Times New Roman" w:hAnsi="Times New Roman" w:eastAsia="宋体" w:cs="Times New Roman"/>
                      <w:color w:val="000000" w:themeColor="text1"/>
                      <w:sz w:val="21"/>
                      <w:szCs w:val="21"/>
                      <w:vertAlign w:val="subscript"/>
                      <w14:textFill>
                        <w14:solidFill>
                          <w14:schemeClr w14:val="tx1"/>
                        </w14:solidFill>
                      </w14:textFill>
                    </w:rPr>
                    <w:t>3</w:t>
                  </w:r>
                </w:p>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0.016</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0.032</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0.017</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2023年2月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0.005</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0.033</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0.018</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0.8</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2023年3月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0.005</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0.024</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0.042</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0.8</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2023年4月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0.019</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0.047</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2023年5月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0.013</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0.037</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0.017</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2023年6月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0.026</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0.012</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2023年7月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0.027</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0.010</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2023年8月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0.027</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0.012</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2023年9月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0.007</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0.022</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2023年10月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0.028</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0.014</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2023年11月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0.009</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0.030</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0.015</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2023年12月</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0.019</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0.030</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0.018</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国家二级</w:t>
                  </w:r>
                </w:p>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标准</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0.06</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w:t>
                  </w:r>
                </w:p>
              </w:tc>
              <w:tc>
                <w:tcPr>
                  <w:tcW w:w="664"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0.07</w:t>
                  </w:r>
                </w:p>
              </w:tc>
              <w:tc>
                <w:tcPr>
                  <w:tcW w:w="917"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0.035</w:t>
                  </w:r>
                </w:p>
              </w:tc>
              <w:tc>
                <w:tcPr>
                  <w:tcW w:w="62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备注</w:t>
                  </w:r>
                </w:p>
              </w:tc>
              <w:tc>
                <w:tcPr>
                  <w:tcW w:w="4201" w:type="pct"/>
                  <w:gridSpan w:val="6"/>
                  <w:vAlign w:val="center"/>
                </w:tcPr>
                <w:p>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*CO为日均值第95百分位数，O</w:t>
                  </w:r>
                  <w:r>
                    <w:rPr>
                      <w:rFonts w:ascii="Times New Roman" w:hAnsi="Times New Roman" w:eastAsia="宋体" w:cs="Times New Roman"/>
                      <w:color w:val="000000" w:themeColor="text1"/>
                      <w:sz w:val="21"/>
                      <w:szCs w:val="21"/>
                      <w:vertAlign w:val="sub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为日最大8小时值第90百分位数。</w:t>
                  </w:r>
                </w:p>
              </w:tc>
            </w:tr>
          </w:tbl>
          <w:p>
            <w:pPr>
              <w:widowControl w:val="0"/>
              <w:numPr>
                <w:ilvl w:val="0"/>
                <w:numId w:val="2"/>
              </w:numPr>
              <w:topLinePunct/>
              <w:spacing w:after="0" w:line="360" w:lineRule="auto"/>
              <w:ind w:firstLine="480" w:firstLineChars="200"/>
              <w:contextualSpacing/>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特征污染因子</w:t>
            </w:r>
          </w:p>
          <w:p>
            <w:pPr>
              <w:pStyle w:val="172"/>
              <w:spacing w:after="0" w:line="360" w:lineRule="auto"/>
              <w:ind w:firstLine="488" w:firstLineChars="200"/>
              <w:jc w:val="both"/>
              <w:rPr>
                <w:rFonts w:hint="eastAsia"/>
                <w:color w:val="000000" w:themeColor="text1"/>
                <w:lang w:eastAsia="zh-CN"/>
                <w14:textFill>
                  <w14:solidFill>
                    <w14:schemeClr w14:val="tx1"/>
                  </w14:solidFill>
                </w14:textFill>
              </w:rPr>
            </w:pPr>
            <w:r>
              <w:rPr>
                <w:color w:val="000000" w:themeColor="text1"/>
                <w:spacing w:val="2"/>
                <w:lang w:eastAsia="zh-CN"/>
                <w14:textFill>
                  <w14:solidFill>
                    <w14:schemeClr w14:val="tx1"/>
                  </w14:solidFill>
                </w14:textFill>
              </w:rPr>
              <w:t>根据环境影响评价网</w:t>
            </w:r>
            <w:r>
              <w:rPr>
                <w:rFonts w:ascii="Times New Roman" w:hAnsi="Times New Roman" w:eastAsia="Times New Roman" w:cs="Times New Roman"/>
                <w:color w:val="000000" w:themeColor="text1"/>
                <w:spacing w:val="2"/>
                <w:lang w:eastAsia="zh-CN"/>
                <w14:textFill>
                  <w14:solidFill>
                    <w14:schemeClr w14:val="tx1"/>
                  </w14:solidFill>
                </w14:textFill>
              </w:rPr>
              <w:t>(</w:t>
            </w:r>
            <w:r>
              <w:rPr>
                <w:color w:val="000000" w:themeColor="text1"/>
                <w:spacing w:val="2"/>
                <w:lang w:eastAsia="zh-CN"/>
                <w14:textFill>
                  <w14:solidFill>
                    <w14:schemeClr w14:val="tx1"/>
                  </w14:solidFill>
                </w14:textFill>
              </w:rPr>
              <w:t>生态环境部环境工程评估中心</w:t>
            </w:r>
            <w:r>
              <w:rPr>
                <w:rFonts w:ascii="Times New Roman" w:hAnsi="Times New Roman" w:eastAsia="Times New Roman" w:cs="Times New Roman"/>
                <w:color w:val="000000" w:themeColor="text1"/>
                <w:spacing w:val="2"/>
                <w:lang w:eastAsia="zh-CN"/>
                <w14:textFill>
                  <w14:solidFill>
                    <w14:schemeClr w14:val="tx1"/>
                  </w14:solidFill>
                </w14:textFill>
              </w:rPr>
              <w:t>)</w:t>
            </w:r>
            <w:r>
              <w:rPr>
                <w:color w:val="000000" w:themeColor="text1"/>
                <w:spacing w:val="2"/>
                <w:lang w:eastAsia="zh-CN"/>
                <w14:textFill>
                  <w14:solidFill>
                    <w14:schemeClr w14:val="tx1"/>
                  </w14:solidFill>
                </w14:textFill>
              </w:rPr>
              <w:t>关于</w:t>
            </w:r>
            <w:r>
              <w:rPr>
                <w:color w:val="000000" w:themeColor="text1"/>
                <w:spacing w:val="1"/>
                <w:lang w:eastAsia="zh-CN"/>
                <w14:textFill>
                  <w14:solidFill>
                    <w14:schemeClr w14:val="tx1"/>
                  </w14:solidFill>
                </w14:textFill>
              </w:rPr>
              <w:t>《建设项目环境影</w:t>
            </w:r>
            <w:r>
              <w:rPr>
                <w:color w:val="000000" w:themeColor="text1"/>
                <w:lang w:eastAsia="zh-CN"/>
                <w14:textFill>
                  <w14:solidFill>
                    <w14:schemeClr w14:val="tx1"/>
                  </w14:solidFill>
                </w14:textFill>
              </w:rPr>
              <w:t xml:space="preserve"> 响报告表》内容、格式及编制技术指南常见问题解答：</w:t>
            </w:r>
            <w:r>
              <w:rPr>
                <w:rFonts w:ascii="Times New Roman" w:hAnsi="Times New Roman" w:eastAsia="Times New Roman" w:cs="Times New Roman"/>
                <w:color w:val="000000" w:themeColor="text1"/>
                <w:lang w:eastAsia="zh-CN"/>
                <w14:textFill>
                  <w14:solidFill>
                    <w14:schemeClr w14:val="tx1"/>
                  </w14:solidFill>
                </w14:textFill>
              </w:rPr>
              <w:t>“</w:t>
            </w:r>
            <w:r>
              <w:rPr>
                <w:color w:val="000000" w:themeColor="text1"/>
                <w:lang w:eastAsia="zh-CN"/>
                <w14:textFill>
                  <w14:solidFill>
                    <w14:schemeClr w14:val="tx1"/>
                  </w14:solidFill>
                </w14:textFill>
              </w:rPr>
              <w:t>技术指南中提到</w:t>
            </w:r>
            <w:r>
              <w:rPr>
                <w:rFonts w:ascii="Times New Roman" w:hAnsi="Times New Roman" w:eastAsia="Times New Roman" w:cs="Times New Roman"/>
                <w:color w:val="000000" w:themeColor="text1"/>
                <w:lang w:eastAsia="zh-CN"/>
                <w14:textFill>
                  <w14:solidFill>
                    <w14:schemeClr w14:val="tx1"/>
                  </w14:solidFill>
                </w14:textFill>
              </w:rPr>
              <w:t>“</w:t>
            </w:r>
            <w:r>
              <w:rPr>
                <w:color w:val="000000" w:themeColor="text1"/>
                <w:lang w:eastAsia="zh-CN"/>
                <w14:textFill>
                  <w14:solidFill>
                    <w14:schemeClr w14:val="tx1"/>
                  </w14:solidFill>
                </w14:textFill>
              </w:rPr>
              <w:t>排放国</w:t>
            </w:r>
            <w:r>
              <w:rPr>
                <w:color w:val="000000" w:themeColor="text1"/>
                <w:spacing w:val="-4"/>
                <w:lang w:eastAsia="zh-CN"/>
                <w14:textFill>
                  <w14:solidFill>
                    <w14:schemeClr w14:val="tx1"/>
                  </w14:solidFill>
                </w14:textFill>
              </w:rPr>
              <w:t>家、地方环境空气质量标准中有标准限值要求的特征污染物</w:t>
            </w:r>
            <w:r>
              <w:rPr>
                <w:rFonts w:ascii="Times New Roman" w:hAnsi="Times New Roman" w:eastAsia="Times New Roman" w:cs="Times New Roman"/>
                <w:color w:val="000000" w:themeColor="text1"/>
                <w:spacing w:val="-4"/>
                <w:lang w:eastAsia="zh-CN"/>
                <w14:textFill>
                  <w14:solidFill>
                    <w14:schemeClr w14:val="tx1"/>
                  </w14:solidFill>
                </w14:textFill>
              </w:rPr>
              <w:t>”</w:t>
            </w:r>
            <w:r>
              <w:rPr>
                <w:color w:val="000000" w:themeColor="text1"/>
                <w:spacing w:val="-4"/>
                <w:lang w:eastAsia="zh-CN"/>
                <w14:textFill>
                  <w14:solidFill>
                    <w14:schemeClr w14:val="tx1"/>
                  </w14:solidFill>
                </w14:textFill>
              </w:rPr>
              <w:t>，其中环境空气质量</w:t>
            </w:r>
            <w:r>
              <w:rPr>
                <w:color w:val="000000" w:themeColor="text1"/>
                <w:spacing w:val="-1"/>
                <w:lang w:eastAsia="zh-CN"/>
                <w14:textFill>
                  <w14:solidFill>
                    <w14:schemeClr w14:val="tx1"/>
                  </w14:solidFill>
                </w14:textFill>
              </w:rPr>
              <w:t>标准指《环境空气质量标准》</w:t>
            </w:r>
            <w:r>
              <w:rPr>
                <w:rFonts w:ascii="Times New Roman" w:hAnsi="Times New Roman" w:eastAsia="Times New Roman" w:cs="Times New Roman"/>
                <w:color w:val="000000" w:themeColor="text1"/>
                <w:spacing w:val="-1"/>
                <w:lang w:eastAsia="zh-CN"/>
                <w14:textFill>
                  <w14:solidFill>
                    <w14:schemeClr w14:val="tx1"/>
                  </w14:solidFill>
                </w14:textFill>
              </w:rPr>
              <w:t>(GB3095)</w:t>
            </w:r>
            <w:r>
              <w:rPr>
                <w:color w:val="000000" w:themeColor="text1"/>
                <w:spacing w:val="-1"/>
                <w:lang w:eastAsia="zh-CN"/>
                <w14:textFill>
                  <w14:solidFill>
                    <w14:schemeClr w14:val="tx1"/>
                  </w14:solidFill>
                </w14:textFill>
              </w:rPr>
              <w:t>和地方的环境空气质量标准，不包括《环</w:t>
            </w:r>
            <w:r>
              <w:rPr>
                <w:color w:val="000000" w:themeColor="text1"/>
                <w:spacing w:val="10"/>
                <w:lang w:eastAsia="zh-CN"/>
                <w14:textFill>
                  <w14:solidFill>
                    <w14:schemeClr w14:val="tx1"/>
                  </w14:solidFill>
                </w14:textFill>
              </w:rPr>
              <w:t xml:space="preserve"> </w:t>
            </w:r>
            <w:r>
              <w:rPr>
                <w:color w:val="000000" w:themeColor="text1"/>
                <w:spacing w:val="-4"/>
                <w:lang w:eastAsia="zh-CN"/>
                <w14:textFill>
                  <w14:solidFill>
                    <w14:schemeClr w14:val="tx1"/>
                  </w14:solidFill>
                </w14:textFill>
              </w:rPr>
              <w:t>境影响评价技术导则大气环境》</w:t>
            </w:r>
            <w:r>
              <w:rPr>
                <w:rFonts w:ascii="Times New Roman" w:hAnsi="Times New Roman" w:eastAsia="Times New Roman" w:cs="Times New Roman"/>
                <w:color w:val="000000" w:themeColor="text1"/>
                <w:spacing w:val="-4"/>
                <w:lang w:eastAsia="zh-CN"/>
                <w14:textFill>
                  <w14:solidFill>
                    <w14:schemeClr w14:val="tx1"/>
                  </w14:solidFill>
                </w14:textFill>
              </w:rPr>
              <w:t>(HJ2.2-2018)</w:t>
            </w:r>
            <w:r>
              <w:rPr>
                <w:color w:val="000000" w:themeColor="text1"/>
                <w:spacing w:val="-4"/>
                <w:lang w:eastAsia="zh-CN"/>
                <w14:textFill>
                  <w14:solidFill>
                    <w14:schemeClr w14:val="tx1"/>
                  </w14:solidFill>
                </w14:textFill>
              </w:rPr>
              <w:t>附录</w:t>
            </w:r>
            <w:r>
              <w:rPr>
                <w:color w:val="000000" w:themeColor="text1"/>
                <w:spacing w:val="-55"/>
                <w:lang w:eastAsia="zh-CN"/>
                <w14:textFill>
                  <w14:solidFill>
                    <w14:schemeClr w14:val="tx1"/>
                  </w14:solidFill>
                </w14:textFill>
              </w:rPr>
              <w:t xml:space="preserve"> </w:t>
            </w:r>
            <w:r>
              <w:rPr>
                <w:rFonts w:ascii="Times New Roman" w:hAnsi="Times New Roman" w:eastAsia="Times New Roman" w:cs="Times New Roman"/>
                <w:color w:val="000000" w:themeColor="text1"/>
                <w:spacing w:val="-4"/>
                <w:lang w:eastAsia="zh-CN"/>
                <w14:textFill>
                  <w14:solidFill>
                    <w14:schemeClr w14:val="tx1"/>
                  </w14:solidFill>
                </w14:textFill>
              </w:rPr>
              <w:t>D</w:t>
            </w:r>
            <w:r>
              <w:rPr>
                <w:rFonts w:ascii="Times New Roman" w:hAnsi="Times New Roman" w:eastAsia="Times New Roman" w:cs="Times New Roman"/>
                <w:color w:val="000000" w:themeColor="text1"/>
                <w:spacing w:val="-35"/>
                <w:lang w:eastAsia="zh-CN"/>
                <w14:textFill>
                  <w14:solidFill>
                    <w14:schemeClr w14:val="tx1"/>
                  </w14:solidFill>
                </w14:textFill>
              </w:rPr>
              <w:t xml:space="preserve"> </w:t>
            </w:r>
            <w:r>
              <w:rPr>
                <w:color w:val="000000" w:themeColor="text1"/>
                <w:spacing w:val="-4"/>
                <w:lang w:eastAsia="zh-CN"/>
                <w14:textFill>
                  <w14:solidFill>
                    <w14:schemeClr w14:val="tx1"/>
                  </w14:solidFill>
                </w14:textFill>
              </w:rPr>
              <w:t>、《工业企业设计卫生标准》</w:t>
            </w:r>
            <w:r>
              <w:rPr>
                <w:color w:val="000000" w:themeColor="text1"/>
                <w:lang w:eastAsia="zh-CN"/>
                <w14:textFill>
                  <w14:solidFill>
                    <w14:schemeClr w14:val="tx1"/>
                  </w14:solidFill>
                </w14:textFill>
              </w:rPr>
              <w:t xml:space="preserve"> </w:t>
            </w:r>
            <w:r>
              <w:rPr>
                <w:rFonts w:ascii="Times New Roman" w:hAnsi="Times New Roman" w:eastAsia="Times New Roman" w:cs="Times New Roman"/>
                <w:color w:val="000000" w:themeColor="text1"/>
                <w:spacing w:val="-7"/>
                <w:lang w:eastAsia="zh-CN"/>
                <w14:textFill>
                  <w14:solidFill>
                    <w14:schemeClr w14:val="tx1"/>
                  </w14:solidFill>
                </w14:textFill>
              </w:rPr>
              <w:t>(TJ36-97)</w:t>
            </w:r>
            <w:r>
              <w:rPr>
                <w:color w:val="000000" w:themeColor="text1"/>
                <w:spacing w:val="-7"/>
                <w:lang w:eastAsia="zh-CN"/>
                <w14:textFill>
                  <w14:solidFill>
                    <w14:schemeClr w14:val="tx1"/>
                  </w14:solidFill>
                </w14:textFill>
              </w:rPr>
              <w:t>、《前苏联居住区标准》</w:t>
            </w:r>
            <w:r>
              <w:rPr>
                <w:rFonts w:ascii="Times New Roman" w:hAnsi="Times New Roman" w:eastAsia="Times New Roman" w:cs="Times New Roman"/>
                <w:color w:val="000000" w:themeColor="text1"/>
                <w:spacing w:val="-7"/>
                <w:lang w:eastAsia="zh-CN"/>
                <w14:textFill>
                  <w14:solidFill>
                    <w14:schemeClr w14:val="tx1"/>
                  </w14:solidFill>
                </w14:textFill>
              </w:rPr>
              <w:t>(CH245-</w:t>
            </w:r>
            <w:r>
              <w:rPr>
                <w:rFonts w:ascii="Times New Roman" w:hAnsi="Times New Roman" w:eastAsia="Times New Roman" w:cs="Times New Roman"/>
                <w:color w:val="000000" w:themeColor="text1"/>
                <w:spacing w:val="-8"/>
                <w:lang w:eastAsia="zh-CN"/>
                <w14:textFill>
                  <w14:solidFill>
                    <w14:schemeClr w14:val="tx1"/>
                  </w14:solidFill>
                </w14:textFill>
              </w:rPr>
              <w:t>71)</w:t>
            </w:r>
            <w:r>
              <w:rPr>
                <w:color w:val="000000" w:themeColor="text1"/>
                <w:spacing w:val="-8"/>
                <w:lang w:eastAsia="zh-CN"/>
                <w14:textFill>
                  <w14:solidFill>
                    <w14:schemeClr w14:val="tx1"/>
                  </w14:solidFill>
                </w14:textFill>
              </w:rPr>
              <w:t>、《环境影响评价技术导则制药建设</w:t>
            </w:r>
            <w:r>
              <w:rPr>
                <w:color w:val="000000" w:themeColor="text1"/>
                <w:spacing w:val="-4"/>
                <w:lang w:eastAsia="zh-CN"/>
                <w14:textFill>
                  <w14:solidFill>
                    <w14:schemeClr w14:val="tx1"/>
                  </w14:solidFill>
                </w14:textFill>
              </w:rPr>
              <w:t>项目》</w:t>
            </w:r>
            <w:r>
              <w:rPr>
                <w:rFonts w:ascii="Times New Roman" w:hAnsi="Times New Roman" w:eastAsia="Times New Roman" w:cs="Times New Roman"/>
                <w:color w:val="000000" w:themeColor="text1"/>
                <w:spacing w:val="-4"/>
                <w:lang w:eastAsia="zh-CN"/>
                <w14:textFill>
                  <w14:solidFill>
                    <w14:schemeClr w14:val="tx1"/>
                  </w14:solidFill>
                </w14:textFill>
              </w:rPr>
              <w:t>(HJ611-2011)</w:t>
            </w:r>
            <w:r>
              <w:rPr>
                <w:rFonts w:ascii="Times New Roman" w:hAnsi="Times New Roman" w:eastAsia="Times New Roman" w:cs="Times New Roman"/>
                <w:color w:val="000000" w:themeColor="text1"/>
                <w:spacing w:val="-34"/>
                <w:lang w:eastAsia="zh-CN"/>
                <w14:textFill>
                  <w14:solidFill>
                    <w14:schemeClr w14:val="tx1"/>
                  </w14:solidFill>
                </w14:textFill>
              </w:rPr>
              <w:t xml:space="preserve"> </w:t>
            </w:r>
            <w:r>
              <w:rPr>
                <w:color w:val="000000" w:themeColor="text1"/>
                <w:spacing w:val="-4"/>
                <w:lang w:eastAsia="zh-CN"/>
                <w14:textFill>
                  <w14:solidFill>
                    <w14:schemeClr w14:val="tx1"/>
                  </w14:solidFill>
                </w14:textFill>
              </w:rPr>
              <w:t>、《大气</w:t>
            </w:r>
            <w:r>
              <w:rPr>
                <w:color w:val="000000" w:themeColor="text1"/>
                <w:spacing w:val="-5"/>
                <w:lang w:eastAsia="zh-CN"/>
                <w14:textFill>
                  <w14:solidFill>
                    <w14:schemeClr w14:val="tx1"/>
                  </w14:solidFill>
                </w14:textFill>
              </w:rPr>
              <w:t>污染物综合排放标准详解》等导则或参考资料。排放</w:t>
            </w:r>
            <w:r>
              <w:rPr>
                <w:color w:val="000000" w:themeColor="text1"/>
                <w:spacing w:val="6"/>
                <w:lang w:eastAsia="zh-CN"/>
                <w14:textFill>
                  <w14:solidFill>
                    <w14:schemeClr w14:val="tx1"/>
                  </w14:solidFill>
                </w14:textFill>
              </w:rPr>
              <w:t>的特征污染物需要在国家、地方环境空气质量标准中有限值要求才涉及现状监</w:t>
            </w:r>
            <w:r>
              <w:rPr>
                <w:color w:val="000000" w:themeColor="text1"/>
                <w:spacing w:val="-1"/>
                <w:lang w:eastAsia="zh-CN"/>
                <w14:textFill>
                  <w14:solidFill>
                    <w14:schemeClr w14:val="tx1"/>
                  </w14:solidFill>
                </w14:textFill>
              </w:rPr>
              <w:t>测，且优先引用现有监测数据</w:t>
            </w:r>
            <w:r>
              <w:rPr>
                <w:rFonts w:ascii="Times New Roman" w:hAnsi="Times New Roman" w:eastAsia="Times New Roman" w:cs="Times New Roman"/>
                <w:color w:val="000000" w:themeColor="text1"/>
                <w:spacing w:val="-1"/>
                <w:lang w:eastAsia="zh-CN"/>
                <w14:textFill>
                  <w14:solidFill>
                    <w14:schemeClr w14:val="tx1"/>
                  </w14:solidFill>
                </w14:textFill>
              </w:rPr>
              <w:t>”</w:t>
            </w:r>
            <w:r>
              <w:rPr>
                <w:color w:val="000000" w:themeColor="text1"/>
                <w:spacing w:val="-1"/>
                <w:lang w:eastAsia="zh-CN"/>
                <w14:textFill>
                  <w14:solidFill>
                    <w14:schemeClr w14:val="tx1"/>
                  </w14:solidFill>
                </w14:textFill>
              </w:rPr>
              <w:t>。</w:t>
            </w:r>
          </w:p>
          <w:p>
            <w:pPr>
              <w:pStyle w:val="172"/>
              <w:spacing w:after="0" w:line="360" w:lineRule="auto"/>
              <w:ind w:firstLine="504" w:firstLineChars="200"/>
              <w:rPr>
                <w:rFonts w:hint="eastAsia"/>
                <w:color w:val="000000" w:themeColor="text1"/>
                <w:lang w:eastAsia="zh-CN"/>
                <w14:textFill>
                  <w14:solidFill>
                    <w14:schemeClr w14:val="tx1"/>
                  </w14:solidFill>
                </w14:textFill>
              </w:rPr>
            </w:pPr>
            <w:r>
              <w:rPr>
                <w:color w:val="000000" w:themeColor="text1"/>
                <w:spacing w:val="6"/>
                <w:lang w:eastAsia="zh-CN"/>
                <w14:textFill>
                  <w14:solidFill>
                    <w14:schemeClr w14:val="tx1"/>
                  </w14:solidFill>
                </w14:textFill>
              </w:rPr>
              <w:t>本项目排放的其他污染物物为非甲烷总烃</w:t>
            </w:r>
            <w:r>
              <w:rPr>
                <w:rFonts w:hint="eastAsia"/>
                <w:color w:val="000000" w:themeColor="text1"/>
                <w:spacing w:val="6"/>
                <w:lang w:eastAsia="zh-CN"/>
                <w14:textFill>
                  <w14:solidFill>
                    <w14:schemeClr w14:val="tx1"/>
                  </w14:solidFill>
                </w14:textFill>
              </w:rPr>
              <w:t>、甲苯、二甲苯、乙苯和酚类</w:t>
            </w:r>
            <w:r>
              <w:rPr>
                <w:color w:val="000000" w:themeColor="text1"/>
                <w:spacing w:val="6"/>
                <w:lang w:eastAsia="zh-CN"/>
                <w14:textFill>
                  <w14:solidFill>
                    <w14:schemeClr w14:val="tx1"/>
                  </w14:solidFill>
                </w14:textFill>
              </w:rPr>
              <w:t>，不属于《环境空气质量标准》</w:t>
            </w:r>
            <w:r>
              <w:rPr>
                <w:rFonts w:ascii="Times New Roman" w:hAnsi="Times New Roman" w:eastAsia="Times New Roman" w:cs="Times New Roman"/>
                <w:color w:val="000000" w:themeColor="text1"/>
                <w:spacing w:val="-3"/>
                <w:lang w:eastAsia="zh-CN"/>
                <w14:textFill>
                  <w14:solidFill>
                    <w14:schemeClr w14:val="tx1"/>
                  </w14:solidFill>
                </w14:textFill>
              </w:rPr>
              <w:t>(GB3095-2012)</w:t>
            </w:r>
            <w:r>
              <w:rPr>
                <w:color w:val="000000" w:themeColor="text1"/>
                <w:spacing w:val="-3"/>
                <w:lang w:eastAsia="zh-CN"/>
                <w14:textFill>
                  <w14:solidFill>
                    <w14:schemeClr w14:val="tx1"/>
                  </w14:solidFill>
                </w14:textFill>
              </w:rPr>
              <w:t>和地方的环境空气质量中有标准限值要求的污染物，因此，不进行</w:t>
            </w:r>
            <w:r>
              <w:rPr>
                <w:color w:val="000000" w:themeColor="text1"/>
                <w:spacing w:val="-2"/>
                <w:lang w:eastAsia="zh-CN"/>
                <w14:textFill>
                  <w14:solidFill>
                    <w14:schemeClr w14:val="tx1"/>
                  </w14:solidFill>
                </w14:textFill>
              </w:rPr>
              <w:t>现状</w:t>
            </w:r>
            <w:r>
              <w:rPr>
                <w:rFonts w:hint="eastAsia"/>
                <w:color w:val="000000" w:themeColor="text1"/>
                <w:spacing w:val="-2"/>
                <w:lang w:eastAsia="zh-CN"/>
                <w14:textFill>
                  <w14:solidFill>
                    <w14:schemeClr w14:val="tx1"/>
                  </w14:solidFill>
                </w14:textFill>
              </w:rPr>
              <w:t>监测</w:t>
            </w:r>
            <w:r>
              <w:rPr>
                <w:color w:val="000000" w:themeColor="text1"/>
                <w:spacing w:val="-2"/>
                <w:lang w:eastAsia="zh-CN"/>
                <w14:textFill>
                  <w14:solidFill>
                    <w14:schemeClr w14:val="tx1"/>
                  </w14:solidFill>
                </w14:textFill>
              </w:rPr>
              <w:t>评价。</w:t>
            </w:r>
          </w:p>
          <w:p>
            <w:pPr>
              <w:widowControl w:val="0"/>
              <w:topLinePunct/>
              <w:spacing w:after="0" w:line="360" w:lineRule="auto"/>
              <w:ind w:firstLine="480" w:firstLineChars="200"/>
              <w:contextualSpacing/>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综上所述，</w:t>
            </w:r>
            <w:r>
              <w:rPr>
                <w:rFonts w:ascii="Times New Roman" w:hAnsi="Times New Roman" w:eastAsia="宋体" w:cs="Times New Roman"/>
                <w:color w:val="000000" w:themeColor="text1"/>
                <w:szCs w:val="24"/>
                <w14:textFill>
                  <w14:solidFill>
                    <w14:schemeClr w14:val="tx1"/>
                  </w14:solidFill>
                </w14:textFill>
              </w:rPr>
              <w:t>福清市大气环境质量现状符合《环境空气质量标准》（GB3095-2012）的二级标准要求，城市环境空气质量达标，为达标区。</w:t>
            </w:r>
          </w:p>
          <w:p>
            <w:pPr>
              <w:widowControl w:val="0"/>
              <w:topLinePunct/>
              <w:spacing w:after="0" w:line="360" w:lineRule="auto"/>
              <w:ind w:firstLine="482" w:firstLineChars="200"/>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3.1.2 地表水环境质量现状</w:t>
            </w:r>
          </w:p>
          <w:p>
            <w:pPr>
              <w:pStyle w:val="172"/>
              <w:spacing w:after="0" w:line="360" w:lineRule="auto"/>
              <w:ind w:firstLine="468" w:firstLineChars="200"/>
              <w:rPr>
                <w:rFonts w:hint="eastAsia"/>
                <w:color w:val="000000" w:themeColor="text1"/>
                <w:lang w:eastAsia="zh-CN"/>
                <w14:textFill>
                  <w14:solidFill>
                    <w14:schemeClr w14:val="tx1"/>
                  </w14:solidFill>
                </w14:textFill>
              </w:rPr>
            </w:pPr>
            <w:r>
              <w:rPr>
                <w:color w:val="000000" w:themeColor="text1"/>
                <w:spacing w:val="-3"/>
                <w:lang w:eastAsia="zh-CN"/>
                <w14:textFill>
                  <w14:solidFill>
                    <w14:schemeClr w14:val="tx1"/>
                  </w14:solidFill>
                </w14:textFill>
              </w:rPr>
              <w:t>（</w:t>
            </w:r>
            <w:r>
              <w:rPr>
                <w:rFonts w:ascii="Times New Roman" w:hAnsi="Times New Roman" w:eastAsia="Times New Roman" w:cs="Times New Roman"/>
                <w:color w:val="000000" w:themeColor="text1"/>
                <w:spacing w:val="-3"/>
                <w:lang w:eastAsia="zh-CN"/>
                <w14:textFill>
                  <w14:solidFill>
                    <w14:schemeClr w14:val="tx1"/>
                  </w14:solidFill>
                </w14:textFill>
              </w:rPr>
              <w:t>1</w:t>
            </w:r>
            <w:r>
              <w:rPr>
                <w:color w:val="000000" w:themeColor="text1"/>
                <w:spacing w:val="-3"/>
                <w:lang w:eastAsia="zh-CN"/>
                <w14:textFill>
                  <w14:solidFill>
                    <w14:schemeClr w14:val="tx1"/>
                  </w14:solidFill>
                </w14:textFill>
              </w:rPr>
              <w:t>）水环境功能区划</w:t>
            </w:r>
          </w:p>
          <w:p>
            <w:pPr>
              <w:pStyle w:val="172"/>
              <w:spacing w:after="0" w:line="360" w:lineRule="auto"/>
              <w:ind w:firstLine="476" w:firstLineChars="200"/>
              <w:rPr>
                <w:rFonts w:hint="eastAsia"/>
                <w:color w:val="000000" w:themeColor="text1"/>
                <w:spacing w:val="-5"/>
                <w:lang w:eastAsia="zh-CN"/>
                <w14:textFill>
                  <w14:solidFill>
                    <w14:schemeClr w14:val="tx1"/>
                  </w14:solidFill>
                </w14:textFill>
              </w:rPr>
            </w:pPr>
            <w:r>
              <w:rPr>
                <w:color w:val="000000" w:themeColor="text1"/>
                <w:spacing w:val="-1"/>
                <w:lang w:eastAsia="zh-CN"/>
                <w14:textFill>
                  <w14:solidFill>
                    <w14:schemeClr w14:val="tx1"/>
                  </w14:solidFill>
                </w14:textFill>
              </w:rPr>
              <w:t>项目周边地表水属于关溪及龙江，根据福建省人民政府闽政文</w:t>
            </w:r>
            <w:r>
              <w:rPr>
                <w:rFonts w:ascii="Times New Roman" w:hAnsi="Times New Roman" w:eastAsia="Times New Roman" w:cs="Times New Roman"/>
                <w:color w:val="000000" w:themeColor="text1"/>
                <w:spacing w:val="-1"/>
                <w:lang w:eastAsia="zh-CN"/>
                <w14:textFill>
                  <w14:solidFill>
                    <w14:schemeClr w14:val="tx1"/>
                  </w14:solidFill>
                </w14:textFill>
              </w:rPr>
              <w:t>[</w:t>
            </w:r>
            <w:r>
              <w:rPr>
                <w:rFonts w:ascii="Times New Roman" w:hAnsi="Times New Roman" w:eastAsia="Times New Roman" w:cs="Times New Roman"/>
                <w:color w:val="000000" w:themeColor="text1"/>
                <w:spacing w:val="-2"/>
                <w:lang w:eastAsia="zh-CN"/>
                <w14:textFill>
                  <w14:solidFill>
                    <w14:schemeClr w14:val="tx1"/>
                  </w14:solidFill>
                </w14:textFill>
              </w:rPr>
              <w:t>2006]133</w:t>
            </w:r>
            <w:r>
              <w:rPr>
                <w:color w:val="000000" w:themeColor="text1"/>
                <w:spacing w:val="-2"/>
                <w:lang w:eastAsia="zh-CN"/>
                <w14:textFill>
                  <w14:solidFill>
                    <w14:schemeClr w14:val="tx1"/>
                  </w14:solidFill>
                </w14:textFill>
              </w:rPr>
              <w:t>号</w:t>
            </w:r>
            <w:r>
              <w:rPr>
                <w:color w:val="000000" w:themeColor="text1"/>
                <w:spacing w:val="-1"/>
                <w:lang w:eastAsia="zh-CN"/>
                <w14:textFill>
                  <w14:solidFill>
                    <w14:schemeClr w14:val="tx1"/>
                  </w14:solidFill>
                </w14:textFill>
              </w:rPr>
              <w:t>批准《福州市地表水环境功能区划定方案》，龙江“东张水库坝址至大斜龙江桥</w:t>
            </w:r>
            <w:r>
              <w:rPr>
                <w:color w:val="000000" w:themeColor="text1"/>
                <w:spacing w:val="-5"/>
                <w:lang w:eastAsia="zh-CN"/>
                <w14:textFill>
                  <w14:solidFill>
                    <w14:schemeClr w14:val="tx1"/>
                  </w14:solidFill>
                </w14:textFill>
              </w:rPr>
              <w:t>断面”水体水环境执行《地表水环境质量标准》</w:t>
            </w:r>
            <w:r>
              <w:rPr>
                <w:color w:val="000000" w:themeColor="text1"/>
                <w:spacing w:val="-6"/>
                <w:lang w:eastAsia="zh-CN"/>
                <w14:textFill>
                  <w14:solidFill>
                    <w14:schemeClr w14:val="tx1"/>
                  </w14:solidFill>
                </w14:textFill>
              </w:rPr>
              <w:t>（</w:t>
            </w:r>
            <w:r>
              <w:rPr>
                <w:rFonts w:ascii="Times New Roman" w:hAnsi="Times New Roman" w:eastAsia="Times New Roman" w:cs="Times New Roman"/>
                <w:color w:val="000000" w:themeColor="text1"/>
                <w:spacing w:val="-6"/>
                <w:lang w:eastAsia="zh-CN"/>
                <w14:textFill>
                  <w14:solidFill>
                    <w14:schemeClr w14:val="tx1"/>
                  </w14:solidFill>
                </w14:textFill>
              </w:rPr>
              <w:t>GB3838-2002</w:t>
            </w:r>
            <w:r>
              <w:rPr>
                <w:color w:val="000000" w:themeColor="text1"/>
                <w:spacing w:val="-6"/>
                <w:lang w:eastAsia="zh-CN"/>
                <w14:textFill>
                  <w14:solidFill>
                    <w14:schemeClr w14:val="tx1"/>
                  </w14:solidFill>
                </w14:textFill>
              </w:rPr>
              <w:t>）Ⅳ类标准，关溪</w:t>
            </w:r>
            <w:r>
              <w:rPr>
                <w:color w:val="000000" w:themeColor="text1"/>
                <w:spacing w:val="-1"/>
                <w:lang w:eastAsia="zh-CN"/>
                <w14:textFill>
                  <w14:solidFill>
                    <w14:schemeClr w14:val="tx1"/>
                  </w14:solidFill>
                </w14:textFill>
              </w:rPr>
              <w:t>属于龙江支流，不在《福州市地表水环境功能区划定方案》的划定范围内，执行</w:t>
            </w:r>
            <w:r>
              <w:rPr>
                <w:color w:val="000000" w:themeColor="text1"/>
                <w:spacing w:val="-5"/>
                <w:lang w:eastAsia="zh-CN"/>
                <w14:textFill>
                  <w14:solidFill>
                    <w14:schemeClr w14:val="tx1"/>
                  </w14:solidFill>
                </w14:textFill>
              </w:rPr>
              <w:t>《地表水环境质量标准》（</w:t>
            </w:r>
            <w:r>
              <w:rPr>
                <w:rFonts w:ascii="Times New Roman" w:hAnsi="Times New Roman" w:eastAsia="Times New Roman" w:cs="Times New Roman"/>
                <w:color w:val="000000" w:themeColor="text1"/>
                <w:spacing w:val="-5"/>
                <w:lang w:eastAsia="zh-CN"/>
                <w14:textFill>
                  <w14:solidFill>
                    <w14:schemeClr w14:val="tx1"/>
                  </w14:solidFill>
                </w14:textFill>
              </w:rPr>
              <w:t>GB3838-2002</w:t>
            </w:r>
            <w:r>
              <w:rPr>
                <w:color w:val="000000" w:themeColor="text1"/>
                <w:spacing w:val="-5"/>
                <w:lang w:eastAsia="zh-CN"/>
                <w14:textFill>
                  <w14:solidFill>
                    <w14:schemeClr w14:val="tx1"/>
                  </w14:solidFill>
                </w14:textFill>
              </w:rPr>
              <w:t>）Ⅲ类标准。</w:t>
            </w:r>
          </w:p>
          <w:p>
            <w:pPr>
              <w:pStyle w:val="172"/>
              <w:spacing w:after="0" w:line="360" w:lineRule="auto"/>
              <w:ind w:firstLine="480" w:firstLineChars="200"/>
              <w:rPr>
                <w:rFonts w:hint="eastAsia"/>
                <w:color w:val="000000" w:themeColor="text1"/>
                <w:lang w:eastAsia="zh-CN"/>
                <w14:textFill>
                  <w14:solidFill>
                    <w14:schemeClr w14:val="tx1"/>
                  </w14:solidFill>
                </w14:textFill>
              </w:rPr>
            </w:pP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eastAsiaTheme="minorEastAsia"/>
                <w:color w:val="000000" w:themeColor="text1"/>
                <w14:textFill>
                  <w14:solidFill>
                    <w14:schemeClr w14:val="tx1"/>
                  </w14:solidFill>
                </w14:textFill>
              </w:rPr>
              <w:t xml:space="preserve">3.1-2 </w:t>
            </w:r>
            <w:r>
              <w:rPr>
                <w:color w:val="000000" w:themeColor="text1"/>
                <w14:textFill>
                  <w14:solidFill>
                    <w14:schemeClr w14:val="tx1"/>
                  </w14:solidFill>
                </w14:textFill>
              </w:rPr>
              <w:t>水环境质量执行标准</w:t>
            </w:r>
          </w:p>
          <w:tbl>
            <w:tblPr>
              <w:tblStyle w:val="226"/>
              <w:tblW w:w="86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3"/>
              <w:gridCol w:w="1185"/>
              <w:gridCol w:w="2514"/>
              <w:gridCol w:w="25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Align w:val="center"/>
                </w:tcPr>
                <w:p>
                  <w:pPr>
                    <w:pStyle w:val="172"/>
                    <w:spacing w:after="0" w:line="240" w:lineRule="auto"/>
                    <w:jc w:val="center"/>
                    <w:rPr>
                      <w:rFonts w:hint="eastAsia"/>
                      <w:b/>
                      <w:bCs/>
                      <w:color w:val="000000" w:themeColor="text1"/>
                      <w:sz w:val="21"/>
                      <w:szCs w:val="21"/>
                      <w:lang w:eastAsia="zh-CN"/>
                      <w14:textFill>
                        <w14:solidFill>
                          <w14:schemeClr w14:val="tx1"/>
                        </w14:solidFill>
                      </w14:textFill>
                    </w:rPr>
                  </w:pPr>
                  <w:r>
                    <w:rPr>
                      <w:b/>
                      <w:bCs/>
                      <w:color w:val="000000" w:themeColor="text1"/>
                      <w:spacing w:val="7"/>
                      <w:sz w:val="21"/>
                      <w:szCs w:val="21"/>
                      <w:lang w:eastAsia="zh-CN"/>
                      <w14:textFill>
                        <w14:solidFill>
                          <w14:schemeClr w14:val="tx1"/>
                        </w14:solidFill>
                      </w14:textFill>
                    </w:rPr>
                    <w:t>标准名称</w:t>
                  </w:r>
                </w:p>
              </w:tc>
              <w:tc>
                <w:tcPr>
                  <w:tcW w:w="1185" w:type="dxa"/>
                  <w:vMerge w:val="restart"/>
                  <w:vAlign w:val="center"/>
                </w:tcPr>
                <w:p>
                  <w:pPr>
                    <w:pStyle w:val="172"/>
                    <w:spacing w:after="0" w:line="240" w:lineRule="auto"/>
                    <w:jc w:val="center"/>
                    <w:rPr>
                      <w:rFonts w:hint="eastAsia"/>
                      <w:b/>
                      <w:bCs/>
                      <w:color w:val="000000" w:themeColor="text1"/>
                      <w:sz w:val="21"/>
                      <w:szCs w:val="21"/>
                      <w:lang w:eastAsia="zh-CN"/>
                      <w14:textFill>
                        <w14:solidFill>
                          <w14:schemeClr w14:val="tx1"/>
                        </w14:solidFill>
                      </w14:textFill>
                    </w:rPr>
                  </w:pPr>
                  <w:r>
                    <w:rPr>
                      <w:b/>
                      <w:bCs/>
                      <w:color w:val="000000" w:themeColor="text1"/>
                      <w:spacing w:val="7"/>
                      <w:sz w:val="21"/>
                      <w:szCs w:val="21"/>
                      <w:lang w:eastAsia="zh-CN"/>
                      <w14:textFill>
                        <w14:solidFill>
                          <w14:schemeClr w14:val="tx1"/>
                        </w14:solidFill>
                      </w14:textFill>
                    </w:rPr>
                    <w:t>适用类别</w:t>
                  </w:r>
                </w:p>
              </w:tc>
              <w:tc>
                <w:tcPr>
                  <w:tcW w:w="5043" w:type="dxa"/>
                  <w:gridSpan w:val="2"/>
                  <w:vAlign w:val="center"/>
                </w:tcPr>
                <w:p>
                  <w:pPr>
                    <w:pStyle w:val="172"/>
                    <w:spacing w:after="0" w:line="240" w:lineRule="auto"/>
                    <w:jc w:val="center"/>
                    <w:rPr>
                      <w:rFonts w:hint="eastAsia"/>
                      <w:b/>
                      <w:bCs/>
                      <w:color w:val="000000" w:themeColor="text1"/>
                      <w:sz w:val="21"/>
                      <w:szCs w:val="21"/>
                      <w:lang w:eastAsia="zh-CN"/>
                      <w14:textFill>
                        <w14:solidFill>
                          <w14:schemeClr w14:val="tx1"/>
                        </w14:solidFill>
                      </w14:textFill>
                    </w:rPr>
                  </w:pPr>
                  <w:r>
                    <w:rPr>
                      <w:b/>
                      <w:bCs/>
                      <w:color w:val="000000" w:themeColor="text1"/>
                      <w:spacing w:val="7"/>
                      <w:sz w:val="21"/>
                      <w:szCs w:val="21"/>
                      <w:lang w:eastAsia="zh-CN"/>
                      <w14:textFill>
                        <w14:solidFill>
                          <w14:schemeClr w14:val="tx1"/>
                        </w14:solidFill>
                      </w14:textFill>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restart"/>
                  <w:vAlign w:val="center"/>
                </w:tcPr>
                <w:p>
                  <w:pPr>
                    <w:pStyle w:val="172"/>
                    <w:spacing w:after="0" w:line="240" w:lineRule="auto"/>
                    <w:jc w:val="center"/>
                    <w:rPr>
                      <w:rFonts w:hint="eastAsia"/>
                      <w:color w:val="000000" w:themeColor="text1"/>
                      <w:sz w:val="21"/>
                      <w:szCs w:val="21"/>
                      <w:lang w:eastAsia="zh-CN"/>
                      <w14:textFill>
                        <w14:solidFill>
                          <w14:schemeClr w14:val="tx1"/>
                        </w14:solidFill>
                      </w14:textFill>
                    </w:rPr>
                  </w:pPr>
                  <w:r>
                    <w:rPr>
                      <w:rFonts w:ascii="Times New Roman" w:hAnsi="Times New Roman" w:eastAsia="Times New Roman" w:cs="Times New Roman"/>
                      <w:color w:val="000000" w:themeColor="text1"/>
                      <w:sz w:val="21"/>
                      <w:szCs w:val="21"/>
                      <w:lang w:eastAsia="zh-CN"/>
                      <w14:textFill>
                        <w14:solidFill>
                          <w14:schemeClr w14:val="tx1"/>
                        </w14:solidFill>
                      </w14:textFill>
                    </w:rPr>
                    <w:t>GB</w:t>
                  </w:r>
                  <w:r>
                    <w:rPr>
                      <w:rFonts w:ascii="Times New Roman" w:hAnsi="Times New Roman" w:eastAsia="Times New Roman" w:cs="Times New Roman"/>
                      <w:color w:val="000000" w:themeColor="text1"/>
                      <w:spacing w:val="1"/>
                      <w:sz w:val="21"/>
                      <w:szCs w:val="21"/>
                      <w:lang w:eastAsia="zh-CN"/>
                      <w14:textFill>
                        <w14:solidFill>
                          <w14:schemeClr w14:val="tx1"/>
                        </w14:solidFill>
                      </w14:textFill>
                    </w:rPr>
                    <w:t>3838-2002</w:t>
                  </w:r>
                  <w:r>
                    <w:rPr>
                      <w:color w:val="000000" w:themeColor="text1"/>
                      <w:spacing w:val="1"/>
                      <w:sz w:val="21"/>
                      <w:szCs w:val="21"/>
                      <w:lang w:eastAsia="zh-CN"/>
                      <w14:textFill>
                        <w14:solidFill>
                          <w14:schemeClr w14:val="tx1"/>
                        </w14:solidFill>
                      </w14:textFill>
                    </w:rPr>
                    <w:t>《地表水环境质量标准》</w:t>
                  </w:r>
                </w:p>
              </w:tc>
              <w:tc>
                <w:tcPr>
                  <w:tcW w:w="1185"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2514" w:type="dxa"/>
                  <w:vAlign w:val="center"/>
                </w:tcPr>
                <w:p>
                  <w:pPr>
                    <w:pStyle w:val="172"/>
                    <w:spacing w:after="0" w:line="240" w:lineRule="auto"/>
                    <w:jc w:val="center"/>
                    <w:rPr>
                      <w:rFonts w:hint="eastAsia"/>
                      <w:b/>
                      <w:bCs/>
                      <w:color w:val="000000" w:themeColor="text1"/>
                      <w:sz w:val="21"/>
                      <w:szCs w:val="21"/>
                      <w14:textFill>
                        <w14:solidFill>
                          <w14:schemeClr w14:val="tx1"/>
                        </w14:solidFill>
                      </w14:textFill>
                    </w:rPr>
                  </w:pPr>
                  <w:r>
                    <w:rPr>
                      <w:b/>
                      <w:bCs/>
                      <w:color w:val="000000" w:themeColor="text1"/>
                      <w:spacing w:val="6"/>
                      <w:sz w:val="21"/>
                      <w:szCs w:val="21"/>
                      <w14:textFill>
                        <w14:solidFill>
                          <w14:schemeClr w14:val="tx1"/>
                        </w14:solidFill>
                      </w14:textFill>
                    </w:rPr>
                    <w:t>参数名称</w:t>
                  </w:r>
                </w:p>
              </w:tc>
              <w:tc>
                <w:tcPr>
                  <w:tcW w:w="2529" w:type="dxa"/>
                  <w:vAlign w:val="center"/>
                </w:tcPr>
                <w:p>
                  <w:pPr>
                    <w:pStyle w:val="172"/>
                    <w:spacing w:after="0" w:line="240" w:lineRule="auto"/>
                    <w:jc w:val="center"/>
                    <w:rPr>
                      <w:rFonts w:hint="eastAsia"/>
                      <w:b/>
                      <w:bCs/>
                      <w:color w:val="000000" w:themeColor="text1"/>
                      <w:sz w:val="21"/>
                      <w:szCs w:val="21"/>
                      <w14:textFill>
                        <w14:solidFill>
                          <w14:schemeClr w14:val="tx1"/>
                        </w14:solidFill>
                      </w14:textFill>
                    </w:rPr>
                  </w:pPr>
                  <w:r>
                    <w:rPr>
                      <w:b/>
                      <w:bCs/>
                      <w:color w:val="000000" w:themeColor="text1"/>
                      <w:spacing w:val="7"/>
                      <w:sz w:val="21"/>
                      <w:szCs w:val="21"/>
                      <w14:textFill>
                        <w14:solidFill>
                          <w14:schemeClr w14:val="tx1"/>
                        </w14:solidFill>
                      </w14:textFill>
                    </w:rPr>
                    <w:t>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restart"/>
                  <w:vAlign w:val="center"/>
                </w:tcPr>
                <w:p>
                  <w:pPr>
                    <w:pStyle w:val="172"/>
                    <w:spacing w:after="0" w:line="240" w:lineRule="auto"/>
                    <w:jc w:val="center"/>
                    <w:rPr>
                      <w:rFonts w:hint="eastAsia"/>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Ⅲ类</w:t>
                  </w: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PH</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COD</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position w:val="3"/>
                      <w:sz w:val="21"/>
                      <w:szCs w:val="21"/>
                      <w14:textFill>
                        <w14:solidFill>
                          <w14:schemeClr w14:val="tx1"/>
                        </w14:solidFill>
                      </w14:textFill>
                    </w:rPr>
                    <w:t>≤6</w:t>
                  </w:r>
                  <w:r>
                    <w:rPr>
                      <w:rFonts w:ascii="Times New Roman" w:hAnsi="Times New Roman" w:eastAsia="Times New Roman" w:cs="Times New Roman"/>
                      <w:color w:val="000000" w:themeColor="text1"/>
                      <w:position w:val="3"/>
                      <w:sz w:val="21"/>
                      <w:szCs w:val="21"/>
                      <w14:textFill>
                        <w14:solidFill>
                          <w14:schemeClr w14:val="tx1"/>
                        </w14:solidFill>
                      </w14:textFill>
                    </w:rPr>
                    <w:t>mg</w:t>
                  </w:r>
                  <w:r>
                    <w:rPr>
                      <w:rFonts w:ascii="Times New Roman" w:hAnsi="Times New Roman" w:eastAsia="Times New Roman" w:cs="Times New Roman"/>
                      <w:color w:val="000000" w:themeColor="text1"/>
                      <w:spacing w:val="6"/>
                      <w:position w:val="3"/>
                      <w:sz w:val="21"/>
                      <w:szCs w:val="21"/>
                      <w14:textFill>
                        <w14:solidFill>
                          <w14:schemeClr w14:val="tx1"/>
                        </w14:solidFill>
                      </w14:textFill>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5"/>
                      <w:sz w:val="21"/>
                      <w:szCs w:val="21"/>
                      <w14:textFill>
                        <w14:solidFill>
                          <w14:schemeClr w14:val="tx1"/>
                        </w14:solidFill>
                      </w14:textFill>
                    </w:rPr>
                    <w:t>BOD</w:t>
                  </w:r>
                  <w:r>
                    <w:rPr>
                      <w:rFonts w:ascii="Times New Roman" w:hAnsi="Times New Roman" w:eastAsia="Times New Roman" w:cs="Times New Roman"/>
                      <w:color w:val="000000" w:themeColor="text1"/>
                      <w:spacing w:val="5"/>
                      <w:position w:val="-1"/>
                      <w:sz w:val="21"/>
                      <w:szCs w:val="21"/>
                      <w:vertAlign w:val="subscript"/>
                      <w14:textFill>
                        <w14:solidFill>
                          <w14:schemeClr w14:val="tx1"/>
                        </w14:solidFill>
                      </w14:textFill>
                    </w:rPr>
                    <w:t>5</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position w:val="3"/>
                      <w:sz w:val="21"/>
                      <w:szCs w:val="21"/>
                      <w14:textFill>
                        <w14:solidFill>
                          <w14:schemeClr w14:val="tx1"/>
                        </w14:solidFill>
                      </w14:textFill>
                    </w:rPr>
                    <w:t>≤4</w:t>
                  </w:r>
                  <w:r>
                    <w:rPr>
                      <w:rFonts w:ascii="Times New Roman" w:hAnsi="Times New Roman" w:eastAsia="Times New Roman" w:cs="Times New Roman"/>
                      <w:color w:val="000000" w:themeColor="text1"/>
                      <w:position w:val="3"/>
                      <w:sz w:val="21"/>
                      <w:szCs w:val="21"/>
                      <w14:textFill>
                        <w14:solidFill>
                          <w14:schemeClr w14:val="tx1"/>
                        </w14:solidFill>
                      </w14:textFill>
                    </w:rPr>
                    <w:t>mg</w:t>
                  </w:r>
                  <w:r>
                    <w:rPr>
                      <w:rFonts w:ascii="Times New Roman" w:hAnsi="Times New Roman" w:eastAsia="Times New Roman" w:cs="Times New Roman"/>
                      <w:color w:val="000000" w:themeColor="text1"/>
                      <w:spacing w:val="6"/>
                      <w:position w:val="3"/>
                      <w:sz w:val="21"/>
                      <w:szCs w:val="21"/>
                      <w14:textFill>
                        <w14:solidFill>
                          <w14:schemeClr w14:val="tx1"/>
                        </w14:solidFill>
                      </w14:textFill>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NH</w:t>
                  </w:r>
                  <w:r>
                    <w:rPr>
                      <w:rFonts w:ascii="Times New Roman" w:hAnsi="Times New Roman" w:eastAsia="Times New Roman" w:cs="Times New Roman"/>
                      <w:color w:val="000000" w:themeColor="text1"/>
                      <w:spacing w:val="9"/>
                      <w:sz w:val="21"/>
                      <w:szCs w:val="21"/>
                      <w:vertAlign w:val="subscript"/>
                      <w14:textFill>
                        <w14:solidFill>
                          <w14:schemeClr w14:val="tx1"/>
                        </w14:solidFill>
                      </w14:textFill>
                    </w:rPr>
                    <w:t>3</w:t>
                  </w:r>
                  <w:r>
                    <w:rPr>
                      <w:rFonts w:ascii="Times New Roman" w:hAnsi="Times New Roman" w:eastAsia="Times New Roman" w:cs="Times New Roman"/>
                      <w:color w:val="000000" w:themeColor="text1"/>
                      <w:spacing w:val="9"/>
                      <w:sz w:val="21"/>
                      <w:szCs w:val="21"/>
                      <w14:textFill>
                        <w14:solidFill>
                          <w14:schemeClr w14:val="tx1"/>
                        </w14:solidFill>
                      </w14:textFill>
                    </w:rPr>
                    <w:t>-N</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5"/>
                      <w:position w:val="3"/>
                      <w:sz w:val="21"/>
                      <w:szCs w:val="21"/>
                      <w14:textFill>
                        <w14:solidFill>
                          <w14:schemeClr w14:val="tx1"/>
                        </w14:solidFill>
                      </w14:textFill>
                    </w:rPr>
                    <w:t>≤1.0</w:t>
                  </w:r>
                  <w:r>
                    <w:rPr>
                      <w:rFonts w:ascii="Times New Roman" w:hAnsi="Times New Roman" w:eastAsia="Times New Roman" w:cs="Times New Roman"/>
                      <w:color w:val="000000" w:themeColor="text1"/>
                      <w:position w:val="3"/>
                      <w:sz w:val="21"/>
                      <w:szCs w:val="21"/>
                      <w14:textFill>
                        <w14:solidFill>
                          <w14:schemeClr w14:val="tx1"/>
                        </w14:solidFill>
                      </w14:textFill>
                    </w:rPr>
                    <w:t>mg</w:t>
                  </w:r>
                  <w:r>
                    <w:rPr>
                      <w:rFonts w:ascii="Times New Roman" w:hAnsi="Times New Roman" w:eastAsia="Times New Roman" w:cs="Times New Roman"/>
                      <w:color w:val="000000" w:themeColor="text1"/>
                      <w:spacing w:val="5"/>
                      <w:position w:val="3"/>
                      <w:sz w:val="21"/>
                      <w:szCs w:val="21"/>
                      <w14:textFill>
                        <w14:solidFill>
                          <w14:schemeClr w14:val="tx1"/>
                        </w14:solidFill>
                      </w14:textFill>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restart"/>
                  <w:vAlign w:val="center"/>
                </w:tcPr>
                <w:p>
                  <w:pPr>
                    <w:pStyle w:val="172"/>
                    <w:spacing w:after="0" w:line="240" w:lineRule="auto"/>
                    <w:jc w:val="center"/>
                    <w:rPr>
                      <w:rFonts w:hint="eastAsia"/>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Ⅳ类</w:t>
                  </w: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PH</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COD</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position w:val="3"/>
                      <w:sz w:val="21"/>
                      <w:szCs w:val="21"/>
                      <w14:textFill>
                        <w14:solidFill>
                          <w14:schemeClr w14:val="tx1"/>
                        </w14:solidFill>
                      </w14:textFill>
                    </w:rPr>
                    <w:t>≤10</w:t>
                  </w:r>
                  <w:r>
                    <w:rPr>
                      <w:rFonts w:ascii="Times New Roman" w:hAnsi="Times New Roman" w:eastAsia="Times New Roman" w:cs="Times New Roman"/>
                      <w:color w:val="000000" w:themeColor="text1"/>
                      <w:position w:val="3"/>
                      <w:sz w:val="21"/>
                      <w:szCs w:val="21"/>
                      <w14:textFill>
                        <w14:solidFill>
                          <w14:schemeClr w14:val="tx1"/>
                        </w14:solidFill>
                      </w14:textFill>
                    </w:rPr>
                    <w:t>mg</w:t>
                  </w:r>
                  <w:r>
                    <w:rPr>
                      <w:rFonts w:ascii="Times New Roman" w:hAnsi="Times New Roman" w:eastAsia="Times New Roman" w:cs="Times New Roman"/>
                      <w:color w:val="000000" w:themeColor="text1"/>
                      <w:spacing w:val="6"/>
                      <w:position w:val="3"/>
                      <w:sz w:val="21"/>
                      <w:szCs w:val="21"/>
                      <w14:textFill>
                        <w14:solidFill>
                          <w14:schemeClr w14:val="tx1"/>
                        </w14:solidFill>
                      </w14:textFill>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5"/>
                      <w:sz w:val="21"/>
                      <w:szCs w:val="21"/>
                      <w14:textFill>
                        <w14:solidFill>
                          <w14:schemeClr w14:val="tx1"/>
                        </w14:solidFill>
                      </w14:textFill>
                    </w:rPr>
                    <w:t>BOD</w:t>
                  </w:r>
                  <w:r>
                    <w:rPr>
                      <w:rFonts w:ascii="Times New Roman" w:hAnsi="Times New Roman" w:eastAsia="Times New Roman" w:cs="Times New Roman"/>
                      <w:color w:val="000000" w:themeColor="text1"/>
                      <w:spacing w:val="5"/>
                      <w:position w:val="-1"/>
                      <w:sz w:val="21"/>
                      <w:szCs w:val="21"/>
                      <w:vertAlign w:val="subscript"/>
                      <w14:textFill>
                        <w14:solidFill>
                          <w14:schemeClr w14:val="tx1"/>
                        </w14:solidFill>
                      </w14:textFill>
                    </w:rPr>
                    <w:t>5</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position w:val="3"/>
                      <w:sz w:val="21"/>
                      <w:szCs w:val="21"/>
                      <w14:textFill>
                        <w14:solidFill>
                          <w14:schemeClr w14:val="tx1"/>
                        </w14:solidFill>
                      </w14:textFill>
                    </w:rPr>
                    <w:t>≤6</w:t>
                  </w:r>
                  <w:r>
                    <w:rPr>
                      <w:rFonts w:ascii="Times New Roman" w:hAnsi="Times New Roman" w:eastAsia="Times New Roman" w:cs="Times New Roman"/>
                      <w:color w:val="000000" w:themeColor="text1"/>
                      <w:position w:val="3"/>
                      <w:sz w:val="21"/>
                      <w:szCs w:val="21"/>
                      <w14:textFill>
                        <w14:solidFill>
                          <w14:schemeClr w14:val="tx1"/>
                        </w14:solidFill>
                      </w14:textFill>
                    </w:rPr>
                    <w:t>mg</w:t>
                  </w:r>
                  <w:r>
                    <w:rPr>
                      <w:rFonts w:ascii="Times New Roman" w:hAnsi="Times New Roman" w:eastAsia="Times New Roman" w:cs="Times New Roman"/>
                      <w:color w:val="000000" w:themeColor="text1"/>
                      <w:spacing w:val="6"/>
                      <w:position w:val="3"/>
                      <w:sz w:val="21"/>
                      <w:szCs w:val="21"/>
                      <w14:textFill>
                        <w14:solidFill>
                          <w14:schemeClr w14:val="tx1"/>
                        </w14:solidFill>
                      </w14:textFill>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3"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1185" w:type="dxa"/>
                  <w:vMerge w:val="continue"/>
                  <w:vAlign w:val="center"/>
                </w:tcPr>
                <w:p>
                  <w:pPr>
                    <w:spacing w:after="0" w:line="240" w:lineRule="auto"/>
                    <w:jc w:val="center"/>
                    <w:rPr>
                      <w:rFonts w:ascii="Arial"/>
                      <w:color w:val="000000" w:themeColor="text1"/>
                      <w:sz w:val="21"/>
                      <w:szCs w:val="21"/>
                      <w14:textFill>
                        <w14:solidFill>
                          <w14:schemeClr w14:val="tx1"/>
                        </w14:solidFill>
                      </w14:textFill>
                    </w:rPr>
                  </w:pPr>
                </w:p>
              </w:tc>
              <w:tc>
                <w:tcPr>
                  <w:tcW w:w="2514"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NH</w:t>
                  </w:r>
                  <w:r>
                    <w:rPr>
                      <w:rFonts w:ascii="Times New Roman" w:hAnsi="Times New Roman" w:eastAsia="Times New Roman" w:cs="Times New Roman"/>
                      <w:color w:val="000000" w:themeColor="text1"/>
                      <w:spacing w:val="9"/>
                      <w:position w:val="-1"/>
                      <w:sz w:val="21"/>
                      <w:szCs w:val="21"/>
                      <w:vertAlign w:val="subscript"/>
                      <w14:textFill>
                        <w14:solidFill>
                          <w14:schemeClr w14:val="tx1"/>
                        </w14:solidFill>
                      </w14:textFill>
                    </w:rPr>
                    <w:t>3</w:t>
                  </w:r>
                  <w:r>
                    <w:rPr>
                      <w:rFonts w:ascii="Times New Roman" w:hAnsi="Times New Roman" w:eastAsia="Times New Roman" w:cs="Times New Roman"/>
                      <w:color w:val="000000" w:themeColor="text1"/>
                      <w:spacing w:val="9"/>
                      <w:sz w:val="21"/>
                      <w:szCs w:val="21"/>
                      <w14:textFill>
                        <w14:solidFill>
                          <w14:schemeClr w14:val="tx1"/>
                        </w14:solidFill>
                      </w14:textFill>
                    </w:rPr>
                    <w:t>-N</w:t>
                  </w:r>
                </w:p>
              </w:tc>
              <w:tc>
                <w:tcPr>
                  <w:tcW w:w="2529" w:type="dxa"/>
                  <w:vAlign w:val="center"/>
                </w:tcPr>
                <w:p>
                  <w:pPr>
                    <w:spacing w:after="0" w:line="240" w:lineRule="auto"/>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5"/>
                      <w:position w:val="3"/>
                      <w:sz w:val="21"/>
                      <w:szCs w:val="21"/>
                      <w14:textFill>
                        <w14:solidFill>
                          <w14:schemeClr w14:val="tx1"/>
                        </w14:solidFill>
                      </w14:textFill>
                    </w:rPr>
                    <w:t>≤1.5</w:t>
                  </w:r>
                  <w:r>
                    <w:rPr>
                      <w:rFonts w:ascii="Times New Roman" w:hAnsi="Times New Roman" w:eastAsia="Times New Roman" w:cs="Times New Roman"/>
                      <w:color w:val="000000" w:themeColor="text1"/>
                      <w:position w:val="3"/>
                      <w:sz w:val="21"/>
                      <w:szCs w:val="21"/>
                      <w14:textFill>
                        <w14:solidFill>
                          <w14:schemeClr w14:val="tx1"/>
                        </w14:solidFill>
                      </w14:textFill>
                    </w:rPr>
                    <w:t>mg</w:t>
                  </w:r>
                  <w:r>
                    <w:rPr>
                      <w:rFonts w:ascii="Times New Roman" w:hAnsi="Times New Roman" w:eastAsia="Times New Roman" w:cs="Times New Roman"/>
                      <w:color w:val="000000" w:themeColor="text1"/>
                      <w:spacing w:val="5"/>
                      <w:position w:val="3"/>
                      <w:sz w:val="21"/>
                      <w:szCs w:val="21"/>
                      <w14:textFill>
                        <w14:solidFill>
                          <w14:schemeClr w14:val="tx1"/>
                        </w14:solidFill>
                      </w14:textFill>
                    </w:rPr>
                    <w:t>/L</w:t>
                  </w:r>
                </w:p>
              </w:tc>
            </w:tr>
          </w:tbl>
          <w:p>
            <w:pPr>
              <w:pStyle w:val="172"/>
              <w:spacing w:before="33" w:line="220" w:lineRule="auto"/>
              <w:ind w:left="600"/>
              <w:rPr>
                <w:rFonts w:hint="eastAsia"/>
                <w:b/>
                <w:bCs/>
                <w:color w:val="000000" w:themeColor="text1"/>
                <w:spacing w:val="-4"/>
                <w14:textFill>
                  <w14:solidFill>
                    <w14:schemeClr w14:val="tx1"/>
                  </w14:solidFill>
                </w14:textFill>
              </w:rPr>
            </w:pPr>
            <w:r>
              <w:rPr>
                <w:color w:val="000000" w:themeColor="text1"/>
                <w:spacing w:val="-2"/>
                <w14:textFill>
                  <w14:solidFill>
                    <w14:schemeClr w14:val="tx1"/>
                  </w14:solidFill>
                </w14:textFill>
              </w:rPr>
              <w:t>（</w:t>
            </w:r>
            <w:r>
              <w:rPr>
                <w:rFonts w:ascii="Times New Roman" w:hAnsi="Times New Roman" w:eastAsia="Times New Roman" w:cs="Times New Roman"/>
                <w:color w:val="000000" w:themeColor="text1"/>
                <w:spacing w:val="-2"/>
                <w14:textFill>
                  <w14:solidFill>
                    <w14:schemeClr w14:val="tx1"/>
                  </w14:solidFill>
                </w14:textFill>
              </w:rPr>
              <w:t>2</w:t>
            </w:r>
            <w:r>
              <w:rPr>
                <w:color w:val="000000" w:themeColor="text1"/>
                <w:spacing w:val="-2"/>
                <w14:textFill>
                  <w14:solidFill>
                    <w14:schemeClr w14:val="tx1"/>
                  </w14:solidFill>
                </w14:textFill>
              </w:rPr>
              <w:t>）地表水环境质量现状</w:t>
            </w:r>
          </w:p>
          <w:p>
            <w:pPr>
              <w:widowControl w:val="0"/>
              <w:topLinePunct/>
              <w:spacing w:after="0" w:line="360" w:lineRule="auto"/>
              <w:ind w:firstLine="476" w:firstLineChars="200"/>
              <w:jc w:val="both"/>
              <w:rPr>
                <w:rFonts w:ascii="Times New Roman" w:hAnsi="Times New Roman" w:eastAsia="宋体" w:cs="Times New Roman"/>
                <w:color w:val="000000" w:themeColor="text1"/>
                <w:szCs w:val="24"/>
                <w14:textFill>
                  <w14:solidFill>
                    <w14:schemeClr w14:val="tx1"/>
                  </w14:solidFill>
                </w14:textFill>
              </w:rPr>
            </w:pPr>
            <w:r>
              <w:rPr>
                <w:color w:val="000000" w:themeColor="text1"/>
                <w:spacing w:val="-1"/>
                <w14:textFill>
                  <w14:solidFill>
                    <w14:schemeClr w14:val="tx1"/>
                  </w14:solidFill>
                </w14:textFill>
              </w:rPr>
              <w:t>为了解项目纳污水域地表水环境质量现状，</w:t>
            </w:r>
            <w:r>
              <w:rPr>
                <w:rFonts w:ascii="Times New Roman" w:hAnsi="Times New Roman" w:eastAsia="宋体" w:cs="Times New Roman"/>
                <w:color w:val="000000" w:themeColor="text1"/>
                <w:szCs w:val="24"/>
                <w14:textFill>
                  <w14:solidFill>
                    <w14:schemeClr w14:val="tx1"/>
                  </w14:solidFill>
                </w14:textFill>
              </w:rPr>
              <w:t>根据《2023年福州市环境状况公报》，纳入福建省地表水环境质量考核的375个断面(含国考断面)，按照评价标准Ⅰ~Ⅲ类水质比例99.5%，同比上升0.8个百分点；其中Ⅰ~Ⅱ类水质比例65.3%，同比上升9.8个百分点；Ⅳ类占0.5%；无V类和劣V类断面。</w:t>
            </w:r>
          </w:p>
          <w:p>
            <w:pPr>
              <w:pStyle w:val="172"/>
              <w:spacing w:after="0" w:line="360" w:lineRule="auto"/>
              <w:ind w:firstLine="482"/>
              <w:rPr>
                <w:rFonts w:ascii="Times New Roman" w:hAnsi="Times New Roman" w:eastAsia="宋体" w:cs="Times New Roman"/>
                <w:strike/>
                <w:color w:val="000000" w:themeColor="text1"/>
                <w:szCs w:val="24"/>
                <w:lang w:eastAsia="zh-CN"/>
                <w14:textFill>
                  <w14:solidFill>
                    <w14:schemeClr w14:val="tx1"/>
                  </w14:solidFill>
                </w14:textFill>
              </w:rPr>
            </w:pPr>
            <w:r>
              <w:rPr>
                <w:rFonts w:ascii="Times New Roman" w:hAnsi="Times New Roman" w:eastAsia="宋体" w:cs="Times New Roman"/>
                <w:color w:val="000000" w:themeColor="text1"/>
                <w:szCs w:val="24"/>
                <w:lang w:eastAsia="zh-CN"/>
                <w14:textFill>
                  <w14:solidFill>
                    <w14:schemeClr w14:val="tx1"/>
                  </w14:solidFill>
                </w14:textFill>
              </w:rPr>
              <w:t>2023年，全省9个设区城市主要流域水质均为优。除漳州外，其余8个城市Ⅰ~Ⅲ类水质断面比例均为100%。各设区城市主要流域水质按照水质指数从相对较好开始排名，具体为：南平、宁德、泉州、三明、龙岩、莆田、厦门、福州、漳州。</w:t>
            </w:r>
            <w:r>
              <w:rPr>
                <w:color w:val="000000" w:themeColor="text1"/>
                <w:spacing w:val="16"/>
                <w:lang w:eastAsia="zh-CN"/>
                <w14:textFill>
                  <w14:solidFill>
                    <w14:schemeClr w14:val="tx1"/>
                  </w14:solidFill>
                </w14:textFill>
              </w:rPr>
              <w:t>由此可知龙江水质可达到《</w:t>
            </w:r>
            <w:r>
              <w:rPr>
                <w:color w:val="000000" w:themeColor="text1"/>
                <w:spacing w:val="-56"/>
                <w:lang w:eastAsia="zh-CN"/>
                <w14:textFill>
                  <w14:solidFill>
                    <w14:schemeClr w14:val="tx1"/>
                  </w14:solidFill>
                </w14:textFill>
              </w:rPr>
              <w:t xml:space="preserve"> </w:t>
            </w:r>
            <w:r>
              <w:rPr>
                <w:color w:val="000000" w:themeColor="text1"/>
                <w:spacing w:val="16"/>
                <w:lang w:eastAsia="zh-CN"/>
                <w14:textFill>
                  <w14:solidFill>
                    <w14:schemeClr w14:val="tx1"/>
                  </w14:solidFill>
                </w14:textFill>
              </w:rPr>
              <w:t>地表</w:t>
            </w:r>
            <w:r>
              <w:rPr>
                <w:color w:val="000000" w:themeColor="text1"/>
                <w:spacing w:val="15"/>
                <w:lang w:eastAsia="zh-CN"/>
                <w14:textFill>
                  <w14:solidFill>
                    <w14:schemeClr w14:val="tx1"/>
                  </w14:solidFill>
                </w14:textFill>
              </w:rPr>
              <w:t>水环境质量标准</w:t>
            </w:r>
            <w:r>
              <w:rPr>
                <w:color w:val="000000" w:themeColor="text1"/>
                <w:spacing w:val="-67"/>
                <w:lang w:eastAsia="zh-CN"/>
                <w14:textFill>
                  <w14:solidFill>
                    <w14:schemeClr w14:val="tx1"/>
                  </w14:solidFill>
                </w14:textFill>
              </w:rPr>
              <w:t xml:space="preserve"> </w:t>
            </w:r>
            <w:r>
              <w:rPr>
                <w:color w:val="000000" w:themeColor="text1"/>
                <w:spacing w:val="15"/>
                <w:lang w:eastAsia="zh-CN"/>
                <w14:textFill>
                  <w14:solidFill>
                    <w14:schemeClr w14:val="tx1"/>
                  </w14:solidFill>
                </w14:textFill>
              </w:rPr>
              <w:t>》</w:t>
            </w:r>
            <w:r>
              <w:rPr>
                <w:color w:val="000000" w:themeColor="text1"/>
                <w:lang w:eastAsia="zh-CN"/>
                <w14:textFill>
                  <w14:solidFill>
                    <w14:schemeClr w14:val="tx1"/>
                  </w14:solidFill>
                </w14:textFill>
              </w:rPr>
              <w:t xml:space="preserve"> </w:t>
            </w:r>
            <w:r>
              <w:rPr>
                <w:rFonts w:ascii="Times New Roman" w:hAnsi="Times New Roman" w:eastAsia="Times New Roman" w:cs="Times New Roman"/>
                <w:color w:val="000000" w:themeColor="text1"/>
                <w:spacing w:val="-1"/>
                <w:lang w:eastAsia="zh-CN"/>
                <w14:textFill>
                  <w14:solidFill>
                    <w14:schemeClr w14:val="tx1"/>
                  </w14:solidFill>
                </w14:textFill>
              </w:rPr>
              <w:t xml:space="preserve">(GB3838-2002) </w:t>
            </w:r>
            <w:r>
              <w:rPr>
                <w:color w:val="000000" w:themeColor="text1"/>
                <w:spacing w:val="-1"/>
                <w:lang w:eastAsia="zh-CN"/>
                <w14:textFill>
                  <w14:solidFill>
                    <w14:schemeClr w14:val="tx1"/>
                  </w14:solidFill>
                </w14:textFill>
              </w:rPr>
              <w:t>Ⅲ类水标准。</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 xml:space="preserve">3.1.3 声环境质量现状 </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hint="eastAsia" w:ascii="Times New Roman" w:hAnsi="Times New Roman" w:eastAsia="宋体" w:cs="Times New Roman"/>
                <w:b/>
                <w:bCs/>
                <w:color w:val="000000" w:themeColor="text1"/>
                <w:szCs w:val="24"/>
                <w14:textFill>
                  <w14:solidFill>
                    <w14:schemeClr w14:val="tx1"/>
                  </w14:solidFill>
                </w14:textFill>
              </w:rPr>
              <w:t>（1）声环境功能区</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本项目位于福建省福州市福清市融侨经济技术开发区</w:t>
            </w:r>
            <w:r>
              <w:rPr>
                <w:rFonts w:hint="eastAsia"/>
                <w:color w:val="000000" w:themeColor="text1"/>
                <w:spacing w:val="-2"/>
                <w14:textFill>
                  <w14:solidFill>
                    <w14:schemeClr w14:val="tx1"/>
                  </w14:solidFill>
                </w14:textFill>
              </w:rPr>
              <w:t>宏路街道周店村</w:t>
            </w:r>
            <w:r>
              <w:rPr>
                <w:rFonts w:ascii="Times New Roman" w:hAnsi="Times New Roman" w:eastAsia="宋体" w:cs="Times New Roman"/>
                <w:color w:val="000000" w:themeColor="text1"/>
                <w:szCs w:val="24"/>
                <w14:textFill>
                  <w14:solidFill>
                    <w14:schemeClr w14:val="tx1"/>
                  </w14:solidFill>
                </w14:textFill>
              </w:rPr>
              <w:t>，所在地为工业用地，</w:t>
            </w:r>
            <w:r>
              <w:rPr>
                <w:rFonts w:hint="eastAsia" w:ascii="Times New Roman" w:hAnsi="Times New Roman" w:eastAsia="宋体" w:cs="Times New Roman"/>
                <w:color w:val="000000" w:themeColor="text1"/>
                <w:szCs w:val="24"/>
                <w14:textFill>
                  <w14:solidFill>
                    <w14:schemeClr w14:val="tx1"/>
                  </w14:solidFill>
                </w14:textFill>
              </w:rPr>
              <w:t>项目周边以工业生产、仓储物流为主，</w:t>
            </w:r>
            <w:r>
              <w:rPr>
                <w:rFonts w:ascii="Times New Roman" w:hAnsi="Times New Roman" w:eastAsia="宋体" w:cs="Times New Roman"/>
                <w:color w:val="000000" w:themeColor="text1"/>
                <w:szCs w:val="24"/>
                <w14:textFill>
                  <w14:solidFill>
                    <w14:schemeClr w14:val="tx1"/>
                  </w14:solidFill>
                </w14:textFill>
              </w:rPr>
              <w:t>声环境功能区为3类声环境功能区，声环境质量执行《声环境质量标准》（GB 3096-2008）中的3类标准</w:t>
            </w:r>
            <w:r>
              <w:rPr>
                <w:rFonts w:hint="eastAsia" w:ascii="Times New Roman" w:hAnsi="Times New Roman" w:eastAsia="宋体" w:cs="Times New Roman"/>
                <w:color w:val="000000" w:themeColor="text1"/>
                <w:szCs w:val="24"/>
                <w14:textFill>
                  <w14:solidFill>
                    <w14:schemeClr w14:val="tx1"/>
                  </w14:solidFill>
                </w14:textFill>
              </w:rPr>
              <w:t>，</w:t>
            </w:r>
            <w:r>
              <w:rPr>
                <w:color w:val="000000" w:themeColor="text1"/>
                <w:spacing w:val="-5"/>
                <w14:textFill>
                  <w14:solidFill>
                    <w14:schemeClr w14:val="tx1"/>
                  </w14:solidFill>
                </w14:textFill>
              </w:rPr>
              <w:t>西侧执行《声环境质量标</w:t>
            </w:r>
            <w:r>
              <w:rPr>
                <w:color w:val="000000" w:themeColor="text1"/>
                <w:spacing w:val="7"/>
                <w14:textFill>
                  <w14:solidFill>
                    <w14:schemeClr w14:val="tx1"/>
                  </w14:solidFill>
                </w14:textFill>
              </w:rPr>
              <w:t>准》（</w:t>
            </w:r>
            <w:r>
              <w:rPr>
                <w:rFonts w:ascii="Times New Roman" w:hAnsi="Times New Roman" w:eastAsia="Times New Roman" w:cs="Times New Roman"/>
                <w:color w:val="000000" w:themeColor="text1"/>
                <w14:textFill>
                  <w14:solidFill>
                    <w14:schemeClr w14:val="tx1"/>
                  </w14:solidFill>
                </w14:textFill>
              </w:rPr>
              <w:t>GB</w:t>
            </w:r>
            <w:r>
              <w:rPr>
                <w:rFonts w:ascii="Times New Roman" w:hAnsi="Times New Roman" w:eastAsia="Times New Roman" w:cs="Times New Roman"/>
                <w:color w:val="000000" w:themeColor="text1"/>
                <w:spacing w:val="7"/>
                <w14:textFill>
                  <w14:solidFill>
                    <w14:schemeClr w14:val="tx1"/>
                  </w14:solidFill>
                </w14:textFill>
              </w:rPr>
              <w:t>3096-2008</w:t>
            </w:r>
            <w:r>
              <w:rPr>
                <w:color w:val="000000" w:themeColor="text1"/>
                <w:spacing w:val="7"/>
                <w14:textFill>
                  <w14:solidFill>
                    <w14:schemeClr w14:val="tx1"/>
                  </w14:solidFill>
                </w14:textFill>
              </w:rPr>
              <w:t>）</w:t>
            </w:r>
            <w:r>
              <w:rPr>
                <w:color w:val="000000" w:themeColor="text1"/>
                <w:spacing w:val="-46"/>
                <w14:textFill>
                  <w14:solidFill>
                    <w14:schemeClr w14:val="tx1"/>
                  </w14:solidFill>
                </w14:textFill>
              </w:rPr>
              <w:t xml:space="preserve"> </w:t>
            </w:r>
            <w:r>
              <w:rPr>
                <w:color w:val="000000" w:themeColor="text1"/>
                <w:spacing w:val="7"/>
                <w14:textFill>
                  <w14:solidFill>
                    <w14:schemeClr w14:val="tx1"/>
                  </w14:solidFill>
                </w14:textFill>
              </w:rPr>
              <w:t>中的</w:t>
            </w:r>
            <w:r>
              <w:rPr>
                <w:rFonts w:ascii="Times New Roman" w:hAnsi="Times New Roman" w:eastAsia="Times New Roman" w:cs="Times New Roman"/>
                <w:color w:val="000000" w:themeColor="text1"/>
                <w:spacing w:val="7"/>
                <w14:textFill>
                  <w14:solidFill>
                    <w14:schemeClr w14:val="tx1"/>
                  </w14:solidFill>
                </w14:textFill>
              </w:rPr>
              <w:t>4a</w:t>
            </w:r>
            <w:r>
              <w:rPr>
                <w:color w:val="000000" w:themeColor="text1"/>
                <w:spacing w:val="7"/>
                <w14:textFill>
                  <w14:solidFill>
                    <w14:schemeClr w14:val="tx1"/>
                  </w14:solidFill>
                </w14:textFill>
              </w:rPr>
              <w:t>类标准</w:t>
            </w:r>
            <w:r>
              <w:rPr>
                <w:color w:val="000000" w:themeColor="text1"/>
                <w:spacing w:val="-63"/>
                <w14:textFill>
                  <w14:solidFill>
                    <w14:schemeClr w14:val="tx1"/>
                  </w14:solidFill>
                </w14:textFill>
              </w:rPr>
              <w:t xml:space="preserve"> </w:t>
            </w:r>
            <w:r>
              <w:rPr>
                <w:color w:val="000000" w:themeColor="text1"/>
                <w:spacing w:val="7"/>
                <w14:textFill>
                  <w14:solidFill>
                    <w14:schemeClr w14:val="tx1"/>
                  </w14:solidFill>
                </w14:textFill>
              </w:rPr>
              <w:t>。村庄</w:t>
            </w:r>
            <w:r>
              <w:rPr>
                <w:rFonts w:hint="eastAsia"/>
                <w:color w:val="000000" w:themeColor="text1"/>
                <w:spacing w:val="7"/>
                <w14:textFill>
                  <w14:solidFill>
                    <w14:schemeClr w14:val="tx1"/>
                  </w14:solidFill>
                </w14:textFill>
              </w:rPr>
              <w:t>（下底铺）</w:t>
            </w:r>
            <w:r>
              <w:rPr>
                <w:color w:val="000000" w:themeColor="text1"/>
                <w:spacing w:val="7"/>
                <w14:textFill>
                  <w14:solidFill>
                    <w14:schemeClr w14:val="tx1"/>
                  </w14:solidFill>
                </w14:textFill>
              </w:rPr>
              <w:t>声环境执行《声环境质量标准》</w:t>
            </w:r>
            <w:r>
              <w:rPr>
                <w:color w:val="000000" w:themeColor="text1"/>
                <w:spacing w:val="-1"/>
                <w14:textFill>
                  <w14:solidFill>
                    <w14:schemeClr w14:val="tx1"/>
                  </w14:solidFill>
                </w14:textFill>
              </w:rPr>
              <w:t>（</w:t>
            </w:r>
            <w:r>
              <w:rPr>
                <w:rFonts w:ascii="Times New Roman" w:hAnsi="Times New Roman" w:eastAsia="Times New Roman" w:cs="Times New Roman"/>
                <w:color w:val="000000" w:themeColor="text1"/>
                <w:spacing w:val="-1"/>
                <w14:textFill>
                  <w14:solidFill>
                    <w14:schemeClr w14:val="tx1"/>
                  </w14:solidFill>
                </w14:textFill>
              </w:rPr>
              <w:t>GB3096-2008</w:t>
            </w:r>
            <w:r>
              <w:rPr>
                <w:color w:val="000000" w:themeColor="text1"/>
                <w:spacing w:val="-1"/>
                <w14:textFill>
                  <w14:solidFill>
                    <w14:schemeClr w14:val="tx1"/>
                  </w14:solidFill>
                </w14:textFill>
              </w:rPr>
              <w:t>）中的</w:t>
            </w:r>
            <w:r>
              <w:rPr>
                <w:rFonts w:ascii="Times New Roman" w:hAnsi="Times New Roman" w:eastAsia="Times New Roman" w:cs="Times New Roman"/>
                <w:color w:val="000000" w:themeColor="text1"/>
                <w:spacing w:val="-1"/>
                <w14:textFill>
                  <w14:solidFill>
                    <w14:schemeClr w14:val="tx1"/>
                  </w14:solidFill>
                </w14:textFill>
              </w:rPr>
              <w:t>2</w:t>
            </w:r>
            <w:r>
              <w:rPr>
                <w:color w:val="000000" w:themeColor="text1"/>
                <w:spacing w:val="-1"/>
                <w14:textFill>
                  <w14:solidFill>
                    <w14:schemeClr w14:val="tx1"/>
                  </w14:solidFill>
                </w14:textFill>
              </w:rPr>
              <w:t>类标准</w:t>
            </w:r>
            <w:r>
              <w:rPr>
                <w:rFonts w:ascii="Times New Roman" w:hAnsi="Times New Roman" w:eastAsia="宋体" w:cs="Times New Roman"/>
                <w:color w:val="000000" w:themeColor="text1"/>
                <w:szCs w:val="24"/>
                <w14:textFill>
                  <w14:solidFill>
                    <w14:schemeClr w14:val="tx1"/>
                  </w14:solidFill>
                </w14:textFill>
              </w:rPr>
              <w:t>。</w:t>
            </w:r>
          </w:p>
          <w:p>
            <w:pPr>
              <w:pStyle w:val="172"/>
              <w:numPr>
                <w:ilvl w:val="0"/>
                <w:numId w:val="3"/>
              </w:numPr>
              <w:spacing w:before="29" w:line="220" w:lineRule="auto"/>
              <w:ind w:left="600"/>
              <w:rPr>
                <w:rFonts w:hint="eastAsia"/>
                <w:color w:val="000000" w:themeColor="text1"/>
                <w:spacing w:val="-3"/>
                <w14:textFill>
                  <w14:solidFill>
                    <w14:schemeClr w14:val="tx1"/>
                  </w14:solidFill>
                </w14:textFill>
              </w:rPr>
            </w:pPr>
            <w:r>
              <w:rPr>
                <w:color w:val="000000" w:themeColor="text1"/>
                <w:spacing w:val="-3"/>
                <w14:textFill>
                  <w14:solidFill>
                    <w14:schemeClr w14:val="tx1"/>
                  </w14:solidFill>
                </w14:textFill>
              </w:rPr>
              <w:t>声环境质量现状</w:t>
            </w:r>
          </w:p>
          <w:p>
            <w:pPr>
              <w:pStyle w:val="14"/>
              <w:widowControl w:val="0"/>
              <w:topLinePunct/>
              <w:spacing w:after="0"/>
              <w:ind w:firstLine="480"/>
              <w:jc w:val="both"/>
              <w:rPr>
                <w:color w:val="000000" w:themeColor="text1"/>
                <w:spacing w:val="-3"/>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依据《建设项目环境影响评价报告表编制技术指南（污染影响类）（试行）》(环办环评〔2020〕33号)：厂界外周边50米范围内存在声环境保护目标的建设项目，应监测保护目标声环境质量现状并评价达标情况。</w:t>
            </w:r>
          </w:p>
          <w:p>
            <w:pPr>
              <w:spacing w:after="0" w:line="360" w:lineRule="auto"/>
              <w:ind w:firstLine="468" w:firstLineChars="200"/>
              <w:rPr>
                <w:rFonts w:ascii="Times New Roman" w:hAnsi="Times New Roman" w:cs="Times New Roman"/>
                <w:color w:val="000000" w:themeColor="text1"/>
                <w:spacing w:val="-2"/>
                <w14:textFill>
                  <w14:solidFill>
                    <w14:schemeClr w14:val="tx1"/>
                  </w14:solidFill>
                </w14:textFill>
              </w:rPr>
            </w:pPr>
            <w:r>
              <w:rPr>
                <w:color w:val="000000" w:themeColor="text1"/>
                <w:spacing w:val="-3"/>
                <w14:textFill>
                  <w14:solidFill>
                    <w14:schemeClr w14:val="tx1"/>
                  </w14:solidFill>
                </w14:textFill>
              </w:rPr>
              <w:t>根据</w:t>
            </w:r>
            <w:r>
              <w:rPr>
                <w:rFonts w:ascii="Times New Roman" w:hAnsi="Times New Roman" w:cs="Times New Roman"/>
                <w:color w:val="000000" w:themeColor="text1"/>
                <w:spacing w:val="-6"/>
                <w14:textFill>
                  <w14:solidFill>
                    <w14:schemeClr w14:val="tx1"/>
                  </w14:solidFill>
                </w14:textFill>
              </w:rPr>
              <w:t>福建安谱环境检测技术有限公司于</w:t>
            </w:r>
            <w:r>
              <w:rPr>
                <w:rFonts w:ascii="Times New Roman" w:hAnsi="Times New Roman" w:cs="Times New Roman"/>
                <w:color w:val="000000" w:themeColor="text1"/>
                <w:spacing w:val="-55"/>
                <w14:textFill>
                  <w14:solidFill>
                    <w14:schemeClr w14:val="tx1"/>
                  </w14:solidFill>
                </w14:textFill>
              </w:rPr>
              <w:t xml:space="preserve"> </w:t>
            </w:r>
            <w:r>
              <w:rPr>
                <w:rFonts w:ascii="Times New Roman" w:hAnsi="Times New Roman" w:eastAsia="Times New Roman" w:cs="Times New Roman"/>
                <w:color w:val="000000" w:themeColor="text1"/>
                <w:spacing w:val="-6"/>
                <w14:textFill>
                  <w14:solidFill>
                    <w14:schemeClr w14:val="tx1"/>
                  </w14:solidFill>
                </w14:textFill>
              </w:rPr>
              <w:t>202</w:t>
            </w:r>
            <w:r>
              <w:rPr>
                <w:rFonts w:hint="eastAsia" w:ascii="Times New Roman" w:hAnsi="Times New Roman" w:cs="Times New Roman"/>
                <w:color w:val="000000" w:themeColor="text1"/>
                <w:spacing w:val="-6"/>
                <w14:textFill>
                  <w14:solidFill>
                    <w14:schemeClr w14:val="tx1"/>
                  </w14:solidFill>
                </w14:textFill>
              </w:rPr>
              <w:t>4</w:t>
            </w:r>
            <w:r>
              <w:rPr>
                <w:rFonts w:ascii="Times New Roman" w:hAnsi="Times New Roman" w:eastAsia="Times New Roman" w:cs="Times New Roman"/>
                <w:color w:val="000000" w:themeColor="text1"/>
                <w:spacing w:val="-6"/>
                <w14:textFill>
                  <w14:solidFill>
                    <w14:schemeClr w14:val="tx1"/>
                  </w14:solidFill>
                </w14:textFill>
              </w:rPr>
              <w:t xml:space="preserve"> </w:t>
            </w:r>
            <w:r>
              <w:rPr>
                <w:rFonts w:ascii="Times New Roman" w:hAnsi="Times New Roman" w:cs="Times New Roman"/>
                <w:color w:val="000000" w:themeColor="text1"/>
                <w:spacing w:val="-6"/>
                <w14:textFill>
                  <w14:solidFill>
                    <w14:schemeClr w14:val="tx1"/>
                  </w14:solidFill>
                </w14:textFill>
              </w:rPr>
              <w:t>年</w:t>
            </w:r>
            <w:r>
              <w:rPr>
                <w:rFonts w:hint="eastAsia" w:ascii="Times New Roman" w:hAnsi="Times New Roman" w:cs="Times New Roman"/>
                <w:color w:val="000000" w:themeColor="text1"/>
                <w:spacing w:val="-6"/>
                <w14:textFill>
                  <w14:solidFill>
                    <w14:schemeClr w14:val="tx1"/>
                  </w14:solidFill>
                </w14:textFill>
              </w:rPr>
              <w:t>10</w:t>
            </w:r>
            <w:r>
              <w:rPr>
                <w:rFonts w:ascii="Times New Roman" w:hAnsi="Times New Roman" w:cs="Times New Roman"/>
                <w:color w:val="000000" w:themeColor="text1"/>
                <w:spacing w:val="-6"/>
                <w14:textFill>
                  <w14:solidFill>
                    <w14:schemeClr w14:val="tx1"/>
                  </w14:solidFill>
                </w14:textFill>
              </w:rPr>
              <w:t>月</w:t>
            </w:r>
            <w:r>
              <w:rPr>
                <w:rFonts w:hint="eastAsia" w:ascii="Times New Roman" w:hAnsi="Times New Roman" w:cs="Times New Roman"/>
                <w:color w:val="000000" w:themeColor="text1"/>
                <w:spacing w:val="-6"/>
                <w14:textFill>
                  <w14:solidFill>
                    <w14:schemeClr w14:val="tx1"/>
                  </w14:solidFill>
                </w14:textFill>
              </w:rPr>
              <w:t>15</w:t>
            </w:r>
            <w:r>
              <w:rPr>
                <w:rFonts w:ascii="Times New Roman" w:hAnsi="Times New Roman" w:eastAsia="Times New Roman" w:cs="Times New Roman"/>
                <w:color w:val="000000" w:themeColor="text1"/>
                <w:spacing w:val="-6"/>
                <w14:textFill>
                  <w14:solidFill>
                    <w14:schemeClr w14:val="tx1"/>
                  </w14:solidFill>
                </w14:textFill>
              </w:rPr>
              <w:t xml:space="preserve"> </w:t>
            </w:r>
            <w:r>
              <w:rPr>
                <w:rFonts w:ascii="Times New Roman" w:hAnsi="Times New Roman" w:cs="Times New Roman"/>
                <w:color w:val="000000" w:themeColor="text1"/>
                <w:spacing w:val="-6"/>
                <w14:textFill>
                  <w14:solidFill>
                    <w14:schemeClr w14:val="tx1"/>
                  </w14:solidFill>
                </w14:textFill>
              </w:rPr>
              <w:t>日</w:t>
            </w:r>
            <w:r>
              <w:rPr>
                <w:rFonts w:ascii="Times New Roman" w:hAnsi="Times New Roman" w:eastAsia="Times New Roman" w:cs="Times New Roman"/>
                <w:color w:val="000000" w:themeColor="text1"/>
                <w:spacing w:val="-7"/>
                <w14:textFill>
                  <w14:solidFill>
                    <w14:schemeClr w14:val="tx1"/>
                  </w14:solidFill>
                </w14:textFill>
              </w:rPr>
              <w:t>-</w:t>
            </w:r>
            <w:r>
              <w:rPr>
                <w:rFonts w:hint="eastAsia" w:ascii="Times New Roman" w:hAnsi="Times New Roman" w:cs="Times New Roman"/>
                <w:color w:val="000000" w:themeColor="text1"/>
                <w:spacing w:val="-7"/>
                <w14:textFill>
                  <w14:solidFill>
                    <w14:schemeClr w14:val="tx1"/>
                  </w14:solidFill>
                </w14:textFill>
              </w:rPr>
              <w:t>16</w:t>
            </w:r>
            <w:r>
              <w:rPr>
                <w:rFonts w:ascii="Times New Roman" w:hAnsi="Times New Roman" w:cs="Times New Roman"/>
                <w:color w:val="000000" w:themeColor="text1"/>
                <w:spacing w:val="-7"/>
                <w14:textFill>
                  <w14:solidFill>
                    <w14:schemeClr w14:val="tx1"/>
                  </w14:solidFill>
                </w14:textFill>
              </w:rPr>
              <w:t>日</w:t>
            </w:r>
            <w:r>
              <w:rPr>
                <w:rFonts w:ascii="Times New Roman" w:hAnsi="Times New Roman" w:cs="Times New Roman"/>
                <w:color w:val="000000" w:themeColor="text1"/>
                <w:spacing w:val="-2"/>
                <w14:textFill>
                  <w14:solidFill>
                    <w14:schemeClr w14:val="tx1"/>
                  </w14:solidFill>
                </w14:textFill>
              </w:rPr>
              <w:t>对厂界及敏感点的噪声监测结果详见</w:t>
            </w:r>
            <w:r>
              <w:rPr>
                <w:rFonts w:hint="eastAsia" w:ascii="Times New Roman" w:hAnsi="Times New Roman" w:cs="Times New Roman"/>
                <w:color w:val="000000" w:themeColor="text1"/>
                <w:spacing w:val="-2"/>
                <w14:textFill>
                  <w14:solidFill>
                    <w14:schemeClr w14:val="tx1"/>
                  </w14:solidFill>
                </w14:textFill>
              </w:rPr>
              <w:t>3.1-3：</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3.1-4 厂界及敏感点</w:t>
            </w:r>
            <w:r>
              <w:rPr>
                <w:color w:val="000000" w:themeColor="text1"/>
                <w14:textFill>
                  <w14:solidFill>
                    <w14:schemeClr w14:val="tx1"/>
                  </w14:solidFill>
                </w14:textFill>
              </w:rPr>
              <w:t>噪声监测结果一览表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906"/>
              <w:gridCol w:w="2435"/>
              <w:gridCol w:w="1059"/>
              <w:gridCol w:w="1630"/>
              <w:gridCol w:w="14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Align w:val="center"/>
                </w:tcPr>
                <w:p>
                  <w:pPr>
                    <w:pStyle w:val="221"/>
                    <w:jc w:val="left"/>
                    <w:rPr>
                      <w:color w:val="000000" w:themeColor="text1"/>
                      <w:kern w:val="2"/>
                      <w14:textFill>
                        <w14:solidFill>
                          <w14:schemeClr w14:val="tx1"/>
                        </w14:solidFill>
                      </w14:textFill>
                    </w:rPr>
                  </w:pPr>
                  <w:r>
                    <w:rPr>
                      <w:color w:val="000000" w:themeColor="text1"/>
                      <w14:textFill>
                        <w14:solidFill>
                          <w14:schemeClr w14:val="tx1"/>
                        </w14:solidFill>
                      </w14:textFill>
                    </w:rPr>
                    <w:t>检测日期</w:t>
                  </w:r>
                </w:p>
              </w:tc>
              <w:tc>
                <w:tcPr>
                  <w:tcW w:w="514" w:type="pct"/>
                  <w:vAlign w:val="center"/>
                </w:tcPr>
                <w:p>
                  <w:pPr>
                    <w:pStyle w:val="221"/>
                    <w:ind w:firstLine="480"/>
                    <w:rPr>
                      <w:color w:val="000000" w:themeColor="text1"/>
                      <w14:textFill>
                        <w14:solidFill>
                          <w14:schemeClr w14:val="tx1"/>
                        </w14:solidFill>
                      </w14:textFill>
                    </w:rPr>
                  </w:pPr>
                  <w:r>
                    <w:rPr>
                      <w:color w:val="000000" w:themeColor="text1"/>
                      <w14:textFill>
                        <w14:solidFill>
                          <w14:schemeClr w14:val="tx1"/>
                        </w14:solidFill>
                      </w14:textFill>
                    </w:rPr>
                    <w:t>检测</w:t>
                  </w:r>
                </w:p>
                <w:p>
                  <w:pPr>
                    <w:pStyle w:val="221"/>
                    <w:ind w:firstLine="480"/>
                    <w:rPr>
                      <w:color w:val="000000" w:themeColor="text1"/>
                      <w:kern w:val="2"/>
                      <w14:textFill>
                        <w14:solidFill>
                          <w14:schemeClr w14:val="tx1"/>
                        </w14:solidFill>
                      </w14:textFill>
                    </w:rPr>
                  </w:pPr>
                  <w:r>
                    <w:rPr>
                      <w:color w:val="000000" w:themeColor="text1"/>
                      <w14:textFill>
                        <w14:solidFill>
                          <w14:schemeClr w14:val="tx1"/>
                        </w14:solidFill>
                      </w14:textFill>
                    </w:rPr>
                    <w:t>时段</w:t>
                  </w:r>
                </w:p>
              </w:tc>
              <w:tc>
                <w:tcPr>
                  <w:tcW w:w="1469" w:type="pct"/>
                  <w:vAlign w:val="center"/>
                </w:tcPr>
                <w:p>
                  <w:pPr>
                    <w:pStyle w:val="221"/>
                    <w:ind w:firstLine="480"/>
                    <w:rPr>
                      <w:color w:val="000000" w:themeColor="text1"/>
                      <w:kern w:val="2"/>
                      <w14:textFill>
                        <w14:solidFill>
                          <w14:schemeClr w14:val="tx1"/>
                        </w14:solidFill>
                      </w14:textFill>
                    </w:rPr>
                  </w:pPr>
                  <w:r>
                    <w:rPr>
                      <w:color w:val="000000" w:themeColor="text1"/>
                      <w14:textFill>
                        <w14:solidFill>
                          <w14:schemeClr w14:val="tx1"/>
                        </w14:solidFill>
                      </w14:textFill>
                    </w:rPr>
                    <w:t>检测点位</w:t>
                  </w:r>
                </w:p>
              </w:tc>
              <w:tc>
                <w:tcPr>
                  <w:tcW w:w="671" w:type="pct"/>
                  <w:vAlign w:val="center"/>
                </w:tcPr>
                <w:p>
                  <w:pPr>
                    <w:pStyle w:val="221"/>
                    <w:ind w:firstLine="480"/>
                    <w:rPr>
                      <w:color w:val="000000" w:themeColor="text1"/>
                      <w:kern w:val="2"/>
                      <w14:textFill>
                        <w14:solidFill>
                          <w14:schemeClr w14:val="tx1"/>
                        </w14:solidFill>
                      </w14:textFill>
                    </w:rPr>
                  </w:pPr>
                  <w:r>
                    <w:rPr>
                      <w:color w:val="000000" w:themeColor="text1"/>
                      <w14:textFill>
                        <w14:solidFill>
                          <w14:schemeClr w14:val="tx1"/>
                        </w14:solidFill>
                      </w14:textFill>
                    </w:rPr>
                    <w:t>单位</w:t>
                  </w:r>
                </w:p>
              </w:tc>
              <w:tc>
                <w:tcPr>
                  <w:tcW w:w="1002" w:type="pct"/>
                  <w:vAlign w:val="center"/>
                </w:tcPr>
                <w:p>
                  <w:pPr>
                    <w:pStyle w:val="221"/>
                    <w:ind w:firstLine="480"/>
                    <w:rPr>
                      <w:color w:val="000000" w:themeColor="text1"/>
                      <w:kern w:val="2"/>
                      <w14:textFill>
                        <w14:solidFill>
                          <w14:schemeClr w14:val="tx1"/>
                        </w14:solidFill>
                      </w14:textFill>
                    </w:rPr>
                  </w:pPr>
                  <w:r>
                    <w:rPr>
                      <w:color w:val="000000" w:themeColor="text1"/>
                      <w14:textFill>
                        <w14:solidFill>
                          <w14:schemeClr w14:val="tx1"/>
                        </w14:solidFill>
                      </w14:textFill>
                    </w:rPr>
                    <w:t>检测数据（L</w:t>
                  </w:r>
                  <w:r>
                    <w:rPr>
                      <w:color w:val="000000" w:themeColor="text1"/>
                      <w:vertAlign w:val="subscript"/>
                      <w14:textFill>
                        <w14:solidFill>
                          <w14:schemeClr w14:val="tx1"/>
                        </w14:solidFill>
                      </w14:textFill>
                    </w:rPr>
                    <w:t>eq</w:t>
                  </w:r>
                  <w:r>
                    <w:rPr>
                      <w:color w:val="000000" w:themeColor="text1"/>
                      <w14:textFill>
                        <w14:solidFill>
                          <w14:schemeClr w14:val="tx1"/>
                        </w14:solidFill>
                      </w14:textFill>
                    </w:rPr>
                    <w:t>）</w:t>
                  </w:r>
                </w:p>
              </w:tc>
              <w:tc>
                <w:tcPr>
                  <w:tcW w:w="884" w:type="pct"/>
                  <w:vAlign w:val="center"/>
                </w:tcPr>
                <w:p>
                  <w:pPr>
                    <w:pStyle w:val="221"/>
                    <w:ind w:firstLine="480"/>
                    <w:rPr>
                      <w:color w:val="000000" w:themeColor="text1"/>
                      <w14:textFill>
                        <w14:solidFill>
                          <w14:schemeClr w14:val="tx1"/>
                        </w14:solidFill>
                      </w14:textFill>
                    </w:rPr>
                  </w:pPr>
                  <w:r>
                    <w:rPr>
                      <w:color w:val="000000" w:themeColor="text1"/>
                      <w14:textFill>
                        <w14:solidFill>
                          <w14:schemeClr w14:val="tx1"/>
                        </w14:solidFill>
                      </w14:textFill>
                    </w:rPr>
                    <w:t>限值（L</w:t>
                  </w:r>
                  <w:r>
                    <w:rPr>
                      <w:color w:val="000000" w:themeColor="text1"/>
                      <w:vertAlign w:val="subscript"/>
                      <w14:textFill>
                        <w14:solidFill>
                          <w14:schemeClr w14:val="tx1"/>
                        </w14:solidFill>
                      </w14:textFill>
                    </w:rPr>
                    <w:t>eq</w:t>
                  </w:r>
                  <w:r>
                    <w:rPr>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restart"/>
                  <w:vAlign w:val="center"/>
                </w:tcPr>
                <w:p>
                  <w:pPr>
                    <w:pStyle w:val="221"/>
                    <w:jc w:val="left"/>
                    <w:rPr>
                      <w:color w:val="000000" w:themeColor="text1"/>
                      <w:kern w:val="2"/>
                      <w14:textFill>
                        <w14:solidFill>
                          <w14:schemeClr w14:val="tx1"/>
                        </w14:solidFill>
                      </w14:textFill>
                    </w:rPr>
                  </w:pPr>
                  <w:r>
                    <w:rPr>
                      <w:bCs/>
                      <w:color w:val="000000" w:themeColor="text1"/>
                      <w14:textFill>
                        <w14:solidFill>
                          <w14:schemeClr w14:val="tx1"/>
                        </w14:solidFill>
                      </w14:textFill>
                    </w:rPr>
                    <w:t>2024.10.15</w:t>
                  </w:r>
                </w:p>
              </w:tc>
              <w:tc>
                <w:tcPr>
                  <w:tcW w:w="514" w:type="pct"/>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夜间</w:t>
                  </w: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Z1厂界东侧外1m</w:t>
                  </w:r>
                </w:p>
              </w:tc>
              <w:tc>
                <w:tcPr>
                  <w:tcW w:w="671"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dB（A）</w:t>
                  </w: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48.4</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Z2厂界南侧外1m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49.5</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Z3厂界西侧外1m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54.3</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Z4厂界北侧外1m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53.4</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Z5下底埔</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42.3</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restart"/>
                  <w:vAlign w:val="center"/>
                </w:tcPr>
                <w:p>
                  <w:pPr>
                    <w:pStyle w:val="221"/>
                    <w:jc w:val="left"/>
                    <w:rPr>
                      <w:color w:val="000000" w:themeColor="text1"/>
                      <w:kern w:val="2"/>
                      <w14:textFill>
                        <w14:solidFill>
                          <w14:schemeClr w14:val="tx1"/>
                        </w14:solidFill>
                      </w14:textFill>
                    </w:rPr>
                  </w:pPr>
                  <w:r>
                    <w:rPr>
                      <w:bCs/>
                      <w:color w:val="000000" w:themeColor="text1"/>
                      <w14:textFill>
                        <w14:solidFill>
                          <w14:schemeClr w14:val="tx1"/>
                        </w14:solidFill>
                      </w14:textFill>
                    </w:rPr>
                    <w:t>2024.10.16</w:t>
                  </w:r>
                </w:p>
              </w:tc>
              <w:tc>
                <w:tcPr>
                  <w:tcW w:w="514" w:type="pct"/>
                  <w:vMerge w:val="restar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昼间</w:t>
                  </w: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Z1厂界东侧外1m</w:t>
                  </w:r>
                </w:p>
              </w:tc>
              <w:tc>
                <w:tcPr>
                  <w:tcW w:w="671" w:type="pct"/>
                  <w:vMerge w:val="restart"/>
                  <w:vAlign w:val="center"/>
                </w:tcPr>
                <w:p>
                  <w:pPr>
                    <w:pStyle w:val="221"/>
                    <w:rPr>
                      <w:color w:val="000000" w:themeColor="text1"/>
                      <w:kern w:val="2"/>
                      <w14:textFill>
                        <w14:solidFill>
                          <w14:schemeClr w14:val="tx1"/>
                        </w14:solidFill>
                      </w14:textFill>
                    </w:rPr>
                  </w:pPr>
                  <w:r>
                    <w:rPr>
                      <w:bCs/>
                      <w:color w:val="000000" w:themeColor="text1"/>
                      <w14:textFill>
                        <w14:solidFill>
                          <w14:schemeClr w14:val="tx1"/>
                        </w14:solidFill>
                      </w14:textFill>
                    </w:rPr>
                    <w:t>dB（A）</w:t>
                  </w: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54.3</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Z2厂界南侧外1m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56.5</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Z3厂界西侧外1m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68.1</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Z4厂界北侧外1m</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61.2</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vMerge w:val="continue"/>
                  <w:vAlign w:val="center"/>
                </w:tcPr>
                <w:p>
                  <w:pPr>
                    <w:pStyle w:val="221"/>
                    <w:ind w:firstLine="480"/>
                    <w:rPr>
                      <w:color w:val="000000" w:themeColor="text1"/>
                      <w:kern w:val="2"/>
                      <w14:textFill>
                        <w14:solidFill>
                          <w14:schemeClr w14:val="tx1"/>
                        </w14:solidFill>
                      </w14:textFill>
                    </w:rPr>
                  </w:pPr>
                </w:p>
              </w:tc>
              <w:tc>
                <w:tcPr>
                  <w:tcW w:w="514" w:type="pct"/>
                  <w:vMerge w:val="continue"/>
                  <w:vAlign w:val="center"/>
                </w:tcPr>
                <w:p>
                  <w:pPr>
                    <w:pStyle w:val="221"/>
                    <w:ind w:firstLine="480"/>
                    <w:rPr>
                      <w:color w:val="000000" w:themeColor="text1"/>
                      <w:kern w:val="2"/>
                      <w14:textFill>
                        <w14:solidFill>
                          <w14:schemeClr w14:val="tx1"/>
                        </w14:solidFill>
                      </w14:textFill>
                    </w:rPr>
                  </w:pPr>
                </w:p>
              </w:tc>
              <w:tc>
                <w:tcPr>
                  <w:tcW w:w="1469"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Z5下底埔</w:t>
                  </w:r>
                </w:p>
              </w:tc>
              <w:tc>
                <w:tcPr>
                  <w:tcW w:w="671" w:type="pct"/>
                  <w:vMerge w:val="continue"/>
                  <w:vAlign w:val="center"/>
                </w:tcPr>
                <w:p>
                  <w:pPr>
                    <w:pStyle w:val="221"/>
                    <w:rPr>
                      <w:color w:val="000000" w:themeColor="text1"/>
                      <w:kern w:val="2"/>
                      <w14:textFill>
                        <w14:solidFill>
                          <w14:schemeClr w14:val="tx1"/>
                        </w14:solidFill>
                      </w14:textFill>
                    </w:rPr>
                  </w:pPr>
                </w:p>
              </w:tc>
              <w:tc>
                <w:tcPr>
                  <w:tcW w:w="1002" w:type="pct"/>
                  <w:vAlign w:val="center"/>
                </w:tcPr>
                <w:p>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49.8</w:t>
                  </w:r>
                </w:p>
              </w:tc>
              <w:tc>
                <w:tcPr>
                  <w:tcW w:w="88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60</w:t>
                  </w:r>
                </w:p>
              </w:tc>
            </w:tr>
          </w:tbl>
          <w:p>
            <w:pPr>
              <w:spacing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根据上表，周边居民点下底铺（距离</w:t>
            </w:r>
            <w:r>
              <w:rPr>
                <w:rFonts w:hint="eastAsia"/>
                <w:color w:val="000000" w:themeColor="text1"/>
                <w14:textFill>
                  <w14:solidFill>
                    <w14:schemeClr w14:val="tx1"/>
                  </w14:solidFill>
                </w14:textFill>
              </w:rPr>
              <w:t>厂界30m</w:t>
            </w:r>
            <w:r>
              <w:rPr>
                <w:color w:val="000000" w:themeColor="text1"/>
                <w14:textFill>
                  <w14:solidFill>
                    <w14:schemeClr w14:val="tx1"/>
                  </w14:solidFill>
                </w14:textFill>
              </w:rPr>
              <w:t>）的噪声监测结果</w:t>
            </w:r>
            <w:r>
              <w:rPr>
                <w:color w:val="000000" w:themeColor="text1"/>
                <w:spacing w:val="-5"/>
                <w14:textFill>
                  <w14:solidFill>
                    <w14:schemeClr w14:val="tx1"/>
                  </w14:solidFill>
                </w14:textFill>
              </w:rPr>
              <w:t>可达《声环境质量标准》（</w:t>
            </w:r>
            <w:r>
              <w:rPr>
                <w:rFonts w:ascii="Times New Roman" w:hAnsi="Times New Roman" w:eastAsia="Times New Roman" w:cs="Times New Roman"/>
                <w:color w:val="000000" w:themeColor="text1"/>
                <w:spacing w:val="-5"/>
                <w14:textFill>
                  <w14:solidFill>
                    <w14:schemeClr w14:val="tx1"/>
                  </w14:solidFill>
                </w14:textFill>
              </w:rPr>
              <w:t>GB3096-2008</w:t>
            </w:r>
            <w:r>
              <w:rPr>
                <w:color w:val="000000" w:themeColor="text1"/>
                <w:spacing w:val="-5"/>
                <w14:textFill>
                  <w14:solidFill>
                    <w14:schemeClr w14:val="tx1"/>
                  </w14:solidFill>
                </w14:textFill>
              </w:rPr>
              <w:t>）中的</w:t>
            </w:r>
            <w:r>
              <w:rPr>
                <w:color w:val="000000" w:themeColor="text1"/>
                <w:spacing w:val="-44"/>
                <w14:textFill>
                  <w14:solidFill>
                    <w14:schemeClr w14:val="tx1"/>
                  </w14:solidFill>
                </w14:textFill>
              </w:rPr>
              <w:t xml:space="preserve"> </w:t>
            </w:r>
            <w:r>
              <w:rPr>
                <w:rFonts w:ascii="Times New Roman" w:hAnsi="Times New Roman" w:eastAsia="Times New Roman" w:cs="Times New Roman"/>
                <w:color w:val="000000" w:themeColor="text1"/>
                <w:spacing w:val="-5"/>
                <w14:textFill>
                  <w14:solidFill>
                    <w14:schemeClr w14:val="tx1"/>
                  </w14:solidFill>
                </w14:textFill>
              </w:rPr>
              <w:t xml:space="preserve">2 </w:t>
            </w:r>
            <w:r>
              <w:rPr>
                <w:color w:val="000000" w:themeColor="text1"/>
                <w:spacing w:val="-5"/>
                <w14:textFill>
                  <w14:solidFill>
                    <w14:schemeClr w14:val="tx1"/>
                  </w14:solidFill>
                </w14:textFill>
              </w:rPr>
              <w:t>类标准，</w:t>
            </w:r>
            <w:r>
              <w:rPr>
                <w:rFonts w:ascii="宋体" w:hAnsi="宋体"/>
                <w:color w:val="000000" w:themeColor="text1"/>
                <w14:textFill>
                  <w14:solidFill>
                    <w14:schemeClr w14:val="tx1"/>
                  </w14:solidFill>
                </w14:textFill>
              </w:rPr>
              <w:t>区域声环境质量现状良好</w:t>
            </w:r>
            <w:r>
              <w:rPr>
                <w:color w:val="000000" w:themeColor="text1"/>
                <w:spacing w:val="-2"/>
                <w14:textFill>
                  <w14:solidFill>
                    <w14:schemeClr w14:val="tx1"/>
                  </w14:solidFill>
                </w14:textFill>
              </w:rPr>
              <w:t>。</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3.1.4 生态环境质量现状</w:t>
            </w:r>
          </w:p>
          <w:p>
            <w:pPr>
              <w:pStyle w:val="21"/>
              <w:widowControl w:val="0"/>
              <w:topLinePunct/>
              <w:spacing w:after="0" w:line="360" w:lineRule="auto"/>
              <w:ind w:firstLine="48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本项目利用现有车间进行建设，评价区域内无珍稀濒危物种，无自然保护区、风景名胜区。该项目的生产运营不会造成评价区域内生物量和物种多样性的锐减，不会引起荒漠化、水和土地的理化性质恶化，对生态环境造成的影响很小，故本评价不进行生态环境现状调查。</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3.1.5 电磁辐射质量现状</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本项目未涉及电磁辐射，故不需要开展电磁辐射现状调查。</w:t>
            </w:r>
          </w:p>
          <w:p>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3.1.6 地下水、土壤环境质量现状</w:t>
            </w:r>
          </w:p>
          <w:p>
            <w:pPr>
              <w:pStyle w:val="14"/>
              <w:widowControl w:val="0"/>
              <w:topLinePunct/>
              <w:spacing w:after="0"/>
              <w:ind w:firstLine="480"/>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建设项目环境影响评价报告表编制技术指南（污染影响类）（试行）》（环办环评〔2020〕33号）：原则上不开展地下水、土壤环境质量现状调查。建设项目存在土壤、地下水环境污染途径的，应结合污染源、保护目标分布情况开展现状调查以留作背景值。本项目位于福建省福州市福清市融侨经济技术开发区</w:t>
            </w:r>
            <w:r>
              <w:rPr>
                <w:rFonts w:hint="eastAsia" w:ascii="Times New Roman" w:hAnsi="Times New Roman" w:eastAsia="宋体" w:cs="Times New Roman"/>
                <w:color w:val="000000" w:themeColor="text1"/>
                <w:szCs w:val="24"/>
                <w14:textFill>
                  <w14:solidFill>
                    <w14:schemeClr w14:val="tx1"/>
                  </w14:solidFill>
                </w14:textFill>
              </w:rPr>
              <w:t>宏路街道周店村</w:t>
            </w:r>
            <w:r>
              <w:rPr>
                <w:rFonts w:ascii="Times New Roman" w:hAnsi="Times New Roman" w:eastAsia="宋体" w:cs="Times New Roman"/>
                <w:color w:val="000000" w:themeColor="text1"/>
                <w:szCs w:val="24"/>
                <w14:textFill>
                  <w14:solidFill>
                    <w14:schemeClr w14:val="tx1"/>
                  </w14:solidFill>
                </w14:textFill>
              </w:rPr>
              <w:t>，对照《环境影响评价技术导则 地下水环境》（HJ610-2016）附录A中“</w:t>
            </w:r>
            <w:r>
              <w:rPr>
                <w:rFonts w:hint="eastAsia" w:ascii="Times New Roman" w:hAnsi="Times New Roman" w:eastAsia="宋体" w:cs="Times New Roman"/>
                <w:color w:val="000000" w:themeColor="text1"/>
                <w:szCs w:val="24"/>
                <w14:textFill>
                  <w14:solidFill>
                    <w14:schemeClr w14:val="tx1"/>
                  </w14:solidFill>
                </w14:textFill>
              </w:rPr>
              <w:t>78、电气机械及器材制造业</w:t>
            </w:r>
            <w:r>
              <w:rPr>
                <w:rFonts w:ascii="Times New Roman" w:hAnsi="Times New Roman" w:eastAsia="宋体" w:cs="Times New Roman"/>
                <w:color w:val="000000" w:themeColor="text1"/>
                <w:szCs w:val="24"/>
                <w14:textFill>
                  <w14:solidFill>
                    <w14:schemeClr w14:val="tx1"/>
                  </w14:solidFill>
                </w14:textFill>
              </w:rPr>
              <w:t>”行业，属于“IV类项目”，可不进行地下水环境影响评价。根据《环境影响评价技术导则 土壤环境（试行）》（HJ964-2018）附录A（土壤环境影响评价项目类别表），项目属于“其他行业”，为IV类项目，可不开展土壤环境影响评价工作。</w:t>
            </w:r>
            <w:r>
              <w:rPr>
                <w:color w:val="000000" w:themeColor="text1"/>
                <w:spacing w:val="-1"/>
                <w14:textFill>
                  <w14:solidFill>
                    <w14:schemeClr w14:val="tx1"/>
                  </w14:solidFill>
                </w14:textFill>
              </w:rPr>
              <w:t>根据现</w:t>
            </w:r>
            <w:r>
              <w:rPr>
                <w:color w:val="000000" w:themeColor="text1"/>
                <w:spacing w:val="9"/>
                <w14:textFill>
                  <w14:solidFill>
                    <w14:schemeClr w14:val="tx1"/>
                  </w14:solidFill>
                </w14:textFill>
              </w:rPr>
              <w:t xml:space="preserve"> </w:t>
            </w:r>
            <w:r>
              <w:rPr>
                <w:color w:val="000000" w:themeColor="text1"/>
                <w:spacing w:val="-1"/>
                <w14:textFill>
                  <w14:solidFill>
                    <w14:schemeClr w14:val="tx1"/>
                  </w14:solidFill>
                </w14:textFill>
              </w:rPr>
              <w:t>场勘查，周边以工业企业为主；项目周边地下水、土壤环境相对不敏感，</w:t>
            </w:r>
            <w:r>
              <w:rPr>
                <w:rFonts w:ascii="Times New Roman" w:hAnsi="Times New Roman" w:eastAsia="宋体" w:cs="Times New Roman"/>
                <w:color w:val="000000" w:themeColor="text1"/>
                <w:szCs w:val="24"/>
                <w14:textFill>
                  <w14:solidFill>
                    <w14:schemeClr w14:val="tx1"/>
                  </w14:solidFill>
                </w14:textFill>
              </w:rPr>
              <w:t>且车间地面均已进行硬化处理，对地下水、土壤环境影响较小，因此本评价不对项目地下水、土壤环境质量进行补充监测。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424"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环境</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保护</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目标</w:t>
            </w:r>
          </w:p>
        </w:tc>
        <w:tc>
          <w:tcPr>
            <w:tcW w:w="8865" w:type="dxa"/>
            <w:vAlign w:val="center"/>
          </w:tcPr>
          <w:p>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3.2 环境保护目标</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项目选址周边无文物古迹、风景名胜区，不在水源地保护区、自然保护区等敏感区域内。本项目的周边环境敏感目标详见表3.2-1，项目周边环境敏感目标分布图见附图2。</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表3.2-1 项目周边环境敏感目标</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243"/>
              <w:gridCol w:w="1985"/>
              <w:gridCol w:w="1513"/>
              <w:gridCol w:w="27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敏感目标</w:t>
                  </w:r>
                </w:p>
              </w:tc>
              <w:tc>
                <w:tcPr>
                  <w:tcW w:w="2751" w:type="pct"/>
                  <w:gridSpan w:val="3"/>
                  <w:vAlign w:val="center"/>
                </w:tcPr>
                <w:p>
                  <w:pPr>
                    <w:pStyle w:val="221"/>
                    <w:rPr>
                      <w:color w:val="000000" w:themeColor="text1"/>
                      <w:spacing w:val="8"/>
                      <w14:textFill>
                        <w14:solidFill>
                          <w14:schemeClr w14:val="tx1"/>
                        </w14:solidFill>
                      </w14:textFill>
                    </w:rPr>
                  </w:pPr>
                  <w:r>
                    <w:rPr>
                      <w:color w:val="000000" w:themeColor="text1"/>
                      <w:spacing w:val="8"/>
                      <w14:textFill>
                        <w14:solidFill>
                          <w14:schemeClr w14:val="tx1"/>
                        </w14:solidFill>
                      </w14:textFill>
                    </w:rPr>
                    <w:t>敏感目标</w:t>
                  </w:r>
                  <w:r>
                    <w:rPr>
                      <w:rFonts w:hint="eastAsia"/>
                      <w:color w:val="000000" w:themeColor="text1"/>
                      <w:spacing w:val="8"/>
                      <w14:textFill>
                        <w14:solidFill>
                          <w14:schemeClr w14:val="tx1"/>
                        </w14:solidFill>
                      </w14:textFill>
                    </w:rPr>
                    <w:t>情况</w:t>
                  </w:r>
                </w:p>
              </w:tc>
              <w:tc>
                <w:tcPr>
                  <w:tcW w:w="1586" w:type="pct"/>
                  <w:vMerge w:val="restart"/>
                  <w:vAlign w:val="center"/>
                </w:tcPr>
                <w:p>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环境质量目标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Merge w:val="continue"/>
                  <w:vAlign w:val="center"/>
                </w:tcPr>
                <w:p>
                  <w:pPr>
                    <w:pStyle w:val="221"/>
                    <w:rPr>
                      <w:rFonts w:ascii="Arial"/>
                      <w:color w:val="000000" w:themeColor="text1"/>
                      <w14:textFill>
                        <w14:solidFill>
                          <w14:schemeClr w14:val="tx1"/>
                        </w14:solidFill>
                      </w14:textFill>
                    </w:rPr>
                  </w:pPr>
                </w:p>
              </w:tc>
              <w:tc>
                <w:tcPr>
                  <w:tcW w:w="721" w:type="pct"/>
                  <w:vAlign w:val="center"/>
                </w:tcPr>
                <w:p>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方位</w:t>
                  </w:r>
                </w:p>
              </w:tc>
              <w:tc>
                <w:tcPr>
                  <w:tcW w:w="1152" w:type="pct"/>
                  <w:vAlign w:val="center"/>
                </w:tcPr>
                <w:p>
                  <w:pPr>
                    <w:pStyle w:val="221"/>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离厂界</w:t>
                  </w:r>
                  <w:r>
                    <w:rPr>
                      <w:color w:val="000000" w:themeColor="text1"/>
                      <w:spacing w:val="6"/>
                      <w14:textFill>
                        <w14:solidFill>
                          <w14:schemeClr w14:val="tx1"/>
                        </w14:solidFill>
                      </w14:textFill>
                    </w:rPr>
                    <w:t>最近距离</w:t>
                  </w:r>
                </w:p>
              </w:tc>
              <w:tc>
                <w:tcPr>
                  <w:tcW w:w="878" w:type="pct"/>
                  <w:vAlign w:val="center"/>
                </w:tcPr>
                <w:p>
                  <w:pPr>
                    <w:pStyle w:val="221"/>
                    <w:rPr>
                      <w:rFonts w:ascii="Arial"/>
                      <w:color w:val="000000" w:themeColor="text1"/>
                      <w14:textFill>
                        <w14:solidFill>
                          <w14:schemeClr w14:val="tx1"/>
                        </w14:solidFill>
                      </w14:textFill>
                    </w:rPr>
                  </w:pPr>
                  <w:r>
                    <w:rPr>
                      <w:rFonts w:hint="eastAsia"/>
                      <w:color w:val="000000" w:themeColor="text1"/>
                      <w:spacing w:val="8"/>
                      <w14:textFill>
                        <w14:solidFill>
                          <w14:schemeClr w14:val="tx1"/>
                        </w14:solidFill>
                      </w14:textFill>
                    </w:rPr>
                    <w:t>规模</w:t>
                  </w:r>
                </w:p>
              </w:tc>
              <w:tc>
                <w:tcPr>
                  <w:tcW w:w="1586" w:type="pct"/>
                  <w:vMerge w:val="continue"/>
                  <w:vAlign w:val="center"/>
                </w:tcPr>
                <w:p>
                  <w:pPr>
                    <w:pStyle w:val="221"/>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下底铺</w:t>
                  </w:r>
                </w:p>
              </w:tc>
              <w:tc>
                <w:tcPr>
                  <w:tcW w:w="721"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E</w:t>
                  </w:r>
                </w:p>
              </w:tc>
              <w:tc>
                <w:tcPr>
                  <w:tcW w:w="1152" w:type="pct"/>
                  <w:vAlign w:val="center"/>
                </w:tcPr>
                <w:p>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30</w:t>
                  </w:r>
                  <w:r>
                    <w:rPr>
                      <w:rFonts w:eastAsia="Times New Roman"/>
                      <w:color w:val="000000" w:themeColor="text1"/>
                      <w:spacing w:val="3"/>
                      <w14:textFill>
                        <w14:solidFill>
                          <w14:schemeClr w14:val="tx1"/>
                        </w14:solidFill>
                      </w14:textFill>
                    </w:rPr>
                    <w:t>m</w:t>
                  </w:r>
                </w:p>
              </w:tc>
              <w:tc>
                <w:tcPr>
                  <w:tcW w:w="878" w:type="pct"/>
                  <w:vAlign w:val="center"/>
                </w:tcPr>
                <w:p>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25户/75人</w:t>
                  </w:r>
                </w:p>
              </w:tc>
              <w:tc>
                <w:tcPr>
                  <w:tcW w:w="1586" w:type="pct"/>
                  <w:vMerge w:val="restart"/>
                  <w:vAlign w:val="center"/>
                </w:tcPr>
                <w:p>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《环境空气质量标准》（</w:t>
                  </w:r>
                  <w:r>
                    <w:rPr>
                      <w:rFonts w:eastAsia="Times New Roman"/>
                      <w:color w:val="000000" w:themeColor="text1"/>
                      <w14:textFill>
                        <w14:solidFill>
                          <w14:schemeClr w14:val="tx1"/>
                        </w14:solidFill>
                      </w14:textFill>
                    </w:rPr>
                    <w:t>GB</w:t>
                  </w:r>
                  <w:r>
                    <w:rPr>
                      <w:rFonts w:eastAsia="Times New Roman"/>
                      <w:color w:val="000000" w:themeColor="text1"/>
                      <w:spacing w:val="1"/>
                      <w14:textFill>
                        <w14:solidFill>
                          <w14:schemeClr w14:val="tx1"/>
                        </w14:solidFill>
                      </w14:textFill>
                    </w:rPr>
                    <w:t>3095-2012</w:t>
                  </w:r>
                  <w:r>
                    <w:rPr>
                      <w:color w:val="000000" w:themeColor="text1"/>
                      <w:spacing w:val="1"/>
                      <w14:textFill>
                        <w14:solidFill>
                          <w14:schemeClr w14:val="tx1"/>
                        </w14:solidFill>
                      </w14:textFill>
                    </w:rPr>
                    <w:t>）</w:t>
                  </w:r>
                  <w:r>
                    <w:rPr>
                      <w:color w:val="000000" w:themeColor="text1"/>
                      <w:spacing w:val="18"/>
                      <w14:textFill>
                        <w14:solidFill>
                          <w14:schemeClr w14:val="tx1"/>
                        </w14:solidFill>
                      </w14:textFill>
                    </w:rPr>
                    <w:t xml:space="preserve"> </w:t>
                  </w:r>
                  <w:r>
                    <w:rPr>
                      <w:color w:val="000000" w:themeColor="text1"/>
                      <w:spacing w:val="6"/>
                      <w14:textFill>
                        <w14:solidFill>
                          <w14:schemeClr w14:val="tx1"/>
                        </w14:solidFill>
                      </w14:textFill>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spacing w:val="4"/>
                      <w14:textFill>
                        <w14:solidFill>
                          <w14:schemeClr w14:val="tx1"/>
                        </w14:solidFill>
                      </w14:textFill>
                    </w:rPr>
                  </w:pPr>
                  <w:r>
                    <w:rPr>
                      <w:rFonts w:hint="eastAsia"/>
                      <w:color w:val="000000" w:themeColor="text1"/>
                      <w:spacing w:val="6"/>
                      <w14:textFill>
                        <w14:solidFill>
                          <w14:schemeClr w14:val="tx1"/>
                        </w14:solidFill>
                      </w14:textFill>
                    </w:rPr>
                    <w:t>周店村</w:t>
                  </w:r>
                </w:p>
              </w:tc>
              <w:tc>
                <w:tcPr>
                  <w:tcW w:w="721" w:type="pct"/>
                  <w:vAlign w:val="center"/>
                </w:tcPr>
                <w:p>
                  <w:pPr>
                    <w:pStyle w:val="221"/>
                    <w:rPr>
                      <w:rFonts w:eastAsia="Times New Roman"/>
                      <w:color w:val="000000" w:themeColor="text1"/>
                      <w14:textFill>
                        <w14:solidFill>
                          <w14:schemeClr w14:val="tx1"/>
                        </w14:solidFill>
                      </w14:textFill>
                    </w:rPr>
                  </w:pPr>
                  <w:r>
                    <w:rPr>
                      <w:rFonts w:hint="eastAsia"/>
                      <w:color w:val="000000" w:themeColor="text1"/>
                      <w:spacing w:val="5"/>
                      <w14:textFill>
                        <w14:solidFill>
                          <w14:schemeClr w14:val="tx1"/>
                        </w14:solidFill>
                      </w14:textFill>
                    </w:rPr>
                    <w:t>E</w:t>
                  </w:r>
                </w:p>
              </w:tc>
              <w:tc>
                <w:tcPr>
                  <w:tcW w:w="1152" w:type="pct"/>
                  <w:vAlign w:val="center"/>
                </w:tcPr>
                <w:p>
                  <w:pPr>
                    <w:pStyle w:val="221"/>
                    <w:rPr>
                      <w:rFonts w:eastAsia="Times New Roman"/>
                      <w:color w:val="000000" w:themeColor="text1"/>
                      <w:spacing w:val="-1"/>
                      <w14:textFill>
                        <w14:solidFill>
                          <w14:schemeClr w14:val="tx1"/>
                        </w14:solidFill>
                      </w14:textFill>
                    </w:rPr>
                  </w:pPr>
                  <w:r>
                    <w:rPr>
                      <w:color w:val="000000" w:themeColor="text1"/>
                      <w14:textFill>
                        <w14:solidFill>
                          <w14:schemeClr w14:val="tx1"/>
                        </w14:solidFill>
                      </w14:textFill>
                    </w:rPr>
                    <w:t>约</w:t>
                  </w:r>
                  <w:r>
                    <w:rPr>
                      <w:rFonts w:hint="eastAsia"/>
                      <w:color w:val="000000" w:themeColor="text1"/>
                      <w14:textFill>
                        <w14:solidFill>
                          <w14:schemeClr w14:val="tx1"/>
                        </w14:solidFill>
                      </w14:textFill>
                    </w:rPr>
                    <w:t>70</w:t>
                  </w:r>
                  <w:r>
                    <w:rPr>
                      <w:color w:val="000000" w:themeColor="text1"/>
                      <w14:textFill>
                        <w14:solidFill>
                          <w14:schemeClr w14:val="tx1"/>
                        </w14:solidFill>
                      </w14:textFill>
                    </w:rPr>
                    <w:t>m</w:t>
                  </w:r>
                </w:p>
              </w:tc>
              <w:tc>
                <w:tcPr>
                  <w:tcW w:w="878" w:type="pct"/>
                  <w:vAlign w:val="center"/>
                </w:tcPr>
                <w:p>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780户/2730人</w:t>
                  </w:r>
                </w:p>
              </w:tc>
              <w:tc>
                <w:tcPr>
                  <w:tcW w:w="1586" w:type="pct"/>
                  <w:vMerge w:val="continue"/>
                  <w:vAlign w:val="center"/>
                </w:tcPr>
                <w:p>
                  <w:pPr>
                    <w:pStyle w:val="221"/>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spacing w:val="6"/>
                      <w14:textFill>
                        <w14:solidFill>
                          <w14:schemeClr w14:val="tx1"/>
                        </w14:solidFill>
                      </w14:textFill>
                    </w:rPr>
                  </w:pPr>
                  <w:r>
                    <w:rPr>
                      <w:color w:val="000000" w:themeColor="text1"/>
                      <w:spacing w:val="6"/>
                      <w14:textFill>
                        <w14:solidFill>
                          <w14:schemeClr w14:val="tx1"/>
                        </w14:solidFill>
                      </w14:textFill>
                    </w:rPr>
                    <w:t>金印村</w:t>
                  </w:r>
                </w:p>
              </w:tc>
              <w:tc>
                <w:tcPr>
                  <w:tcW w:w="721" w:type="pct"/>
                  <w:vAlign w:val="center"/>
                </w:tcPr>
                <w:p>
                  <w:pPr>
                    <w:pStyle w:val="221"/>
                    <w:rPr>
                      <w:rFonts w:eastAsiaTheme="minorEastAsia"/>
                      <w:color w:val="000000" w:themeColor="text1"/>
                      <w:spacing w:val="5"/>
                      <w14:textFill>
                        <w14:solidFill>
                          <w14:schemeClr w14:val="tx1"/>
                        </w14:solidFill>
                      </w14:textFill>
                    </w:rPr>
                  </w:pPr>
                  <w:r>
                    <w:rPr>
                      <w:rFonts w:eastAsia="Times New Roman"/>
                      <w:color w:val="000000" w:themeColor="text1"/>
                      <w:spacing w:val="5"/>
                      <w14:textFill>
                        <w14:solidFill>
                          <w14:schemeClr w14:val="tx1"/>
                        </w14:solidFill>
                      </w14:textFill>
                    </w:rPr>
                    <w:t>W</w:t>
                  </w:r>
                </w:p>
              </w:tc>
              <w:tc>
                <w:tcPr>
                  <w:tcW w:w="1152" w:type="pct"/>
                  <w:vAlign w:val="center"/>
                </w:tcPr>
                <w:p>
                  <w:pPr>
                    <w:pStyle w:val="221"/>
                    <w:rPr>
                      <w:rFonts w:eastAsia="Times New Roman"/>
                      <w:color w:val="000000" w:themeColor="text1"/>
                      <w:spacing w:val="-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eastAsia="Times New Roman"/>
                      <w:color w:val="000000" w:themeColor="text1"/>
                      <w:spacing w:val="-1"/>
                      <w14:textFill>
                        <w14:solidFill>
                          <w14:schemeClr w14:val="tx1"/>
                        </w14:solidFill>
                      </w14:textFill>
                    </w:rPr>
                    <w:t>18</w:t>
                  </w:r>
                  <w:r>
                    <w:rPr>
                      <w:rFonts w:hint="eastAsia" w:eastAsiaTheme="minorEastAsia"/>
                      <w:color w:val="000000" w:themeColor="text1"/>
                      <w:spacing w:val="-1"/>
                      <w14:textFill>
                        <w14:solidFill>
                          <w14:schemeClr w14:val="tx1"/>
                        </w14:solidFill>
                      </w14:textFill>
                    </w:rPr>
                    <w:t>0</w:t>
                  </w:r>
                  <w:r>
                    <w:rPr>
                      <w:rFonts w:eastAsia="Times New Roman"/>
                      <w:color w:val="000000" w:themeColor="text1"/>
                      <w:spacing w:val="-1"/>
                      <w14:textFill>
                        <w14:solidFill>
                          <w14:schemeClr w14:val="tx1"/>
                        </w14:solidFill>
                      </w14:textFill>
                    </w:rPr>
                    <w:t>m</w:t>
                  </w:r>
                </w:p>
              </w:tc>
              <w:tc>
                <w:tcPr>
                  <w:tcW w:w="878" w:type="pct"/>
                  <w:vAlign w:val="center"/>
                </w:tcPr>
                <w:p>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820户/2560人</w:t>
                  </w:r>
                </w:p>
              </w:tc>
              <w:tc>
                <w:tcPr>
                  <w:tcW w:w="1586" w:type="pct"/>
                  <w:vMerge w:val="continue"/>
                  <w:vAlign w:val="center"/>
                </w:tcPr>
                <w:p>
                  <w:pPr>
                    <w:pStyle w:val="221"/>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周尧小学</w:t>
                  </w:r>
                </w:p>
              </w:tc>
              <w:tc>
                <w:tcPr>
                  <w:tcW w:w="721" w:type="pct"/>
                  <w:vAlign w:val="center"/>
                </w:tcPr>
                <w:p>
                  <w:pPr>
                    <w:pStyle w:val="221"/>
                    <w:rPr>
                      <w:color w:val="000000" w:themeColor="text1"/>
                      <w:spacing w:val="5"/>
                      <w14:textFill>
                        <w14:solidFill>
                          <w14:schemeClr w14:val="tx1"/>
                        </w14:solidFill>
                      </w14:textFill>
                    </w:rPr>
                  </w:pPr>
                  <w:r>
                    <w:rPr>
                      <w:rFonts w:hint="eastAsia"/>
                      <w:color w:val="000000" w:themeColor="text1"/>
                      <w:spacing w:val="5"/>
                      <w14:textFill>
                        <w14:solidFill>
                          <w14:schemeClr w14:val="tx1"/>
                        </w14:solidFill>
                      </w14:textFill>
                    </w:rPr>
                    <w:t>E</w:t>
                  </w:r>
                </w:p>
              </w:tc>
              <w:tc>
                <w:tcPr>
                  <w:tcW w:w="1152" w:type="pct"/>
                  <w:vAlign w:val="center"/>
                </w:tcPr>
                <w:p>
                  <w:pPr>
                    <w:pStyle w:val="221"/>
                    <w:rPr>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220</w:t>
                  </w:r>
                  <w:r>
                    <w:rPr>
                      <w:rFonts w:eastAsia="Times New Roman"/>
                      <w:color w:val="000000" w:themeColor="text1"/>
                      <w:spacing w:val="-1"/>
                      <w14:textFill>
                        <w14:solidFill>
                          <w14:schemeClr w14:val="tx1"/>
                        </w14:solidFill>
                      </w14:textFill>
                    </w:rPr>
                    <w:t>m</w:t>
                  </w:r>
                </w:p>
              </w:tc>
              <w:tc>
                <w:tcPr>
                  <w:tcW w:w="878" w:type="pct"/>
                  <w:vAlign w:val="center"/>
                </w:tcPr>
                <w:p>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800人</w:t>
                  </w:r>
                </w:p>
              </w:tc>
              <w:tc>
                <w:tcPr>
                  <w:tcW w:w="1586" w:type="pct"/>
                  <w:vMerge w:val="continue"/>
                  <w:vAlign w:val="center"/>
                </w:tcPr>
                <w:p>
                  <w:pPr>
                    <w:pStyle w:val="221"/>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宅角村</w:t>
                  </w:r>
                </w:p>
              </w:tc>
              <w:tc>
                <w:tcPr>
                  <w:tcW w:w="721"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WN</w:t>
                  </w:r>
                </w:p>
              </w:tc>
              <w:tc>
                <w:tcPr>
                  <w:tcW w:w="1152" w:type="pct"/>
                  <w:vAlign w:val="center"/>
                </w:tcPr>
                <w:p>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eastAsia="Times New Roman"/>
                      <w:color w:val="000000" w:themeColor="text1"/>
                      <w:spacing w:val="3"/>
                      <w14:textFill>
                        <w14:solidFill>
                          <w14:schemeClr w14:val="tx1"/>
                        </w14:solidFill>
                      </w14:textFill>
                    </w:rPr>
                    <w:t>32</w:t>
                  </w:r>
                  <w:r>
                    <w:rPr>
                      <w:rFonts w:hint="eastAsia"/>
                      <w:color w:val="000000" w:themeColor="text1"/>
                      <w:spacing w:val="3"/>
                      <w14:textFill>
                        <w14:solidFill>
                          <w14:schemeClr w14:val="tx1"/>
                        </w14:solidFill>
                      </w14:textFill>
                    </w:rPr>
                    <w:t>0</w:t>
                  </w:r>
                  <w:r>
                    <w:rPr>
                      <w:rFonts w:eastAsia="Times New Roman"/>
                      <w:color w:val="000000" w:themeColor="text1"/>
                      <w:spacing w:val="3"/>
                      <w14:textFill>
                        <w14:solidFill>
                          <w14:schemeClr w14:val="tx1"/>
                        </w14:solidFill>
                      </w14:textFill>
                    </w:rPr>
                    <w:t>m</w:t>
                  </w:r>
                </w:p>
              </w:tc>
              <w:tc>
                <w:tcPr>
                  <w:tcW w:w="878" w:type="pct"/>
                  <w:vAlign w:val="center"/>
                </w:tcPr>
                <w:p>
                  <w:pPr>
                    <w:pStyle w:val="221"/>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300户/1000人</w:t>
                  </w:r>
                </w:p>
              </w:tc>
              <w:tc>
                <w:tcPr>
                  <w:tcW w:w="1586" w:type="pct"/>
                  <w:vMerge w:val="continue"/>
                  <w:vAlign w:val="center"/>
                </w:tcPr>
                <w:p>
                  <w:pPr>
                    <w:pStyle w:val="221"/>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14:textFill>
                        <w14:solidFill>
                          <w14:schemeClr w14:val="tx1"/>
                        </w14:solidFill>
                      </w14:textFill>
                    </w:rPr>
                  </w:pPr>
                  <w:r>
                    <w:rPr>
                      <w:color w:val="000000" w:themeColor="text1"/>
                      <w:spacing w:val="6"/>
                      <w14:textFill>
                        <w14:solidFill>
                          <w14:schemeClr w14:val="tx1"/>
                        </w14:solidFill>
                      </w14:textFill>
                    </w:rPr>
                    <w:t>洋中厝</w:t>
                  </w:r>
                </w:p>
              </w:tc>
              <w:tc>
                <w:tcPr>
                  <w:tcW w:w="721"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N</w:t>
                  </w:r>
                </w:p>
              </w:tc>
              <w:tc>
                <w:tcPr>
                  <w:tcW w:w="1152" w:type="pct"/>
                  <w:vAlign w:val="center"/>
                </w:tcPr>
                <w:p>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eastAsia="Times New Roman"/>
                      <w:color w:val="000000" w:themeColor="text1"/>
                      <w:spacing w:val="3"/>
                      <w14:textFill>
                        <w14:solidFill>
                          <w14:schemeClr w14:val="tx1"/>
                        </w14:solidFill>
                      </w14:textFill>
                    </w:rPr>
                    <w:t>33</w:t>
                  </w:r>
                  <w:r>
                    <w:rPr>
                      <w:rFonts w:hint="eastAsia"/>
                      <w:color w:val="000000" w:themeColor="text1"/>
                      <w:spacing w:val="3"/>
                      <w14:textFill>
                        <w14:solidFill>
                          <w14:schemeClr w14:val="tx1"/>
                        </w14:solidFill>
                      </w14:textFill>
                    </w:rPr>
                    <w:t>0</w:t>
                  </w:r>
                  <w:r>
                    <w:rPr>
                      <w:rFonts w:eastAsia="Times New Roman"/>
                      <w:color w:val="000000" w:themeColor="text1"/>
                      <w:spacing w:val="3"/>
                      <w14:textFill>
                        <w14:solidFill>
                          <w14:schemeClr w14:val="tx1"/>
                        </w14:solidFill>
                      </w14:textFill>
                    </w:rPr>
                    <w:t>m</w:t>
                  </w:r>
                </w:p>
              </w:tc>
              <w:tc>
                <w:tcPr>
                  <w:tcW w:w="878" w:type="pct"/>
                  <w:vAlign w:val="center"/>
                </w:tcPr>
                <w:p>
                  <w:pPr>
                    <w:pStyle w:val="221"/>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30户/90人</w:t>
                  </w:r>
                </w:p>
              </w:tc>
              <w:tc>
                <w:tcPr>
                  <w:tcW w:w="1586" w:type="pct"/>
                  <w:vMerge w:val="continue"/>
                  <w:vAlign w:val="center"/>
                </w:tcPr>
                <w:p>
                  <w:pPr>
                    <w:pStyle w:val="221"/>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下曹街</w:t>
                  </w:r>
                </w:p>
              </w:tc>
              <w:tc>
                <w:tcPr>
                  <w:tcW w:w="721"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S</w:t>
                  </w:r>
                </w:p>
              </w:tc>
              <w:tc>
                <w:tcPr>
                  <w:tcW w:w="1152" w:type="pct"/>
                  <w:vAlign w:val="center"/>
                </w:tcPr>
                <w:p>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eastAsia="Times New Roman"/>
                      <w:color w:val="000000" w:themeColor="text1"/>
                      <w:spacing w:val="4"/>
                      <w14:textFill>
                        <w14:solidFill>
                          <w14:schemeClr w14:val="tx1"/>
                        </w14:solidFill>
                      </w14:textFill>
                    </w:rPr>
                    <w:t>47</w:t>
                  </w:r>
                  <w:r>
                    <w:rPr>
                      <w:rFonts w:hint="eastAsia" w:eastAsiaTheme="minorEastAsia"/>
                      <w:color w:val="000000" w:themeColor="text1"/>
                      <w:spacing w:val="4"/>
                      <w14:textFill>
                        <w14:solidFill>
                          <w14:schemeClr w14:val="tx1"/>
                        </w14:solidFill>
                      </w14:textFill>
                    </w:rPr>
                    <w:t>0</w:t>
                  </w:r>
                  <w:r>
                    <w:rPr>
                      <w:rFonts w:eastAsia="Times New Roman"/>
                      <w:color w:val="000000" w:themeColor="text1"/>
                      <w:spacing w:val="4"/>
                      <w14:textFill>
                        <w14:solidFill>
                          <w14:schemeClr w14:val="tx1"/>
                        </w14:solidFill>
                      </w14:textFill>
                    </w:rPr>
                    <w:t>m</w:t>
                  </w:r>
                </w:p>
              </w:tc>
              <w:tc>
                <w:tcPr>
                  <w:tcW w:w="878" w:type="pct"/>
                  <w:vAlign w:val="center"/>
                </w:tcPr>
                <w:p>
                  <w:pPr>
                    <w:pStyle w:val="221"/>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25户/80人</w:t>
                  </w:r>
                </w:p>
              </w:tc>
              <w:tc>
                <w:tcPr>
                  <w:tcW w:w="1586" w:type="pct"/>
                  <w:vMerge w:val="continue"/>
                  <w:vAlign w:val="center"/>
                </w:tcPr>
                <w:p>
                  <w:pPr>
                    <w:pStyle w:val="221"/>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声环境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spacing w:val="4"/>
                      <w14:textFill>
                        <w14:solidFill>
                          <w14:schemeClr w14:val="tx1"/>
                        </w14:solidFill>
                      </w14:textFill>
                    </w:rPr>
                  </w:pPr>
                  <w:r>
                    <w:rPr>
                      <w:color w:val="000000" w:themeColor="text1"/>
                      <w:spacing w:val="4"/>
                      <w14:textFill>
                        <w14:solidFill>
                          <w14:schemeClr w14:val="tx1"/>
                        </w14:solidFill>
                      </w14:textFill>
                    </w:rPr>
                    <w:t>下底铺</w:t>
                  </w:r>
                </w:p>
              </w:tc>
              <w:tc>
                <w:tcPr>
                  <w:tcW w:w="721"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E</w:t>
                  </w:r>
                </w:p>
              </w:tc>
              <w:tc>
                <w:tcPr>
                  <w:tcW w:w="1152" w:type="pct"/>
                  <w:vAlign w:val="center"/>
                </w:tcPr>
                <w:p>
                  <w:pPr>
                    <w:pStyle w:val="221"/>
                    <w:rPr>
                      <w:rFonts w:eastAsia="Times New Roman"/>
                      <w:color w:val="000000" w:themeColor="text1"/>
                      <w:spacing w:val="-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30</w:t>
                  </w:r>
                  <w:r>
                    <w:rPr>
                      <w:rFonts w:eastAsia="Times New Roman"/>
                      <w:color w:val="000000" w:themeColor="text1"/>
                      <w:spacing w:val="3"/>
                      <w14:textFill>
                        <w14:solidFill>
                          <w14:schemeClr w14:val="tx1"/>
                        </w14:solidFill>
                      </w14:textFill>
                    </w:rPr>
                    <w:t>m</w:t>
                  </w:r>
                </w:p>
              </w:tc>
              <w:tc>
                <w:tcPr>
                  <w:tcW w:w="878" w:type="pct"/>
                  <w:vAlign w:val="center"/>
                </w:tcPr>
                <w:p>
                  <w:pPr>
                    <w:pStyle w:val="221"/>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25户/75人</w:t>
                  </w:r>
                </w:p>
              </w:tc>
              <w:tc>
                <w:tcPr>
                  <w:tcW w:w="158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《声环境质量标准》（GB3096-2008）2 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地表水环境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关溪</w:t>
                  </w:r>
                </w:p>
              </w:tc>
              <w:tc>
                <w:tcPr>
                  <w:tcW w:w="721"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N</w:t>
                  </w:r>
                </w:p>
              </w:tc>
              <w:tc>
                <w:tcPr>
                  <w:tcW w:w="1152" w:type="pct"/>
                  <w:vAlign w:val="center"/>
                </w:tcPr>
                <w:p>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30</w:t>
                  </w:r>
                  <w:r>
                    <w:rPr>
                      <w:rFonts w:eastAsia="Times New Roman"/>
                      <w:color w:val="000000" w:themeColor="text1"/>
                      <w:spacing w:val="4"/>
                      <w14:textFill>
                        <w14:solidFill>
                          <w14:schemeClr w14:val="tx1"/>
                        </w14:solidFill>
                      </w14:textFill>
                    </w:rPr>
                    <w:t>m</w:t>
                  </w:r>
                </w:p>
              </w:tc>
              <w:tc>
                <w:tcPr>
                  <w:tcW w:w="878" w:type="pct"/>
                  <w:vAlign w:val="center"/>
                </w:tcPr>
                <w:p>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小河流域</w:t>
                  </w:r>
                </w:p>
              </w:tc>
              <w:tc>
                <w:tcPr>
                  <w:tcW w:w="1586" w:type="pct"/>
                  <w:vAlign w:val="center"/>
                </w:tcPr>
                <w:p>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《地表水环境质量标准》（</w:t>
                  </w:r>
                  <w:r>
                    <w:rPr>
                      <w:rFonts w:eastAsia="Times New Roman"/>
                      <w:color w:val="000000" w:themeColor="text1"/>
                      <w:spacing w:val="-1"/>
                      <w14:textFill>
                        <w14:solidFill>
                          <w14:schemeClr w14:val="tx1"/>
                        </w14:solidFill>
                      </w14:textFill>
                    </w:rPr>
                    <w:t>GB3838-</w:t>
                  </w:r>
                  <w:r>
                    <w:rPr>
                      <w:rFonts w:eastAsia="Times New Roman"/>
                      <w:color w:val="000000" w:themeColor="text1"/>
                      <w:spacing w:val="-2"/>
                      <w14:textFill>
                        <w14:solidFill>
                          <w14:schemeClr w14:val="tx1"/>
                        </w14:solidFill>
                      </w14:textFill>
                    </w:rPr>
                    <w:t>2012</w:t>
                  </w:r>
                  <w:r>
                    <w:rPr>
                      <w:color w:val="000000" w:themeColor="text1"/>
                      <w:spacing w:val="-2"/>
                      <w14:textFill>
                        <w14:solidFill>
                          <w14:schemeClr w14:val="tx1"/>
                        </w14:solidFill>
                      </w14:textFill>
                    </w:rPr>
                    <w:t>）</w:t>
                  </w:r>
                  <w:r>
                    <w:rPr>
                      <w:color w:val="000000" w:themeColor="text1"/>
                      <w14:textFill>
                        <w14:solidFill>
                          <w14:schemeClr w14:val="tx1"/>
                        </w14:solidFill>
                      </w14:textFill>
                    </w:rPr>
                    <w:t xml:space="preserve"> Ⅲ水质标准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Align w:val="center"/>
                </w:tcPr>
                <w:p>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龙江</w:t>
                  </w:r>
                </w:p>
              </w:tc>
              <w:tc>
                <w:tcPr>
                  <w:tcW w:w="721" w:type="pct"/>
                  <w:vAlign w:val="center"/>
                </w:tcPr>
                <w:p>
                  <w:pPr>
                    <w:pStyle w:val="221"/>
                    <w:rPr>
                      <w:rFonts w:eastAsia="Times New Roman"/>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N</w:t>
                  </w:r>
                </w:p>
              </w:tc>
              <w:tc>
                <w:tcPr>
                  <w:tcW w:w="1152" w:type="pct"/>
                  <w:vAlign w:val="center"/>
                </w:tcPr>
                <w:p>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eastAsia="Times New Roman"/>
                      <w:color w:val="000000" w:themeColor="text1"/>
                      <w:spacing w:val="3"/>
                      <w14:textFill>
                        <w14:solidFill>
                          <w14:schemeClr w14:val="tx1"/>
                        </w14:solidFill>
                      </w14:textFill>
                    </w:rPr>
                    <w:t>2110m</w:t>
                  </w:r>
                </w:p>
              </w:tc>
              <w:tc>
                <w:tcPr>
                  <w:tcW w:w="878" w:type="pct"/>
                  <w:vAlign w:val="center"/>
                </w:tcPr>
                <w:p>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一般景观用水，大河流域</w:t>
                  </w:r>
                </w:p>
              </w:tc>
              <w:tc>
                <w:tcPr>
                  <w:tcW w:w="1586" w:type="pct"/>
                  <w:vAlign w:val="center"/>
                </w:tcPr>
                <w:p>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《地表水环境质量标准》（</w:t>
                  </w:r>
                  <w:r>
                    <w:rPr>
                      <w:rFonts w:eastAsia="Times New Roman"/>
                      <w:color w:val="000000" w:themeColor="text1"/>
                      <w:spacing w:val="-1"/>
                      <w14:textFill>
                        <w14:solidFill>
                          <w14:schemeClr w14:val="tx1"/>
                        </w14:solidFill>
                      </w14:textFill>
                    </w:rPr>
                    <w:t>GB3838-</w:t>
                  </w:r>
                  <w:r>
                    <w:rPr>
                      <w:rFonts w:eastAsia="Times New Roman"/>
                      <w:color w:val="000000" w:themeColor="text1"/>
                      <w:spacing w:val="-2"/>
                      <w14:textFill>
                        <w14:solidFill>
                          <w14:schemeClr w14:val="tx1"/>
                        </w14:solidFill>
                      </w14:textFill>
                    </w:rPr>
                    <w:t>2012</w:t>
                  </w:r>
                  <w:r>
                    <w:rPr>
                      <w:color w:val="000000" w:themeColor="text1"/>
                      <w:spacing w:val="-2"/>
                      <w14:textFill>
                        <w14:solidFill>
                          <w14:schemeClr w14:val="tx1"/>
                        </w14:solidFill>
                      </w14:textFill>
                    </w:rPr>
                    <w:t>）</w:t>
                  </w:r>
                  <w:r>
                    <w:rPr>
                      <w:color w:val="000000" w:themeColor="text1"/>
                      <w14:textFill>
                        <w14:solidFill>
                          <w14:schemeClr w14:val="tx1"/>
                        </w14:solidFill>
                      </w14:textFill>
                    </w:rPr>
                    <w:t xml:space="preserve"> </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5 \* ROMAN</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V</w:t>
                  </w:r>
                  <w:r>
                    <w:rPr>
                      <w:color w:val="000000" w:themeColor="text1"/>
                      <w14:textFill>
                        <w14:solidFill>
                          <w14:schemeClr w14:val="tx1"/>
                        </w14:solidFill>
                      </w14:textFill>
                    </w:rPr>
                    <w:fldChar w:fldCharType="end"/>
                  </w:r>
                  <w:r>
                    <w:rPr>
                      <w:color w:val="000000" w:themeColor="text1"/>
                      <w:spacing w:val="6"/>
                      <w14:textFill>
                        <w14:solidFill>
                          <w14:schemeClr w14:val="tx1"/>
                        </w14:solidFill>
                      </w14:textFill>
                    </w:rPr>
                    <w:t>水质标准</w:t>
                  </w:r>
                </w:p>
              </w:tc>
            </w:tr>
          </w:tbl>
          <w:p>
            <w:pPr>
              <w:pStyle w:val="14"/>
              <w:widowControl w:val="0"/>
              <w:topLinePunct/>
              <w:ind w:firstLine="0" w:firstLineChars="0"/>
              <w:rPr>
                <w:rFonts w:ascii="Times New Roman" w:hAnsi="Times New Roman" w:eastAsia="宋体" w:cs="Times New Roman"/>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424"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污染</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物排</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放控</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制标</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准</w:t>
            </w:r>
          </w:p>
        </w:tc>
        <w:tc>
          <w:tcPr>
            <w:tcW w:w="8865" w:type="dxa"/>
            <w:vAlign w:val="center"/>
          </w:tcPr>
          <w:p>
            <w:pPr>
              <w:widowControl w:val="0"/>
              <w:topLinePunct/>
              <w:spacing w:after="0" w:line="36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3.3 污染物排放标准</w:t>
            </w:r>
          </w:p>
          <w:p>
            <w:pPr>
              <w:widowControl w:val="0"/>
              <w:topLinePunct/>
              <w:spacing w:after="0" w:line="36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3.3.1 水污染物排放标准</w:t>
            </w:r>
          </w:p>
          <w:p>
            <w:pPr>
              <w:pStyle w:val="120"/>
              <w:widowControl w:val="0"/>
              <w:topLinePunct/>
              <w:spacing w:after="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（1）项目水污染物排放标准</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w:t>
            </w:r>
            <w:r>
              <w:rPr>
                <w:rFonts w:hint="eastAsia" w:ascii="Times New Roman" w:hAnsi="Times New Roman" w:eastAsia="宋体" w:cs="Times New Roman"/>
                <w:color w:val="000000" w:themeColor="text1"/>
                <w:szCs w:val="24"/>
                <w14:textFill>
                  <w14:solidFill>
                    <w14:schemeClr w14:val="tx1"/>
                  </w14:solidFill>
                </w14:textFill>
              </w:rPr>
              <w:t>生产清洗废水经处理后回用于生产，不外排，</w:t>
            </w:r>
            <w:r>
              <w:rPr>
                <w:rFonts w:ascii="Times New Roman" w:hAnsi="Times New Roman" w:eastAsia="宋体" w:cs="Times New Roman"/>
                <w:color w:val="000000" w:themeColor="text1"/>
                <w:szCs w:val="24"/>
                <w14:textFill>
                  <w14:solidFill>
                    <w14:schemeClr w14:val="tx1"/>
                  </w14:solidFill>
                </w14:textFill>
              </w:rPr>
              <w:t>生活污水排放执行《污水综合排放标准》（GB 8978-1996）表4中三级标准限值，其中氨氮参照执行《污水排入城镇下水道水质标准》（GB/T31962-2015）中B等级标准。见表3.3-1。</w:t>
            </w:r>
          </w:p>
          <w:p>
            <w:pPr>
              <w:pStyle w:val="222"/>
              <w:spacing w:before="120"/>
              <w:rPr>
                <w:b w:val="0"/>
                <w:color w:val="000000" w:themeColor="text1"/>
                <w:kern w:val="0"/>
                <w14:textFill>
                  <w14:solidFill>
                    <w14:schemeClr w14:val="tx1"/>
                  </w14:solidFill>
                </w14:textFill>
                <w14:ligatures w14:val="none"/>
              </w:rPr>
            </w:pPr>
            <w:r>
              <w:rPr>
                <w:b w:val="0"/>
                <w:color w:val="000000" w:themeColor="text1"/>
                <w:kern w:val="0"/>
                <w14:textFill>
                  <w14:solidFill>
                    <w14:schemeClr w14:val="tx1"/>
                  </w14:solidFill>
                </w14:textFill>
                <w14:ligatures w14:val="none"/>
              </w:rPr>
              <w:t>表3.3-1  废水污染物排放标准</w:t>
            </w:r>
          </w:p>
          <w:tbl>
            <w:tblPr>
              <w:tblStyle w:val="2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309"/>
              <w:gridCol w:w="1308"/>
              <w:gridCol w:w="1161"/>
              <w:gridCol w:w="32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序号</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w:t>
                  </w:r>
                </w:p>
              </w:tc>
              <w:tc>
                <w:tcPr>
                  <w:tcW w:w="1308"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单位</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标准值</w:t>
                  </w:r>
                </w:p>
              </w:tc>
              <w:tc>
                <w:tcPr>
                  <w:tcW w:w="3297"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pH</w:t>
                  </w:r>
                </w:p>
              </w:tc>
              <w:tc>
                <w:tcPr>
                  <w:tcW w:w="1308"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6～9</w:t>
                  </w:r>
                </w:p>
              </w:tc>
              <w:tc>
                <w:tcPr>
                  <w:tcW w:w="3297" w:type="dxa"/>
                  <w:vMerge w:val="restart"/>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《污水综合排放标准》（GB 8978-1996）表4中三级标准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COD</w:t>
                  </w:r>
                </w:p>
              </w:tc>
              <w:tc>
                <w:tcPr>
                  <w:tcW w:w="1308"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mg/L</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500</w:t>
                  </w:r>
                </w:p>
              </w:tc>
              <w:tc>
                <w:tcPr>
                  <w:tcW w:w="3297" w:type="dxa"/>
                  <w:vMerge w:val="continue"/>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BOD5</w:t>
                  </w:r>
                </w:p>
              </w:tc>
              <w:tc>
                <w:tcPr>
                  <w:tcW w:w="1308"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mg/L</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300</w:t>
                  </w:r>
                </w:p>
              </w:tc>
              <w:tc>
                <w:tcPr>
                  <w:tcW w:w="3297" w:type="dxa"/>
                  <w:vMerge w:val="continue"/>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SS</w:t>
                  </w:r>
                </w:p>
              </w:tc>
              <w:tc>
                <w:tcPr>
                  <w:tcW w:w="1308"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mg/L</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400</w:t>
                  </w:r>
                </w:p>
              </w:tc>
              <w:tc>
                <w:tcPr>
                  <w:tcW w:w="3297" w:type="dxa"/>
                  <w:vMerge w:val="continue"/>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动植物油</w:t>
                  </w:r>
                </w:p>
              </w:tc>
              <w:tc>
                <w:tcPr>
                  <w:tcW w:w="1308"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Mg/L</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100</w:t>
                  </w:r>
                </w:p>
              </w:tc>
              <w:tc>
                <w:tcPr>
                  <w:tcW w:w="3297" w:type="dxa"/>
                  <w:vMerge w:val="continue"/>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NH3-N</w:t>
                  </w:r>
                </w:p>
              </w:tc>
              <w:tc>
                <w:tcPr>
                  <w:tcW w:w="1308"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mg/L</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45</w:t>
                  </w:r>
                </w:p>
              </w:tc>
              <w:tc>
                <w:tcPr>
                  <w:tcW w:w="3297" w:type="dxa"/>
                  <w:vMerge w:val="restart"/>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《污水排入城镇下水道水质标准》（GB/T31962-2015）中B级标准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7</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总磷</w:t>
                  </w:r>
                </w:p>
              </w:tc>
              <w:tc>
                <w:tcPr>
                  <w:tcW w:w="1308" w:type="dxa"/>
                  <w:vAlign w:val="top"/>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mg/L</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8</w:t>
                  </w:r>
                </w:p>
              </w:tc>
              <w:tc>
                <w:tcPr>
                  <w:tcW w:w="3297" w:type="dxa"/>
                  <w:vMerge w:val="continue"/>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2"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8</w:t>
                  </w:r>
                </w:p>
              </w:tc>
              <w:tc>
                <w:tcPr>
                  <w:tcW w:w="1309"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总氮</w:t>
                  </w:r>
                </w:p>
              </w:tc>
              <w:tc>
                <w:tcPr>
                  <w:tcW w:w="1308" w:type="dxa"/>
                  <w:vAlign w:val="top"/>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mg/L</w:t>
                  </w:r>
                </w:p>
              </w:tc>
              <w:tc>
                <w:tcPr>
                  <w:tcW w:w="1161" w:type="dxa"/>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70</w:t>
                  </w:r>
                </w:p>
              </w:tc>
              <w:tc>
                <w:tcPr>
                  <w:tcW w:w="3297" w:type="dxa"/>
                  <w:vMerge w:val="continue"/>
                  <w:vAlign w:val="center"/>
                </w:tcPr>
                <w:p>
                  <w:pPr>
                    <w:pStyle w:val="121"/>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bl>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3.3.2 大气污染物排放标准</w:t>
            </w:r>
          </w:p>
          <w:p>
            <w:pPr>
              <w:pStyle w:val="120"/>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1、有组织废气</w:t>
            </w:r>
          </w:p>
          <w:p>
            <w:pPr>
              <w:pStyle w:val="120"/>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注胶、硫化</w:t>
            </w:r>
            <w:r>
              <w:rPr>
                <w:rFonts w:ascii="Times New Roman" w:hAnsi="Times New Roman" w:eastAsia="宋体" w:cs="Times New Roman"/>
                <w:color w:val="000000" w:themeColor="text1"/>
                <w:szCs w:val="24"/>
                <w14:textFill>
                  <w14:solidFill>
                    <w14:schemeClr w14:val="tx1"/>
                  </w14:solidFill>
                </w14:textFill>
              </w:rPr>
              <w:t>工序产生的异味臭气浓度，排放执行《恶臭污染物排放标准》（GB14554-93）表2标准限值</w:t>
            </w:r>
            <w:r>
              <w:rPr>
                <w:rFonts w:hint="eastAsia" w:ascii="Times New Roman" w:hAnsi="Times New Roman" w:eastAsia="宋体" w:cs="Times New Roman"/>
                <w:color w:val="000000" w:themeColor="text1"/>
                <w:szCs w:val="24"/>
                <w14:textFill>
                  <w14:solidFill>
                    <w14:schemeClr w14:val="tx1"/>
                  </w14:solidFill>
                </w14:textFill>
              </w:rPr>
              <w:t>，注胶、硫化</w:t>
            </w:r>
            <w:r>
              <w:rPr>
                <w:rFonts w:ascii="Times New Roman" w:hAnsi="Times New Roman" w:eastAsia="宋体" w:cs="Times New Roman"/>
                <w:color w:val="000000" w:themeColor="text1"/>
                <w:szCs w:val="24"/>
                <w14:textFill>
                  <w14:solidFill>
                    <w14:schemeClr w14:val="tx1"/>
                  </w14:solidFill>
                </w14:textFill>
              </w:rPr>
              <w:t>工序</w:t>
            </w:r>
            <w:r>
              <w:rPr>
                <w:rFonts w:hint="eastAsia" w:ascii="Times New Roman" w:hAnsi="Times New Roman" w:eastAsia="宋体" w:cs="Times New Roman"/>
                <w:color w:val="000000" w:themeColor="text1"/>
                <w:szCs w:val="24"/>
                <w14:textFill>
                  <w14:solidFill>
                    <w14:schemeClr w14:val="tx1"/>
                  </w14:solidFill>
                </w14:textFill>
              </w:rPr>
              <w:t>有机废气</w:t>
            </w:r>
            <w:r>
              <w:rPr>
                <w:rFonts w:ascii="Times New Roman" w:hAnsi="Times New Roman" w:eastAsia="宋体" w:cs="Times New Roman"/>
                <w:color w:val="000000" w:themeColor="text1"/>
                <w:szCs w:val="24"/>
                <w14:textFill>
                  <w14:solidFill>
                    <w14:schemeClr w14:val="tx1"/>
                  </w14:solidFill>
                </w14:textFill>
              </w:rPr>
              <w:t>有组织排放执行《橡胶制品工业污染物排放标准》(GB27632-2011)表5标准</w:t>
            </w:r>
            <w:r>
              <w:rPr>
                <w:rFonts w:hint="eastAsia" w:ascii="Times New Roman" w:hAnsi="Times New Roman" w:eastAsia="宋体" w:cs="Times New Roman"/>
                <w:color w:val="000000" w:themeColor="text1"/>
                <w:szCs w:val="24"/>
                <w14:textFill>
                  <w14:solidFill>
                    <w14:schemeClr w14:val="tx1"/>
                  </w14:solidFill>
                </w14:textFill>
              </w:rPr>
              <w:t>；涂刷有机废气执行《工业涂装工序挥发性有机物排放标准》（DB35/1783-2018）表1标准，浇注、固化和二次固化废气以及脱模有机废气执行《合成树脂工业污染物排放标准》(GB31572-2015，含2024修改单)表4，项目涂刷、浇注、固化、二次固化和脱模废气经车间收集后经一套废气处理设施处理+15米排气筒排放（DA006），排放限值取严确定。</w:t>
            </w:r>
          </w:p>
          <w:p>
            <w:pPr>
              <w:pStyle w:val="120"/>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2、无组织废气</w:t>
            </w:r>
          </w:p>
          <w:p>
            <w:pPr>
              <w:pStyle w:val="120"/>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项目</w:t>
            </w:r>
            <w:r>
              <w:rPr>
                <w:rFonts w:ascii="Times New Roman" w:hAnsi="Times New Roman" w:eastAsia="宋体" w:cs="Times New Roman"/>
                <w:color w:val="000000" w:themeColor="text1"/>
                <w:szCs w:val="24"/>
                <w14:textFill>
                  <w14:solidFill>
                    <w14:schemeClr w14:val="tx1"/>
                  </w14:solidFill>
                </w14:textFill>
              </w:rPr>
              <w:t>无组织废气</w:t>
            </w:r>
            <w:r>
              <w:rPr>
                <w:rFonts w:hint="eastAsia" w:ascii="Times New Roman" w:hAnsi="Times New Roman" w:eastAsia="宋体" w:cs="Times New Roman"/>
                <w:color w:val="000000" w:themeColor="text1"/>
                <w:szCs w:val="24"/>
                <w14:textFill>
                  <w14:solidFill>
                    <w14:schemeClr w14:val="tx1"/>
                  </w14:solidFill>
                </w14:textFill>
              </w:rPr>
              <w:t>排放标准涉及《橡胶制品工业污染物排放标准》GB27632-2011)、《合成树脂工业污染物排放标准》(GB31572-2015)、《工业涂装工序挥发性有机物排放标准》（DB35/1783-2018）、</w:t>
            </w:r>
            <w:r>
              <w:rPr>
                <w:rFonts w:ascii="Times New Roman" w:hAnsi="Times New Roman" w:eastAsia="宋体" w:cs="Times New Roman"/>
                <w:color w:val="000000" w:themeColor="text1"/>
                <w:szCs w:val="24"/>
                <w14:textFill>
                  <w14:solidFill>
                    <w14:schemeClr w14:val="tx1"/>
                  </w14:solidFill>
                </w14:textFill>
              </w:rPr>
              <w:t>《恶臭污染物排放标准》（GB14554-93）</w:t>
            </w:r>
            <w:r>
              <w:rPr>
                <w:rFonts w:hint="eastAsia" w:ascii="Times New Roman" w:hAnsi="Times New Roman" w:eastAsia="宋体" w:cs="Times New Roman"/>
                <w:color w:val="000000" w:themeColor="text1"/>
                <w:szCs w:val="24"/>
                <w14:textFill>
                  <w14:solidFill>
                    <w14:schemeClr w14:val="tx1"/>
                  </w14:solidFill>
                </w14:textFill>
              </w:rPr>
              <w:t>、《挥发性有机物无组织排放控制标准》(GB 37822-2019)，项目厂界无组织排放标准进行取严确定。</w:t>
            </w:r>
          </w:p>
          <w:p>
            <w:pPr>
              <w:pStyle w:val="120"/>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综上，本项目执行的具体排放标准见表3.3-2</w:t>
            </w:r>
            <w:r>
              <w:rPr>
                <w:rFonts w:hint="eastAsia" w:ascii="Times New Roman" w:hAnsi="Times New Roman" w:eastAsia="宋体" w:cs="Times New Roman"/>
                <w:color w:val="000000" w:themeColor="text1"/>
                <w:szCs w:val="24"/>
                <w14:textFill>
                  <w14:solidFill>
                    <w14:schemeClr w14:val="tx1"/>
                  </w14:solidFill>
                </w14:textFill>
              </w:rPr>
              <w:t>和</w:t>
            </w:r>
            <w:r>
              <w:rPr>
                <w:rFonts w:ascii="Times New Roman" w:hAnsi="Times New Roman" w:eastAsia="宋体" w:cs="Times New Roman"/>
                <w:color w:val="000000" w:themeColor="text1"/>
                <w:szCs w:val="24"/>
                <w14:textFill>
                  <w14:solidFill>
                    <w14:schemeClr w14:val="tx1"/>
                  </w14:solidFill>
                </w14:textFill>
              </w:rPr>
              <w:t>3.3-3。</w:t>
            </w:r>
          </w:p>
          <w:p>
            <w:pPr>
              <w:pStyle w:val="222"/>
              <w:spacing w:before="120"/>
              <w:rPr>
                <w:b w:val="0"/>
                <w:color w:val="000000" w:themeColor="text1"/>
                <w:kern w:val="0"/>
                <w14:textFill>
                  <w14:solidFill>
                    <w14:schemeClr w14:val="tx1"/>
                  </w14:solidFill>
                </w14:textFill>
                <w14:ligatures w14:val="none"/>
              </w:rPr>
            </w:pPr>
            <w:r>
              <w:rPr>
                <w:b w:val="0"/>
                <w:color w:val="000000" w:themeColor="text1"/>
                <w:kern w:val="0"/>
                <w14:textFill>
                  <w14:solidFill>
                    <w14:schemeClr w14:val="tx1"/>
                  </w14:solidFill>
                </w14:textFill>
                <w14:ligatures w14:val="none"/>
              </w:rPr>
              <w:t>表3.3-2 本项目大气污染物有组织排放控制要求</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835"/>
              <w:gridCol w:w="1018"/>
              <w:gridCol w:w="1456"/>
              <w:gridCol w:w="1100"/>
              <w:gridCol w:w="1103"/>
              <w:gridCol w:w="2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收集工序</w:t>
                  </w:r>
                </w:p>
              </w:tc>
              <w:tc>
                <w:tcPr>
                  <w:tcW w:w="485"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排气筒</w:t>
                  </w:r>
                </w:p>
              </w:tc>
              <w:tc>
                <w:tcPr>
                  <w:tcW w:w="591"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污染物</w:t>
                  </w:r>
                </w:p>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种类</w:t>
                  </w:r>
                </w:p>
              </w:tc>
              <w:tc>
                <w:tcPr>
                  <w:tcW w:w="2123" w:type="pct"/>
                  <w:gridSpan w:val="3"/>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排放限值</w:t>
                  </w:r>
                </w:p>
              </w:tc>
              <w:tc>
                <w:tcPr>
                  <w:tcW w:w="1161" w:type="pct"/>
                  <w:vMerge w:val="restart"/>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排放浓度限值</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排放速率限值</w:t>
                  </w:r>
                </w:p>
              </w:tc>
              <w:tc>
                <w:tcPr>
                  <w:tcW w:w="639"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排气筒高度</w:t>
                  </w:r>
                </w:p>
              </w:tc>
              <w:tc>
                <w:tcPr>
                  <w:tcW w:w="1161"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注胶、硫化</w:t>
                  </w:r>
                  <w:r>
                    <w:rPr>
                      <w:rFonts w:ascii="Times New Roman" w:hAnsi="Times New Roman" w:eastAsia="宋体" w:cs="Times New Roman"/>
                      <w:color w:val="000000" w:themeColor="text1"/>
                      <w:sz w:val="21"/>
                      <w14:textFill>
                        <w14:solidFill>
                          <w14:schemeClr w14:val="tx1"/>
                        </w14:solidFill>
                      </w14:textFill>
                    </w:rPr>
                    <w:t>工序</w:t>
                  </w:r>
                </w:p>
              </w:tc>
              <w:tc>
                <w:tcPr>
                  <w:tcW w:w="485"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DA00</w:t>
                  </w:r>
                  <w:r>
                    <w:rPr>
                      <w:rFonts w:hint="eastAsia" w:ascii="Times New Roman" w:hAnsi="Times New Roman" w:eastAsia="宋体" w:cs="Times New Roman"/>
                      <w:color w:val="000000" w:themeColor="text1"/>
                      <w:sz w:val="21"/>
                      <w14:textFill>
                        <w14:solidFill>
                          <w14:schemeClr w14:val="tx1"/>
                        </w14:solidFill>
                      </w14:textFill>
                    </w:rPr>
                    <w:t>5</w:t>
                  </w: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臭气浓度</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 xml:space="preserve">2000（无量纲） </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w:t>
                  </w:r>
                </w:p>
              </w:tc>
              <w:tc>
                <w:tcPr>
                  <w:tcW w:w="639"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15m</w:t>
                  </w:r>
                </w:p>
              </w:tc>
              <w:tc>
                <w:tcPr>
                  <w:tcW w:w="1161" w:type="pct"/>
                  <w:vMerge w:val="restart"/>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《恶臭污染物排放标准》（GB14554-93）表2标准限值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硫化氢</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0.33kg/h</w:t>
                  </w:r>
                </w:p>
              </w:tc>
              <w:tc>
                <w:tcPr>
                  <w:tcW w:w="639"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1161"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非甲烷</w:t>
                  </w:r>
                </w:p>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总烃</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10</w:t>
                  </w:r>
                  <w:r>
                    <w:rPr>
                      <w:rFonts w:ascii="Times New Roman" w:hAnsi="Times New Roman" w:eastAsia="宋体" w:cs="Times New Roman"/>
                      <w:color w:val="000000" w:themeColor="text1"/>
                      <w:sz w:val="21"/>
                      <w14:textFill>
                        <w14:solidFill>
                          <w14:schemeClr w14:val="tx1"/>
                        </w14:solidFill>
                      </w14:textFill>
                    </w:rPr>
                    <w:t xml:space="preserve"> mg/m</w:t>
                  </w:r>
                  <w:r>
                    <w:rPr>
                      <w:rFonts w:ascii="Times New Roman" w:hAnsi="Times New Roman" w:eastAsia="宋体" w:cs="Times New Roman"/>
                      <w:color w:val="000000" w:themeColor="text1"/>
                      <w:sz w:val="21"/>
                      <w:vertAlign w:val="superscript"/>
                      <w14:textFill>
                        <w14:solidFill>
                          <w14:schemeClr w14:val="tx1"/>
                        </w14:solidFill>
                      </w14:textFill>
                    </w:rPr>
                    <w:t>3</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w:t>
                  </w:r>
                </w:p>
              </w:tc>
              <w:tc>
                <w:tcPr>
                  <w:tcW w:w="639"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1161" w:type="pct"/>
                  <w:vMerge w:val="restart"/>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《橡胶制品工业污染物排放标准》(GB27632-2011)表5标准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基准</w:t>
                  </w:r>
                </w:p>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排气量</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2000</w:t>
                  </w:r>
                  <w:r>
                    <w:rPr>
                      <w:rFonts w:ascii="Times New Roman" w:hAnsi="Times New Roman" w:eastAsia="宋体" w:cs="Times New Roman"/>
                      <w:color w:val="000000" w:themeColor="text1"/>
                      <w:sz w:val="21"/>
                      <w14:textFill>
                        <w14:solidFill>
                          <w14:schemeClr w14:val="tx1"/>
                        </w14:solidFill>
                      </w14:textFill>
                    </w:rPr>
                    <w:t xml:space="preserve"> m3</w:t>
                  </w:r>
                  <w:r>
                    <w:rPr>
                      <w:rFonts w:hint="eastAsia" w:ascii="Times New Roman" w:hAnsi="Times New Roman" w:eastAsia="宋体" w:cs="Times New Roman"/>
                      <w:color w:val="000000" w:themeColor="text1"/>
                      <w:sz w:val="21"/>
                      <w14:textFill>
                        <w14:solidFill>
                          <w14:schemeClr w14:val="tx1"/>
                        </w14:solidFill>
                      </w14:textFill>
                    </w:rPr>
                    <w:t>/t胶</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w:t>
                  </w:r>
                </w:p>
              </w:tc>
              <w:tc>
                <w:tcPr>
                  <w:tcW w:w="639"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1161"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涂刷、浇注、固化、二次固化和脱模废气</w:t>
                  </w:r>
                </w:p>
              </w:tc>
              <w:tc>
                <w:tcPr>
                  <w:tcW w:w="485"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DA006</w:t>
                  </w: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甲苯</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5</w:t>
                  </w:r>
                  <w:r>
                    <w:rPr>
                      <w:rFonts w:ascii="Times New Roman" w:hAnsi="Times New Roman" w:eastAsia="宋体" w:cs="Times New Roman"/>
                      <w:color w:val="000000" w:themeColor="text1"/>
                      <w:sz w:val="21"/>
                      <w14:textFill>
                        <w14:solidFill>
                          <w14:schemeClr w14:val="tx1"/>
                        </w14:solidFill>
                      </w14:textFill>
                    </w:rPr>
                    <w:t xml:space="preserve"> mg/m</w:t>
                  </w:r>
                  <w:r>
                    <w:rPr>
                      <w:rFonts w:ascii="Times New Roman" w:hAnsi="Times New Roman" w:eastAsia="宋体" w:cs="Times New Roman"/>
                      <w:color w:val="000000" w:themeColor="text1"/>
                      <w:sz w:val="21"/>
                      <w:vertAlign w:val="superscript"/>
                      <w14:textFill>
                        <w14:solidFill>
                          <w14:schemeClr w14:val="tx1"/>
                        </w14:solidFill>
                      </w14:textFill>
                    </w:rPr>
                    <w:t>3</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0.6 kg/h</w:t>
                  </w:r>
                </w:p>
              </w:tc>
              <w:tc>
                <w:tcPr>
                  <w:tcW w:w="639"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15m</w:t>
                  </w:r>
                </w:p>
              </w:tc>
              <w:tc>
                <w:tcPr>
                  <w:tcW w:w="1161" w:type="pct"/>
                  <w:vMerge w:val="restart"/>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《工业涂装工序挥发性有机物排放标准》（DB35/1783-2018）表1标准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二甲苯</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15</w:t>
                  </w:r>
                  <w:r>
                    <w:rPr>
                      <w:rFonts w:ascii="Times New Roman" w:hAnsi="Times New Roman" w:eastAsia="宋体" w:cs="Times New Roman"/>
                      <w:color w:val="000000" w:themeColor="text1"/>
                      <w:sz w:val="21"/>
                      <w14:textFill>
                        <w14:solidFill>
                          <w14:schemeClr w14:val="tx1"/>
                        </w14:solidFill>
                      </w14:textFill>
                    </w:rPr>
                    <w:t xml:space="preserve"> mg/m</w:t>
                  </w:r>
                  <w:r>
                    <w:rPr>
                      <w:rFonts w:ascii="Times New Roman" w:hAnsi="Times New Roman" w:eastAsia="宋体" w:cs="Times New Roman"/>
                      <w:color w:val="000000" w:themeColor="text1"/>
                      <w:sz w:val="21"/>
                      <w:vertAlign w:val="superscript"/>
                      <w14:textFill>
                        <w14:solidFill>
                          <w14:schemeClr w14:val="tx1"/>
                        </w14:solidFill>
                      </w14:textFill>
                    </w:rPr>
                    <w:t>3</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0.6 kg/h</w:t>
                  </w:r>
                </w:p>
              </w:tc>
              <w:tc>
                <w:tcPr>
                  <w:tcW w:w="639"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c>
                <w:tcPr>
                  <w:tcW w:w="1161"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非甲烷总烃</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60</w:t>
                  </w:r>
                  <w:r>
                    <w:rPr>
                      <w:rFonts w:ascii="Times New Roman" w:hAnsi="Times New Roman" w:eastAsia="宋体" w:cs="Times New Roman"/>
                      <w:color w:val="000000" w:themeColor="text1"/>
                      <w:sz w:val="21"/>
                      <w14:textFill>
                        <w14:solidFill>
                          <w14:schemeClr w14:val="tx1"/>
                        </w14:solidFill>
                      </w14:textFill>
                    </w:rPr>
                    <w:t xml:space="preserve"> mg/m</w:t>
                  </w:r>
                  <w:r>
                    <w:rPr>
                      <w:rFonts w:ascii="Times New Roman" w:hAnsi="Times New Roman" w:eastAsia="宋体" w:cs="Times New Roman"/>
                      <w:color w:val="000000" w:themeColor="text1"/>
                      <w:sz w:val="21"/>
                      <w:vertAlign w:val="superscript"/>
                      <w14:textFill>
                        <w14:solidFill>
                          <w14:schemeClr w14:val="tx1"/>
                        </w14:solidFill>
                      </w14:textFill>
                    </w:rPr>
                    <w:t>3</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2.5 kg/h</w:t>
                  </w:r>
                </w:p>
              </w:tc>
              <w:tc>
                <w:tcPr>
                  <w:tcW w:w="639"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c>
                <w:tcPr>
                  <w:tcW w:w="1161"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苯系物</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30</w:t>
                  </w:r>
                  <w:r>
                    <w:rPr>
                      <w:rFonts w:ascii="Times New Roman" w:hAnsi="Times New Roman" w:eastAsia="宋体" w:cs="Times New Roman"/>
                      <w:color w:val="000000" w:themeColor="text1"/>
                      <w:sz w:val="21"/>
                      <w14:textFill>
                        <w14:solidFill>
                          <w14:schemeClr w14:val="tx1"/>
                        </w14:solidFill>
                      </w14:textFill>
                    </w:rPr>
                    <w:t xml:space="preserve"> mg/m</w:t>
                  </w:r>
                  <w:r>
                    <w:rPr>
                      <w:rFonts w:ascii="Times New Roman" w:hAnsi="Times New Roman" w:eastAsia="宋体" w:cs="Times New Roman"/>
                      <w:color w:val="000000" w:themeColor="text1"/>
                      <w:sz w:val="21"/>
                      <w:vertAlign w:val="superscript"/>
                      <w14:textFill>
                        <w14:solidFill>
                          <w14:schemeClr w14:val="tx1"/>
                        </w14:solidFill>
                      </w14:textFill>
                    </w:rPr>
                    <w:t>3</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1.8 kg/h</w:t>
                  </w:r>
                </w:p>
              </w:tc>
              <w:tc>
                <w:tcPr>
                  <w:tcW w:w="639"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c>
                <w:tcPr>
                  <w:tcW w:w="1161"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酚类</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20</w:t>
                  </w:r>
                  <w:r>
                    <w:rPr>
                      <w:rFonts w:ascii="Times New Roman" w:hAnsi="Times New Roman" w:eastAsia="宋体" w:cs="Times New Roman"/>
                      <w:color w:val="000000" w:themeColor="text1"/>
                      <w:sz w:val="21"/>
                      <w14:textFill>
                        <w14:solidFill>
                          <w14:schemeClr w14:val="tx1"/>
                        </w14:solidFill>
                      </w14:textFill>
                    </w:rPr>
                    <w:t xml:space="preserve"> mg/m</w:t>
                  </w:r>
                  <w:r>
                    <w:rPr>
                      <w:rFonts w:ascii="Times New Roman" w:hAnsi="Times New Roman" w:eastAsia="宋体" w:cs="Times New Roman"/>
                      <w:color w:val="000000" w:themeColor="text1"/>
                      <w:sz w:val="21"/>
                      <w:vertAlign w:val="superscript"/>
                      <w14:textFill>
                        <w14:solidFill>
                          <w14:schemeClr w14:val="tx1"/>
                        </w14:solidFill>
                      </w14:textFill>
                    </w:rPr>
                    <w:t>3</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w:t>
                  </w:r>
                </w:p>
              </w:tc>
              <w:tc>
                <w:tcPr>
                  <w:tcW w:w="639"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c>
                <w:tcPr>
                  <w:tcW w:w="1161" w:type="pct"/>
                  <w:vMerge w:val="restart"/>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《合成树脂工业污染物排放标准》(GB31572-2015)表4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485"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59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单位产品非甲烷总烃排放量</w:t>
                  </w:r>
                </w:p>
              </w:tc>
              <w:tc>
                <w:tcPr>
                  <w:tcW w:w="845"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0.5kg/t</w:t>
                  </w:r>
                </w:p>
              </w:tc>
              <w:tc>
                <w:tcPr>
                  <w:tcW w:w="63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w:t>
                  </w:r>
                </w:p>
              </w:tc>
              <w:tc>
                <w:tcPr>
                  <w:tcW w:w="639"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c>
                <w:tcPr>
                  <w:tcW w:w="1161" w:type="pct"/>
                  <w:vMerge w:val="continue"/>
                  <w:vAlign w:val="center"/>
                </w:tcPr>
                <w:p>
                  <w:pPr>
                    <w:pStyle w:val="119"/>
                    <w:widowControl w:val="0"/>
                    <w:topLinePunct/>
                    <w:adjustRightInd w:val="0"/>
                    <w:snapToGrid w:val="0"/>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p>
              </w:tc>
            </w:tr>
          </w:tbl>
          <w:p>
            <w:pPr>
              <w:pStyle w:val="222"/>
              <w:spacing w:before="120"/>
              <w:rPr>
                <w:b w:val="0"/>
                <w:color w:val="000000" w:themeColor="text1"/>
                <w:kern w:val="0"/>
                <w14:textFill>
                  <w14:solidFill>
                    <w14:schemeClr w14:val="tx1"/>
                  </w14:solidFill>
                </w14:textFill>
                <w14:ligatures w14:val="none"/>
              </w:rPr>
            </w:pPr>
            <w:r>
              <w:rPr>
                <w:b w:val="0"/>
                <w:color w:val="000000" w:themeColor="text1"/>
                <w:kern w:val="0"/>
                <w14:textFill>
                  <w14:solidFill>
                    <w14:schemeClr w14:val="tx1"/>
                  </w14:solidFill>
                </w14:textFill>
                <w14:ligatures w14:val="none"/>
              </w:rPr>
              <w:t>表3.3-</w:t>
            </w:r>
            <w:r>
              <w:rPr>
                <w:rFonts w:hint="eastAsia"/>
                <w:b w:val="0"/>
                <w:color w:val="000000" w:themeColor="text1"/>
                <w:kern w:val="0"/>
                <w14:textFill>
                  <w14:solidFill>
                    <w14:schemeClr w14:val="tx1"/>
                  </w14:solidFill>
                </w14:textFill>
                <w14:ligatures w14:val="none"/>
              </w:rPr>
              <w:t>3</w:t>
            </w:r>
            <w:r>
              <w:rPr>
                <w:b w:val="0"/>
                <w:color w:val="000000" w:themeColor="text1"/>
                <w:kern w:val="0"/>
                <w14:textFill>
                  <w14:solidFill>
                    <w14:schemeClr w14:val="tx1"/>
                  </w14:solidFill>
                </w14:textFill>
                <w14:ligatures w14:val="none"/>
              </w:rPr>
              <w:t xml:space="preserve"> 本项目大气污染物无组织排放控制要求</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1237"/>
              <w:gridCol w:w="1754"/>
              <w:gridCol w:w="1349"/>
              <w:gridCol w:w="28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污染物项目</w:t>
                  </w:r>
                </w:p>
              </w:tc>
              <w:tc>
                <w:tcPr>
                  <w:tcW w:w="7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控制位置</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限值含义</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排放限值mg/m3</w:t>
                  </w:r>
                </w:p>
              </w:tc>
              <w:tc>
                <w:tcPr>
                  <w:tcW w:w="168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颗粒物</w:t>
                  </w:r>
                </w:p>
              </w:tc>
              <w:tc>
                <w:tcPr>
                  <w:tcW w:w="7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企业边界</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1h平均浓度值</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1.0</w:t>
                  </w:r>
                </w:p>
              </w:tc>
              <w:tc>
                <w:tcPr>
                  <w:tcW w:w="168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《橡胶制品工业污染物排放标准》GB27632-2011)表6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臭气浓度</w:t>
                  </w:r>
                </w:p>
              </w:tc>
              <w:tc>
                <w:tcPr>
                  <w:tcW w:w="7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厂界</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2h采一次，共采集4次，取其最大测定值</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20（无量纲）</w:t>
                  </w:r>
                </w:p>
              </w:tc>
              <w:tc>
                <w:tcPr>
                  <w:tcW w:w="1681"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《恶臭污染物排放标准》（GB14554-93）表1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硫化氢</w:t>
                  </w:r>
                </w:p>
              </w:tc>
              <w:tc>
                <w:tcPr>
                  <w:tcW w:w="7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厂界</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1h平均浓度值</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0.06</w:t>
                  </w:r>
                </w:p>
              </w:tc>
              <w:tc>
                <w:tcPr>
                  <w:tcW w:w="168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非甲烷总烃</w:t>
                  </w:r>
                </w:p>
              </w:tc>
              <w:tc>
                <w:tcPr>
                  <w:tcW w:w="7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厂界</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2</w:t>
                  </w:r>
                </w:p>
              </w:tc>
              <w:tc>
                <w:tcPr>
                  <w:tcW w:w="1681"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《工业涂装工序挥发性有机物排放标准》（DB35/1783-2018）表4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718"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厂区内</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监控点处1h平均浓度值</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8</w:t>
                  </w:r>
                </w:p>
              </w:tc>
              <w:tc>
                <w:tcPr>
                  <w:tcW w:w="1681"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718" w:type="pct"/>
                  <w:vMerge w:val="continue"/>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监控点处任意一次浓度值</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30</w:t>
                  </w:r>
                </w:p>
              </w:tc>
              <w:tc>
                <w:tcPr>
                  <w:tcW w:w="1681"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《挥发性有机物无组织排放控制标准》(GB 37822-2019)附录A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甲苯</w:t>
                  </w:r>
                </w:p>
              </w:tc>
              <w:tc>
                <w:tcPr>
                  <w:tcW w:w="7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厂界</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1h平均浓度值</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0.6</w:t>
                  </w:r>
                </w:p>
              </w:tc>
              <w:tc>
                <w:tcPr>
                  <w:tcW w:w="1681" w:type="pct"/>
                  <w:vMerge w:val="restar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《工业涂装工序挥发性有机物排放标准》（DB35/1783-2018）表4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二甲苯</w:t>
                  </w:r>
                </w:p>
              </w:tc>
              <w:tc>
                <w:tcPr>
                  <w:tcW w:w="7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厂界</w:t>
                  </w:r>
                </w:p>
              </w:tc>
              <w:tc>
                <w:tcPr>
                  <w:tcW w:w="1018"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1h平均浓度值</w:t>
                  </w:r>
                </w:p>
              </w:tc>
              <w:tc>
                <w:tcPr>
                  <w:tcW w:w="783" w:type="pct"/>
                  <w:vAlign w:val="center"/>
                </w:tcPr>
                <w:p>
                  <w:pPr>
                    <w:pStyle w:val="119"/>
                    <w:widowControl w:val="0"/>
                    <w:topLinePunct/>
                    <w:adjustRightInd w:val="0"/>
                    <w:snapToGrid w:val="0"/>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0.2</w:t>
                  </w:r>
                </w:p>
              </w:tc>
              <w:tc>
                <w:tcPr>
                  <w:tcW w:w="1681" w:type="pct"/>
                  <w:vMerge w:val="continue"/>
                  <w:vAlign w:val="center"/>
                </w:tcPr>
                <w:p>
                  <w:pPr>
                    <w:widowControl w:val="0"/>
                    <w:topLinePunct/>
                    <w:adjustRightInd w:val="0"/>
                    <w:snapToGrid w:val="0"/>
                    <w:spacing w:after="0" w:line="240" w:lineRule="auto"/>
                    <w:ind w:firstLine="420"/>
                    <w:jc w:val="center"/>
                    <w:rPr>
                      <w:rFonts w:ascii="Times New Roman" w:hAnsi="Times New Roman" w:eastAsia="宋体" w:cs="Times New Roman"/>
                      <w:color w:val="000000" w:themeColor="text1"/>
                      <w:sz w:val="21"/>
                      <w:szCs w:val="21"/>
                      <w14:textFill>
                        <w14:solidFill>
                          <w14:schemeClr w14:val="tx1"/>
                        </w14:solidFill>
                      </w14:textFill>
                    </w:rPr>
                  </w:pPr>
                </w:p>
              </w:tc>
            </w:tr>
          </w:tbl>
          <w:p>
            <w:pPr>
              <w:widowControl w:val="0"/>
              <w:topLinePunct/>
              <w:spacing w:after="0" w:line="36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3.3.3 噪声污染物排放标准</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本项目厂界外50m范围内</w:t>
            </w:r>
            <w:r>
              <w:rPr>
                <w:rFonts w:hint="eastAsia" w:ascii="Times New Roman" w:hAnsi="Times New Roman" w:eastAsia="宋体" w:cs="Times New Roman"/>
                <w:color w:val="000000" w:themeColor="text1"/>
                <w:szCs w:val="24"/>
                <w14:textFill>
                  <w14:solidFill>
                    <w14:schemeClr w14:val="tx1"/>
                  </w14:solidFill>
                </w14:textFill>
              </w:rPr>
              <w:t>有一</w:t>
            </w:r>
            <w:r>
              <w:rPr>
                <w:rFonts w:ascii="Times New Roman" w:hAnsi="Times New Roman" w:eastAsia="宋体" w:cs="Times New Roman"/>
                <w:color w:val="000000" w:themeColor="text1"/>
                <w:szCs w:val="24"/>
                <w14:textFill>
                  <w14:solidFill>
                    <w14:schemeClr w14:val="tx1"/>
                  </w14:solidFill>
                </w14:textFill>
              </w:rPr>
              <w:t>声环境保护目标</w:t>
            </w:r>
            <w:r>
              <w:rPr>
                <w:rFonts w:hint="eastAsia" w:ascii="Times New Roman" w:hAnsi="Times New Roman" w:eastAsia="宋体" w:cs="Times New Roman"/>
                <w:color w:val="000000" w:themeColor="text1"/>
                <w:szCs w:val="24"/>
                <w14:textFill>
                  <w14:solidFill>
                    <w14:schemeClr w14:val="tx1"/>
                  </w14:solidFill>
                </w14:textFill>
              </w:rPr>
              <w:t>（下底铺）</w:t>
            </w:r>
            <w:r>
              <w:rPr>
                <w:rFonts w:ascii="Times New Roman" w:hAnsi="Times New Roman" w:eastAsia="宋体" w:cs="Times New Roman"/>
                <w:color w:val="000000" w:themeColor="text1"/>
                <w:szCs w:val="24"/>
                <w14:textFill>
                  <w14:solidFill>
                    <w14:schemeClr w14:val="tx1"/>
                  </w14:solidFill>
                </w14:textFill>
              </w:rPr>
              <w:t>，厂界</w:t>
            </w:r>
            <w:r>
              <w:rPr>
                <w:rFonts w:hint="eastAsia" w:ascii="Times New Roman" w:hAnsi="Times New Roman" w:eastAsia="宋体" w:cs="Times New Roman"/>
                <w:color w:val="000000" w:themeColor="text1"/>
                <w:szCs w:val="24"/>
                <w14:textFill>
                  <w14:solidFill>
                    <w14:schemeClr w14:val="tx1"/>
                  </w14:solidFill>
                </w14:textFill>
              </w:rPr>
              <w:t>（东、南、北侧）</w:t>
            </w:r>
            <w:r>
              <w:rPr>
                <w:rFonts w:ascii="Times New Roman" w:hAnsi="Times New Roman" w:eastAsia="宋体" w:cs="Times New Roman"/>
                <w:color w:val="000000" w:themeColor="text1"/>
                <w:szCs w:val="24"/>
                <w14:textFill>
                  <w14:solidFill>
                    <w14:schemeClr w14:val="tx1"/>
                  </w14:solidFill>
                </w14:textFill>
              </w:rPr>
              <w:t>的噪声执行《工业企业厂界环境噪声排放标准》（GB 12348-2008）3类标准，西侧执行《工业企业厂界环境噪声排放标准》（GB 12348-2008） 中的4类标准 。具体详见表3.3-4。</w:t>
            </w:r>
          </w:p>
          <w:p>
            <w:pPr>
              <w:pStyle w:val="222"/>
              <w:spacing w:before="120"/>
              <w:rPr>
                <w:b w:val="0"/>
                <w:color w:val="000000" w:themeColor="text1"/>
                <w:kern w:val="0"/>
                <w14:textFill>
                  <w14:solidFill>
                    <w14:schemeClr w14:val="tx1"/>
                  </w14:solidFill>
                </w14:textFill>
                <w14:ligatures w14:val="none"/>
              </w:rPr>
            </w:pPr>
            <w:r>
              <w:rPr>
                <w:b w:val="0"/>
                <w:color w:val="000000" w:themeColor="text1"/>
                <w:kern w:val="0"/>
                <w14:textFill>
                  <w14:solidFill>
                    <w14:schemeClr w14:val="tx1"/>
                  </w14:solidFill>
                </w14:textFill>
                <w14:ligatures w14:val="none"/>
              </w:rPr>
              <w:t>表3.3-4 《工业企业厂界环境噪声排放标准》（GB 12348-2008）表1（摘录）</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1"/>
              <w:gridCol w:w="1918"/>
              <w:gridCol w:w="2047"/>
              <w:gridCol w:w="20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9" w:type="pct"/>
                  <w:vAlign w:val="center"/>
                </w:tcPr>
                <w:p>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项目</w:t>
                  </w:r>
                </w:p>
              </w:tc>
              <w:tc>
                <w:tcPr>
                  <w:tcW w:w="1113" w:type="pct"/>
                  <w:vAlign w:val="center"/>
                </w:tcPr>
                <w:p>
                  <w:pPr>
                    <w:pStyle w:val="128"/>
                    <w:widowControl w:val="0"/>
                    <w:topLinePunct/>
                    <w:snapToGrid w:val="0"/>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执行标准</w:t>
                  </w:r>
                </w:p>
              </w:tc>
              <w:tc>
                <w:tcPr>
                  <w:tcW w:w="1188" w:type="pct"/>
                  <w:vAlign w:val="center"/>
                </w:tcPr>
                <w:p>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昼间</w:t>
                  </w:r>
                </w:p>
              </w:tc>
              <w:tc>
                <w:tcPr>
                  <w:tcW w:w="1188" w:type="pct"/>
                  <w:vAlign w:val="center"/>
                </w:tcPr>
                <w:p>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东侧、南侧、北侧</w:t>
                  </w:r>
                </w:p>
              </w:tc>
              <w:tc>
                <w:tcPr>
                  <w:tcW w:w="1113" w:type="pct"/>
                  <w:vAlign w:val="center"/>
                </w:tcPr>
                <w:p>
                  <w:pPr>
                    <w:pStyle w:val="128"/>
                    <w:widowControl w:val="0"/>
                    <w:topLinePunct/>
                    <w:snapToGrid w:val="0"/>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3类</w:t>
                  </w:r>
                </w:p>
              </w:tc>
              <w:tc>
                <w:tcPr>
                  <w:tcW w:w="1188" w:type="pct"/>
                  <w:vAlign w:val="center"/>
                </w:tcPr>
                <w:p>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≤65dB（A）</w:t>
                  </w:r>
                </w:p>
              </w:tc>
              <w:tc>
                <w:tcPr>
                  <w:tcW w:w="1188" w:type="pct"/>
                  <w:vAlign w:val="center"/>
                </w:tcPr>
                <w:p>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≤55dB（A）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9" w:type="pc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西侧</w:t>
                  </w:r>
                </w:p>
              </w:tc>
              <w:tc>
                <w:tcPr>
                  <w:tcW w:w="1113" w:type="pct"/>
                  <w:vAlign w:val="center"/>
                </w:tcPr>
                <w:p>
                  <w:pPr>
                    <w:pStyle w:val="128"/>
                    <w:widowControl w:val="0"/>
                    <w:topLinePunct/>
                    <w:snapToGrid w:val="0"/>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hint="eastAsia" w:ascii="Times New Roman" w:hAnsi="Times New Roman" w:eastAsia="宋体" w:cs="Times New Roman"/>
                      <w:b w:val="0"/>
                      <w:color w:val="000000" w:themeColor="text1"/>
                      <w:sz w:val="21"/>
                      <w:szCs w:val="21"/>
                      <w14:textFill>
                        <w14:solidFill>
                          <w14:schemeClr w14:val="tx1"/>
                        </w14:solidFill>
                      </w14:textFill>
                    </w:rPr>
                    <w:t>4类</w:t>
                  </w:r>
                </w:p>
              </w:tc>
              <w:tc>
                <w:tcPr>
                  <w:tcW w:w="1188" w:type="pct"/>
                  <w:vAlign w:val="center"/>
                </w:tcPr>
                <w:p>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w:t>
                  </w:r>
                  <w:r>
                    <w:rPr>
                      <w:rFonts w:hint="eastAsia" w:ascii="Times New Roman" w:hAnsi="Times New Roman" w:eastAsia="宋体" w:cs="Times New Roman"/>
                      <w:b w:val="0"/>
                      <w:color w:val="000000" w:themeColor="text1"/>
                      <w:sz w:val="21"/>
                      <w:szCs w:val="21"/>
                      <w14:textFill>
                        <w14:solidFill>
                          <w14:schemeClr w14:val="tx1"/>
                        </w14:solidFill>
                      </w14:textFill>
                    </w:rPr>
                    <w:t>70</w:t>
                  </w:r>
                  <w:r>
                    <w:rPr>
                      <w:rFonts w:ascii="Times New Roman" w:hAnsi="Times New Roman" w:eastAsia="宋体" w:cs="Times New Roman"/>
                      <w:b w:val="0"/>
                      <w:color w:val="000000" w:themeColor="text1"/>
                      <w:sz w:val="21"/>
                      <w:szCs w:val="21"/>
                      <w14:textFill>
                        <w14:solidFill>
                          <w14:schemeClr w14:val="tx1"/>
                        </w14:solidFill>
                      </w14:textFill>
                    </w:rPr>
                    <w:t>dB（A）</w:t>
                  </w:r>
                </w:p>
              </w:tc>
              <w:tc>
                <w:tcPr>
                  <w:tcW w:w="1188" w:type="pct"/>
                  <w:vAlign w:val="center"/>
                </w:tcPr>
                <w:p>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w:t>
                  </w:r>
                  <w:r>
                    <w:rPr>
                      <w:rFonts w:hint="eastAsia" w:ascii="Times New Roman" w:hAnsi="Times New Roman" w:eastAsia="宋体" w:cs="Times New Roman"/>
                      <w:b w:val="0"/>
                      <w:color w:val="000000" w:themeColor="text1"/>
                      <w:sz w:val="21"/>
                      <w:szCs w:val="21"/>
                      <w14:textFill>
                        <w14:solidFill>
                          <w14:schemeClr w14:val="tx1"/>
                        </w14:solidFill>
                      </w14:textFill>
                    </w:rPr>
                    <w:t>55</w:t>
                  </w:r>
                  <w:r>
                    <w:rPr>
                      <w:rFonts w:ascii="Times New Roman" w:hAnsi="Times New Roman" w:eastAsia="宋体" w:cs="Times New Roman"/>
                      <w:b w:val="0"/>
                      <w:color w:val="000000" w:themeColor="text1"/>
                      <w:sz w:val="21"/>
                      <w:szCs w:val="21"/>
                      <w14:textFill>
                        <w14:solidFill>
                          <w14:schemeClr w14:val="tx1"/>
                        </w14:solidFill>
                      </w14:textFill>
                    </w:rPr>
                    <w:t>dB（A）</w:t>
                  </w:r>
                </w:p>
              </w:tc>
            </w:tr>
          </w:tbl>
          <w:p>
            <w:pPr>
              <w:widowControl w:val="0"/>
              <w:topLinePunct/>
              <w:spacing w:after="0" w:line="36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3.3.4 固体废物污染物排放标准</w:t>
            </w:r>
          </w:p>
          <w:p>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一般固体废物在厂区内暂时贮存执行《一般工业固体废物贮存和填埋污染控制标准》（GB 18599-2020）</w:t>
            </w:r>
            <w:r>
              <w:rPr>
                <w:rFonts w:hint="eastAsia" w:ascii="Times New Roman" w:hAnsi="Times New Roman" w:eastAsia="宋体" w:cs="Times New Roman"/>
                <w:color w:val="000000" w:themeColor="text1"/>
                <w:szCs w:val="24"/>
                <w14:textFill>
                  <w14:solidFill>
                    <w14:schemeClr w14:val="tx1"/>
                  </w14:solidFill>
                </w14:textFill>
              </w:rPr>
              <w:t>和</w:t>
            </w:r>
            <w:r>
              <w:rPr>
                <w:rFonts w:ascii="Times New Roman" w:hAnsi="Times New Roman" w:eastAsia="宋体" w:cs="Times New Roman"/>
                <w:color w:val="000000" w:themeColor="text1"/>
                <w:szCs w:val="24"/>
                <w14:textFill>
                  <w14:solidFill>
                    <w14:schemeClr w14:val="tx1"/>
                  </w14:solidFill>
                </w14:textFill>
              </w:rPr>
              <w:t>《中华人民共和国固体废物污染环境防治法》中的有关规定。危险废物处置执行《危险废物贮存污染控制标准》（GB18597-2023）的相关要求。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424"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总量</w:t>
            </w:r>
          </w:p>
          <w:p>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控制</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指标</w:t>
            </w:r>
          </w:p>
        </w:tc>
        <w:tc>
          <w:tcPr>
            <w:tcW w:w="8865" w:type="dxa"/>
            <w:vAlign w:val="center"/>
          </w:tcPr>
          <w:p>
            <w:pPr>
              <w:widowControl w:val="0"/>
              <w:topLinePunct/>
              <w:spacing w:after="0" w:line="360" w:lineRule="auto"/>
              <w:jc w:val="both"/>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3.4 总量控制</w:t>
            </w:r>
          </w:p>
          <w:p>
            <w:pPr>
              <w:pStyle w:val="192"/>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国家“十四五”期间污染物总量控制要求及《福建省人民政府关于推进排污权有偿使用和交易工作的意见(试行)》（闽政[2014]24号）、《福建省环保厅关于贯彻落实&lt;推进排污权有偿使用和交易工作的意见（试行）&gt;的通知》（闽环发[2014]9号）、《福建省环保厅关于环评审批中落实排污权交易工作要求的通知》（闽环保评[2014]43号）等有关文件要求，需进行排放总量控制的污染物为COD、NH</w:t>
            </w:r>
            <w:r>
              <w:rPr>
                <w:rFonts w:ascii="Times New Roman" w:hAnsi="Times New Roman" w:eastAsia="宋体" w:cs="Times New Roman"/>
                <w:color w:val="000000" w:themeColor="text1"/>
                <w:szCs w:val="24"/>
                <w:vertAlign w:val="sub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-N、SO</w:t>
            </w:r>
            <w:r>
              <w:rPr>
                <w:rFonts w:ascii="Times New Roman" w:hAnsi="Times New Roman" w:eastAsia="宋体" w:cs="Times New Roman"/>
                <w:color w:val="000000" w:themeColor="text1"/>
                <w:szCs w:val="24"/>
                <w:vertAlign w:val="sub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、NO</w:t>
            </w:r>
            <w:r>
              <w:rPr>
                <w:rFonts w:ascii="Times New Roman" w:hAnsi="Times New Roman" w:eastAsia="宋体" w:cs="Times New Roman"/>
                <w:color w:val="000000" w:themeColor="text1"/>
                <w:szCs w:val="24"/>
                <w:vertAlign w:val="subscript"/>
                <w14:textFill>
                  <w14:solidFill>
                    <w14:schemeClr w14:val="tx1"/>
                  </w14:solidFill>
                </w14:textFill>
              </w:rPr>
              <w:t>X</w:t>
            </w:r>
            <w:r>
              <w:rPr>
                <w:rFonts w:ascii="Times New Roman" w:hAnsi="Times New Roman" w:eastAsia="宋体" w:cs="Times New Roman"/>
                <w:color w:val="000000" w:themeColor="text1"/>
                <w:szCs w:val="24"/>
                <w14:textFill>
                  <w14:solidFill>
                    <w14:schemeClr w14:val="tx1"/>
                  </w14:solidFill>
                </w14:textFill>
              </w:rPr>
              <w:t>。</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（1）水污染物排放总量：本项目产生的废水主要是</w:t>
            </w:r>
            <w:r>
              <w:rPr>
                <w:rFonts w:hint="eastAsia" w:ascii="Times New Roman" w:hAnsi="Times New Roman" w:eastAsia="宋体" w:cs="Times New Roman"/>
                <w:color w:val="000000" w:themeColor="text1"/>
                <w:szCs w:val="24"/>
                <w14:textFill>
                  <w14:solidFill>
                    <w14:schemeClr w14:val="tx1"/>
                  </w14:solidFill>
                </w14:textFill>
              </w:rPr>
              <w:t>清洗废水</w:t>
            </w:r>
            <w:r>
              <w:rPr>
                <w:rFonts w:ascii="Times New Roman" w:hAnsi="Times New Roman" w:eastAsia="宋体" w:cs="Times New Roman"/>
                <w:color w:val="000000" w:themeColor="text1"/>
                <w:szCs w:val="24"/>
                <w14:textFill>
                  <w14:solidFill>
                    <w14:schemeClr w14:val="tx1"/>
                  </w14:solidFill>
                </w14:textFill>
              </w:rPr>
              <w:t>，经化粪池处理后接入市政污水管网，引至融元污水处理厂集中处理，</w:t>
            </w:r>
            <w:r>
              <w:rPr>
                <w:rFonts w:ascii="Times New Roman" w:hAnsi="Times New Roman" w:eastAsia="宋体" w:cs="Times New Roman"/>
                <w:bCs/>
                <w:color w:val="000000" w:themeColor="text1"/>
                <w:szCs w:val="24"/>
                <w14:textFill>
                  <w14:solidFill>
                    <w14:schemeClr w14:val="tx1"/>
                  </w14:solidFill>
                </w14:textFill>
              </w:rPr>
              <w:t>处理后的污染物达标排放</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清洗废水经处理后回用于生产，不外排，本项目不新增员工生活污水，因此无需申请购买废水污染物总量</w:t>
            </w:r>
            <w:r>
              <w:rPr>
                <w:rFonts w:ascii="Times New Roman" w:hAnsi="Times New Roman" w:eastAsia="宋体" w:cs="Times New Roman"/>
                <w:color w:val="000000" w:themeColor="text1"/>
                <w:szCs w:val="24"/>
                <w14:textFill>
                  <w14:solidFill>
                    <w14:schemeClr w14:val="tx1"/>
                  </w14:solidFill>
                </w14:textFill>
              </w:rPr>
              <w:t>。</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（2）大气污染物排放总量：本项目废气涉及颗粒物</w:t>
            </w:r>
            <w:r>
              <w:rPr>
                <w:rFonts w:hint="eastAsia" w:ascii="Times New Roman" w:hAnsi="Times New Roman" w:eastAsia="宋体" w:cs="Times New Roman"/>
                <w:color w:val="000000" w:themeColor="text1"/>
                <w:szCs w:val="24"/>
                <w14:textFill>
                  <w14:solidFill>
                    <w14:schemeClr w14:val="tx1"/>
                  </w14:solidFill>
                </w14:textFill>
              </w:rPr>
              <w:t>、臭气浓度</w:t>
            </w:r>
            <w:r>
              <w:rPr>
                <w:rFonts w:ascii="Times New Roman" w:hAnsi="Times New Roman" w:eastAsia="宋体" w:cs="Times New Roman"/>
                <w:color w:val="000000" w:themeColor="text1"/>
                <w:szCs w:val="24"/>
                <w14:textFill>
                  <w14:solidFill>
                    <w14:schemeClr w14:val="tx1"/>
                  </w14:solidFill>
                </w14:textFill>
              </w:rPr>
              <w:t>和</w:t>
            </w:r>
            <w:r>
              <w:rPr>
                <w:rFonts w:hint="eastAsia" w:ascii="Times New Roman" w:hAnsi="Times New Roman" w:eastAsia="宋体" w:cs="Times New Roman"/>
                <w:color w:val="000000" w:themeColor="text1"/>
                <w:szCs w:val="24"/>
                <w14:textFill>
                  <w14:solidFill>
                    <w14:schemeClr w14:val="tx1"/>
                  </w14:solidFill>
                </w14:textFill>
              </w:rPr>
              <w:t>有机废气</w:t>
            </w:r>
            <w:r>
              <w:rPr>
                <w:rFonts w:ascii="Times New Roman" w:hAnsi="Times New Roman" w:eastAsia="宋体" w:cs="Times New Roman"/>
                <w:color w:val="000000" w:themeColor="text1"/>
                <w:szCs w:val="24"/>
                <w14:textFill>
                  <w14:solidFill>
                    <w14:schemeClr w14:val="tx1"/>
                  </w14:solidFill>
                </w14:textFill>
              </w:rPr>
              <w:t>，不涉及SO</w:t>
            </w:r>
            <w:r>
              <w:rPr>
                <w:rFonts w:ascii="Times New Roman" w:hAnsi="Times New Roman" w:eastAsia="宋体" w:cs="Times New Roman"/>
                <w:color w:val="000000" w:themeColor="text1"/>
                <w:szCs w:val="24"/>
                <w:vertAlign w:val="sub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、NO</w:t>
            </w:r>
            <w:r>
              <w:rPr>
                <w:rFonts w:ascii="Times New Roman" w:hAnsi="Times New Roman" w:eastAsia="宋体" w:cs="Times New Roman"/>
                <w:color w:val="000000" w:themeColor="text1"/>
                <w:szCs w:val="24"/>
                <w:vertAlign w:val="subscript"/>
                <w14:textFill>
                  <w14:solidFill>
                    <w14:schemeClr w14:val="tx1"/>
                  </w14:solidFill>
                </w14:textFill>
              </w:rPr>
              <w:t>X</w:t>
            </w:r>
            <w:r>
              <w:rPr>
                <w:rFonts w:hint="eastAsia" w:ascii="Times New Roman" w:hAnsi="Times New Roman" w:eastAsia="宋体" w:cs="Times New Roman"/>
                <w:color w:val="000000" w:themeColor="text1"/>
                <w:szCs w:val="24"/>
                <w14:textFill>
                  <w14:solidFill>
                    <w14:schemeClr w14:val="tx1"/>
                  </w14:solidFill>
                </w14:textFill>
              </w:rPr>
              <w:t>，本项目</w:t>
            </w:r>
            <w:r>
              <w:rPr>
                <w:rFonts w:ascii="Times New Roman" w:hAnsi="Times New Roman" w:eastAsia="宋体" w:cs="Times New Roman"/>
                <w:color w:val="000000" w:themeColor="text1"/>
                <w:szCs w:val="24"/>
                <w14:textFill>
                  <w14:solidFill>
                    <w14:schemeClr w14:val="tx1"/>
                  </w14:solidFill>
                </w14:textFill>
              </w:rPr>
              <w:t>有组织</w:t>
            </w:r>
            <w:r>
              <w:rPr>
                <w:rFonts w:hint="eastAsia" w:cs="Times New Roman"/>
                <w:color w:val="000000" w:themeColor="text1"/>
                <w:szCs w:val="24"/>
                <w14:textFill>
                  <w14:solidFill>
                    <w14:schemeClr w14:val="tx1"/>
                  </w14:solidFill>
                </w14:textFill>
              </w:rPr>
              <w:t>非甲烷总烃排放量：</w:t>
            </w:r>
            <w:r>
              <w:rPr>
                <w:rFonts w:hint="eastAsia" w:ascii="Times New Roman" w:hAnsi="Times New Roman" w:cs="Times New Roman"/>
                <w:color w:val="000000" w:themeColor="text1"/>
                <w:szCs w:val="24"/>
                <w14:textFill>
                  <w14:solidFill>
                    <w14:schemeClr w14:val="tx1"/>
                  </w14:solidFill>
                </w14:textFill>
              </w:rPr>
              <w:t>0.049</w:t>
            </w:r>
            <w:r>
              <w:rPr>
                <w:rFonts w:ascii="Times New Roman" w:hAnsi="Times New Roman" w:eastAsia="宋体" w:cs="Times New Roman"/>
                <w:color w:val="000000" w:themeColor="text1"/>
                <w:szCs w:val="24"/>
                <w14:textFill>
                  <w14:solidFill>
                    <w14:schemeClr w14:val="tx1"/>
                  </w14:solidFill>
                </w14:textFill>
              </w:rPr>
              <w:t>t/a、颗粒物有组织排放量为</w:t>
            </w:r>
            <w:r>
              <w:rPr>
                <w:rFonts w:hint="eastAsia" w:ascii="Times New Roman" w:hAnsi="Times New Roman" w:eastAsia="宋体" w:cs="Times New Roman"/>
                <w:color w:val="000000" w:themeColor="text1"/>
                <w:szCs w:val="24"/>
                <w14:textFill>
                  <w14:solidFill>
                    <w14:schemeClr w14:val="tx1"/>
                  </w14:solidFill>
                </w14:textFill>
              </w:rPr>
              <w:t>0.098</w:t>
            </w:r>
            <w:r>
              <w:rPr>
                <w:rFonts w:ascii="Times New Roman" w:hAnsi="Times New Roman" w:eastAsia="宋体" w:cs="Times New Roman"/>
                <w:color w:val="000000" w:themeColor="text1"/>
                <w:szCs w:val="24"/>
                <w14:textFill>
                  <w14:solidFill>
                    <w14:schemeClr w14:val="tx1"/>
                  </w14:solidFill>
                </w14:textFill>
              </w:rPr>
              <w:t xml:space="preserve"> t/a、甲苯及二甲苯排放量</w:t>
            </w:r>
            <w:r>
              <w:rPr>
                <w:rFonts w:hint="eastAsia" w:ascii="Times New Roman" w:hAnsi="Times New Roman" w:eastAsia="宋体" w:cs="Times New Roman"/>
                <w:color w:val="000000" w:themeColor="text1"/>
                <w:szCs w:val="24"/>
                <w14:textFill>
                  <w14:solidFill>
                    <w14:schemeClr w14:val="tx1"/>
                  </w14:solidFill>
                </w14:textFill>
              </w:rPr>
              <w:t>0.221</w:t>
            </w:r>
            <w:r>
              <w:rPr>
                <w:rFonts w:ascii="Times New Roman" w:hAnsi="Times New Roman" w:eastAsia="宋体" w:cs="Times New Roman"/>
                <w:color w:val="000000" w:themeColor="text1"/>
                <w:szCs w:val="24"/>
                <w14:textFill>
                  <w14:solidFill>
                    <w14:schemeClr w14:val="tx1"/>
                  </w14:solidFill>
                </w14:textFill>
              </w:rPr>
              <w:t xml:space="preserve"> t/a。</w:t>
            </w:r>
          </w:p>
          <w:p>
            <w:pPr>
              <w:pStyle w:val="14"/>
              <w:widowControl w:val="0"/>
              <w:topLinePunct/>
              <w:spacing w:after="0"/>
              <w:ind w:firstLine="0" w:firstLineChars="0"/>
              <w:jc w:val="center"/>
              <w:rPr>
                <w:rFonts w:ascii="Times New Roman" w:hAnsi="Times New Roman" w:eastAsia="宋体" w:cs="Times New Roman"/>
                <w:b/>
                <w:color w:val="000000" w:themeColor="text1"/>
                <w:szCs w:val="24"/>
                <w14:textFill>
                  <w14:solidFill>
                    <w14:schemeClr w14:val="tx1"/>
                  </w14:solidFill>
                </w14:textFill>
              </w:rPr>
            </w:pPr>
            <w:r>
              <w:rPr>
                <w:rFonts w:hint="eastAsia" w:ascii="Times New Roman" w:hAnsi="Times New Roman" w:eastAsia="宋体" w:cs="Times New Roman"/>
                <w:b/>
                <w:color w:val="000000" w:themeColor="text1"/>
                <w:szCs w:val="24"/>
                <w14:textFill>
                  <w14:solidFill>
                    <w14:schemeClr w14:val="tx1"/>
                  </w14:solidFill>
                </w14:textFill>
              </w:rPr>
              <w:t>表3.4-1 扩建前后大气污染物排放总量变化一览表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0"/>
              <w:gridCol w:w="2150"/>
              <w:gridCol w:w="2151"/>
              <w:gridCol w:w="2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w:t>
                  </w:r>
                </w:p>
              </w:tc>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扩建前</w:t>
                  </w:r>
                </w:p>
              </w:tc>
              <w:tc>
                <w:tcPr>
                  <w:tcW w:w="2151"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w:t>
                  </w:r>
                </w:p>
              </w:tc>
              <w:tc>
                <w:tcPr>
                  <w:tcW w:w="2151"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扩建后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颗粒物</w:t>
                  </w:r>
                </w:p>
              </w:tc>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0.0053</w:t>
                  </w:r>
                  <w:r>
                    <w:rPr>
                      <w:rFonts w:ascii="Times New Roman" w:hAnsi="Times New Roman" w:eastAsia="宋体" w:cs="Times New Roman"/>
                      <w:color w:val="000000" w:themeColor="text1"/>
                      <w:sz w:val="21"/>
                      <w:szCs w:val="21"/>
                      <w14:textFill>
                        <w14:solidFill>
                          <w14:schemeClr w14:val="tx1"/>
                        </w14:solidFill>
                      </w14:textFill>
                    </w:rPr>
                    <w:t xml:space="preserve"> t/a</w:t>
                  </w:r>
                </w:p>
              </w:tc>
              <w:tc>
                <w:tcPr>
                  <w:tcW w:w="2151"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0.098</w:t>
                  </w:r>
                  <w:r>
                    <w:rPr>
                      <w:rFonts w:ascii="Times New Roman" w:hAnsi="Times New Roman" w:eastAsia="宋体" w:cs="Times New Roman"/>
                      <w:color w:val="000000" w:themeColor="text1"/>
                      <w:sz w:val="21"/>
                      <w:szCs w:val="21"/>
                      <w14:textFill>
                        <w14:solidFill>
                          <w14:schemeClr w14:val="tx1"/>
                        </w14:solidFill>
                      </w14:textFill>
                    </w:rPr>
                    <w:t xml:space="preserve"> t/a</w:t>
                  </w:r>
                </w:p>
              </w:tc>
              <w:tc>
                <w:tcPr>
                  <w:tcW w:w="2151"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0.1</w:t>
                  </w:r>
                  <w:r>
                    <w:rPr>
                      <w:rFonts w:ascii="Times New Roman" w:hAnsi="Times New Roman" w:eastAsia="宋体" w:cs="Times New Roman"/>
                      <w:color w:val="000000" w:themeColor="text1"/>
                      <w:sz w:val="21"/>
                      <w:szCs w:val="21"/>
                      <w14:textFill>
                        <w14:solidFill>
                          <w14:schemeClr w14:val="tx1"/>
                        </w14:solidFill>
                      </w14:textFill>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非甲烷总烃</w:t>
                  </w:r>
                </w:p>
              </w:tc>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0.0213</w:t>
                  </w:r>
                  <w:r>
                    <w:rPr>
                      <w:rFonts w:ascii="Times New Roman" w:hAnsi="Times New Roman" w:eastAsia="宋体" w:cs="Times New Roman"/>
                      <w:color w:val="000000" w:themeColor="text1"/>
                      <w:sz w:val="21"/>
                      <w:szCs w:val="21"/>
                      <w14:textFill>
                        <w14:solidFill>
                          <w14:schemeClr w14:val="tx1"/>
                        </w14:solidFill>
                      </w14:textFill>
                    </w:rPr>
                    <w:t xml:space="preserve"> t/a</w:t>
                  </w:r>
                </w:p>
              </w:tc>
              <w:tc>
                <w:tcPr>
                  <w:tcW w:w="2151"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0.049</w:t>
                  </w:r>
                  <w:r>
                    <w:rPr>
                      <w:rFonts w:ascii="Times New Roman" w:hAnsi="Times New Roman" w:eastAsia="宋体" w:cs="Times New Roman"/>
                      <w:color w:val="000000" w:themeColor="text1"/>
                      <w:sz w:val="21"/>
                      <w:szCs w:val="21"/>
                      <w14:textFill>
                        <w14:solidFill>
                          <w14:schemeClr w14:val="tx1"/>
                        </w14:solidFill>
                      </w14:textFill>
                    </w:rPr>
                    <w:t>t/a</w:t>
                  </w:r>
                </w:p>
              </w:tc>
              <w:tc>
                <w:tcPr>
                  <w:tcW w:w="2151"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0.07</w:t>
                  </w:r>
                  <w:r>
                    <w:rPr>
                      <w:rFonts w:ascii="Times New Roman" w:hAnsi="Times New Roman" w:eastAsia="宋体" w:cs="Times New Roman"/>
                      <w:color w:val="000000" w:themeColor="text1"/>
                      <w:sz w:val="21"/>
                      <w:szCs w:val="21"/>
                      <w14:textFill>
                        <w14:solidFill>
                          <w14:schemeClr w14:val="tx1"/>
                        </w14:solidFill>
                      </w14:textFill>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甲苯及二甲苯</w:t>
                  </w:r>
                </w:p>
              </w:tc>
              <w:tc>
                <w:tcPr>
                  <w:tcW w:w="2150"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2151" w:type="dxa"/>
                  <w:vAlign w:val="center"/>
                </w:tcPr>
                <w:p>
                  <w:pPr>
                    <w:pStyle w:val="14"/>
                    <w:widowControl w:val="0"/>
                    <w:topLinePunct/>
                    <w:spacing w:after="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0.221</w:t>
                  </w:r>
                </w:p>
              </w:tc>
              <w:tc>
                <w:tcPr>
                  <w:tcW w:w="2151" w:type="dxa"/>
                  <w:vAlign w:val="center"/>
                </w:tcPr>
                <w:p>
                  <w:pPr>
                    <w:pStyle w:val="14"/>
                    <w:widowControl w:val="0"/>
                    <w:topLinePunct/>
                    <w:spacing w:after="0" w:line="240" w:lineRule="auto"/>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0.221</w:t>
                  </w:r>
                  <w:r>
                    <w:rPr>
                      <w:rFonts w:ascii="Times New Roman" w:hAnsi="Times New Roman" w:eastAsia="宋体" w:cs="Times New Roman"/>
                      <w:color w:val="000000" w:themeColor="text1"/>
                      <w:sz w:val="21"/>
                      <w:szCs w:val="21"/>
                      <w14:textFill>
                        <w14:solidFill>
                          <w14:schemeClr w14:val="tx1"/>
                        </w14:solidFill>
                      </w14:textFill>
                    </w:rPr>
                    <w:t xml:space="preserve"> t/a</w:t>
                  </w:r>
                </w:p>
              </w:tc>
            </w:tr>
          </w:tbl>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本项目</w:t>
            </w:r>
            <w:r>
              <w:rPr>
                <w:rFonts w:ascii="Times New Roman" w:hAnsi="Times New Roman" w:eastAsia="宋体" w:cs="Times New Roman"/>
                <w:color w:val="000000" w:themeColor="text1"/>
                <w:szCs w:val="24"/>
                <w14:textFill>
                  <w14:solidFill>
                    <w14:schemeClr w14:val="tx1"/>
                  </w14:solidFill>
                </w14:textFill>
              </w:rPr>
              <w:t>所产生的污染物均不属于国控污染物，无需通过排污权交易获得，但仍应以达标排放为控制原则</w:t>
            </w:r>
            <w:r>
              <w:rPr>
                <w:rFonts w:hint="eastAsia" w:ascii="Times New Roman" w:hAnsi="Times New Roman" w:eastAsia="宋体" w:cs="Times New Roman"/>
                <w:color w:val="000000" w:themeColor="text1"/>
                <w:szCs w:val="24"/>
                <w14:textFill>
                  <w14:solidFill>
                    <w14:schemeClr w14:val="tx1"/>
                  </w14:solidFill>
                </w14:textFill>
              </w:rPr>
              <w:t>。</w:t>
            </w: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p>
          <w:p>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p>
          <w:p>
            <w:pPr>
              <w:pStyle w:val="14"/>
              <w:widowControl w:val="0"/>
              <w:topLinePunct/>
              <w:spacing w:after="0"/>
              <w:ind w:firstLine="0" w:firstLineChars="0"/>
              <w:jc w:val="both"/>
              <w:rPr>
                <w:rFonts w:ascii="Times New Roman" w:hAnsi="Times New Roman" w:eastAsia="宋体" w:cs="Times New Roman"/>
                <w:color w:val="000000" w:themeColor="text1"/>
                <w:szCs w:val="24"/>
                <w14:textFill>
                  <w14:solidFill>
                    <w14:schemeClr w14:val="tx1"/>
                  </w14:solidFill>
                </w14:textFill>
              </w:rPr>
            </w:pPr>
          </w:p>
          <w:p>
            <w:pPr>
              <w:pStyle w:val="14"/>
              <w:widowControl w:val="0"/>
              <w:topLinePunct/>
              <w:spacing w:after="0"/>
              <w:ind w:firstLine="0" w:firstLineChars="0"/>
              <w:jc w:val="both"/>
              <w:rPr>
                <w:rFonts w:ascii="Times New Roman" w:hAnsi="Times New Roman" w:eastAsia="宋体" w:cs="Times New Roman"/>
                <w:color w:val="000000" w:themeColor="text1"/>
                <w:szCs w:val="24"/>
                <w14:textFill>
                  <w14:solidFill>
                    <w14:schemeClr w14:val="tx1"/>
                  </w14:solidFill>
                </w14:textFill>
              </w:rPr>
            </w:pPr>
          </w:p>
        </w:tc>
      </w:tr>
    </w:tbl>
    <w:p>
      <w:pPr>
        <w:pStyle w:val="29"/>
        <w:widowControl w:val="0"/>
        <w:topLinePunct/>
        <w:spacing w:before="0" w:beforeAutospacing="0" w:after="0" w:afterAutospacing="0" w:line="360" w:lineRule="auto"/>
        <w:jc w:val="center"/>
        <w:outlineLvl w:val="0"/>
        <w:rPr>
          <w:rFonts w:ascii="Times New Roman" w:hAnsi="Times New Roman" w:eastAsia="宋体" w:cs="Times New Roman"/>
          <w:snapToGrid w:val="0"/>
          <w:color w:val="000000" w:themeColor="text1"/>
          <w:sz w:val="30"/>
          <w:szCs w:val="30"/>
          <w14:textFill>
            <w14:solidFill>
              <w14:schemeClr w14:val="tx1"/>
            </w14:solidFill>
          </w14:textFill>
        </w:rPr>
      </w:pPr>
      <w:r>
        <w:rPr>
          <w:rFonts w:ascii="Times New Roman" w:hAnsi="Times New Roman" w:eastAsia="宋体" w:cs="Times New Roman"/>
          <w:snapToGrid w:val="0"/>
          <w:color w:val="000000" w:themeColor="text1"/>
          <w:sz w:val="36"/>
          <w:szCs w:val="36"/>
          <w14:textFill>
            <w14:solidFill>
              <w14:schemeClr w14:val="tx1"/>
            </w14:solidFill>
          </w14:textFill>
        </w:rPr>
        <w:br w:type="page"/>
      </w:r>
      <w:bookmarkStart w:id="7" w:name="_Toc643"/>
      <w:bookmarkStart w:id="8" w:name="_Toc20477"/>
      <w:r>
        <w:rPr>
          <w:rFonts w:ascii="Times New Roman" w:hAnsi="Times New Roman" w:eastAsia="宋体" w:cs="Times New Roman"/>
          <w:b/>
          <w:bCs/>
          <w:snapToGrid w:val="0"/>
          <w:color w:val="000000" w:themeColor="text1"/>
          <w:sz w:val="32"/>
          <w:szCs w:val="32"/>
          <w14:textFill>
            <w14:solidFill>
              <w14:schemeClr w14:val="tx1"/>
            </w14:solidFill>
          </w14:textFill>
        </w:rPr>
        <w:t>四、主要环境影响和保护措施</w:t>
      </w:r>
      <w:bookmarkEnd w:id="7"/>
      <w:bookmarkEnd w:id="8"/>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85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549" w:type="dxa"/>
            <w:tcMar>
              <w:left w:w="28" w:type="dxa"/>
              <w:right w:w="28" w:type="dxa"/>
            </w:tcMar>
            <w:vAlign w:val="center"/>
          </w:tcPr>
          <w:p>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施工</w:t>
            </w:r>
          </w:p>
          <w:p>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期环</w:t>
            </w:r>
          </w:p>
          <w:p>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境保</w:t>
            </w:r>
          </w:p>
          <w:p>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护措</w:t>
            </w:r>
          </w:p>
          <w:p>
            <w:pPr>
              <w:widowControl w:val="0"/>
              <w:topLinePunct/>
              <w:adjustRightInd w:val="0"/>
              <w:snapToGrid w:val="0"/>
              <w:spacing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施</w:t>
            </w:r>
          </w:p>
        </w:tc>
        <w:tc>
          <w:tcPr>
            <w:tcW w:w="8573" w:type="dxa"/>
            <w:vAlign w:val="center"/>
          </w:tcPr>
          <w:p>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4.1施工期环境保护措施</w:t>
            </w:r>
          </w:p>
          <w:p>
            <w:pPr>
              <w:widowControl w:val="0"/>
              <w:topLinePunct/>
              <w:spacing w:after="0" w:line="360" w:lineRule="auto"/>
              <w:ind w:firstLine="480" w:firstLineChars="200"/>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本次项目利用现有车间进行建设，</w:t>
            </w:r>
            <w:r>
              <w:rPr>
                <w:rFonts w:ascii="Times New Roman" w:hAnsi="Times New Roman" w:eastAsia="宋体" w:cs="Times New Roman"/>
                <w:bCs/>
                <w:color w:val="000000" w:themeColor="text1"/>
                <w:szCs w:val="24"/>
                <w14:textFill>
                  <w14:solidFill>
                    <w14:schemeClr w14:val="tx1"/>
                  </w14:solidFill>
                </w14:textFill>
              </w:rPr>
              <w:t>施工期主要为设备入驻及安装，不需要再进行土建施工，设备安装过程可能产生间歇性噪声影响及少量的包装废物，均为短期影响，随着安装结束其影响将消失。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71" w:hRule="atLeast"/>
          <w:jc w:val="center"/>
        </w:trPr>
        <w:tc>
          <w:tcPr>
            <w:tcW w:w="549" w:type="dxa"/>
            <w:tcMar>
              <w:left w:w="28" w:type="dxa"/>
              <w:right w:w="28" w:type="dxa"/>
            </w:tcMar>
            <w:vAlign w:val="center"/>
          </w:tcPr>
          <w:p>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运营</w:t>
            </w:r>
          </w:p>
          <w:p>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期环</w:t>
            </w:r>
          </w:p>
          <w:p>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境影</w:t>
            </w:r>
          </w:p>
          <w:p>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响和</w:t>
            </w:r>
          </w:p>
          <w:p>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保护</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措施</w:t>
            </w:r>
          </w:p>
        </w:tc>
        <w:tc>
          <w:tcPr>
            <w:tcW w:w="8573" w:type="dxa"/>
            <w:vAlign w:val="center"/>
          </w:tcPr>
          <w:p>
            <w:pPr>
              <w:widowControl w:val="0"/>
              <w:topLinePunct/>
              <w:spacing w:after="0" w:line="360" w:lineRule="auto"/>
              <w:jc w:val="both"/>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4.2 运营期环境影响分析</w:t>
            </w:r>
          </w:p>
          <w:p>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hint="eastAsia" w:ascii="Times New Roman" w:hAnsi="Times New Roman" w:eastAsia="宋体" w:cs="Times New Roman"/>
                <w:b/>
                <w:bCs/>
                <w:color w:val="000000" w:themeColor="text1"/>
                <w:sz w:val="28"/>
                <w:szCs w:val="28"/>
                <w14:textFill>
                  <w14:solidFill>
                    <w14:schemeClr w14:val="tx1"/>
                  </w14:solidFill>
                </w14:textFill>
              </w:rPr>
              <w:t xml:space="preserve">4.2.1 </w:t>
            </w:r>
            <w:r>
              <w:rPr>
                <w:rFonts w:ascii="Times New Roman" w:hAnsi="Times New Roman" w:eastAsia="宋体" w:cs="Times New Roman"/>
                <w:b/>
                <w:bCs/>
                <w:color w:val="000000" w:themeColor="text1"/>
                <w14:textFill>
                  <w14:solidFill>
                    <w14:schemeClr w14:val="tx1"/>
                  </w14:solidFill>
                </w14:textFill>
              </w:rPr>
              <w:t>地表水环境影响和防范措施</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w:t>
            </w: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.1 废水污染源强核算及分析</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废水主要为生产清洗废水水和间接冷却废水，本项目员工，均从现有员工人员中调配，无新增人员。因此无新增员工生活污水用水量。原有生活污水通过厂区化粪池处理后纳入市政污水管网进入融元污水处理厂统一处理。</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根据建设单位提供信息，</w:t>
            </w:r>
            <w:r>
              <w:rPr>
                <w:rFonts w:hint="eastAsia" w:ascii="Times New Roman" w:hAnsi="Times New Roman" w:eastAsia="宋体" w:cs="Times New Roman"/>
                <w:color w:val="000000" w:themeColor="text1"/>
                <w:szCs w:val="24"/>
                <w14:textFill>
                  <w14:solidFill>
                    <w14:schemeClr w14:val="tx1"/>
                  </w14:solidFill>
                </w14:textFill>
              </w:rPr>
              <w:t>本项目设置3个超声波清洗槽和1个自来水清洗槽，各洗水槽的相关信息及废水产生量见下表</w:t>
            </w:r>
            <w:r>
              <w:rPr>
                <w:rFonts w:ascii="Times New Roman" w:hAnsi="Times New Roman" w:eastAsia="宋体" w:cs="Times New Roman"/>
                <w:color w:val="000000" w:themeColor="text1"/>
                <w:szCs w:val="24"/>
                <w14:textFill>
                  <w14:solidFill>
                    <w14:schemeClr w14:val="tx1"/>
                  </w14:solidFill>
                </w14:textFill>
              </w:rPr>
              <w:t>。</w:t>
            </w:r>
          </w:p>
          <w:p>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表4.2-1 项目超声波及自来水清洗信息一览表</w:t>
            </w:r>
          </w:p>
          <w:tbl>
            <w:tblPr>
              <w:tblStyle w:val="2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99"/>
              <w:gridCol w:w="1809"/>
              <w:gridCol w:w="993"/>
              <w:gridCol w:w="637"/>
              <w:gridCol w:w="1021"/>
              <w:gridCol w:w="720"/>
              <w:gridCol w:w="17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24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设备名称</w:t>
                  </w:r>
                </w:p>
              </w:tc>
              <w:tc>
                <w:tcPr>
                  <w:tcW w:w="180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槽体参数（长*宽*高）</w:t>
                  </w:r>
                </w:p>
              </w:tc>
              <w:tc>
                <w:tcPr>
                  <w:tcW w:w="104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有效容积（m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780"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更换频次</w:t>
                  </w:r>
                </w:p>
              </w:tc>
              <w:tc>
                <w:tcPr>
                  <w:tcW w:w="1057"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水：清洗剂</w:t>
                  </w:r>
                </w:p>
              </w:tc>
              <w:tc>
                <w:tcPr>
                  <w:tcW w:w="8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废水产污系数</w:t>
                  </w:r>
                </w:p>
              </w:tc>
              <w:tc>
                <w:tcPr>
                  <w:tcW w:w="119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废水年产生量（t/a）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24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超声波清洗槽1</w:t>
                  </w:r>
                </w:p>
              </w:tc>
              <w:tc>
                <w:tcPr>
                  <w:tcW w:w="180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1.5m*0.8m*0.8m</w:t>
                  </w:r>
                </w:p>
              </w:tc>
              <w:tc>
                <w:tcPr>
                  <w:tcW w:w="104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0.75m</w:t>
                  </w:r>
                  <w:r>
                    <w:rPr>
                      <w:rFonts w:hint="eastAsia"/>
                      <w:color w:val="000000" w:themeColor="text1"/>
                      <w:vertAlign w:val="superscript"/>
                      <w14:textFill>
                        <w14:solidFill>
                          <w14:schemeClr w14:val="tx1"/>
                        </w14:solidFill>
                      </w14:textFill>
                    </w:rPr>
                    <w:t>3</w:t>
                  </w:r>
                </w:p>
              </w:tc>
              <w:tc>
                <w:tcPr>
                  <w:tcW w:w="780"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两天一换</w:t>
                  </w:r>
                </w:p>
              </w:tc>
              <w:tc>
                <w:tcPr>
                  <w:tcW w:w="1057"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99.8%：0.2%</w:t>
                  </w:r>
                </w:p>
              </w:tc>
              <w:tc>
                <w:tcPr>
                  <w:tcW w:w="801" w:type="dxa"/>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19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0.75*125*0.8=75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4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超声波清洗槽2</w:t>
                  </w:r>
                </w:p>
              </w:tc>
              <w:tc>
                <w:tcPr>
                  <w:tcW w:w="180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1.4m*0.5m*0.5m</w:t>
                  </w:r>
                </w:p>
              </w:tc>
              <w:tc>
                <w:tcPr>
                  <w:tcW w:w="104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0.28m</w:t>
                  </w:r>
                  <w:r>
                    <w:rPr>
                      <w:rFonts w:hint="eastAsia"/>
                      <w:color w:val="000000" w:themeColor="text1"/>
                      <w:vertAlign w:val="superscript"/>
                      <w14:textFill>
                        <w14:solidFill>
                          <w14:schemeClr w14:val="tx1"/>
                        </w14:solidFill>
                      </w14:textFill>
                    </w:rPr>
                    <w:t>3</w:t>
                  </w:r>
                </w:p>
              </w:tc>
              <w:tc>
                <w:tcPr>
                  <w:tcW w:w="780"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一天一换</w:t>
                  </w:r>
                </w:p>
              </w:tc>
              <w:tc>
                <w:tcPr>
                  <w:tcW w:w="1057"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99.7%：0.3%</w:t>
                  </w:r>
                </w:p>
              </w:tc>
              <w:tc>
                <w:tcPr>
                  <w:tcW w:w="801" w:type="dxa"/>
                  <w:vMerge w:val="continue"/>
                  <w:vAlign w:val="center"/>
                </w:tcPr>
                <w:p>
                  <w:pPr>
                    <w:pStyle w:val="221"/>
                    <w:rPr>
                      <w:color w:val="000000" w:themeColor="text1"/>
                      <w14:textFill>
                        <w14:solidFill>
                          <w14:schemeClr w14:val="tx1"/>
                        </w14:solidFill>
                      </w14:textFill>
                    </w:rPr>
                  </w:pPr>
                </w:p>
              </w:tc>
              <w:tc>
                <w:tcPr>
                  <w:tcW w:w="119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0.28*250*0.8=56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24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超声波清洗槽3</w:t>
                  </w:r>
                </w:p>
              </w:tc>
              <w:tc>
                <w:tcPr>
                  <w:tcW w:w="180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0.7m*0.5m*0.5m</w:t>
                  </w:r>
                </w:p>
              </w:tc>
              <w:tc>
                <w:tcPr>
                  <w:tcW w:w="104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0.123m</w:t>
                  </w:r>
                  <w:r>
                    <w:rPr>
                      <w:rFonts w:hint="eastAsia"/>
                      <w:color w:val="000000" w:themeColor="text1"/>
                      <w:vertAlign w:val="superscript"/>
                      <w14:textFill>
                        <w14:solidFill>
                          <w14:schemeClr w14:val="tx1"/>
                        </w14:solidFill>
                      </w14:textFill>
                    </w:rPr>
                    <w:t>3</w:t>
                  </w:r>
                </w:p>
              </w:tc>
              <w:tc>
                <w:tcPr>
                  <w:tcW w:w="780"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4天换一次</w:t>
                  </w:r>
                </w:p>
              </w:tc>
              <w:tc>
                <w:tcPr>
                  <w:tcW w:w="1057"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99.7%：0.3%</w:t>
                  </w:r>
                </w:p>
              </w:tc>
              <w:tc>
                <w:tcPr>
                  <w:tcW w:w="801" w:type="dxa"/>
                  <w:vMerge w:val="continue"/>
                  <w:vAlign w:val="center"/>
                </w:tcPr>
                <w:p>
                  <w:pPr>
                    <w:pStyle w:val="221"/>
                    <w:rPr>
                      <w:color w:val="000000" w:themeColor="text1"/>
                      <w14:textFill>
                        <w14:solidFill>
                          <w14:schemeClr w14:val="tx1"/>
                        </w14:solidFill>
                      </w14:textFill>
                    </w:rPr>
                  </w:pPr>
                </w:p>
              </w:tc>
              <w:tc>
                <w:tcPr>
                  <w:tcW w:w="119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0.123*63*0.8=6.2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24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自来水清洗槽（一备一用）</w:t>
                  </w:r>
                </w:p>
              </w:tc>
              <w:tc>
                <w:tcPr>
                  <w:tcW w:w="180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0.8m*0.6m*0.34m</w:t>
                  </w:r>
                </w:p>
              </w:tc>
              <w:tc>
                <w:tcPr>
                  <w:tcW w:w="1042"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0.12m</w:t>
                  </w:r>
                  <w:r>
                    <w:rPr>
                      <w:rFonts w:hint="eastAsia"/>
                      <w:color w:val="000000" w:themeColor="text1"/>
                      <w:vertAlign w:val="superscript"/>
                      <w14:textFill>
                        <w14:solidFill>
                          <w14:schemeClr w14:val="tx1"/>
                        </w14:solidFill>
                      </w14:textFill>
                    </w:rPr>
                    <w:t>3</w:t>
                  </w:r>
                </w:p>
              </w:tc>
              <w:tc>
                <w:tcPr>
                  <w:tcW w:w="780"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一天换两次</w:t>
                  </w:r>
                </w:p>
              </w:tc>
              <w:tc>
                <w:tcPr>
                  <w:tcW w:w="1057"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01" w:type="dxa"/>
                  <w:vMerge w:val="continue"/>
                  <w:vAlign w:val="center"/>
                </w:tcPr>
                <w:p>
                  <w:pPr>
                    <w:pStyle w:val="221"/>
                    <w:rPr>
                      <w:color w:val="000000" w:themeColor="text1"/>
                      <w14:textFill>
                        <w14:solidFill>
                          <w14:schemeClr w14:val="tx1"/>
                        </w14:solidFill>
                      </w14:textFill>
                    </w:rPr>
                  </w:pPr>
                </w:p>
              </w:tc>
              <w:tc>
                <w:tcPr>
                  <w:tcW w:w="119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0.12*500*0.8=48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1" w:type="dxa"/>
                  <w:gridSpan w:val="7"/>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1196"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185.2</w:t>
                  </w:r>
                </w:p>
              </w:tc>
            </w:tr>
          </w:tbl>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根据以上信息，本项目清洗用水量为231.5t/a，废水产污系数按80%计，清洗废水年产生量为185.2t/a，类比同类型项目企业调查情况以及参考环境影响评价系列教材《冶金机电类环境影响评价》(环境 保护部环境工程评估中心编)“第四篇机械工业”中对脱脂废水的水质浓度介绍为：pH (9-10)、SS(40-75mg1)、CODcr (750-1250mg)、石油类(50-70mg)、总磷(25-50mgL)，再结合项目具体情况分析，本项目混合橡胶零件清洗废水，使用的清洗剂成分表可知，清洗剂中不含有磷、重金属等离子，则项目超声波清洗废水产生浓度取该类废水污染物及其浓度为：PH：9、COD：800mg/L、BOD</w:t>
            </w:r>
            <w:r>
              <w:rPr>
                <w:rFonts w:hint="eastAsia" w:ascii="Times New Roman" w:hAnsi="Times New Roman" w:eastAsia="宋体" w:cs="Times New Roman"/>
                <w:color w:val="000000" w:themeColor="text1"/>
                <w:szCs w:val="24"/>
                <w:vertAlign w:val="subscript"/>
                <w14:textFill>
                  <w14:solidFill>
                    <w14:schemeClr w14:val="tx1"/>
                  </w14:solidFill>
                </w14:textFill>
              </w:rPr>
              <w:t>5</w:t>
            </w:r>
            <w:r>
              <w:rPr>
                <w:rFonts w:hint="eastAsia" w:ascii="Times New Roman" w:hAnsi="Times New Roman" w:eastAsia="宋体" w:cs="Times New Roman"/>
                <w:color w:val="000000" w:themeColor="text1"/>
                <w:szCs w:val="24"/>
                <w14:textFill>
                  <w14:solidFill>
                    <w14:schemeClr w14:val="tx1"/>
                  </w14:solidFill>
                </w14:textFill>
              </w:rPr>
              <w:t>：100mg/L、SS：200mg/L、石油类50mg/L、LAS50mg/L。经混合汇入厂区内自建污水处理站（处理规模为5t/a）处理后回用于冷却塔冷却用水。</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4.2.1.2污水处理站处理工艺</w:t>
            </w:r>
          </w:p>
          <w:p>
            <w:pPr>
              <w:shd w:val="clear" w:color="auto" w:fill="FFFFFF"/>
              <w:spacing w:after="0"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object>
                <v:shape id="_x0000_i1026" o:spt="75" type="#_x0000_t75" style="height:76.5pt;width:396.05pt;" o:ole="t" filled="f" o:preferrelative="t" stroked="f" coordsize="21600,21600">
                  <v:path/>
                  <v:fill on="f" focussize="0,0"/>
                  <v:stroke on="f" joinstyle="miter"/>
                  <v:imagedata r:id="rId39" o:title=""/>
                  <o:lock v:ext="edit" aspectratio="t"/>
                  <w10:wrap type="none"/>
                  <w10:anchorlock/>
                </v:shape>
                <o:OLEObject Type="Embed" ProgID="PowerPoint.Slide.12" ShapeID="_x0000_i1026" DrawAspect="Content" ObjectID="_1468075726" r:id="rId38">
                  <o:LockedField>false</o:LockedField>
                </o:OLEObject>
              </w:object>
            </w:r>
          </w:p>
          <w:p>
            <w:pPr>
              <w:shd w:val="clear" w:color="auto" w:fill="FFFFFF"/>
              <w:spacing w:after="0" w:line="360" w:lineRule="auto"/>
              <w:jc w:val="center"/>
              <w:rPr>
                <w:rFonts w:ascii="Times New Roman" w:hAnsi="Times New Roman" w:eastAsia="宋体" w:cs="Times New Roman"/>
                <w:b/>
                <w:bCs/>
                <w:color w:val="000000" w:themeColor="text1"/>
                <w14:textFill>
                  <w14:solidFill>
                    <w14:schemeClr w14:val="tx1"/>
                  </w14:solidFill>
                </w14:textFill>
              </w:rPr>
            </w:pPr>
            <w:r>
              <w:rPr>
                <w:rFonts w:hint="eastAsia" w:ascii="Times New Roman" w:hAnsi="Times New Roman" w:eastAsia="宋体" w:cs="Times New Roman"/>
                <w:b/>
                <w:bCs/>
                <w:color w:val="000000" w:themeColor="text1"/>
                <w14:textFill>
                  <w14:solidFill>
                    <w14:schemeClr w14:val="tx1"/>
                  </w14:solidFill>
                </w14:textFill>
              </w:rPr>
              <w:t>图4.2-1 污水处理站处理工艺流程图</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工艺流程简述：</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 xml:space="preserve">pH </w:t>
            </w:r>
            <w:r>
              <w:rPr>
                <w:rFonts w:hint="eastAsia" w:ascii="Times New Roman" w:hAnsi="Times New Roman" w:eastAsia="宋体" w:cs="Times New Roman"/>
                <w:color w:val="000000" w:themeColor="text1"/>
                <w:szCs w:val="24"/>
                <w14:textFill>
                  <w14:solidFill>
                    <w14:schemeClr w14:val="tx1"/>
                  </w14:solidFill>
                </w14:textFill>
              </w:rPr>
              <w:t xml:space="preserve">调节池：通过投加相应针对 </w:t>
            </w:r>
            <w:r>
              <w:rPr>
                <w:rFonts w:ascii="Times New Roman" w:hAnsi="Times New Roman" w:eastAsia="宋体" w:cs="Times New Roman"/>
                <w:color w:val="000000" w:themeColor="text1"/>
                <w:szCs w:val="24"/>
                <w14:textFill>
                  <w14:solidFill>
                    <w14:schemeClr w14:val="tx1"/>
                  </w14:solidFill>
                </w14:textFill>
              </w:rPr>
              <w:t xml:space="preserve">pH </w:t>
            </w:r>
            <w:r>
              <w:rPr>
                <w:rFonts w:hint="eastAsia" w:ascii="Times New Roman" w:hAnsi="Times New Roman" w:eastAsia="宋体" w:cs="Times New Roman"/>
                <w:color w:val="000000" w:themeColor="text1"/>
                <w:szCs w:val="24"/>
                <w14:textFill>
                  <w14:solidFill>
                    <w14:schemeClr w14:val="tx1"/>
                  </w14:solidFill>
                </w14:textFill>
              </w:rPr>
              <w:t xml:space="preserve">的药剂，把 </w:t>
            </w:r>
            <w:r>
              <w:rPr>
                <w:rFonts w:ascii="Times New Roman" w:hAnsi="Times New Roman" w:eastAsia="宋体" w:cs="Times New Roman"/>
                <w:color w:val="000000" w:themeColor="text1"/>
                <w:szCs w:val="24"/>
                <w14:textFill>
                  <w14:solidFill>
                    <w14:schemeClr w14:val="tx1"/>
                  </w14:solidFill>
                </w14:textFill>
              </w:rPr>
              <w:t xml:space="preserve">pH </w:t>
            </w:r>
            <w:r>
              <w:rPr>
                <w:rFonts w:hint="eastAsia" w:ascii="Times New Roman" w:hAnsi="Times New Roman" w:eastAsia="宋体" w:cs="Times New Roman"/>
                <w:color w:val="000000" w:themeColor="text1"/>
                <w:szCs w:val="24"/>
                <w14:textFill>
                  <w14:solidFill>
                    <w14:schemeClr w14:val="tx1"/>
                  </w14:solidFill>
                </w14:textFill>
              </w:rPr>
              <w:t>调至中性。停留时间：</w:t>
            </w:r>
            <w:r>
              <w:rPr>
                <w:rFonts w:ascii="Times New Roman" w:hAnsi="Times New Roman" w:eastAsia="宋体" w:cs="Times New Roman"/>
                <w:color w:val="000000" w:themeColor="text1"/>
                <w:szCs w:val="24"/>
                <w14:textFill>
                  <w14:solidFill>
                    <w14:schemeClr w14:val="tx1"/>
                  </w14:solidFill>
                </w14:textFill>
              </w:rPr>
              <w:t>1.25h</w:t>
            </w:r>
            <w:r>
              <w:rPr>
                <w:rFonts w:hint="eastAsia" w:ascii="Times New Roman" w:hAnsi="Times New Roman" w:eastAsia="宋体" w:cs="Times New Roman"/>
                <w:color w:val="000000" w:themeColor="text1"/>
                <w:szCs w:val="24"/>
                <w14:textFill>
                  <w14:solidFill>
                    <w14:schemeClr w14:val="tx1"/>
                  </w14:solidFill>
                </w14:textFill>
              </w:rPr>
              <w:t>。</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（2）混凝沉淀池：通过投加</w:t>
            </w:r>
            <w:r>
              <w:rPr>
                <w:rFonts w:ascii="Times New Roman" w:hAnsi="Times New Roman" w:eastAsia="宋体" w:cs="Times New Roman"/>
                <w:color w:val="000000" w:themeColor="text1"/>
                <w:szCs w:val="24"/>
                <w14:textFill>
                  <w14:solidFill>
                    <w14:schemeClr w14:val="tx1"/>
                  </w14:solidFill>
                </w14:textFill>
              </w:rPr>
              <w:t>PAC</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PAM</w:t>
            </w:r>
            <w:r>
              <w:rPr>
                <w:rFonts w:hint="eastAsia" w:ascii="Times New Roman" w:hAnsi="Times New Roman" w:eastAsia="宋体" w:cs="Times New Roman"/>
                <w:color w:val="000000" w:themeColor="text1"/>
                <w:szCs w:val="24"/>
                <w14:textFill>
                  <w14:solidFill>
                    <w14:schemeClr w14:val="tx1"/>
                  </w14:solidFill>
                </w14:textFill>
              </w:rPr>
              <w:t>，有利于快速反应生成易于沉淀的物化污泥，同时也大量削减了废水中的</w:t>
            </w:r>
            <w:r>
              <w:rPr>
                <w:rFonts w:ascii="Times New Roman" w:hAnsi="Times New Roman" w:eastAsia="宋体" w:cs="Times New Roman"/>
                <w:color w:val="000000" w:themeColor="text1"/>
                <w:szCs w:val="24"/>
                <w14:textFill>
                  <w14:solidFill>
                    <w14:schemeClr w14:val="tx1"/>
                  </w14:solidFill>
                </w14:textFill>
              </w:rPr>
              <w:t>COD</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SS</w:t>
            </w:r>
            <w:r>
              <w:rPr>
                <w:rFonts w:hint="eastAsia" w:ascii="Times New Roman" w:hAnsi="Times New Roman" w:eastAsia="宋体" w:cs="Times New Roman"/>
                <w:color w:val="000000" w:themeColor="text1"/>
                <w:szCs w:val="24"/>
                <w14:textFill>
                  <w14:solidFill>
                    <w14:schemeClr w14:val="tx1"/>
                  </w14:solidFill>
                </w14:textFill>
              </w:rPr>
              <w:t>等，有利提高后道工序的处理。保证后续的水质均匀、稳定。</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（3）二沉池：通过重力沉降和过滤作用得使泥水分离。</w:t>
            </w:r>
          </w:p>
          <w:p>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w:t>
            </w:r>
            <w:r>
              <w:rPr>
                <w:rFonts w:hint="eastAsia" w:ascii="Times New Roman" w:hAnsi="Times New Roman" w:eastAsia="宋体" w:cs="Times New Roman"/>
                <w:color w:val="000000" w:themeColor="text1"/>
                <w:szCs w:val="24"/>
                <w14:textFill>
                  <w14:solidFill>
                    <w14:schemeClr w14:val="tx1"/>
                  </w14:solidFill>
                </w14:textFill>
              </w:rPr>
              <w:t>1.3</w:t>
            </w:r>
            <w:r>
              <w:rPr>
                <w:rFonts w:ascii="Times New Roman" w:hAnsi="Times New Roman" w:eastAsia="宋体" w:cs="Times New Roman"/>
                <w:color w:val="000000" w:themeColor="text1"/>
                <w:szCs w:val="24"/>
                <w14:textFill>
                  <w14:solidFill>
                    <w14:schemeClr w14:val="tx1"/>
                  </w14:solidFill>
                </w14:textFill>
              </w:rPr>
              <w:t xml:space="preserve"> </w:t>
            </w:r>
            <w:r>
              <w:rPr>
                <w:rFonts w:hint="eastAsia" w:ascii="Times New Roman" w:hAnsi="Times New Roman" w:eastAsia="宋体" w:cs="Times New Roman"/>
                <w:color w:val="000000" w:themeColor="text1"/>
                <w:szCs w:val="24"/>
                <w14:textFill>
                  <w14:solidFill>
                    <w14:schemeClr w14:val="tx1"/>
                  </w14:solidFill>
                </w14:textFill>
              </w:rPr>
              <w:t>清洗</w:t>
            </w:r>
            <w:r>
              <w:rPr>
                <w:rFonts w:ascii="Times New Roman" w:hAnsi="Times New Roman" w:eastAsia="宋体" w:cs="Times New Roman"/>
                <w:color w:val="000000" w:themeColor="text1"/>
                <w:szCs w:val="24"/>
                <w14:textFill>
                  <w14:solidFill>
                    <w14:schemeClr w14:val="tx1"/>
                  </w14:solidFill>
                </w14:textFill>
              </w:rPr>
              <w:t>废水</w:t>
            </w:r>
            <w:r>
              <w:rPr>
                <w:rFonts w:hint="eastAsia" w:ascii="Times New Roman" w:hAnsi="Times New Roman" w:eastAsia="宋体" w:cs="Times New Roman"/>
                <w:color w:val="000000" w:themeColor="text1"/>
                <w:szCs w:val="24"/>
                <w14:textFill>
                  <w14:solidFill>
                    <w14:schemeClr w14:val="tx1"/>
                  </w14:solidFill>
                </w14:textFill>
              </w:rPr>
              <w:t>回用可行性</w:t>
            </w:r>
            <w:r>
              <w:rPr>
                <w:rFonts w:ascii="Times New Roman" w:hAnsi="Times New Roman" w:eastAsia="宋体" w:cs="Times New Roman"/>
                <w:color w:val="000000" w:themeColor="text1"/>
                <w:szCs w:val="24"/>
                <w14:textFill>
                  <w14:solidFill>
                    <w14:schemeClr w14:val="tx1"/>
                  </w14:solidFill>
                </w14:textFill>
              </w:rPr>
              <w:t>分析</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污水混凝与絮凝处理工程技术规范》(HJ2006-2010)、《污水过滤处理工程技术规范》(H20082010)、《注册环保专业考试教材水分册上册(第四版)》及工程设计经验及工程设计经验可知，混凝反应池+沉淀池主要去除的污染物为SS、石油类、除效率为60~70%，其余污染物的去除效率在10%~50%之间。本项目废水经处理后全部回用于冷却塔冷却用水是可行的。</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w:t>
            </w:r>
            <w:r>
              <w:rPr>
                <w:rFonts w:hint="eastAsia" w:ascii="Times New Roman" w:hAnsi="Times New Roman" w:eastAsia="宋体" w:cs="Times New Roman"/>
                <w:color w:val="000000" w:themeColor="text1"/>
                <w:szCs w:val="24"/>
                <w14:textFill>
                  <w14:solidFill>
                    <w14:schemeClr w14:val="tx1"/>
                  </w14:solidFill>
                </w14:textFill>
              </w:rPr>
              <w:t>1.4</w:t>
            </w:r>
            <w:r>
              <w:rPr>
                <w:rFonts w:ascii="Times New Roman" w:hAnsi="Times New Roman" w:eastAsia="宋体" w:cs="Times New Roman"/>
                <w:color w:val="000000" w:themeColor="text1"/>
                <w:szCs w:val="24"/>
                <w14:textFill>
                  <w14:solidFill>
                    <w14:schemeClr w14:val="tx1"/>
                  </w14:solidFill>
                </w14:textFill>
              </w:rPr>
              <w:t>水环境影响分析结论</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根据上述分析，本项目</w:t>
            </w:r>
            <w:r>
              <w:rPr>
                <w:rFonts w:hint="eastAsia" w:ascii="Times New Roman" w:hAnsi="Times New Roman" w:eastAsia="宋体" w:cs="Times New Roman"/>
                <w:color w:val="000000" w:themeColor="text1"/>
                <w:szCs w:val="24"/>
                <w14:textFill>
                  <w14:solidFill>
                    <w14:schemeClr w14:val="tx1"/>
                  </w14:solidFill>
                </w14:textFill>
              </w:rPr>
              <w:t>产生的清洗废水经厂区污水处理厂处理后回用于清洗工序和冷却塔冷却用水，不外排</w:t>
            </w:r>
            <w:r>
              <w:rPr>
                <w:rFonts w:ascii="Times New Roman" w:hAnsi="Times New Roman" w:eastAsia="宋体" w:cs="Times New Roman"/>
                <w:color w:val="000000" w:themeColor="text1"/>
                <w:szCs w:val="24"/>
                <w14:textFill>
                  <w14:solidFill>
                    <w14:schemeClr w14:val="tx1"/>
                  </w14:solidFill>
                </w14:textFill>
              </w:rPr>
              <w:t>。项目废水不直接排入地表水体，因此不会对区域地表水环境产生直接不利影响。</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w:t>
            </w: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.5监测要求</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本项目产生的清洗废水经厂区污水处理厂处理后回用于清洗工序和冷却塔冷却用水，不外排，员工从现有工程中调配，不新增员工生活污水，因此无需对废水展开自行监测。</w:t>
            </w:r>
          </w:p>
          <w:p>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2</w:t>
            </w:r>
            <w:r>
              <w:rPr>
                <w:rFonts w:ascii="Times New Roman" w:hAnsi="Times New Roman" w:eastAsia="宋体" w:cs="Times New Roman"/>
                <w:b/>
                <w:bCs/>
                <w:color w:val="000000" w:themeColor="text1"/>
                <w14:textFill>
                  <w14:solidFill>
                    <w14:schemeClr w14:val="tx1"/>
                  </w14:solidFill>
                </w14:textFill>
              </w:rPr>
              <w:t xml:space="preserve"> 大气环境影响和防范措施</w:t>
            </w:r>
          </w:p>
          <w:p>
            <w:pPr>
              <w:widowControl w:val="0"/>
              <w:tabs>
                <w:tab w:val="left" w:pos="342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.1  大气环境影响分析</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本项目产生的废气主要为注胶硫化产生的非甲烷总烃、臭气浓度、硫化氢；环氧树脂混料搅拌产生非甲烷总烃；环氧树脂浇注固化、二次固化产生的有机废气；外购金属件涂刷产生的有机废气；橡胶件打磨树脂粉尘。</w:t>
            </w:r>
          </w:p>
          <w:p>
            <w:pPr>
              <w:widowControl w:val="0"/>
              <w:numPr>
                <w:ilvl w:val="0"/>
                <w:numId w:val="4"/>
              </w:numPr>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注胶硫化废气</w:t>
            </w:r>
          </w:p>
          <w:p>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 xml:space="preserve">    本项目注胶硫化过程会产生非甲烷总烃、H</w:t>
            </w:r>
            <w:r>
              <w:rPr>
                <w:rFonts w:hint="eastAsia" w:ascii="Times New Roman" w:hAnsi="Times New Roman" w:eastAsia="宋体" w:cs="Times New Roman"/>
                <w:color w:val="000000" w:themeColor="text1"/>
                <w:szCs w:val="24"/>
                <w:vertAlign w:val="subscript"/>
                <w14:textFill>
                  <w14:solidFill>
                    <w14:schemeClr w14:val="tx1"/>
                  </w14:solidFill>
                </w14:textFill>
              </w:rPr>
              <w:t>2</w:t>
            </w:r>
            <w:r>
              <w:rPr>
                <w:rFonts w:hint="eastAsia" w:ascii="Times New Roman" w:hAnsi="Times New Roman" w:eastAsia="宋体" w:cs="Times New Roman"/>
                <w:color w:val="000000" w:themeColor="text1"/>
                <w:szCs w:val="24"/>
                <w14:textFill>
                  <w14:solidFill>
                    <w14:schemeClr w14:val="tx1"/>
                  </w14:solidFill>
                </w14:textFill>
              </w:rPr>
              <w:t>S，非甲烷总烃的排放系数参考《橡胶制品生产过程中有机废气污染物的排放系数》(《橡胶工业》2016年第 63 卷第2期)中各类橡胶原料测试得到的废气污染物排放系数，硫化工序非甲烷总烃产生量为46.8mg/kg原料，H</w:t>
            </w:r>
            <w:r>
              <w:rPr>
                <w:rFonts w:hint="eastAsia" w:ascii="Times New Roman" w:hAnsi="Times New Roman" w:eastAsia="宋体" w:cs="Times New Roman"/>
                <w:color w:val="000000" w:themeColor="text1"/>
                <w:szCs w:val="24"/>
                <w:vertAlign w:val="subscript"/>
                <w14:textFill>
                  <w14:solidFill>
                    <w14:schemeClr w14:val="tx1"/>
                  </w14:solidFill>
                </w14:textFill>
              </w:rPr>
              <w:t>2</w:t>
            </w:r>
            <w:r>
              <w:rPr>
                <w:rFonts w:hint="eastAsia" w:ascii="Times New Roman" w:hAnsi="Times New Roman" w:eastAsia="宋体" w:cs="Times New Roman"/>
                <w:color w:val="000000" w:themeColor="text1"/>
                <w:szCs w:val="24"/>
                <w14:textFill>
                  <w14:solidFill>
                    <w14:schemeClr w14:val="tx1"/>
                  </w14:solidFill>
                </w14:textFill>
              </w:rPr>
              <w:t>S的产生量25.6mg/kg原料，项目原料用量为413t/a，则非甲烷总烃产生量为0.019t/a，则H</w:t>
            </w:r>
            <w:r>
              <w:rPr>
                <w:rFonts w:hint="eastAsia" w:ascii="Times New Roman" w:hAnsi="Times New Roman" w:eastAsia="宋体" w:cs="Times New Roman"/>
                <w:color w:val="000000" w:themeColor="text1"/>
                <w:szCs w:val="24"/>
                <w:vertAlign w:val="subscript"/>
                <w14:textFill>
                  <w14:solidFill>
                    <w14:schemeClr w14:val="tx1"/>
                  </w14:solidFill>
                </w14:textFill>
              </w:rPr>
              <w:t>2</w:t>
            </w:r>
            <w:r>
              <w:rPr>
                <w:rFonts w:hint="eastAsia" w:ascii="Times New Roman" w:hAnsi="Times New Roman" w:eastAsia="宋体" w:cs="Times New Roman"/>
                <w:color w:val="000000" w:themeColor="text1"/>
                <w:szCs w:val="24"/>
                <w14:textFill>
                  <w14:solidFill>
                    <w14:schemeClr w14:val="tx1"/>
                  </w14:solidFill>
                </w14:textFill>
              </w:rPr>
              <w:t>S的产生量为0.011t/a。采用车间收集+二级活性炭吸附装置处理后由15m高DA005排气筒排放，收集效率为90%，则注胶硫化工序非甲烷总烃有组织产生量为0.017t/a，H</w:t>
            </w:r>
            <w:r>
              <w:rPr>
                <w:rFonts w:hint="eastAsia" w:ascii="Times New Roman" w:hAnsi="Times New Roman" w:eastAsia="宋体" w:cs="Times New Roman"/>
                <w:color w:val="000000" w:themeColor="text1"/>
                <w:szCs w:val="24"/>
                <w:vertAlign w:val="subscript"/>
                <w14:textFill>
                  <w14:solidFill>
                    <w14:schemeClr w14:val="tx1"/>
                  </w14:solidFill>
                </w14:textFill>
              </w:rPr>
              <w:t>2</w:t>
            </w:r>
            <w:r>
              <w:rPr>
                <w:rFonts w:hint="eastAsia" w:ascii="Times New Roman" w:hAnsi="Times New Roman" w:eastAsia="宋体" w:cs="Times New Roman"/>
                <w:color w:val="000000" w:themeColor="text1"/>
                <w:szCs w:val="24"/>
                <w14:textFill>
                  <w14:solidFill>
                    <w14:schemeClr w14:val="tx1"/>
                  </w14:solidFill>
                </w14:textFill>
              </w:rPr>
              <w:t>S有组织产生量为0.0099t/a，非甲烷总烃无组织产生量为0.002t/a，H</w:t>
            </w:r>
            <w:r>
              <w:rPr>
                <w:rFonts w:hint="eastAsia" w:ascii="Times New Roman" w:hAnsi="Times New Roman" w:eastAsia="宋体" w:cs="Times New Roman"/>
                <w:color w:val="000000" w:themeColor="text1"/>
                <w:szCs w:val="24"/>
                <w:vertAlign w:val="subscript"/>
                <w14:textFill>
                  <w14:solidFill>
                    <w14:schemeClr w14:val="tx1"/>
                  </w14:solidFill>
                </w14:textFill>
              </w:rPr>
              <w:t>2</w:t>
            </w:r>
            <w:r>
              <w:rPr>
                <w:rFonts w:hint="eastAsia" w:ascii="Times New Roman" w:hAnsi="Times New Roman" w:eastAsia="宋体" w:cs="Times New Roman"/>
                <w:color w:val="000000" w:themeColor="text1"/>
                <w:szCs w:val="24"/>
                <w14:textFill>
                  <w14:solidFill>
                    <w14:schemeClr w14:val="tx1"/>
                  </w14:solidFill>
                </w14:textFill>
              </w:rPr>
              <w:t>S无组织产生量为0.00113t/a。</w:t>
            </w:r>
          </w:p>
          <w:p>
            <w:pPr>
              <w:pStyle w:val="172"/>
              <w:widowControl w:val="0"/>
              <w:numPr>
                <w:ilvl w:val="0"/>
                <w:numId w:val="4"/>
              </w:numPr>
              <w:topLinePunct/>
              <w:spacing w:after="0" w:line="360" w:lineRule="auto"/>
              <w:ind w:firstLine="480" w:firstLineChars="20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投料粉尘</w:t>
            </w:r>
          </w:p>
          <w:p>
            <w:pPr>
              <w:pStyle w:val="14"/>
              <w:autoSpaceDE w:val="0"/>
              <w:snapToGrid w:val="0"/>
              <w:spacing w:after="0"/>
              <w:ind w:firstLine="480"/>
              <w:rPr>
                <w:rFonts w:hint="eastAsia" w:ascii="宋体" w:hAnsi="宋体" w:eastAsia="宋体" w:cs="Times New Roman"/>
                <w:color w:val="000000" w:themeColor="text1"/>
                <w:szCs w:val="24"/>
                <w14:textFill>
                  <w14:solidFill>
                    <w14:schemeClr w14:val="tx1"/>
                  </w14:solidFill>
                </w14:textFill>
              </w:rPr>
            </w:pPr>
            <w:r>
              <w:rPr>
                <w:rFonts w:hint="eastAsia" w:ascii="宋体" w:hAnsi="宋体" w:eastAsia="宋体" w:cs="Times New Roman"/>
                <w:color w:val="000000" w:themeColor="text1"/>
                <w:szCs w:val="24"/>
                <w14:textFill>
                  <w14:solidFill>
                    <w14:schemeClr w14:val="tx1"/>
                  </w14:solidFill>
                </w14:textFill>
              </w:rPr>
              <w:t>根据建设单位提供资料，项目环氧树脂混料搅拌设备为密闭设备，在投料时原料中硅微粉会</w:t>
            </w:r>
            <w:r>
              <w:rPr>
                <w:rFonts w:ascii="宋体" w:hAnsi="宋体" w:eastAsia="宋体" w:cs="Times New Roman"/>
                <w:color w:val="000000" w:themeColor="text1"/>
                <w:szCs w:val="24"/>
                <w14:textFill>
                  <w14:solidFill>
                    <w14:schemeClr w14:val="tx1"/>
                  </w14:solidFill>
                </w14:textFill>
              </w:rPr>
              <w:t>产生</w:t>
            </w:r>
            <w:r>
              <w:rPr>
                <w:rFonts w:hint="eastAsia" w:ascii="宋体" w:hAnsi="宋体" w:eastAsia="宋体" w:cs="Times New Roman"/>
                <w:color w:val="000000" w:themeColor="text1"/>
                <w:szCs w:val="24"/>
                <w14:textFill>
                  <w14:solidFill>
                    <w14:schemeClr w14:val="tx1"/>
                  </w14:solidFill>
                </w14:textFill>
              </w:rPr>
              <w:t>少量的投料</w:t>
            </w:r>
            <w:r>
              <w:rPr>
                <w:rFonts w:ascii="宋体" w:hAnsi="宋体" w:eastAsia="宋体" w:cs="Times New Roman"/>
                <w:color w:val="000000" w:themeColor="text1"/>
                <w:szCs w:val="24"/>
                <w14:textFill>
                  <w14:solidFill>
                    <w14:schemeClr w14:val="tx1"/>
                  </w14:solidFill>
                </w14:textFill>
              </w:rPr>
              <w:t>粉尘</w:t>
            </w:r>
            <w:r>
              <w:rPr>
                <w:rFonts w:hint="eastAsia" w:ascii="宋体" w:hAnsi="宋体" w:eastAsia="宋体" w:cs="Times New Roman"/>
                <w:color w:val="000000" w:themeColor="text1"/>
                <w:szCs w:val="24"/>
                <w14:textFill>
                  <w14:solidFill>
                    <w14:schemeClr w14:val="tx1"/>
                  </w14:solidFill>
                </w14:textFill>
              </w:rPr>
              <w:t>；</w:t>
            </w:r>
            <w:r>
              <w:rPr>
                <w:rFonts w:ascii="宋体" w:hAnsi="宋体" w:eastAsia="宋体" w:cs="Times New Roman"/>
                <w:color w:val="000000" w:themeColor="text1"/>
                <w:szCs w:val="24"/>
                <w14:textFill>
                  <w14:solidFill>
                    <w14:schemeClr w14:val="tx1"/>
                  </w14:solidFill>
                </w14:textFill>
              </w:rPr>
              <w:t>参照《逸散性工业粉尘控制技术》中块</w:t>
            </w:r>
            <w:r>
              <w:rPr>
                <w:rFonts w:hint="eastAsia" w:ascii="宋体" w:hAnsi="宋体" w:eastAsia="宋体" w:cs="Times New Roman"/>
                <w:color w:val="000000" w:themeColor="text1"/>
                <w:szCs w:val="24"/>
                <w14:textFill>
                  <w14:solidFill>
                    <w14:schemeClr w14:val="tx1"/>
                  </w14:solidFill>
                </w14:textFill>
              </w:rPr>
              <w:t>粉混合</w:t>
            </w:r>
            <w:r>
              <w:rPr>
                <w:rFonts w:ascii="宋体" w:hAnsi="宋体" w:eastAsia="宋体" w:cs="Times New Roman"/>
                <w:color w:val="000000" w:themeColor="text1"/>
                <w:szCs w:val="24"/>
                <w14:textFill>
                  <w14:solidFill>
                    <w14:schemeClr w14:val="tx1"/>
                  </w14:solidFill>
                </w14:textFill>
              </w:rPr>
              <w:t>状物料卸料粉尘产生量为0.2kg/t原料</w:t>
            </w:r>
            <w:r>
              <w:rPr>
                <w:rFonts w:hint="eastAsia" w:ascii="宋体" w:hAnsi="宋体" w:eastAsia="宋体" w:cs="Times New Roman"/>
                <w:color w:val="000000" w:themeColor="text1"/>
                <w:szCs w:val="24"/>
                <w14:textFill>
                  <w14:solidFill>
                    <w14:schemeClr w14:val="tx1"/>
                  </w14:solidFill>
                </w14:textFill>
              </w:rPr>
              <w:t>，本项目硅微粉年使用量为22t/a，</w:t>
            </w:r>
            <w:r>
              <w:rPr>
                <w:rFonts w:ascii="宋体" w:hAnsi="宋体" w:eastAsia="宋体" w:cs="Times New Roman"/>
                <w:color w:val="000000" w:themeColor="text1"/>
                <w:szCs w:val="24"/>
                <w14:textFill>
                  <w14:solidFill>
                    <w14:schemeClr w14:val="tx1"/>
                  </w14:solidFill>
                </w14:textFill>
              </w:rPr>
              <w:t>故</w:t>
            </w:r>
            <w:r>
              <w:rPr>
                <w:rFonts w:hint="eastAsia" w:ascii="宋体" w:hAnsi="宋体" w:eastAsia="宋体" w:cs="Times New Roman"/>
                <w:color w:val="000000" w:themeColor="text1"/>
                <w:szCs w:val="24"/>
                <w14:textFill>
                  <w14:solidFill>
                    <w14:schemeClr w14:val="tx1"/>
                  </w14:solidFill>
                </w14:textFill>
              </w:rPr>
              <w:t>投料</w:t>
            </w:r>
            <w:r>
              <w:rPr>
                <w:rFonts w:ascii="宋体" w:hAnsi="宋体" w:eastAsia="宋体" w:cs="Times New Roman"/>
                <w:color w:val="000000" w:themeColor="text1"/>
                <w:szCs w:val="24"/>
                <w14:textFill>
                  <w14:solidFill>
                    <w14:schemeClr w14:val="tx1"/>
                  </w14:solidFill>
                </w14:textFill>
              </w:rPr>
              <w:t>粉尘</w:t>
            </w:r>
            <w:r>
              <w:rPr>
                <w:rFonts w:hint="eastAsia" w:ascii="宋体" w:hAnsi="宋体" w:eastAsia="宋体" w:cs="Times New Roman"/>
                <w:color w:val="000000" w:themeColor="text1"/>
                <w:szCs w:val="24"/>
                <w14:textFill>
                  <w14:solidFill>
                    <w14:schemeClr w14:val="tx1"/>
                  </w14:solidFill>
                </w14:textFill>
              </w:rPr>
              <w:t>总</w:t>
            </w:r>
            <w:r>
              <w:rPr>
                <w:rFonts w:ascii="宋体" w:hAnsi="宋体" w:eastAsia="宋体" w:cs="Times New Roman"/>
                <w:color w:val="000000" w:themeColor="text1"/>
                <w:szCs w:val="24"/>
                <w14:textFill>
                  <w14:solidFill>
                    <w14:schemeClr w14:val="tx1"/>
                  </w14:solidFill>
                </w14:textFill>
              </w:rPr>
              <w:t>产生量为</w:t>
            </w:r>
            <w:r>
              <w:rPr>
                <w:rFonts w:hint="eastAsia" w:ascii="宋体" w:hAnsi="宋体" w:eastAsia="宋体" w:cs="Times New Roman"/>
                <w:color w:val="000000" w:themeColor="text1"/>
                <w:szCs w:val="24"/>
                <w14:textFill>
                  <w14:solidFill>
                    <w14:schemeClr w14:val="tx1"/>
                  </w14:solidFill>
                </w14:textFill>
              </w:rPr>
              <w:t>0.0044</w:t>
            </w:r>
            <w:r>
              <w:rPr>
                <w:rFonts w:ascii="宋体" w:hAnsi="宋体" w:eastAsia="宋体" w:cs="Times New Roman"/>
                <w:color w:val="000000" w:themeColor="text1"/>
                <w:szCs w:val="24"/>
                <w14:textFill>
                  <w14:solidFill>
                    <w14:schemeClr w14:val="tx1"/>
                  </w14:solidFill>
                </w14:textFill>
              </w:rPr>
              <w:t>t/a、</w:t>
            </w:r>
            <w:r>
              <w:rPr>
                <w:rFonts w:hint="eastAsia" w:ascii="宋体" w:hAnsi="宋体" w:eastAsia="宋体" w:cs="Times New Roman"/>
                <w:color w:val="000000" w:themeColor="text1"/>
                <w:szCs w:val="24"/>
                <w14:textFill>
                  <w14:solidFill>
                    <w14:schemeClr w14:val="tx1"/>
                  </w14:solidFill>
                </w14:textFill>
              </w:rPr>
              <w:t>0.002</w:t>
            </w:r>
            <w:r>
              <w:rPr>
                <w:rFonts w:ascii="宋体" w:hAnsi="宋体" w:eastAsia="宋体" w:cs="Times New Roman"/>
                <w:color w:val="000000" w:themeColor="text1"/>
                <w:szCs w:val="24"/>
                <w14:textFill>
                  <w14:solidFill>
                    <w14:schemeClr w14:val="tx1"/>
                  </w14:solidFill>
                </w14:textFill>
              </w:rPr>
              <w:t>kg/h</w:t>
            </w:r>
            <w:r>
              <w:rPr>
                <w:rFonts w:hint="eastAsia" w:ascii="宋体" w:hAnsi="宋体" w:eastAsia="宋体" w:cs="Times New Roman"/>
                <w:color w:val="000000" w:themeColor="text1"/>
                <w:szCs w:val="24"/>
                <w14:textFill>
                  <w14:solidFill>
                    <w14:schemeClr w14:val="tx1"/>
                  </w14:solidFill>
                </w14:textFill>
              </w:rPr>
              <w:t>，本项目原料投料采取半封闭围挡处理，根据《工业源固体物料堆场颗粒物核算系数手册》，半敞开式降尘效果按60%计，则有少量无组织粉尘排放。</w:t>
            </w:r>
          </w:p>
          <w:p>
            <w:pPr>
              <w:pStyle w:val="14"/>
              <w:autoSpaceDE w:val="0"/>
              <w:adjustRightInd w:val="0"/>
              <w:snapToGrid w:val="0"/>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宋体" w:hAnsi="宋体" w:eastAsia="宋体" w:cs="Times New Roman"/>
                <w:color w:val="000000" w:themeColor="text1"/>
                <w:szCs w:val="24"/>
                <w14:textFill>
                  <w14:solidFill>
                    <w14:schemeClr w14:val="tx1"/>
                  </w14:solidFill>
                </w14:textFill>
              </w:rPr>
              <w:t>项目投料粉尘产生及排放详情见下表。</w:t>
            </w:r>
          </w:p>
          <w:p>
            <w:pPr>
              <w:pStyle w:val="14"/>
              <w:autoSpaceDE w:val="0"/>
              <w:snapToGrid w:val="0"/>
              <w:spacing w:after="0"/>
              <w:ind w:firstLine="482"/>
              <w:jc w:val="center"/>
              <w:rPr>
                <w:rFonts w:ascii="Times New Roman" w:hAnsi="Times New Roman" w:eastAsia="宋体" w:cs="Times New Roman"/>
                <w:b/>
                <w:bCs/>
                <w:color w:val="000000" w:themeColor="text1"/>
                <w:szCs w:val="24"/>
                <w14:textFill>
                  <w14:solidFill>
                    <w14:schemeClr w14:val="tx1"/>
                  </w14:solidFill>
                </w14:textFill>
              </w:rPr>
            </w:pPr>
            <w:r>
              <w:rPr>
                <w:rFonts w:ascii="宋体" w:hAnsi="宋体" w:eastAsia="宋体" w:cs="Times New Roman"/>
                <w:b/>
                <w:bCs/>
                <w:color w:val="000000" w:themeColor="text1"/>
                <w:szCs w:val="24"/>
                <w14:textFill>
                  <w14:solidFill>
                    <w14:schemeClr w14:val="tx1"/>
                  </w14:solidFill>
                </w14:textFill>
              </w:rPr>
              <w:t>表</w:t>
            </w:r>
            <w:r>
              <w:rPr>
                <w:rFonts w:ascii="Times New Roman" w:hAnsi="Times New Roman" w:eastAsia="宋体" w:cs="Times New Roman"/>
                <w:b/>
                <w:bCs/>
                <w:color w:val="000000" w:themeColor="text1"/>
                <w:szCs w:val="24"/>
                <w14:textFill>
                  <w14:solidFill>
                    <w14:schemeClr w14:val="tx1"/>
                  </w14:solidFill>
                </w14:textFill>
              </w:rPr>
              <w:t>4</w:t>
            </w:r>
            <w:r>
              <w:rPr>
                <w:rFonts w:hint="eastAsia" w:ascii="Times New Roman" w:hAnsi="Times New Roman" w:eastAsia="宋体" w:cs="Times New Roman"/>
                <w:b/>
                <w:bCs/>
                <w:color w:val="000000" w:themeColor="text1"/>
                <w:szCs w:val="24"/>
                <w14:textFill>
                  <w14:solidFill>
                    <w14:schemeClr w14:val="tx1"/>
                  </w14:solidFill>
                </w14:textFill>
              </w:rPr>
              <w:t>.2-2</w:t>
            </w:r>
            <w:r>
              <w:rPr>
                <w:rFonts w:hint="eastAsia" w:ascii="宋体" w:hAnsi="宋体" w:eastAsia="宋体" w:cs="Times New Roman"/>
                <w:b/>
                <w:bCs/>
                <w:color w:val="000000" w:themeColor="text1"/>
                <w:szCs w:val="24"/>
                <w14:textFill>
                  <w14:solidFill>
                    <w14:schemeClr w14:val="tx1"/>
                  </w14:solidFill>
                </w14:textFill>
              </w:rPr>
              <w:t>混料搅拌投料</w:t>
            </w:r>
            <w:r>
              <w:rPr>
                <w:rFonts w:ascii="宋体" w:hAnsi="宋体" w:eastAsia="宋体" w:cs="Times New Roman"/>
                <w:b/>
                <w:bCs/>
                <w:color w:val="000000" w:themeColor="text1"/>
                <w:szCs w:val="24"/>
                <w14:textFill>
                  <w14:solidFill>
                    <w14:schemeClr w14:val="tx1"/>
                  </w14:solidFill>
                </w14:textFill>
              </w:rPr>
              <w:t>粉尘产排详情</w:t>
            </w:r>
          </w:p>
          <w:tbl>
            <w:tblPr>
              <w:tblStyle w:val="226"/>
              <w:tblW w:w="79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37"/>
              <w:gridCol w:w="1192"/>
              <w:gridCol w:w="1030"/>
              <w:gridCol w:w="1146"/>
              <w:gridCol w:w="1024"/>
              <w:gridCol w:w="880"/>
              <w:gridCol w:w="1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35" w:type="dxa"/>
                  <w:gridSpan w:val="2"/>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因子</w:t>
                  </w:r>
                </w:p>
              </w:tc>
              <w:tc>
                <w:tcPr>
                  <w:tcW w:w="2228" w:type="dxa"/>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1154"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防治措施</w:t>
                  </w:r>
                  <w:r>
                    <w:rPr>
                      <w:rFonts w:hint="eastAsia"/>
                      <w:color w:val="000000" w:themeColor="text1"/>
                      <w14:textFill>
                        <w14:solidFill>
                          <w14:schemeClr w14:val="tx1"/>
                        </w14:solidFill>
                      </w14:textFill>
                    </w:rPr>
                    <w:t>，处理效率</w:t>
                  </w:r>
                </w:p>
              </w:tc>
              <w:tc>
                <w:tcPr>
                  <w:tcW w:w="1024"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排放速率（kg/h）</w:t>
                  </w:r>
                </w:p>
              </w:tc>
              <w:tc>
                <w:tcPr>
                  <w:tcW w:w="881"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排放量（t/a）</w:t>
                  </w:r>
                </w:p>
              </w:tc>
              <w:tc>
                <w:tcPr>
                  <w:tcW w:w="1208"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排放形式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2" w:type="dxa"/>
                  <w:gridSpan w:val="2"/>
                  <w:vMerge w:val="continue"/>
                  <w:vAlign w:val="center"/>
                </w:tcPr>
                <w:p>
                  <w:pPr>
                    <w:pStyle w:val="221"/>
                    <w:rPr>
                      <w:color w:val="000000" w:themeColor="text1"/>
                      <w14:textFill>
                        <w14:solidFill>
                          <w14:schemeClr w14:val="tx1"/>
                        </w14:solidFill>
                      </w14:textFill>
                    </w:rPr>
                  </w:pPr>
                </w:p>
              </w:tc>
              <w:tc>
                <w:tcPr>
                  <w:tcW w:w="119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产生速率（kg/h）</w:t>
                  </w:r>
                </w:p>
              </w:tc>
              <w:tc>
                <w:tcPr>
                  <w:tcW w:w="103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1154" w:type="dxa"/>
                  <w:vMerge w:val="continue"/>
                  <w:vAlign w:val="center"/>
                </w:tcPr>
                <w:p>
                  <w:pPr>
                    <w:pStyle w:val="221"/>
                    <w:rPr>
                      <w:color w:val="000000" w:themeColor="text1"/>
                      <w14:textFill>
                        <w14:solidFill>
                          <w14:schemeClr w14:val="tx1"/>
                        </w14:solidFill>
                      </w14:textFill>
                    </w:rPr>
                  </w:pPr>
                </w:p>
              </w:tc>
              <w:tc>
                <w:tcPr>
                  <w:tcW w:w="1024" w:type="dxa"/>
                  <w:vMerge w:val="continue"/>
                  <w:vAlign w:val="center"/>
                </w:tcPr>
                <w:p>
                  <w:pPr>
                    <w:pStyle w:val="221"/>
                    <w:rPr>
                      <w:color w:val="000000" w:themeColor="text1"/>
                      <w14:textFill>
                        <w14:solidFill>
                          <w14:schemeClr w14:val="tx1"/>
                        </w14:solidFill>
                      </w14:textFill>
                    </w:rPr>
                  </w:pPr>
                </w:p>
              </w:tc>
              <w:tc>
                <w:tcPr>
                  <w:tcW w:w="881" w:type="dxa"/>
                  <w:vMerge w:val="continue"/>
                  <w:vAlign w:val="center"/>
                </w:tcPr>
                <w:p>
                  <w:pPr>
                    <w:pStyle w:val="221"/>
                    <w:rPr>
                      <w:color w:val="000000" w:themeColor="text1"/>
                      <w14:textFill>
                        <w14:solidFill>
                          <w14:schemeClr w14:val="tx1"/>
                        </w14:solidFill>
                      </w14:textFill>
                    </w:rPr>
                  </w:pPr>
                </w:p>
              </w:tc>
              <w:tc>
                <w:tcPr>
                  <w:tcW w:w="1208" w:type="dxa"/>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78" w:hRule="atLeast"/>
                <w:jc w:val="center"/>
              </w:trPr>
              <w:tc>
                <w:tcPr>
                  <w:tcW w:w="388"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047"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混料搅拌投料粉尘</w:t>
                  </w:r>
                </w:p>
              </w:tc>
              <w:tc>
                <w:tcPr>
                  <w:tcW w:w="1195"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033"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0.0044</w:t>
                  </w:r>
                </w:p>
              </w:tc>
              <w:tc>
                <w:tcPr>
                  <w:tcW w:w="1154"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半封闭操作，60%</w:t>
                  </w:r>
                </w:p>
              </w:tc>
              <w:tc>
                <w:tcPr>
                  <w:tcW w:w="1024"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0.0009</w:t>
                  </w:r>
                </w:p>
              </w:tc>
              <w:tc>
                <w:tcPr>
                  <w:tcW w:w="88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0.0017</w:t>
                  </w:r>
                </w:p>
              </w:tc>
              <w:tc>
                <w:tcPr>
                  <w:tcW w:w="120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r>
          </w:tbl>
          <w:p>
            <w:pPr>
              <w:pStyle w:val="172"/>
              <w:widowControl w:val="0"/>
              <w:topLinePunct/>
              <w:spacing w:after="0" w:line="360" w:lineRule="auto"/>
              <w:jc w:val="both"/>
              <w:rPr>
                <w:rFonts w:ascii="Times New Roman" w:hAnsi="Times New Roman" w:eastAsia="宋体" w:cs="Times New Roman"/>
                <w:color w:val="000000" w:themeColor="text1"/>
                <w:szCs w:val="24"/>
                <w:lang w:eastAsia="zh-CN" w:bidi="zh-CN"/>
                <w14:textFill>
                  <w14:solidFill>
                    <w14:schemeClr w14:val="tx1"/>
                  </w14:solidFill>
                </w14:textFill>
              </w:rPr>
            </w:pPr>
          </w:p>
          <w:p>
            <w:pPr>
              <w:pStyle w:val="172"/>
              <w:widowControl w:val="0"/>
              <w:numPr>
                <w:ilvl w:val="0"/>
                <w:numId w:val="4"/>
              </w:numPr>
              <w:topLinePunct/>
              <w:spacing w:after="0" w:line="360" w:lineRule="auto"/>
              <w:ind w:firstLine="480" w:firstLineChars="20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环氧树脂混料搅拌废气</w:t>
            </w:r>
          </w:p>
          <w:p>
            <w:pPr>
              <w:pStyle w:val="172"/>
              <w:widowControl w:val="0"/>
              <w:topLinePunct/>
              <w:spacing w:after="0" w:line="360" w:lineRule="auto"/>
              <w:ind w:firstLine="48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项目在搅拌工序中采用环氧树脂、固化剂为原料，加入硅微粉和色浆搅拌过程中会产生有机废气，主要污染因子为非甲烷总烃。根据《排放源统计调查产排污核算方法和系数手册》公告2021年第24号)中无相对应的可以直接使用的排污系数。根据《排放源统计调查产排污核算方法和系数手册》公告2021年第24号)中，参照2929塑料零件及其他塑料制品制造行业核算污染物产排污量”可知，因此参考《排放源统计调查产排污核算方法和系数手册》公告2021年第24号)“2929塑料零件及其他塑料制品制造行业系数表”进行产污核算。</w:t>
            </w:r>
          </w:p>
          <w:p>
            <w:pPr>
              <w:pStyle w:val="222"/>
              <w:spacing w:before="120"/>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表 4.2-3 2929塑料零件及其他塑料制品制造行业系数表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3"/>
              <w:gridCol w:w="1053"/>
              <w:gridCol w:w="1043"/>
              <w:gridCol w:w="1043"/>
              <w:gridCol w:w="1043"/>
              <w:gridCol w:w="1043"/>
              <w:gridCol w:w="1043"/>
              <w:gridCol w:w="10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产品</w:t>
                  </w:r>
                </w:p>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名称</w:t>
                  </w:r>
                </w:p>
              </w:tc>
              <w:tc>
                <w:tcPr>
                  <w:tcW w:w="935"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原料</w:t>
                  </w:r>
                </w:p>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名称</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工艺</w:t>
                  </w:r>
                </w:p>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名称</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规模</w:t>
                  </w:r>
                </w:p>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等级</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污染物类别</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污染物指标</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单位</w:t>
                  </w:r>
                </w:p>
              </w:tc>
              <w:tc>
                <w:tcPr>
                  <w:tcW w:w="929"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产污</w:t>
                  </w:r>
                </w:p>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塑料</w:t>
                  </w:r>
                </w:p>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零件</w:t>
                  </w:r>
                </w:p>
              </w:tc>
              <w:tc>
                <w:tcPr>
                  <w:tcW w:w="935"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树脂、助剂</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配料-混合-挤出/注塑</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所有</w:t>
                  </w:r>
                </w:p>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规模</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废气</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挥发性有机物</w:t>
                  </w:r>
                </w:p>
              </w:tc>
              <w:tc>
                <w:tcPr>
                  <w:tcW w:w="926"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千克/吨-产品</w:t>
                  </w:r>
                </w:p>
              </w:tc>
              <w:tc>
                <w:tcPr>
                  <w:tcW w:w="929" w:type="dxa"/>
                  <w:vAlign w:val="center"/>
                </w:tcPr>
                <w:p>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2.7</w:t>
                  </w:r>
                </w:p>
              </w:tc>
            </w:tr>
          </w:tbl>
          <w:p>
            <w:pPr>
              <w:pStyle w:val="172"/>
              <w:widowControl w:val="0"/>
              <w:topLinePunct/>
              <w:spacing w:after="0" w:line="360" w:lineRule="auto"/>
              <w:ind w:firstLine="48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本项目环氧产品的重量为35t/a，则项目搅拌工序产生的非甲烷总烃为0.09t/a。</w:t>
            </w:r>
          </w:p>
          <w:p>
            <w:pPr>
              <w:pStyle w:val="172"/>
              <w:widowControl w:val="0"/>
              <w:numPr>
                <w:ilvl w:val="0"/>
                <w:numId w:val="4"/>
              </w:numPr>
              <w:topLinePunct/>
              <w:spacing w:after="0" w:line="360" w:lineRule="auto"/>
              <w:ind w:firstLine="480" w:firstLineChars="20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固化、二次固化废气</w:t>
            </w:r>
          </w:p>
          <w:p>
            <w:pPr>
              <w:pStyle w:val="172"/>
              <w:widowControl w:val="0"/>
              <w:topLinePunct/>
              <w:spacing w:after="0" w:line="360" w:lineRule="auto"/>
              <w:ind w:firstLine="480" w:firstLineChars="20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ascii="Times New Roman" w:hAnsi="Times New Roman" w:eastAsia="宋体" w:cs="Times New Roman"/>
                <w:color w:val="000000" w:themeColor="text1"/>
                <w:szCs w:val="24"/>
                <w:lang w:eastAsia="zh-CN" w:bidi="zh-CN"/>
                <w14:textFill>
                  <w14:solidFill>
                    <w14:schemeClr w14:val="tx1"/>
                  </w14:solidFill>
                </w14:textFill>
              </w:rPr>
              <w:t>真空浇注(含固化)废气</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根据《电气绝缘用树脂基活性复合物第7部分</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环氧酸酐真空压力浸渍(VPI)树脂》(GB/T15022.7-2017)，环氧树脂(A组分)与固化剂(B组分)混合后的树脂中挥发分含量&lt;3%。本项目环氧树脂(A组分)与固化剂(B组分)混合后进行真空浇注及固化，真空浇注工序</w:t>
            </w:r>
            <w:r>
              <w:rPr>
                <w:rFonts w:hint="eastAsia" w:ascii="Times New Roman" w:hAnsi="Times New Roman" w:eastAsia="宋体" w:cs="Times New Roman"/>
                <w:color w:val="000000" w:themeColor="text1"/>
                <w:szCs w:val="24"/>
                <w:lang w:eastAsia="zh-CN" w:bidi="zh-CN"/>
                <w14:textFill>
                  <w14:solidFill>
                    <w14:schemeClr w14:val="tx1"/>
                  </w14:solidFill>
                </w14:textFill>
              </w:rPr>
              <w:t>，再进行烤箱8小时二次</w:t>
            </w:r>
            <w:r>
              <w:rPr>
                <w:rFonts w:ascii="Times New Roman" w:hAnsi="Times New Roman" w:eastAsia="宋体" w:cs="Times New Roman"/>
                <w:color w:val="000000" w:themeColor="text1"/>
                <w:szCs w:val="24"/>
                <w:lang w:eastAsia="zh-CN" w:bidi="zh-CN"/>
                <w14:textFill>
                  <w14:solidFill>
                    <w14:schemeClr w14:val="tx1"/>
                  </w14:solidFill>
                </w14:textFill>
              </w:rPr>
              <w:t>固化</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加热温度约140℃</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本项目类比分析整个过程挥发比例按原料使用量的3%考虑，年工作时间</w:t>
            </w:r>
            <w:r>
              <w:rPr>
                <w:rFonts w:hint="eastAsia" w:ascii="Times New Roman" w:hAnsi="Times New Roman" w:eastAsia="宋体" w:cs="Times New Roman"/>
                <w:color w:val="000000" w:themeColor="text1"/>
                <w:szCs w:val="24"/>
                <w:lang w:eastAsia="zh-CN" w:bidi="zh-CN"/>
                <w14:textFill>
                  <w14:solidFill>
                    <w14:schemeClr w14:val="tx1"/>
                  </w14:solidFill>
                </w14:textFill>
              </w:rPr>
              <w:t>2000</w:t>
            </w:r>
            <w:r>
              <w:rPr>
                <w:rFonts w:ascii="Times New Roman" w:hAnsi="Times New Roman" w:eastAsia="宋体" w:cs="Times New Roman"/>
                <w:color w:val="000000" w:themeColor="text1"/>
                <w:szCs w:val="24"/>
                <w:lang w:eastAsia="zh-CN" w:bidi="zh-CN"/>
                <w14:textFill>
                  <w14:solidFill>
                    <w14:schemeClr w14:val="tx1"/>
                  </w14:solidFill>
                </w14:textFill>
              </w:rPr>
              <w:t>h</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环氧树脂与固化剂总年消耗量为</w:t>
            </w:r>
            <w:r>
              <w:rPr>
                <w:rFonts w:hint="eastAsia" w:ascii="Times New Roman" w:hAnsi="Times New Roman" w:eastAsia="宋体" w:cs="Times New Roman"/>
                <w:color w:val="000000" w:themeColor="text1"/>
                <w:szCs w:val="24"/>
                <w:lang w:eastAsia="zh-CN" w:bidi="zh-CN"/>
                <w14:textFill>
                  <w14:solidFill>
                    <w14:schemeClr w14:val="tx1"/>
                  </w14:solidFill>
                </w14:textFill>
              </w:rPr>
              <w:t>13.2</w:t>
            </w:r>
            <w:r>
              <w:rPr>
                <w:rFonts w:ascii="Times New Roman" w:hAnsi="Times New Roman" w:eastAsia="宋体" w:cs="Times New Roman"/>
                <w:color w:val="000000" w:themeColor="text1"/>
                <w:szCs w:val="24"/>
                <w:lang w:eastAsia="zh-CN" w:bidi="zh-CN"/>
                <w14:textFill>
                  <w14:solidFill>
                    <w14:schemeClr w14:val="tx1"/>
                  </w14:solidFill>
                </w14:textFill>
              </w:rPr>
              <w:t>t</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则环氧树脂与固化剂有机废气(非甲烷总烃)总产生量为</w:t>
            </w:r>
            <w:r>
              <w:rPr>
                <w:rFonts w:hint="eastAsia" w:ascii="Times New Roman" w:hAnsi="Times New Roman" w:eastAsia="宋体" w:cs="Times New Roman"/>
                <w:color w:val="000000" w:themeColor="text1"/>
                <w:szCs w:val="24"/>
                <w:lang w:eastAsia="zh-CN" w:bidi="zh-CN"/>
                <w14:textFill>
                  <w14:solidFill>
                    <w14:schemeClr w14:val="tx1"/>
                  </w14:solidFill>
                </w14:textFill>
              </w:rPr>
              <w:t>0.39t</w:t>
            </w:r>
            <w:r>
              <w:rPr>
                <w:rFonts w:ascii="Times New Roman" w:hAnsi="Times New Roman" w:eastAsia="宋体" w:cs="Times New Roman"/>
                <w:color w:val="000000" w:themeColor="text1"/>
                <w:szCs w:val="24"/>
                <w:lang w:eastAsia="zh-CN" w:bidi="zh-CN"/>
                <w14:textFill>
                  <w14:solidFill>
                    <w14:schemeClr w14:val="tx1"/>
                  </w14:solidFill>
                </w14:textFill>
              </w:rPr>
              <w:t>/a</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产生速率为0.</w:t>
            </w:r>
            <w:r>
              <w:rPr>
                <w:rFonts w:hint="eastAsia" w:ascii="Times New Roman" w:hAnsi="Times New Roman" w:eastAsia="宋体" w:cs="Times New Roman"/>
                <w:color w:val="000000" w:themeColor="text1"/>
                <w:szCs w:val="24"/>
                <w:lang w:eastAsia="zh-CN" w:bidi="zh-CN"/>
                <w14:textFill>
                  <w14:solidFill>
                    <w14:schemeClr w14:val="tx1"/>
                  </w14:solidFill>
                </w14:textFill>
              </w:rPr>
              <w:t>198</w:t>
            </w:r>
            <w:r>
              <w:rPr>
                <w:rFonts w:ascii="Times New Roman" w:hAnsi="Times New Roman" w:eastAsia="宋体" w:cs="Times New Roman"/>
                <w:color w:val="000000" w:themeColor="text1"/>
                <w:szCs w:val="24"/>
                <w:lang w:eastAsia="zh-CN" w:bidi="zh-CN"/>
                <w14:textFill>
                  <w14:solidFill>
                    <w14:schemeClr w14:val="tx1"/>
                  </w14:solidFill>
                </w14:textFill>
              </w:rPr>
              <w:t>kg</w:t>
            </w:r>
            <w:r>
              <w:rPr>
                <w:rFonts w:hint="eastAsia" w:ascii="Times New Roman" w:hAnsi="Times New Roman" w:eastAsia="宋体" w:cs="Times New Roman"/>
                <w:color w:val="000000" w:themeColor="text1"/>
                <w:szCs w:val="24"/>
                <w:lang w:eastAsia="zh-CN" w:bidi="zh-CN"/>
                <w14:textFill>
                  <w14:solidFill>
                    <w14:schemeClr w14:val="tx1"/>
                  </w14:solidFill>
                </w14:textFill>
              </w:rPr>
              <w:t>/</w:t>
            </w:r>
            <w:r>
              <w:rPr>
                <w:rFonts w:ascii="Times New Roman" w:hAnsi="Times New Roman" w:eastAsia="宋体" w:cs="Times New Roman"/>
                <w:color w:val="000000" w:themeColor="text1"/>
                <w:szCs w:val="24"/>
                <w:lang w:eastAsia="zh-CN" w:bidi="zh-CN"/>
                <w14:textFill>
                  <w14:solidFill>
                    <w14:schemeClr w14:val="tx1"/>
                  </w14:solidFill>
                </w14:textFill>
              </w:rPr>
              <w:t>h。</w:t>
            </w:r>
          </w:p>
          <w:p>
            <w:pPr>
              <w:pStyle w:val="172"/>
              <w:widowControl w:val="0"/>
              <w:numPr>
                <w:ilvl w:val="0"/>
                <w:numId w:val="4"/>
              </w:numPr>
              <w:topLinePunct/>
              <w:spacing w:after="0" w:line="360" w:lineRule="auto"/>
              <w:ind w:firstLine="480" w:firstLineChars="20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涂刷废气</w:t>
            </w:r>
          </w:p>
          <w:p>
            <w:pPr>
              <w:pStyle w:val="172"/>
              <w:widowControl w:val="0"/>
              <w:topLinePunct/>
              <w:spacing w:after="0" w:line="360" w:lineRule="auto"/>
              <w:ind w:firstLine="48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本项目对外购金属件清洗完后涂刷过程中，会使用粘接表面处理剂和稀释剂，年用量合计0.12t/a，根据企业提供原辅料MSDS信息，涂刷废气按粘接表面处理剂和稀释剂中溶剂全部挥发核算有机废气排放源强，则涂胶工序产生有机废气0.055t/a。其中二甲苯产生量为0.036t/a，甲苯产生量为0.001t/a，苯系物产生量为0.012t/a，酚类产生量为0.006t/a。采用车间集中收集+二级活性炭吸附装置处理后由15m高DA006排气简排放，收集效率为90%，处理效率为80%。则涂刷工序VOCs有组织产生量为0.0495t/a，无组织产生量为0.0055t/a。</w:t>
            </w:r>
          </w:p>
          <w:p>
            <w:pPr>
              <w:pStyle w:val="172"/>
              <w:widowControl w:val="0"/>
              <w:topLinePunct/>
              <w:spacing w:after="0" w:line="360" w:lineRule="auto"/>
              <w:ind w:firstLine="480"/>
              <w:jc w:val="both"/>
              <w:rPr>
                <w:rFonts w:ascii="Times New Roman" w:hAnsi="Times New Roman" w:eastAsia="宋体" w:cs="Times New Roman"/>
                <w:color w:val="000000" w:themeColor="text1"/>
                <w:szCs w:val="24"/>
                <w:lang w:eastAsia="zh-CN" w:bidi="zh-CN"/>
                <w14:textFill>
                  <w14:solidFill>
                    <w14:schemeClr w14:val="tx1"/>
                  </w14:solidFill>
                </w14:textFill>
              </w:rPr>
            </w:pPr>
            <w:r>
              <w:rPr>
                <w:rFonts w:hint="eastAsia" w:ascii="Times New Roman" w:hAnsi="Times New Roman" w:eastAsia="宋体" w:cs="Times New Roman"/>
                <w:color w:val="000000" w:themeColor="text1"/>
                <w:szCs w:val="24"/>
                <w:lang w:eastAsia="zh-CN" w:bidi="zh-CN"/>
                <w14:textFill>
                  <w14:solidFill>
                    <w14:schemeClr w14:val="tx1"/>
                  </w14:solidFill>
                </w14:textFill>
              </w:rPr>
              <w:t>（5）脱模剂废气</w:t>
            </w:r>
          </w:p>
          <w:p>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项目涂在模具上的脱模剂中溶剂在固化过程中会挥发，项目脱模剂用量为0.002t/a，按溶剂全部挥发计，则脱模剂有机废气年产生量为0.002t/a，本项目脱模有机废气以非甲烷总烃计，有机废气产生量较少。</w:t>
            </w:r>
          </w:p>
          <w:p>
            <w:pPr>
              <w:shd w:val="clear" w:color="auto" w:fill="FFFFFF"/>
              <w:spacing w:after="0" w:line="360" w:lineRule="auto"/>
              <w:ind w:left="480" w:left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（6）打磨粉尘</w:t>
            </w:r>
          </w:p>
          <w:p>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本项目需要对半导电屏蔽层、橡胶绝缘件、环氧绝缘件进行打磨，会产生打磨粉尘，打磨时长约为4h/d，年工作250天，则年打磨时间共计约为1000h。参考《排放源统计调查产排污核算方法和系数手册》机械行业系数手册中抛丸、喷砂、打磨过程，颗粒物产污系数 2.19kg/t(原料)。打磨材料的用量为448.4t/a，则打磨过程颗粒物产生量为0.98t/a，打磨粉尘经打磨台自带单机布袋收尘处理后以无组织形式排放，该装置处理效率达90%，即无组织排放量为0.098t/a。</w:t>
            </w: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p>
          <w:p>
            <w:pPr>
              <w:shd w:val="clear" w:color="auto" w:fill="FFFFFF"/>
              <w:spacing w:after="0" w:line="360" w:lineRule="auto"/>
              <w:rPr>
                <w:rFonts w:ascii="Times New Roman" w:hAnsi="Times New Roman" w:eastAsia="宋体" w:cs="Times New Roman"/>
                <w:color w:val="000000" w:themeColor="text1"/>
                <w:szCs w:val="24"/>
                <w14:textFill>
                  <w14:solidFill>
                    <w14:schemeClr w14:val="tx1"/>
                  </w14:solidFill>
                </w14:textFill>
              </w:rPr>
            </w:pPr>
          </w:p>
        </w:tc>
      </w:tr>
    </w:tbl>
    <w:p>
      <w:pPr>
        <w:widowControl w:val="0"/>
        <w:topLinePunct/>
        <w:spacing w:line="360" w:lineRule="auto"/>
        <w:jc w:val="both"/>
        <w:rPr>
          <w:rFonts w:ascii="Times New Roman" w:hAnsi="Times New Roman" w:eastAsia="宋体" w:cs="Times New Roman"/>
          <w:b/>
          <w:bCs/>
          <w:color w:val="000000" w:themeColor="text1"/>
          <w:shd w:val="clear" w:color="auto" w:fill="FFFFFF"/>
          <w14:textFill>
            <w14:solidFill>
              <w14:schemeClr w14:val="tx1"/>
            </w14:solidFill>
          </w14:textFill>
        </w:rPr>
        <w:sectPr>
          <w:pgSz w:w="11907" w:h="16840"/>
          <w:pgMar w:top="1417" w:right="1417" w:bottom="1417" w:left="1417" w:header="992" w:footer="992" w:gutter="0"/>
          <w:cols w:space="720" w:num="1"/>
          <w:docGrid w:linePitch="312" w:charSpace="0"/>
        </w:sectPr>
      </w:pPr>
    </w:p>
    <w:p>
      <w:pPr>
        <w:pStyle w:val="222"/>
        <w:spacing w:before="120"/>
        <w:rPr>
          <w:color w:val="000000" w:themeColor="text1"/>
          <w:szCs w:val="2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废气产排情况一览表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1284"/>
        <w:gridCol w:w="1072"/>
        <w:gridCol w:w="1187"/>
        <w:gridCol w:w="869"/>
        <w:gridCol w:w="937"/>
        <w:gridCol w:w="1043"/>
        <w:gridCol w:w="801"/>
        <w:gridCol w:w="848"/>
        <w:gridCol w:w="759"/>
        <w:gridCol w:w="712"/>
        <w:gridCol w:w="1170"/>
        <w:gridCol w:w="958"/>
        <w:gridCol w:w="958"/>
        <w:gridCol w:w="712"/>
        <w:gridCol w:w="640"/>
        <w:gridCol w:w="619"/>
        <w:gridCol w:w="576"/>
        <w:gridCol w:w="712"/>
        <w:gridCol w:w="810"/>
        <w:gridCol w:w="716"/>
        <w:gridCol w:w="23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54"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污染因子</w:t>
            </w:r>
          </w:p>
        </w:tc>
        <w:tc>
          <w:tcPr>
            <w:tcW w:w="30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污染</w:t>
            </w:r>
          </w:p>
          <w:p>
            <w:pPr>
              <w:pStyle w:val="221"/>
              <w:rPr>
                <w:color w:val="000000" w:themeColor="text1"/>
                <w14:textFill>
                  <w14:solidFill>
                    <w14:schemeClr w14:val="tx1"/>
                  </w14:solidFill>
                </w14:textFill>
              </w:rPr>
            </w:pPr>
            <w:r>
              <w:rPr>
                <w:color w:val="000000" w:themeColor="text1"/>
                <w14:textFill>
                  <w14:solidFill>
                    <w14:schemeClr w14:val="tx1"/>
                  </w14:solidFill>
                </w14:textFill>
              </w:rPr>
              <w:t>来源</w:t>
            </w:r>
          </w:p>
        </w:tc>
        <w:tc>
          <w:tcPr>
            <w:tcW w:w="959" w:type="pct"/>
            <w:gridSpan w:val="4"/>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246"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治理设施、集气效率、处理效率</w:t>
            </w:r>
          </w:p>
        </w:tc>
        <w:tc>
          <w:tcPr>
            <w:tcW w:w="189"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排放形式</w:t>
            </w:r>
          </w:p>
        </w:tc>
        <w:tc>
          <w:tcPr>
            <w:tcW w:w="823" w:type="pct"/>
            <w:gridSpan w:val="4"/>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排放情况</w:t>
            </w:r>
          </w:p>
        </w:tc>
        <w:tc>
          <w:tcPr>
            <w:tcW w:w="452" w:type="pct"/>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排放限值</w:t>
            </w:r>
          </w:p>
        </w:tc>
        <w:tc>
          <w:tcPr>
            <w:tcW w:w="1129" w:type="pct"/>
            <w:gridSpan w:val="7"/>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排放口信息</w:t>
            </w:r>
          </w:p>
        </w:tc>
        <w:tc>
          <w:tcPr>
            <w:tcW w:w="545"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354" w:type="pct"/>
            <w:vMerge w:val="continue"/>
            <w:vAlign w:val="center"/>
          </w:tcPr>
          <w:p>
            <w:pPr>
              <w:pStyle w:val="221"/>
              <w:rPr>
                <w:color w:val="000000" w:themeColor="text1"/>
                <w14:textFill>
                  <w14:solidFill>
                    <w14:schemeClr w14:val="tx1"/>
                  </w14:solidFill>
                </w14:textFill>
              </w:rPr>
            </w:pP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2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产生速率（kg/h）</w:t>
            </w:r>
          </w:p>
        </w:tc>
        <w:tc>
          <w:tcPr>
            <w:tcW w:w="205"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废气量（m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22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产生</w:t>
            </w:r>
          </w:p>
          <w:p>
            <w:pPr>
              <w:pStyle w:val="2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排放量（t/a）</w:t>
            </w:r>
          </w:p>
        </w:tc>
        <w:tc>
          <w:tcPr>
            <w:tcW w:w="17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排放时间</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排放速率（kg/h）</w:t>
            </w: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w:t>
            </w:r>
          </w:p>
          <w:p>
            <w:pPr>
              <w:pStyle w:val="221"/>
              <w:rPr>
                <w:color w:val="000000" w:themeColor="text1"/>
                <w14:textFill>
                  <w14:solidFill>
                    <w14:schemeClr w14:val="tx1"/>
                  </w14:solidFill>
                </w14:textFill>
              </w:rPr>
            </w:pPr>
            <w:r>
              <w:rPr>
                <w:color w:val="000000" w:themeColor="text1"/>
                <w14:textFill>
                  <w14:solidFill>
                    <w14:schemeClr w14:val="tx1"/>
                  </w14:solidFill>
                </w14:textFill>
              </w:rPr>
              <w:t>速率（kg/h）</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w:t>
            </w:r>
          </w:p>
          <w:p>
            <w:pPr>
              <w:pStyle w:val="2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68"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高度（m）</w:t>
            </w:r>
          </w:p>
        </w:tc>
        <w:tc>
          <w:tcPr>
            <w:tcW w:w="151"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排气筒内径（m）</w:t>
            </w:r>
          </w:p>
        </w:tc>
        <w:tc>
          <w:tcPr>
            <w:tcW w:w="146"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温度（℃）</w:t>
            </w:r>
          </w:p>
        </w:tc>
        <w:tc>
          <w:tcPr>
            <w:tcW w:w="136"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编号</w:t>
            </w:r>
          </w:p>
        </w:tc>
        <w:tc>
          <w:tcPr>
            <w:tcW w:w="168"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名称</w:t>
            </w:r>
          </w:p>
        </w:tc>
        <w:tc>
          <w:tcPr>
            <w:tcW w:w="191"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类型</w:t>
            </w:r>
          </w:p>
        </w:tc>
        <w:tc>
          <w:tcPr>
            <w:tcW w:w="169"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地理坐标</w:t>
            </w: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30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注胶</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硫化</w:t>
            </w: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0.017</w:t>
            </w:r>
          </w:p>
        </w:tc>
        <w:tc>
          <w:tcPr>
            <w:tcW w:w="2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0.009</w:t>
            </w:r>
          </w:p>
        </w:tc>
        <w:tc>
          <w:tcPr>
            <w:tcW w:w="205"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0000</w:t>
            </w:r>
          </w:p>
        </w:tc>
        <w:tc>
          <w:tcPr>
            <w:tcW w:w="221"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c>
          <w:tcPr>
            <w:tcW w:w="246"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密闭车间统一收集+二级活性炭吸附+15米高排气筒（</w:t>
            </w:r>
            <w:r>
              <w:rPr>
                <w:rFonts w:hint="eastAsia"/>
                <w:color w:val="000000" w:themeColor="text1"/>
                <w14:textFill>
                  <w14:solidFill>
                    <w14:schemeClr w14:val="tx1"/>
                  </w14:solidFill>
                </w14:textFill>
              </w:rPr>
              <w:t>DA005</w:t>
            </w:r>
            <w:r>
              <w:rPr>
                <w:color w:val="000000" w:themeColor="text1"/>
                <w14:textFill>
                  <w14:solidFill>
                    <w14:schemeClr w14:val="tx1"/>
                  </w14:solidFill>
                </w14:textFill>
              </w:rPr>
              <w:t>）排放</w:t>
            </w:r>
            <w:r>
              <w:rPr>
                <w:rFonts w:hint="eastAsia"/>
                <w:color w:val="000000" w:themeColor="text1"/>
                <w14:textFill>
                  <w14:solidFill>
                    <w14:schemeClr w14:val="tx1"/>
                  </w14:solidFill>
                </w14:textFill>
              </w:rPr>
              <w:t>，收集效率90%，处理效率80%</w:t>
            </w:r>
          </w:p>
        </w:tc>
        <w:tc>
          <w:tcPr>
            <w:tcW w:w="189"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有组织</w:t>
            </w:r>
          </w:p>
        </w:tc>
        <w:tc>
          <w:tcPr>
            <w:tcW w:w="2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0.003</w:t>
            </w:r>
          </w:p>
        </w:tc>
        <w:tc>
          <w:tcPr>
            <w:tcW w:w="179"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2000h/a</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27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68" w:type="pct"/>
            <w:vMerge w:val="restart"/>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15</w:t>
            </w:r>
          </w:p>
        </w:tc>
        <w:tc>
          <w:tcPr>
            <w:tcW w:w="151" w:type="pct"/>
            <w:vMerge w:val="restart"/>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Φ0.</w:t>
            </w:r>
            <w:r>
              <w:rPr>
                <w:rFonts w:hint="eastAsia"/>
                <w:bCs/>
                <w:color w:val="000000" w:themeColor="text1"/>
                <w14:textFill>
                  <w14:solidFill>
                    <w14:schemeClr w14:val="tx1"/>
                  </w14:solidFill>
                </w14:textFill>
              </w:rPr>
              <w:t>7</w:t>
            </w:r>
          </w:p>
        </w:tc>
        <w:tc>
          <w:tcPr>
            <w:tcW w:w="146" w:type="pct"/>
            <w:vMerge w:val="restart"/>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常温</w:t>
            </w:r>
          </w:p>
        </w:tc>
        <w:tc>
          <w:tcPr>
            <w:tcW w:w="136"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DA00</w:t>
            </w:r>
            <w:r>
              <w:rPr>
                <w:rFonts w:hint="eastAsia"/>
                <w:bCs/>
                <w:color w:val="000000" w:themeColor="text1"/>
                <w14:textFill>
                  <w14:solidFill>
                    <w14:schemeClr w14:val="tx1"/>
                  </w14:solidFill>
                </w14:textFill>
              </w:rPr>
              <w:t>5</w:t>
            </w:r>
          </w:p>
        </w:tc>
        <w:tc>
          <w:tcPr>
            <w:tcW w:w="168" w:type="pct"/>
            <w:vMerge w:val="restart"/>
            <w:vAlign w:val="center"/>
          </w:tcPr>
          <w:p>
            <w:pPr>
              <w:pStyle w:val="221"/>
              <w:rPr>
                <w:bCs/>
                <w:color w:val="000000" w:themeColor="text1"/>
                <w14:textFill>
                  <w14:solidFill>
                    <w14:schemeClr w14:val="tx1"/>
                  </w14:solidFill>
                </w14:textFill>
              </w:rPr>
            </w:pPr>
          </w:p>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注胶硫化</w:t>
            </w:r>
            <w:r>
              <w:rPr>
                <w:bCs/>
                <w:color w:val="000000" w:themeColor="text1"/>
                <w14:textFill>
                  <w14:solidFill>
                    <w14:schemeClr w14:val="tx1"/>
                  </w14:solidFill>
                </w14:textFill>
              </w:rPr>
              <w:t>废气排放口</w:t>
            </w:r>
          </w:p>
        </w:tc>
        <w:tc>
          <w:tcPr>
            <w:tcW w:w="191"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一般排放口</w:t>
            </w:r>
          </w:p>
        </w:tc>
        <w:tc>
          <w:tcPr>
            <w:tcW w:w="169"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E119°18′30.908″″N29°40′41.053″</w:t>
            </w:r>
          </w:p>
        </w:tc>
        <w:tc>
          <w:tcPr>
            <w:tcW w:w="545"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《橡胶制品工业污》(GB27632-2011)表5标准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0.009</w:t>
            </w:r>
          </w:p>
        </w:tc>
        <w:tc>
          <w:tcPr>
            <w:tcW w:w="280"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0.005</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Align w:val="center"/>
          </w:tcPr>
          <w:p>
            <w:pPr>
              <w:pStyle w:val="221"/>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0.25</w:t>
            </w: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0.0009</w:t>
            </w:r>
          </w:p>
        </w:tc>
        <w:tc>
          <w:tcPr>
            <w:tcW w:w="179" w:type="pct"/>
            <w:vMerge w:val="continue"/>
            <w:vAlign w:val="center"/>
          </w:tcPr>
          <w:p>
            <w:pPr>
              <w:pStyle w:val="221"/>
              <w:rPr>
                <w:color w:val="000000" w:themeColor="text1"/>
                <w:lang w:bidi="ar"/>
                <w14:textFill>
                  <w14:solidFill>
                    <w14:schemeClr w14:val="tx1"/>
                  </w14:solidFill>
                </w14:textFill>
              </w:rPr>
            </w:pP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0.0005</w:t>
            </w:r>
          </w:p>
        </w:tc>
        <w:tc>
          <w:tcPr>
            <w:tcW w:w="27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0.025</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0.33</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Merge w:val="continue"/>
            <w:vAlign w:val="center"/>
          </w:tcPr>
          <w:p>
            <w:pPr>
              <w:pStyle w:val="221"/>
              <w:rPr>
                <w:color w:val="000000" w:themeColor="text1"/>
                <w14:textFill>
                  <w14:solidFill>
                    <w14:schemeClr w14:val="tx1"/>
                  </w14:solidFill>
                </w14:textFill>
              </w:rPr>
            </w:pPr>
          </w:p>
        </w:tc>
        <w:tc>
          <w:tcPr>
            <w:tcW w:w="151" w:type="pct"/>
            <w:vMerge w:val="continue"/>
            <w:vAlign w:val="center"/>
          </w:tcPr>
          <w:p>
            <w:pPr>
              <w:pStyle w:val="221"/>
              <w:rPr>
                <w:color w:val="000000" w:themeColor="text1"/>
                <w14:textFill>
                  <w14:solidFill>
                    <w14:schemeClr w14:val="tx1"/>
                  </w14:solidFill>
                </w14:textFill>
              </w:rPr>
            </w:pPr>
          </w:p>
        </w:tc>
        <w:tc>
          <w:tcPr>
            <w:tcW w:w="146" w:type="pct"/>
            <w:vMerge w:val="continue"/>
            <w:vAlign w:val="center"/>
          </w:tcPr>
          <w:p>
            <w:pPr>
              <w:pStyle w:val="221"/>
              <w:rPr>
                <w:color w:val="000000" w:themeColor="text1"/>
                <w14:textFill>
                  <w14:solidFill>
                    <w14:schemeClr w14:val="tx1"/>
                  </w14:solidFill>
                </w14:textFill>
              </w:rPr>
            </w:pPr>
          </w:p>
        </w:tc>
        <w:tc>
          <w:tcPr>
            <w:tcW w:w="136"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color w:val="000000" w:themeColor="text1"/>
                <w14:textFill>
                  <w14:solidFill>
                    <w14:schemeClr w14:val="tx1"/>
                  </w14:solidFill>
                </w14:textFill>
              </w:rPr>
            </w:pPr>
          </w:p>
        </w:tc>
        <w:tc>
          <w:tcPr>
            <w:tcW w:w="191" w:type="pct"/>
            <w:vMerge w:val="continue"/>
            <w:vAlign w:val="center"/>
          </w:tcPr>
          <w:p>
            <w:pPr>
              <w:pStyle w:val="221"/>
              <w:rPr>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《恶臭污染物排放标准》（GB14554-93）表2标准限值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臭气浓度</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80"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w:t>
            </w: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79" w:type="pct"/>
            <w:vMerge w:val="continue"/>
            <w:vAlign w:val="center"/>
          </w:tcPr>
          <w:p>
            <w:pPr>
              <w:pStyle w:val="221"/>
              <w:rPr>
                <w:color w:val="000000" w:themeColor="text1"/>
                <w:lang w:bidi="ar"/>
                <w14:textFill>
                  <w14:solidFill>
                    <w14:schemeClr w14:val="tx1"/>
                  </w14:solidFill>
                </w14:textFill>
              </w:rPr>
            </w:pP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2000（无量纲）</w:t>
            </w:r>
          </w:p>
        </w:tc>
        <w:tc>
          <w:tcPr>
            <w:tcW w:w="168" w:type="pct"/>
            <w:vMerge w:val="continue"/>
            <w:vAlign w:val="center"/>
          </w:tcPr>
          <w:p>
            <w:pPr>
              <w:pStyle w:val="221"/>
              <w:rPr>
                <w:color w:val="000000" w:themeColor="text1"/>
                <w14:textFill>
                  <w14:solidFill>
                    <w14:schemeClr w14:val="tx1"/>
                  </w14:solidFill>
                </w14:textFill>
              </w:rPr>
            </w:pPr>
          </w:p>
        </w:tc>
        <w:tc>
          <w:tcPr>
            <w:tcW w:w="151" w:type="pct"/>
            <w:vMerge w:val="continue"/>
            <w:vAlign w:val="center"/>
          </w:tcPr>
          <w:p>
            <w:pPr>
              <w:pStyle w:val="221"/>
              <w:rPr>
                <w:color w:val="000000" w:themeColor="text1"/>
                <w14:textFill>
                  <w14:solidFill>
                    <w14:schemeClr w14:val="tx1"/>
                  </w14:solidFill>
                </w14:textFill>
              </w:rPr>
            </w:pPr>
          </w:p>
        </w:tc>
        <w:tc>
          <w:tcPr>
            <w:tcW w:w="146" w:type="pct"/>
            <w:vMerge w:val="continue"/>
            <w:vAlign w:val="center"/>
          </w:tcPr>
          <w:p>
            <w:pPr>
              <w:pStyle w:val="221"/>
              <w:rPr>
                <w:color w:val="000000" w:themeColor="text1"/>
                <w14:textFill>
                  <w14:solidFill>
                    <w14:schemeClr w14:val="tx1"/>
                  </w14:solidFill>
                </w14:textFill>
              </w:rPr>
            </w:pPr>
          </w:p>
        </w:tc>
        <w:tc>
          <w:tcPr>
            <w:tcW w:w="136"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color w:val="000000" w:themeColor="text1"/>
                <w14:textFill>
                  <w14:solidFill>
                    <w14:schemeClr w14:val="tx1"/>
                  </w14:solidFill>
                </w14:textFill>
              </w:rPr>
            </w:pPr>
          </w:p>
        </w:tc>
        <w:tc>
          <w:tcPr>
            <w:tcW w:w="191" w:type="pct"/>
            <w:vMerge w:val="continue"/>
            <w:vAlign w:val="center"/>
          </w:tcPr>
          <w:p>
            <w:pPr>
              <w:pStyle w:val="221"/>
              <w:rPr>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30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混料搅拌</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0.057</w:t>
            </w:r>
          </w:p>
        </w:tc>
        <w:tc>
          <w:tcPr>
            <w:tcW w:w="28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0.03</w:t>
            </w:r>
          </w:p>
        </w:tc>
        <w:tc>
          <w:tcPr>
            <w:tcW w:w="205" w:type="pct"/>
            <w:vMerge w:val="restar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20000</w:t>
            </w:r>
          </w:p>
        </w:tc>
        <w:tc>
          <w:tcPr>
            <w:tcW w:w="221"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11.5</w:t>
            </w:r>
          </w:p>
        </w:tc>
        <w:tc>
          <w:tcPr>
            <w:tcW w:w="246" w:type="pct"/>
            <w:vMerge w:val="restart"/>
            <w:vAlign w:val="center"/>
          </w:tcPr>
          <w:p>
            <w:pPr>
              <w:pStyle w:val="221"/>
              <w:jc w:val="left"/>
              <w:rPr>
                <w:color w:val="000000" w:themeColor="text1"/>
                <w14:textFill>
                  <w14:solidFill>
                    <w14:schemeClr w14:val="tx1"/>
                  </w14:solidFill>
                </w14:textFill>
              </w:rPr>
            </w:pPr>
            <w:r>
              <w:rPr>
                <w:color w:val="000000" w:themeColor="text1"/>
                <w14:textFill>
                  <w14:solidFill>
                    <w14:schemeClr w14:val="tx1"/>
                  </w14:solidFill>
                </w14:textFill>
              </w:rPr>
              <w:t>密闭车间统一收集+二级活性炭吸附+15米高排气筒（</w:t>
            </w:r>
            <w:r>
              <w:rPr>
                <w:rFonts w:hint="eastAsia"/>
                <w:color w:val="000000" w:themeColor="text1"/>
                <w14:textFill>
                  <w14:solidFill>
                    <w14:schemeClr w14:val="tx1"/>
                  </w14:solidFill>
                </w14:textFill>
              </w:rPr>
              <w:t>DA006</w:t>
            </w:r>
            <w:r>
              <w:rPr>
                <w:color w:val="000000" w:themeColor="text1"/>
                <w14:textFill>
                  <w14:solidFill>
                    <w14:schemeClr w14:val="tx1"/>
                  </w14:solidFill>
                </w14:textFill>
              </w:rPr>
              <w:t>）排放</w:t>
            </w:r>
            <w:r>
              <w:rPr>
                <w:rFonts w:hint="eastAsia"/>
                <w:color w:val="000000" w:themeColor="text1"/>
                <w14:textFill>
                  <w14:solidFill>
                    <w14:schemeClr w14:val="tx1"/>
                  </w14:solidFill>
                </w14:textFill>
              </w:rPr>
              <w:t>，收集效率90%，处理效率80%</w:t>
            </w:r>
          </w:p>
        </w:tc>
        <w:tc>
          <w:tcPr>
            <w:tcW w:w="189" w:type="pct"/>
            <w:vMerge w:val="continue"/>
            <w:vAlign w:val="center"/>
          </w:tcPr>
          <w:p>
            <w:pPr>
              <w:pStyle w:val="221"/>
              <w:rPr>
                <w:color w:val="000000" w:themeColor="text1"/>
                <w14:textFill>
                  <w14:solidFill>
                    <w14:schemeClr w14:val="tx1"/>
                  </w14:solidFill>
                </w14:textFill>
              </w:rPr>
            </w:pPr>
          </w:p>
        </w:tc>
        <w:tc>
          <w:tcPr>
            <w:tcW w:w="200"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0.046</w:t>
            </w:r>
          </w:p>
        </w:tc>
        <w:tc>
          <w:tcPr>
            <w:tcW w:w="179" w:type="pct"/>
            <w:vMerge w:val="continue"/>
            <w:vAlign w:val="center"/>
          </w:tcPr>
          <w:p>
            <w:pPr>
              <w:pStyle w:val="221"/>
              <w:rPr>
                <w:color w:val="000000" w:themeColor="text1"/>
                <w:lang w:bidi="ar"/>
                <w14:textFill>
                  <w14:solidFill>
                    <w14:schemeClr w14:val="tx1"/>
                  </w14:solidFill>
                </w14:textFill>
              </w:rPr>
            </w:pPr>
          </w:p>
        </w:tc>
        <w:tc>
          <w:tcPr>
            <w:tcW w:w="168"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276"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26"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226"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68" w:type="pct"/>
            <w:vMerge w:val="restart"/>
            <w:vAlign w:val="center"/>
          </w:tcPr>
          <w:p>
            <w:pPr>
              <w:pStyle w:val="221"/>
              <w:jc w:val="left"/>
              <w:rPr>
                <w:bCs/>
                <w:color w:val="000000" w:themeColor="text1"/>
                <w14:textFill>
                  <w14:solidFill>
                    <w14:schemeClr w14:val="tx1"/>
                  </w14:solidFill>
                </w14:textFill>
              </w:rPr>
            </w:pPr>
            <w:r>
              <w:rPr>
                <w:bCs/>
                <w:color w:val="000000" w:themeColor="text1"/>
                <w14:textFill>
                  <w14:solidFill>
                    <w14:schemeClr w14:val="tx1"/>
                  </w14:solidFill>
                </w14:textFill>
              </w:rPr>
              <w:t>15</w:t>
            </w:r>
          </w:p>
          <w:p>
            <w:pPr>
              <w:pStyle w:val="221"/>
              <w:rPr>
                <w:color w:val="000000" w:themeColor="text1"/>
                <w14:textFill>
                  <w14:solidFill>
                    <w14:schemeClr w14:val="tx1"/>
                  </w14:solidFill>
                </w14:textFill>
              </w:rPr>
            </w:pPr>
          </w:p>
        </w:tc>
        <w:tc>
          <w:tcPr>
            <w:tcW w:w="151" w:type="pct"/>
            <w:vMerge w:val="restart"/>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Φ0.</w:t>
            </w:r>
            <w:r>
              <w:rPr>
                <w:rFonts w:hint="eastAsia"/>
                <w:bCs/>
                <w:color w:val="000000" w:themeColor="text1"/>
                <w14:textFill>
                  <w14:solidFill>
                    <w14:schemeClr w14:val="tx1"/>
                  </w14:solidFill>
                </w14:textFill>
              </w:rPr>
              <w:t>7</w:t>
            </w:r>
          </w:p>
          <w:p>
            <w:pPr>
              <w:pStyle w:val="221"/>
              <w:rPr>
                <w:color w:val="000000" w:themeColor="text1"/>
                <w14:textFill>
                  <w14:solidFill>
                    <w14:schemeClr w14:val="tx1"/>
                  </w14:solidFill>
                </w14:textFill>
              </w:rPr>
            </w:pPr>
          </w:p>
        </w:tc>
        <w:tc>
          <w:tcPr>
            <w:tcW w:w="146" w:type="pct"/>
            <w:vMerge w:val="restart"/>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常温</w:t>
            </w:r>
          </w:p>
          <w:p>
            <w:pPr>
              <w:pStyle w:val="221"/>
              <w:rPr>
                <w:color w:val="000000" w:themeColor="text1"/>
                <w14:textFill>
                  <w14:solidFill>
                    <w14:schemeClr w14:val="tx1"/>
                  </w14:solidFill>
                </w14:textFill>
              </w:rPr>
            </w:pPr>
          </w:p>
        </w:tc>
        <w:tc>
          <w:tcPr>
            <w:tcW w:w="136"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DA00</w:t>
            </w:r>
            <w:r>
              <w:rPr>
                <w:rFonts w:hint="eastAsia"/>
                <w:bCs/>
                <w:color w:val="000000" w:themeColor="text1"/>
                <w14:textFill>
                  <w14:solidFill>
                    <w14:schemeClr w14:val="tx1"/>
                  </w14:solidFill>
                </w14:textFill>
              </w:rPr>
              <w:t>6</w:t>
            </w:r>
          </w:p>
        </w:tc>
        <w:tc>
          <w:tcPr>
            <w:tcW w:w="168" w:type="pct"/>
            <w:vMerge w:val="restart"/>
            <w:vAlign w:val="center"/>
          </w:tcPr>
          <w:p>
            <w:pPr>
              <w:pStyle w:val="221"/>
              <w:rPr>
                <w:bCs/>
                <w:color w:val="000000" w:themeColor="text1"/>
                <w14:textFill>
                  <w14:solidFill>
                    <w14:schemeClr w14:val="tx1"/>
                  </w14:solidFill>
                </w14:textFill>
              </w:rPr>
            </w:pPr>
          </w:p>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涂刷、浇注、固化、二次固化和脱模废气</w:t>
            </w:r>
            <w:r>
              <w:rPr>
                <w:bCs/>
                <w:color w:val="000000" w:themeColor="text1"/>
                <w14:textFill>
                  <w14:solidFill>
                    <w14:schemeClr w14:val="tx1"/>
                  </w14:solidFill>
                </w14:textFill>
              </w:rPr>
              <w:t>排放口</w:t>
            </w:r>
          </w:p>
        </w:tc>
        <w:tc>
          <w:tcPr>
            <w:tcW w:w="191"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一般排放口</w:t>
            </w:r>
          </w:p>
        </w:tc>
        <w:tc>
          <w:tcPr>
            <w:tcW w:w="169"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E119°18′30.908″″N29°40′41.053″</w:t>
            </w:r>
          </w:p>
        </w:tc>
        <w:tc>
          <w:tcPr>
            <w:tcW w:w="545"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《合成树脂工业污染物排放标准》(GB31572-2015)表4和</w:t>
            </w:r>
            <w:r>
              <w:rPr>
                <w:rFonts w:hint="eastAsia"/>
                <w:bCs/>
                <w:color w:val="000000" w:themeColor="text1"/>
                <w14:textFill>
                  <w14:solidFill>
                    <w14:schemeClr w14:val="tx1"/>
                  </w14:solidFill>
                </w14:textFill>
              </w:rPr>
              <w:t>《福建工业涂装工序挥发性物排放标准》（DB35/1783-2018）表1标准较严者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30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固化废气</w:t>
            </w:r>
          </w:p>
        </w:tc>
        <w:tc>
          <w:tcPr>
            <w:tcW w:w="253"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0.351</w:t>
            </w:r>
          </w:p>
        </w:tc>
        <w:tc>
          <w:tcPr>
            <w:tcW w:w="28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0.175</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Merge w:val="continue"/>
            <w:vAlign w:val="center"/>
          </w:tcPr>
          <w:p>
            <w:pPr>
              <w:pStyle w:val="221"/>
              <w:rPr>
                <w:color w:val="000000" w:themeColor="text1"/>
                <w:lang w:bidi="ar"/>
                <w14:textFill>
                  <w14:solidFill>
                    <w14:schemeClr w14:val="tx1"/>
                  </w14:solidFill>
                </w14:textFill>
              </w:rPr>
            </w:pP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Merge w:val="continue"/>
            <w:vAlign w:val="center"/>
          </w:tcPr>
          <w:p>
            <w:pPr>
              <w:pStyle w:val="221"/>
              <w:rPr>
                <w:color w:val="000000" w:themeColor="text1"/>
                <w14:textFill>
                  <w14:solidFill>
                    <w14:schemeClr w14:val="tx1"/>
                  </w14:solidFill>
                </w14:textFill>
              </w:rPr>
            </w:pPr>
          </w:p>
        </w:tc>
        <w:tc>
          <w:tcPr>
            <w:tcW w:w="179"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color w:val="000000" w:themeColor="text1"/>
                <w14:textFill>
                  <w14:solidFill>
                    <w14:schemeClr w14:val="tx1"/>
                  </w14:solidFill>
                </w14:textFill>
              </w:rPr>
            </w:pPr>
          </w:p>
        </w:tc>
        <w:tc>
          <w:tcPr>
            <w:tcW w:w="276" w:type="pct"/>
            <w:vMerge w:val="continue"/>
            <w:vAlign w:val="center"/>
          </w:tcPr>
          <w:p>
            <w:pPr>
              <w:pStyle w:val="221"/>
              <w:rPr>
                <w:color w:val="000000" w:themeColor="text1"/>
                <w14:textFill>
                  <w14:solidFill>
                    <w14:schemeClr w14:val="tx1"/>
                  </w14:solidFill>
                </w14:textFill>
              </w:rPr>
            </w:pPr>
          </w:p>
        </w:tc>
        <w:tc>
          <w:tcPr>
            <w:tcW w:w="226" w:type="pct"/>
            <w:vMerge w:val="continue"/>
            <w:vAlign w:val="center"/>
          </w:tcPr>
          <w:p>
            <w:pPr>
              <w:pStyle w:val="221"/>
              <w:rPr>
                <w:color w:val="000000" w:themeColor="text1"/>
                <w14:textFill>
                  <w14:solidFill>
                    <w14:schemeClr w14:val="tx1"/>
                  </w14:solidFill>
                </w14:textFill>
              </w:rPr>
            </w:pPr>
          </w:p>
        </w:tc>
        <w:tc>
          <w:tcPr>
            <w:tcW w:w="226"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51" w:type="pct"/>
            <w:vMerge w:val="continue"/>
            <w:vAlign w:val="center"/>
          </w:tcPr>
          <w:p>
            <w:pPr>
              <w:pStyle w:val="221"/>
              <w:rPr>
                <w:bCs/>
                <w:color w:val="000000" w:themeColor="text1"/>
                <w14:textFill>
                  <w14:solidFill>
                    <w14:schemeClr w14:val="tx1"/>
                  </w14:solidFill>
                </w14:textFill>
              </w:rPr>
            </w:pPr>
          </w:p>
        </w:tc>
        <w:tc>
          <w:tcPr>
            <w:tcW w:w="146" w:type="pct"/>
            <w:vMerge w:val="continue"/>
            <w:vAlign w:val="center"/>
          </w:tcPr>
          <w:p>
            <w:pPr>
              <w:pStyle w:val="221"/>
              <w:rPr>
                <w:bCs/>
                <w:color w:val="000000" w:themeColor="text1"/>
                <w14:textFill>
                  <w14:solidFill>
                    <w14:schemeClr w14:val="tx1"/>
                  </w14:solidFill>
                </w14:textFill>
              </w:rPr>
            </w:pPr>
          </w:p>
        </w:tc>
        <w:tc>
          <w:tcPr>
            <w:tcW w:w="136" w:type="pct"/>
            <w:vMerge w:val="continue"/>
            <w:vAlign w:val="center"/>
          </w:tcPr>
          <w:p>
            <w:pPr>
              <w:pStyle w:val="221"/>
              <w:rPr>
                <w:bCs/>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91" w:type="pct"/>
            <w:vMerge w:val="continue"/>
            <w:vAlign w:val="center"/>
          </w:tcPr>
          <w:p>
            <w:pPr>
              <w:pStyle w:val="221"/>
              <w:rPr>
                <w:bCs/>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30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脱模剂废气</w:t>
            </w: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0.0018</w:t>
            </w:r>
          </w:p>
        </w:tc>
        <w:tc>
          <w:tcPr>
            <w:tcW w:w="28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0.0009</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Merge w:val="continue"/>
            <w:vAlign w:val="center"/>
          </w:tcPr>
          <w:p>
            <w:pPr>
              <w:pStyle w:val="221"/>
              <w:rPr>
                <w:color w:val="000000" w:themeColor="text1"/>
                <w:lang w:bidi="ar"/>
                <w14:textFill>
                  <w14:solidFill>
                    <w14:schemeClr w14:val="tx1"/>
                  </w14:solidFill>
                </w14:textFill>
              </w:rPr>
            </w:pP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Merge w:val="continue"/>
            <w:vAlign w:val="center"/>
          </w:tcPr>
          <w:p>
            <w:pPr>
              <w:pStyle w:val="221"/>
              <w:rPr>
                <w:color w:val="000000" w:themeColor="text1"/>
                <w14:textFill>
                  <w14:solidFill>
                    <w14:schemeClr w14:val="tx1"/>
                  </w14:solidFill>
                </w14:textFill>
              </w:rPr>
            </w:pPr>
          </w:p>
        </w:tc>
        <w:tc>
          <w:tcPr>
            <w:tcW w:w="179"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color w:val="000000" w:themeColor="text1"/>
                <w14:textFill>
                  <w14:solidFill>
                    <w14:schemeClr w14:val="tx1"/>
                  </w14:solidFill>
                </w14:textFill>
              </w:rPr>
            </w:pPr>
          </w:p>
        </w:tc>
        <w:tc>
          <w:tcPr>
            <w:tcW w:w="276" w:type="pct"/>
            <w:vMerge w:val="continue"/>
            <w:vAlign w:val="center"/>
          </w:tcPr>
          <w:p>
            <w:pPr>
              <w:pStyle w:val="221"/>
              <w:rPr>
                <w:color w:val="000000" w:themeColor="text1"/>
                <w14:textFill>
                  <w14:solidFill>
                    <w14:schemeClr w14:val="tx1"/>
                  </w14:solidFill>
                </w14:textFill>
              </w:rPr>
            </w:pPr>
          </w:p>
        </w:tc>
        <w:tc>
          <w:tcPr>
            <w:tcW w:w="226" w:type="pct"/>
            <w:vMerge w:val="continue"/>
            <w:vAlign w:val="center"/>
          </w:tcPr>
          <w:p>
            <w:pPr>
              <w:pStyle w:val="221"/>
              <w:rPr>
                <w:color w:val="000000" w:themeColor="text1"/>
                <w14:textFill>
                  <w14:solidFill>
                    <w14:schemeClr w14:val="tx1"/>
                  </w14:solidFill>
                </w14:textFill>
              </w:rPr>
            </w:pPr>
          </w:p>
        </w:tc>
        <w:tc>
          <w:tcPr>
            <w:tcW w:w="226"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51" w:type="pct"/>
            <w:vMerge w:val="continue"/>
            <w:vAlign w:val="center"/>
          </w:tcPr>
          <w:p>
            <w:pPr>
              <w:pStyle w:val="221"/>
              <w:rPr>
                <w:bCs/>
                <w:color w:val="000000" w:themeColor="text1"/>
                <w14:textFill>
                  <w14:solidFill>
                    <w14:schemeClr w14:val="tx1"/>
                  </w14:solidFill>
                </w14:textFill>
              </w:rPr>
            </w:pPr>
          </w:p>
        </w:tc>
        <w:tc>
          <w:tcPr>
            <w:tcW w:w="146" w:type="pct"/>
            <w:vMerge w:val="continue"/>
            <w:vAlign w:val="center"/>
          </w:tcPr>
          <w:p>
            <w:pPr>
              <w:pStyle w:val="221"/>
              <w:rPr>
                <w:bCs/>
                <w:color w:val="000000" w:themeColor="text1"/>
                <w14:textFill>
                  <w14:solidFill>
                    <w14:schemeClr w14:val="tx1"/>
                  </w14:solidFill>
                </w14:textFill>
              </w:rPr>
            </w:pPr>
          </w:p>
        </w:tc>
        <w:tc>
          <w:tcPr>
            <w:tcW w:w="136" w:type="pct"/>
            <w:vMerge w:val="continue"/>
            <w:vAlign w:val="center"/>
          </w:tcPr>
          <w:p>
            <w:pPr>
              <w:pStyle w:val="221"/>
              <w:rPr>
                <w:bCs/>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91" w:type="pct"/>
            <w:vMerge w:val="continue"/>
            <w:vAlign w:val="center"/>
          </w:tcPr>
          <w:p>
            <w:pPr>
              <w:pStyle w:val="221"/>
              <w:rPr>
                <w:bCs/>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30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涂刷废气</w:t>
            </w:r>
          </w:p>
        </w:tc>
        <w:tc>
          <w:tcPr>
            <w:tcW w:w="253"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0.0495</w:t>
            </w:r>
          </w:p>
        </w:tc>
        <w:tc>
          <w:tcPr>
            <w:tcW w:w="28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0.024</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Merge w:val="continue"/>
            <w:vAlign w:val="center"/>
          </w:tcPr>
          <w:p>
            <w:pPr>
              <w:pStyle w:val="221"/>
              <w:rPr>
                <w:color w:val="000000" w:themeColor="text1"/>
                <w:lang w:bidi="ar"/>
                <w14:textFill>
                  <w14:solidFill>
                    <w14:schemeClr w14:val="tx1"/>
                  </w14:solidFill>
                </w14:textFill>
              </w:rPr>
            </w:pP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Merge w:val="continue"/>
            <w:vAlign w:val="center"/>
          </w:tcPr>
          <w:p>
            <w:pPr>
              <w:pStyle w:val="221"/>
              <w:rPr>
                <w:color w:val="000000" w:themeColor="text1"/>
                <w14:textFill>
                  <w14:solidFill>
                    <w14:schemeClr w14:val="tx1"/>
                  </w14:solidFill>
                </w14:textFill>
              </w:rPr>
            </w:pPr>
          </w:p>
        </w:tc>
        <w:tc>
          <w:tcPr>
            <w:tcW w:w="179"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color w:val="000000" w:themeColor="text1"/>
                <w14:textFill>
                  <w14:solidFill>
                    <w14:schemeClr w14:val="tx1"/>
                  </w14:solidFill>
                </w14:textFill>
              </w:rPr>
            </w:pPr>
          </w:p>
        </w:tc>
        <w:tc>
          <w:tcPr>
            <w:tcW w:w="276" w:type="pct"/>
            <w:vMerge w:val="continue"/>
            <w:vAlign w:val="center"/>
          </w:tcPr>
          <w:p>
            <w:pPr>
              <w:pStyle w:val="221"/>
              <w:rPr>
                <w:color w:val="000000" w:themeColor="text1"/>
                <w14:textFill>
                  <w14:solidFill>
                    <w14:schemeClr w14:val="tx1"/>
                  </w14:solidFill>
                </w14:textFill>
              </w:rPr>
            </w:pPr>
          </w:p>
        </w:tc>
        <w:tc>
          <w:tcPr>
            <w:tcW w:w="226" w:type="pct"/>
            <w:vMerge w:val="continue"/>
            <w:vAlign w:val="center"/>
          </w:tcPr>
          <w:p>
            <w:pPr>
              <w:pStyle w:val="221"/>
              <w:rPr>
                <w:color w:val="000000" w:themeColor="text1"/>
                <w14:textFill>
                  <w14:solidFill>
                    <w14:schemeClr w14:val="tx1"/>
                  </w14:solidFill>
                </w14:textFill>
              </w:rPr>
            </w:pPr>
          </w:p>
        </w:tc>
        <w:tc>
          <w:tcPr>
            <w:tcW w:w="226" w:type="pct"/>
            <w:vMerge w:val="continue"/>
            <w:vAlign w:val="center"/>
          </w:tcPr>
          <w:p>
            <w:pPr>
              <w:pStyle w:val="221"/>
              <w:rPr>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51" w:type="pct"/>
            <w:vMerge w:val="continue"/>
            <w:vAlign w:val="center"/>
          </w:tcPr>
          <w:p>
            <w:pPr>
              <w:pStyle w:val="221"/>
              <w:rPr>
                <w:bCs/>
                <w:color w:val="000000" w:themeColor="text1"/>
                <w14:textFill>
                  <w14:solidFill>
                    <w14:schemeClr w14:val="tx1"/>
                  </w14:solidFill>
                </w14:textFill>
              </w:rPr>
            </w:pPr>
          </w:p>
        </w:tc>
        <w:tc>
          <w:tcPr>
            <w:tcW w:w="146" w:type="pct"/>
            <w:vMerge w:val="continue"/>
            <w:vAlign w:val="center"/>
          </w:tcPr>
          <w:p>
            <w:pPr>
              <w:pStyle w:val="221"/>
              <w:rPr>
                <w:bCs/>
                <w:color w:val="000000" w:themeColor="text1"/>
                <w14:textFill>
                  <w14:solidFill>
                    <w14:schemeClr w14:val="tx1"/>
                  </w14:solidFill>
                </w14:textFill>
              </w:rPr>
            </w:pPr>
          </w:p>
        </w:tc>
        <w:tc>
          <w:tcPr>
            <w:tcW w:w="136" w:type="pct"/>
            <w:vMerge w:val="continue"/>
            <w:vAlign w:val="center"/>
          </w:tcPr>
          <w:p>
            <w:pPr>
              <w:pStyle w:val="221"/>
              <w:rPr>
                <w:bCs/>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91" w:type="pct"/>
            <w:vMerge w:val="continue"/>
            <w:vAlign w:val="center"/>
          </w:tcPr>
          <w:p>
            <w:pPr>
              <w:pStyle w:val="221"/>
              <w:rPr>
                <w:bCs/>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甲苯</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0.0009</w:t>
            </w:r>
          </w:p>
        </w:tc>
        <w:tc>
          <w:tcPr>
            <w:tcW w:w="28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0.00045</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0.01125</w:t>
            </w: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79" w:type="pct"/>
            <w:vMerge w:val="continue"/>
            <w:vAlign w:val="center"/>
          </w:tcPr>
          <w:p>
            <w:pPr>
              <w:pStyle w:val="221"/>
              <w:rPr>
                <w:color w:val="000000" w:themeColor="text1"/>
                <w14:textFill>
                  <w14:solidFill>
                    <w14:schemeClr w14:val="tx1"/>
                  </w14:solidFill>
                </w14:textFill>
              </w:rPr>
            </w:pPr>
          </w:p>
        </w:tc>
        <w:tc>
          <w:tcPr>
            <w:tcW w:w="168"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27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22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22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68" w:type="pct"/>
            <w:vMerge w:val="continue"/>
            <w:vAlign w:val="center"/>
          </w:tcPr>
          <w:p>
            <w:pPr>
              <w:pStyle w:val="221"/>
              <w:rPr>
                <w:bCs/>
                <w:color w:val="000000" w:themeColor="text1"/>
                <w14:textFill>
                  <w14:solidFill>
                    <w14:schemeClr w14:val="tx1"/>
                  </w14:solidFill>
                </w14:textFill>
              </w:rPr>
            </w:pPr>
          </w:p>
        </w:tc>
        <w:tc>
          <w:tcPr>
            <w:tcW w:w="151" w:type="pct"/>
            <w:vMerge w:val="continue"/>
            <w:vAlign w:val="center"/>
          </w:tcPr>
          <w:p>
            <w:pPr>
              <w:pStyle w:val="221"/>
              <w:rPr>
                <w:bCs/>
                <w:color w:val="000000" w:themeColor="text1"/>
                <w14:textFill>
                  <w14:solidFill>
                    <w14:schemeClr w14:val="tx1"/>
                  </w14:solidFill>
                </w14:textFill>
              </w:rPr>
            </w:pPr>
          </w:p>
        </w:tc>
        <w:tc>
          <w:tcPr>
            <w:tcW w:w="146" w:type="pct"/>
            <w:vMerge w:val="continue"/>
            <w:vAlign w:val="center"/>
          </w:tcPr>
          <w:p>
            <w:pPr>
              <w:pStyle w:val="221"/>
              <w:rPr>
                <w:bCs/>
                <w:color w:val="000000" w:themeColor="text1"/>
                <w14:textFill>
                  <w14:solidFill>
                    <w14:schemeClr w14:val="tx1"/>
                  </w14:solidFill>
                </w14:textFill>
              </w:rPr>
            </w:pPr>
          </w:p>
        </w:tc>
        <w:tc>
          <w:tcPr>
            <w:tcW w:w="136" w:type="pct"/>
            <w:vMerge w:val="continue"/>
            <w:vAlign w:val="center"/>
          </w:tcPr>
          <w:p>
            <w:pPr>
              <w:pStyle w:val="221"/>
              <w:rPr>
                <w:bCs/>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91" w:type="pct"/>
            <w:vMerge w:val="continue"/>
            <w:vAlign w:val="center"/>
          </w:tcPr>
          <w:p>
            <w:pPr>
              <w:pStyle w:val="221"/>
              <w:rPr>
                <w:bCs/>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二甲苯</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0.0324</w:t>
            </w:r>
          </w:p>
        </w:tc>
        <w:tc>
          <w:tcPr>
            <w:tcW w:w="28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0.0162</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0.405</w:t>
            </w: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0.081</w:t>
            </w:r>
          </w:p>
        </w:tc>
        <w:tc>
          <w:tcPr>
            <w:tcW w:w="179" w:type="pct"/>
            <w:vMerge w:val="continue"/>
            <w:vAlign w:val="center"/>
          </w:tcPr>
          <w:p>
            <w:pPr>
              <w:pStyle w:val="221"/>
              <w:rPr>
                <w:color w:val="000000" w:themeColor="text1"/>
                <w14:textFill>
                  <w14:solidFill>
                    <w14:schemeClr w14:val="tx1"/>
                  </w14:solidFill>
                </w14:textFill>
              </w:rPr>
            </w:pPr>
          </w:p>
        </w:tc>
        <w:tc>
          <w:tcPr>
            <w:tcW w:w="168"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0.04</w:t>
            </w:r>
          </w:p>
        </w:tc>
        <w:tc>
          <w:tcPr>
            <w:tcW w:w="27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2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22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68" w:type="pct"/>
            <w:vMerge w:val="continue"/>
            <w:vAlign w:val="center"/>
          </w:tcPr>
          <w:p>
            <w:pPr>
              <w:pStyle w:val="221"/>
              <w:rPr>
                <w:bCs/>
                <w:color w:val="000000" w:themeColor="text1"/>
                <w14:textFill>
                  <w14:solidFill>
                    <w14:schemeClr w14:val="tx1"/>
                  </w14:solidFill>
                </w14:textFill>
              </w:rPr>
            </w:pPr>
          </w:p>
        </w:tc>
        <w:tc>
          <w:tcPr>
            <w:tcW w:w="151" w:type="pct"/>
            <w:vMerge w:val="continue"/>
            <w:vAlign w:val="center"/>
          </w:tcPr>
          <w:p>
            <w:pPr>
              <w:pStyle w:val="221"/>
              <w:rPr>
                <w:bCs/>
                <w:color w:val="000000" w:themeColor="text1"/>
                <w14:textFill>
                  <w14:solidFill>
                    <w14:schemeClr w14:val="tx1"/>
                  </w14:solidFill>
                </w14:textFill>
              </w:rPr>
            </w:pPr>
          </w:p>
        </w:tc>
        <w:tc>
          <w:tcPr>
            <w:tcW w:w="146" w:type="pct"/>
            <w:vMerge w:val="continue"/>
            <w:vAlign w:val="center"/>
          </w:tcPr>
          <w:p>
            <w:pPr>
              <w:pStyle w:val="221"/>
              <w:rPr>
                <w:bCs/>
                <w:color w:val="000000" w:themeColor="text1"/>
                <w14:textFill>
                  <w14:solidFill>
                    <w14:schemeClr w14:val="tx1"/>
                  </w14:solidFill>
                </w14:textFill>
              </w:rPr>
            </w:pPr>
          </w:p>
        </w:tc>
        <w:tc>
          <w:tcPr>
            <w:tcW w:w="136" w:type="pct"/>
            <w:vMerge w:val="continue"/>
            <w:vAlign w:val="center"/>
          </w:tcPr>
          <w:p>
            <w:pPr>
              <w:pStyle w:val="221"/>
              <w:rPr>
                <w:bCs/>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91" w:type="pct"/>
            <w:vMerge w:val="continue"/>
            <w:vAlign w:val="center"/>
          </w:tcPr>
          <w:p>
            <w:pPr>
              <w:pStyle w:val="221"/>
              <w:rPr>
                <w:bCs/>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苯系物</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0.0108</w:t>
            </w:r>
          </w:p>
        </w:tc>
        <w:tc>
          <w:tcPr>
            <w:tcW w:w="28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0.0054</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0.135</w:t>
            </w: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79" w:type="pct"/>
            <w:vMerge w:val="continue"/>
            <w:vAlign w:val="center"/>
          </w:tcPr>
          <w:p>
            <w:pPr>
              <w:pStyle w:val="221"/>
              <w:rPr>
                <w:color w:val="000000" w:themeColor="text1"/>
                <w14:textFill>
                  <w14:solidFill>
                    <w14:schemeClr w14:val="tx1"/>
                  </w14:solidFill>
                </w14:textFill>
              </w:rPr>
            </w:pPr>
          </w:p>
        </w:tc>
        <w:tc>
          <w:tcPr>
            <w:tcW w:w="168"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27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0.027</w:t>
            </w:r>
          </w:p>
        </w:tc>
        <w:tc>
          <w:tcPr>
            <w:tcW w:w="22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c>
          <w:tcPr>
            <w:tcW w:w="22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168" w:type="pct"/>
            <w:vMerge w:val="continue"/>
            <w:vAlign w:val="center"/>
          </w:tcPr>
          <w:p>
            <w:pPr>
              <w:pStyle w:val="221"/>
              <w:rPr>
                <w:bCs/>
                <w:color w:val="000000" w:themeColor="text1"/>
                <w14:textFill>
                  <w14:solidFill>
                    <w14:schemeClr w14:val="tx1"/>
                  </w14:solidFill>
                </w14:textFill>
              </w:rPr>
            </w:pPr>
          </w:p>
        </w:tc>
        <w:tc>
          <w:tcPr>
            <w:tcW w:w="151" w:type="pct"/>
            <w:vMerge w:val="continue"/>
            <w:vAlign w:val="center"/>
          </w:tcPr>
          <w:p>
            <w:pPr>
              <w:pStyle w:val="221"/>
              <w:rPr>
                <w:bCs/>
                <w:color w:val="000000" w:themeColor="text1"/>
                <w14:textFill>
                  <w14:solidFill>
                    <w14:schemeClr w14:val="tx1"/>
                  </w14:solidFill>
                </w14:textFill>
              </w:rPr>
            </w:pPr>
          </w:p>
        </w:tc>
        <w:tc>
          <w:tcPr>
            <w:tcW w:w="146" w:type="pct"/>
            <w:vMerge w:val="continue"/>
            <w:vAlign w:val="center"/>
          </w:tcPr>
          <w:p>
            <w:pPr>
              <w:pStyle w:val="221"/>
              <w:rPr>
                <w:bCs/>
                <w:color w:val="000000" w:themeColor="text1"/>
                <w14:textFill>
                  <w14:solidFill>
                    <w14:schemeClr w14:val="tx1"/>
                  </w14:solidFill>
                </w14:textFill>
              </w:rPr>
            </w:pPr>
          </w:p>
        </w:tc>
        <w:tc>
          <w:tcPr>
            <w:tcW w:w="136" w:type="pct"/>
            <w:vMerge w:val="continue"/>
            <w:vAlign w:val="center"/>
          </w:tcPr>
          <w:p>
            <w:pPr>
              <w:pStyle w:val="221"/>
              <w:rPr>
                <w:bCs/>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91" w:type="pct"/>
            <w:vMerge w:val="continue"/>
            <w:vAlign w:val="center"/>
          </w:tcPr>
          <w:p>
            <w:pPr>
              <w:pStyle w:val="221"/>
              <w:rPr>
                <w:bCs/>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bCs/>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酚类</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0.006</w:t>
            </w:r>
          </w:p>
        </w:tc>
        <w:tc>
          <w:tcPr>
            <w:tcW w:w="28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0.003</w:t>
            </w:r>
          </w:p>
        </w:tc>
        <w:tc>
          <w:tcPr>
            <w:tcW w:w="205" w:type="pct"/>
            <w:vMerge w:val="continue"/>
            <w:vAlign w:val="center"/>
          </w:tcPr>
          <w:p>
            <w:pPr>
              <w:pStyle w:val="221"/>
              <w:rPr>
                <w:color w:val="000000" w:themeColor="text1"/>
                <w:lang w:bidi="ar"/>
                <w14:textFill>
                  <w14:solidFill>
                    <w14:schemeClr w14:val="tx1"/>
                  </w14:solidFill>
                </w14:textFill>
              </w:rPr>
            </w:pPr>
          </w:p>
        </w:tc>
        <w:tc>
          <w:tcPr>
            <w:tcW w:w="221"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0.075</w:t>
            </w:r>
          </w:p>
        </w:tc>
        <w:tc>
          <w:tcPr>
            <w:tcW w:w="246" w:type="pct"/>
            <w:vMerge w:val="continue"/>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0.0012</w:t>
            </w:r>
          </w:p>
        </w:tc>
        <w:tc>
          <w:tcPr>
            <w:tcW w:w="179" w:type="pct"/>
            <w:vMerge w:val="continue"/>
            <w:vAlign w:val="center"/>
          </w:tcPr>
          <w:p>
            <w:pPr>
              <w:pStyle w:val="221"/>
              <w:rPr>
                <w:color w:val="000000" w:themeColor="text1"/>
                <w14:textFill>
                  <w14:solidFill>
                    <w14:schemeClr w14:val="tx1"/>
                  </w14:solidFill>
                </w14:textFill>
              </w:rPr>
            </w:pPr>
          </w:p>
        </w:tc>
        <w:tc>
          <w:tcPr>
            <w:tcW w:w="168"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0.0006</w:t>
            </w:r>
          </w:p>
        </w:tc>
        <w:tc>
          <w:tcPr>
            <w:tcW w:w="276"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0.015</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68" w:type="pct"/>
            <w:vMerge w:val="continue"/>
            <w:vAlign w:val="center"/>
          </w:tcPr>
          <w:p>
            <w:pPr>
              <w:pStyle w:val="221"/>
              <w:rPr>
                <w:bCs/>
                <w:color w:val="000000" w:themeColor="text1"/>
                <w14:textFill>
                  <w14:solidFill>
                    <w14:schemeClr w14:val="tx1"/>
                  </w14:solidFill>
                </w14:textFill>
              </w:rPr>
            </w:pPr>
          </w:p>
        </w:tc>
        <w:tc>
          <w:tcPr>
            <w:tcW w:w="151" w:type="pct"/>
            <w:vMerge w:val="continue"/>
            <w:vAlign w:val="center"/>
          </w:tcPr>
          <w:p>
            <w:pPr>
              <w:pStyle w:val="221"/>
              <w:rPr>
                <w:bCs/>
                <w:color w:val="000000" w:themeColor="text1"/>
                <w14:textFill>
                  <w14:solidFill>
                    <w14:schemeClr w14:val="tx1"/>
                  </w14:solidFill>
                </w14:textFill>
              </w:rPr>
            </w:pPr>
          </w:p>
        </w:tc>
        <w:tc>
          <w:tcPr>
            <w:tcW w:w="146" w:type="pct"/>
            <w:vMerge w:val="continue"/>
            <w:vAlign w:val="center"/>
          </w:tcPr>
          <w:p>
            <w:pPr>
              <w:pStyle w:val="221"/>
              <w:rPr>
                <w:bCs/>
                <w:color w:val="000000" w:themeColor="text1"/>
                <w14:textFill>
                  <w14:solidFill>
                    <w14:schemeClr w14:val="tx1"/>
                  </w14:solidFill>
                </w14:textFill>
              </w:rPr>
            </w:pPr>
          </w:p>
        </w:tc>
        <w:tc>
          <w:tcPr>
            <w:tcW w:w="136" w:type="pct"/>
            <w:vMerge w:val="continue"/>
            <w:vAlign w:val="center"/>
          </w:tcPr>
          <w:p>
            <w:pPr>
              <w:pStyle w:val="221"/>
              <w:rPr>
                <w:bCs/>
                <w:color w:val="000000" w:themeColor="text1"/>
                <w14:textFill>
                  <w14:solidFill>
                    <w14:schemeClr w14:val="tx1"/>
                  </w14:solidFill>
                </w14:textFill>
              </w:rPr>
            </w:pPr>
          </w:p>
        </w:tc>
        <w:tc>
          <w:tcPr>
            <w:tcW w:w="168" w:type="pct"/>
            <w:vMerge w:val="continue"/>
            <w:vAlign w:val="center"/>
          </w:tcPr>
          <w:p>
            <w:pPr>
              <w:pStyle w:val="221"/>
              <w:rPr>
                <w:bCs/>
                <w:color w:val="000000" w:themeColor="text1"/>
                <w14:textFill>
                  <w14:solidFill>
                    <w14:schemeClr w14:val="tx1"/>
                  </w14:solidFill>
                </w14:textFill>
              </w:rPr>
            </w:pPr>
          </w:p>
        </w:tc>
        <w:tc>
          <w:tcPr>
            <w:tcW w:w="191" w:type="pct"/>
            <w:vMerge w:val="continue"/>
            <w:vAlign w:val="center"/>
          </w:tcPr>
          <w:p>
            <w:pPr>
              <w:pStyle w:val="221"/>
              <w:rPr>
                <w:bCs/>
                <w:color w:val="000000" w:themeColor="text1"/>
                <w14:textFill>
                  <w14:solidFill>
                    <w14:schemeClr w14:val="tx1"/>
                  </w14:solidFill>
                </w14:textFill>
              </w:rPr>
            </w:pPr>
          </w:p>
        </w:tc>
        <w:tc>
          <w:tcPr>
            <w:tcW w:w="169" w:type="pct"/>
            <w:vMerge w:val="continue"/>
            <w:vAlign w:val="center"/>
          </w:tcPr>
          <w:p>
            <w:pPr>
              <w:pStyle w:val="221"/>
              <w:rPr>
                <w:color w:val="000000" w:themeColor="text1"/>
                <w14:textFill>
                  <w14:solidFill>
                    <w14:schemeClr w14:val="tx1"/>
                  </w14:solidFill>
                </w14:textFill>
              </w:rPr>
            </w:pP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颗粒物（其他）</w:t>
            </w:r>
          </w:p>
        </w:tc>
        <w:tc>
          <w:tcPr>
            <w:tcW w:w="30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打磨粉尘</w:t>
            </w: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0.98</w:t>
            </w:r>
          </w:p>
        </w:tc>
        <w:tc>
          <w:tcPr>
            <w:tcW w:w="28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05"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21"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46" w:type="pct"/>
            <w:vAlign w:val="center"/>
          </w:tcPr>
          <w:p>
            <w:pPr>
              <w:pStyle w:val="221"/>
              <w:rPr>
                <w:color w:val="000000" w:themeColor="text1"/>
                <w14:textFill>
                  <w14:solidFill>
                    <w14:schemeClr w14:val="tx1"/>
                  </w14:solidFill>
                </w14:textFill>
              </w:rPr>
            </w:pPr>
            <w:r>
              <w:rPr>
                <w:rFonts w:hint="eastAsia"/>
                <w:color w:val="000000" w:themeColor="text1"/>
                <w:lang w:bidi="zh-CN"/>
                <w14:textFill>
                  <w14:solidFill>
                    <w14:schemeClr w14:val="tx1"/>
                  </w14:solidFill>
                </w14:textFill>
              </w:rPr>
              <w:t>经打磨台自带单机布袋收尘处理，90%</w:t>
            </w:r>
          </w:p>
        </w:tc>
        <w:tc>
          <w:tcPr>
            <w:tcW w:w="189" w:type="pct"/>
            <w:vMerge w:val="restart"/>
            <w:vAlign w:val="center"/>
          </w:tcPr>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p>
          <w:p>
            <w:pPr>
              <w:pStyle w:val="221"/>
              <w:rPr>
                <w:color w:val="000000" w:themeColor="text1"/>
                <w14:textFill>
                  <w14:solidFill>
                    <w14:schemeClr w14:val="tx1"/>
                  </w14:solidFill>
                </w14:textFill>
              </w:rPr>
            </w:pPr>
            <w:r>
              <w:rPr>
                <w:color w:val="000000" w:themeColor="text1"/>
                <w14:textFill>
                  <w14:solidFill>
                    <w14:schemeClr w14:val="tx1"/>
                  </w14:solidFill>
                </w14:textFill>
              </w:rPr>
              <w:t>无组织</w:t>
            </w:r>
          </w:p>
        </w:tc>
        <w:tc>
          <w:tcPr>
            <w:tcW w:w="20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0.098</w:t>
            </w:r>
          </w:p>
        </w:tc>
        <w:tc>
          <w:tcPr>
            <w:tcW w:w="17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1000h/a</w:t>
            </w:r>
          </w:p>
        </w:tc>
        <w:tc>
          <w:tcPr>
            <w:tcW w:w="168"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5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4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3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9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545"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《橡胶制品工业污染物排放标准》(GB27632-2011)表6标准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303"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硫化、搅拌、固化、涂刷和脱模</w:t>
            </w:r>
            <w:r>
              <w:rPr>
                <w:color w:val="000000" w:themeColor="text1"/>
                <w:lang w:val="en-GB"/>
                <w14:textFill>
                  <w14:solidFill>
                    <w14:schemeClr w14:val="tx1"/>
                  </w14:solidFill>
                </w14:textFill>
              </w:rPr>
              <w:t>工序</w:t>
            </w:r>
            <w:r>
              <w:rPr>
                <w:rFonts w:hint="eastAsia"/>
                <w:color w:val="000000" w:themeColor="text1"/>
                <w14:textFill>
                  <w14:solidFill>
                    <w14:schemeClr w14:val="tx1"/>
                  </w14:solidFill>
                </w14:textFill>
              </w:rPr>
              <w:t>废气未收集</w:t>
            </w:r>
          </w:p>
        </w:tc>
        <w:tc>
          <w:tcPr>
            <w:tcW w:w="2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0.00113</w:t>
            </w:r>
          </w:p>
        </w:tc>
        <w:tc>
          <w:tcPr>
            <w:tcW w:w="28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05"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21"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46" w:type="pct"/>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0.00113</w:t>
            </w:r>
          </w:p>
        </w:tc>
        <w:tc>
          <w:tcPr>
            <w:tcW w:w="17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2000h/a</w:t>
            </w:r>
          </w:p>
        </w:tc>
        <w:tc>
          <w:tcPr>
            <w:tcW w:w="168" w:type="pct"/>
            <w:vAlign w:val="center"/>
          </w:tcPr>
          <w:p>
            <w:pPr>
              <w:pStyle w:val="221"/>
              <w:rPr>
                <w:color w:val="000000" w:themeColor="text1"/>
                <w:lang w:bidi="ar"/>
                <w14:textFill>
                  <w14:solidFill>
                    <w14:schemeClr w14:val="tx1"/>
                  </w14:solidFill>
                </w14:textFill>
              </w:rPr>
            </w:pP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0.6</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5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4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3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9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545"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《恶臭污染物排放标准》（GB14554-93）表1标准限值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臭气浓度</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8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05"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21"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46" w:type="pct"/>
            <w:vAlign w:val="center"/>
          </w:tcPr>
          <w:p>
            <w:pPr>
              <w:pStyle w:val="221"/>
              <w:rPr>
                <w:color w:val="000000" w:themeColor="text1"/>
                <w14:textFill>
                  <w14:solidFill>
                    <w14:schemeClr w14:val="tx1"/>
                  </w14:solidFill>
                </w14:textFill>
              </w:rPr>
            </w:pP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17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2000h/a</w:t>
            </w:r>
          </w:p>
        </w:tc>
        <w:tc>
          <w:tcPr>
            <w:tcW w:w="168"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2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20（无量纲）</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5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4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3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9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5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0.047</w:t>
            </w:r>
          </w:p>
        </w:tc>
        <w:tc>
          <w:tcPr>
            <w:tcW w:w="28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0.0235</w:t>
            </w:r>
          </w:p>
        </w:tc>
        <w:tc>
          <w:tcPr>
            <w:tcW w:w="205"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21"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46" w:type="pct"/>
            <w:vAlign w:val="center"/>
          </w:tcPr>
          <w:p>
            <w:pPr>
              <w:pStyle w:val="221"/>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w:t>
            </w:r>
          </w:p>
        </w:tc>
        <w:tc>
          <w:tcPr>
            <w:tcW w:w="189" w:type="pct"/>
            <w:vMerge w:val="continue"/>
            <w:vAlign w:val="center"/>
          </w:tcPr>
          <w:p>
            <w:pPr>
              <w:pStyle w:val="221"/>
              <w:rPr>
                <w:color w:val="000000" w:themeColor="text1"/>
                <w:kern w:val="2"/>
                <w14:textFill>
                  <w14:solidFill>
                    <w14:schemeClr w14:val="tx1"/>
                  </w14:solidFill>
                </w14:textFill>
              </w:rPr>
            </w:pPr>
          </w:p>
        </w:tc>
        <w:tc>
          <w:tcPr>
            <w:tcW w:w="20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0.047</w:t>
            </w:r>
          </w:p>
        </w:tc>
        <w:tc>
          <w:tcPr>
            <w:tcW w:w="179" w:type="pct"/>
            <w:vAlign w:val="center"/>
          </w:tcPr>
          <w:p>
            <w:pPr>
              <w:pStyle w:val="221"/>
              <w:rPr>
                <w:color w:val="000000" w:themeColor="text1"/>
                <w:lang w:bidi="ar"/>
                <w14:textFill>
                  <w14:solidFill>
                    <w14:schemeClr w14:val="tx1"/>
                  </w14:solidFill>
                </w14:textFill>
              </w:rPr>
            </w:pPr>
            <w:r>
              <w:rPr>
                <w:color w:val="000000" w:themeColor="text1"/>
                <w14:textFill>
                  <w14:solidFill>
                    <w14:schemeClr w14:val="tx1"/>
                  </w14:solidFill>
                </w14:textFill>
              </w:rPr>
              <w:t>2000h/a</w:t>
            </w:r>
          </w:p>
        </w:tc>
        <w:tc>
          <w:tcPr>
            <w:tcW w:w="168"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0.0235</w:t>
            </w: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452" w:type="pct"/>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周界外浓度最高点：</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；在车间外设置监控点：</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（监控点处任意一次浓度值）、30（监控点处1h平均浓度值）</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5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4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3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9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545"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《工业涂装工序挥发性有机物排放标准》（DB35/1783-2018）表4和《挥发性有机物无组织排放控制标准》(GB 37822-2019)附录A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54"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二甲苯</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0.0036</w:t>
            </w:r>
          </w:p>
        </w:tc>
        <w:tc>
          <w:tcPr>
            <w:tcW w:w="28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0.002</w:t>
            </w:r>
          </w:p>
        </w:tc>
        <w:tc>
          <w:tcPr>
            <w:tcW w:w="205"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21"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46" w:type="pct"/>
            <w:vAlign w:val="center"/>
          </w:tcPr>
          <w:p>
            <w:pPr>
              <w:pStyle w:val="221"/>
              <w:rPr>
                <w:color w:val="000000" w:themeColor="text1"/>
                <w:kern w:val="2"/>
                <w14:textFill>
                  <w14:solidFill>
                    <w14:schemeClr w14:val="tx1"/>
                  </w14:solidFill>
                </w14:textFill>
              </w:rPr>
            </w:pPr>
            <w:r>
              <w:rPr>
                <w:color w:val="000000" w:themeColor="text1"/>
                <w:lang w:bidi="ar"/>
                <w14:textFill>
                  <w14:solidFill>
                    <w14:schemeClr w14:val="tx1"/>
                  </w14:solidFill>
                </w14:textFill>
              </w:rPr>
              <w:t>/</w:t>
            </w: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0.0036</w:t>
            </w:r>
          </w:p>
        </w:tc>
        <w:tc>
          <w:tcPr>
            <w:tcW w:w="17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2000h/a</w:t>
            </w:r>
          </w:p>
        </w:tc>
        <w:tc>
          <w:tcPr>
            <w:tcW w:w="168"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0.002</w:t>
            </w: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452" w:type="pct"/>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5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4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3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9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545" w:type="pct"/>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《工业涂装工序挥发性有机物排放标准》（DB35/1783-2018）表4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54"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甲苯</w:t>
            </w:r>
          </w:p>
        </w:tc>
        <w:tc>
          <w:tcPr>
            <w:tcW w:w="303" w:type="pct"/>
            <w:vMerge w:val="continue"/>
            <w:vAlign w:val="center"/>
          </w:tcPr>
          <w:p>
            <w:pPr>
              <w:pStyle w:val="221"/>
              <w:rPr>
                <w:color w:val="000000" w:themeColor="text1"/>
                <w14:textFill>
                  <w14:solidFill>
                    <w14:schemeClr w14:val="tx1"/>
                  </w14:solidFill>
                </w14:textFill>
              </w:rPr>
            </w:pPr>
          </w:p>
        </w:tc>
        <w:tc>
          <w:tcPr>
            <w:tcW w:w="253"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0.0001</w:t>
            </w:r>
          </w:p>
        </w:tc>
        <w:tc>
          <w:tcPr>
            <w:tcW w:w="28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0.0005</w:t>
            </w:r>
          </w:p>
        </w:tc>
        <w:tc>
          <w:tcPr>
            <w:tcW w:w="205"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21"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46" w:type="pct"/>
            <w:vAlign w:val="center"/>
          </w:tcPr>
          <w:p>
            <w:pPr>
              <w:pStyle w:val="221"/>
              <w:rPr>
                <w:color w:val="000000" w:themeColor="text1"/>
                <w:kern w:val="2"/>
                <w14:textFill>
                  <w14:solidFill>
                    <w14:schemeClr w14:val="tx1"/>
                  </w14:solidFill>
                </w14:textFill>
              </w:rPr>
            </w:pPr>
            <w:r>
              <w:rPr>
                <w:color w:val="000000" w:themeColor="text1"/>
                <w:lang w:bidi="ar"/>
                <w14:textFill>
                  <w14:solidFill>
                    <w14:schemeClr w14:val="tx1"/>
                  </w14:solidFill>
                </w14:textFill>
              </w:rPr>
              <w:t>/</w:t>
            </w: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0.0001</w:t>
            </w:r>
          </w:p>
        </w:tc>
        <w:tc>
          <w:tcPr>
            <w:tcW w:w="17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2000h/a</w:t>
            </w:r>
          </w:p>
        </w:tc>
        <w:tc>
          <w:tcPr>
            <w:tcW w:w="168"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0.0005</w:t>
            </w:r>
          </w:p>
        </w:tc>
        <w:tc>
          <w:tcPr>
            <w:tcW w:w="27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452" w:type="pct"/>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0.8</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5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4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36"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9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6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545"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54"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30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投料粉尘</w:t>
            </w:r>
          </w:p>
        </w:tc>
        <w:tc>
          <w:tcPr>
            <w:tcW w:w="253"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0.0044</w:t>
            </w:r>
          </w:p>
        </w:tc>
        <w:tc>
          <w:tcPr>
            <w:tcW w:w="28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0.0022</w:t>
            </w:r>
          </w:p>
        </w:tc>
        <w:tc>
          <w:tcPr>
            <w:tcW w:w="205" w:type="pct"/>
            <w:vAlign w:val="center"/>
          </w:tcPr>
          <w:p>
            <w:pPr>
              <w:pStyle w:val="221"/>
              <w:ind w:left="480"/>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21" w:type="pct"/>
            <w:vAlign w:val="center"/>
          </w:tcPr>
          <w:p>
            <w:pPr>
              <w:pStyle w:val="221"/>
              <w:ind w:left="480"/>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246" w:type="pct"/>
            <w:vAlign w:val="center"/>
          </w:tcPr>
          <w:p>
            <w:pPr>
              <w:pStyle w:val="221"/>
              <w:ind w:left="480"/>
              <w:rPr>
                <w:color w:val="000000" w:themeColor="text1"/>
                <w:kern w:val="2"/>
                <w14:textFill>
                  <w14:solidFill>
                    <w14:schemeClr w14:val="tx1"/>
                  </w14:solidFill>
                </w14:textFill>
              </w:rPr>
            </w:pPr>
            <w:r>
              <w:rPr>
                <w:color w:val="000000" w:themeColor="text1"/>
                <w:kern w:val="2"/>
                <w14:textFill>
                  <w14:solidFill>
                    <w14:schemeClr w14:val="tx1"/>
                  </w14:solidFill>
                </w14:textFill>
              </w:rPr>
              <w:t>半封闭围挡处理，</w:t>
            </w:r>
            <w:r>
              <w:rPr>
                <w:rFonts w:hint="eastAsia"/>
                <w:color w:val="000000" w:themeColor="text1"/>
                <w:kern w:val="2"/>
                <w14:textFill>
                  <w14:solidFill>
                    <w14:schemeClr w14:val="tx1"/>
                  </w14:solidFill>
                </w14:textFill>
              </w:rPr>
              <w:t>60%</w:t>
            </w:r>
          </w:p>
        </w:tc>
        <w:tc>
          <w:tcPr>
            <w:tcW w:w="189" w:type="pct"/>
            <w:vMerge w:val="continue"/>
            <w:vAlign w:val="center"/>
          </w:tcPr>
          <w:p>
            <w:pPr>
              <w:pStyle w:val="221"/>
              <w:rPr>
                <w:color w:val="000000" w:themeColor="text1"/>
                <w14:textFill>
                  <w14:solidFill>
                    <w14:schemeClr w14:val="tx1"/>
                  </w14:solidFill>
                </w14:textFill>
              </w:rPr>
            </w:pPr>
          </w:p>
        </w:tc>
        <w:tc>
          <w:tcPr>
            <w:tcW w:w="200"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0.0017</w:t>
            </w:r>
          </w:p>
        </w:tc>
        <w:tc>
          <w:tcPr>
            <w:tcW w:w="179"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750</w:t>
            </w:r>
            <w:r>
              <w:rPr>
                <w:color w:val="000000" w:themeColor="text1"/>
                <w14:textFill>
                  <w14:solidFill>
                    <w14:schemeClr w14:val="tx1"/>
                  </w14:solidFill>
                </w14:textFill>
              </w:rPr>
              <w:t xml:space="preserve"> h/a</w:t>
            </w:r>
          </w:p>
        </w:tc>
        <w:tc>
          <w:tcPr>
            <w:tcW w:w="168" w:type="pct"/>
            <w:vAlign w:val="center"/>
          </w:tcPr>
          <w:p>
            <w:pPr>
              <w:pStyle w:val="221"/>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0.0008</w:t>
            </w:r>
          </w:p>
        </w:tc>
        <w:tc>
          <w:tcPr>
            <w:tcW w:w="276" w:type="pct"/>
            <w:vAlign w:val="center"/>
          </w:tcPr>
          <w:p>
            <w:pPr>
              <w:pStyle w:val="221"/>
              <w:rPr>
                <w:color w:val="000000" w:themeColor="text1"/>
                <w14:textFill>
                  <w14:solidFill>
                    <w14:schemeClr w14:val="tx1"/>
                  </w14:solidFill>
                </w14:textFill>
              </w:rPr>
            </w:pPr>
          </w:p>
        </w:tc>
        <w:tc>
          <w:tcPr>
            <w:tcW w:w="452" w:type="pct"/>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68" w:type="pct"/>
            <w:vAlign w:val="center"/>
          </w:tcPr>
          <w:p>
            <w:pPr>
              <w:pStyle w:val="221"/>
              <w:ind w:left="480"/>
              <w:rPr>
                <w:color w:val="000000" w:themeColor="text1"/>
                <w14:textFill>
                  <w14:solidFill>
                    <w14:schemeClr w14:val="tx1"/>
                  </w14:solidFill>
                </w14:textFill>
              </w:rPr>
            </w:pPr>
            <w:r>
              <w:rPr>
                <w:color w:val="000000" w:themeColor="text1"/>
                <w14:textFill>
                  <w14:solidFill>
                    <w14:schemeClr w14:val="tx1"/>
                  </w14:solidFill>
                </w14:textFill>
              </w:rPr>
              <w:t>/</w:t>
            </w:r>
          </w:p>
        </w:tc>
        <w:tc>
          <w:tcPr>
            <w:tcW w:w="151" w:type="pct"/>
            <w:vAlign w:val="center"/>
          </w:tcPr>
          <w:p>
            <w:pPr>
              <w:pStyle w:val="221"/>
              <w:ind w:left="480"/>
              <w:rPr>
                <w:color w:val="000000" w:themeColor="text1"/>
                <w14:textFill>
                  <w14:solidFill>
                    <w14:schemeClr w14:val="tx1"/>
                  </w14:solidFill>
                </w14:textFill>
              </w:rPr>
            </w:pPr>
            <w:r>
              <w:rPr>
                <w:color w:val="000000" w:themeColor="text1"/>
                <w14:textFill>
                  <w14:solidFill>
                    <w14:schemeClr w14:val="tx1"/>
                  </w14:solidFill>
                </w14:textFill>
              </w:rPr>
              <w:t>/</w:t>
            </w:r>
          </w:p>
        </w:tc>
        <w:tc>
          <w:tcPr>
            <w:tcW w:w="146" w:type="pct"/>
            <w:vAlign w:val="center"/>
          </w:tcPr>
          <w:p>
            <w:pPr>
              <w:pStyle w:val="221"/>
              <w:ind w:left="480"/>
              <w:rPr>
                <w:color w:val="000000" w:themeColor="text1"/>
                <w14:textFill>
                  <w14:solidFill>
                    <w14:schemeClr w14:val="tx1"/>
                  </w14:solidFill>
                </w14:textFill>
              </w:rPr>
            </w:pPr>
            <w:r>
              <w:rPr>
                <w:color w:val="000000" w:themeColor="text1"/>
                <w14:textFill>
                  <w14:solidFill>
                    <w14:schemeClr w14:val="tx1"/>
                  </w14:solidFill>
                </w14:textFill>
              </w:rPr>
              <w:t>/</w:t>
            </w:r>
          </w:p>
        </w:tc>
        <w:tc>
          <w:tcPr>
            <w:tcW w:w="136" w:type="pct"/>
            <w:vAlign w:val="center"/>
          </w:tcPr>
          <w:p>
            <w:pPr>
              <w:pStyle w:val="221"/>
              <w:ind w:left="480"/>
              <w:rPr>
                <w:color w:val="000000" w:themeColor="text1"/>
                <w14:textFill>
                  <w14:solidFill>
                    <w14:schemeClr w14:val="tx1"/>
                  </w14:solidFill>
                </w14:textFill>
              </w:rPr>
            </w:pPr>
            <w:r>
              <w:rPr>
                <w:color w:val="000000" w:themeColor="text1"/>
                <w14:textFill>
                  <w14:solidFill>
                    <w14:schemeClr w14:val="tx1"/>
                  </w14:solidFill>
                </w14:textFill>
              </w:rPr>
              <w:t>/</w:t>
            </w:r>
          </w:p>
        </w:tc>
        <w:tc>
          <w:tcPr>
            <w:tcW w:w="168" w:type="pct"/>
            <w:vAlign w:val="center"/>
          </w:tcPr>
          <w:p>
            <w:pPr>
              <w:pStyle w:val="221"/>
              <w:ind w:left="480"/>
              <w:rPr>
                <w:color w:val="000000" w:themeColor="text1"/>
                <w14:textFill>
                  <w14:solidFill>
                    <w14:schemeClr w14:val="tx1"/>
                  </w14:solidFill>
                </w14:textFill>
              </w:rPr>
            </w:pPr>
            <w:r>
              <w:rPr>
                <w:color w:val="000000" w:themeColor="text1"/>
                <w14:textFill>
                  <w14:solidFill>
                    <w14:schemeClr w14:val="tx1"/>
                  </w14:solidFill>
                </w14:textFill>
              </w:rPr>
              <w:t>/</w:t>
            </w:r>
          </w:p>
        </w:tc>
        <w:tc>
          <w:tcPr>
            <w:tcW w:w="191" w:type="pct"/>
            <w:vAlign w:val="center"/>
          </w:tcPr>
          <w:p>
            <w:pPr>
              <w:pStyle w:val="221"/>
              <w:ind w:left="480"/>
              <w:rPr>
                <w:color w:val="000000" w:themeColor="text1"/>
                <w14:textFill>
                  <w14:solidFill>
                    <w14:schemeClr w14:val="tx1"/>
                  </w14:solidFill>
                </w14:textFill>
              </w:rPr>
            </w:pPr>
            <w:r>
              <w:rPr>
                <w:color w:val="000000" w:themeColor="text1"/>
                <w14:textFill>
                  <w14:solidFill>
                    <w14:schemeClr w14:val="tx1"/>
                  </w14:solidFill>
                </w14:textFill>
              </w:rPr>
              <w:t>/</w:t>
            </w:r>
          </w:p>
        </w:tc>
        <w:tc>
          <w:tcPr>
            <w:tcW w:w="169" w:type="pct"/>
            <w:vAlign w:val="center"/>
          </w:tcPr>
          <w:p>
            <w:pPr>
              <w:pStyle w:val="221"/>
              <w:ind w:left="480"/>
              <w:rPr>
                <w:color w:val="000000" w:themeColor="text1"/>
                <w14:textFill>
                  <w14:solidFill>
                    <w14:schemeClr w14:val="tx1"/>
                  </w14:solidFill>
                </w14:textFill>
              </w:rPr>
            </w:pPr>
            <w:r>
              <w:rPr>
                <w:color w:val="000000" w:themeColor="text1"/>
                <w14:textFill>
                  <w14:solidFill>
                    <w14:schemeClr w14:val="tx1"/>
                  </w14:solidFill>
                </w14:textFill>
              </w:rPr>
              <w:t>/</w:t>
            </w:r>
          </w:p>
        </w:tc>
        <w:tc>
          <w:tcPr>
            <w:tcW w:w="545" w:type="pc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《橡胶制品工业污染物排放标准》(GB27632-2011)表6标准</w:t>
            </w:r>
          </w:p>
        </w:tc>
      </w:tr>
    </w:tbl>
    <w:p>
      <w:pPr>
        <w:rPr>
          <w:color w:val="000000" w:themeColor="text1"/>
          <w:sz w:val="21"/>
          <w:szCs w:val="21"/>
          <w14:textFill>
            <w14:solidFill>
              <w14:schemeClr w14:val="tx1"/>
            </w14:solidFill>
          </w14:textFill>
        </w:rPr>
      </w:pPr>
    </w:p>
    <w:p>
      <w:pPr>
        <w:rPr>
          <w:color w:val="000000" w:themeColor="text1"/>
          <w:sz w:val="21"/>
          <w:szCs w:val="2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sectPr>
          <w:pgSz w:w="23811" w:h="16838" w:orient="landscape"/>
          <w:pgMar w:top="1417" w:right="1417" w:bottom="1417" w:left="1417" w:header="992" w:footer="992" w:gutter="0"/>
          <w:cols w:space="720" w:num="1"/>
          <w:docGrid w:linePitch="326" w:charSpace="0"/>
        </w:sectPr>
      </w:pP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2" w:hRule="atLeast"/>
        </w:trPr>
        <w:tc>
          <w:tcPr>
            <w:tcW w:w="540" w:type="dxa"/>
            <w:vAlign w:val="center"/>
          </w:tcPr>
          <w:p>
            <w:pPr>
              <w:pStyle w:val="30"/>
              <w:widowControl w:val="0"/>
              <w:topLinePunct/>
              <w:spacing w:after="0" w:line="240" w:lineRule="auto"/>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运营期环境影响和保护措施</w:t>
            </w:r>
          </w:p>
        </w:tc>
        <w:tc>
          <w:tcPr>
            <w:tcW w:w="8749" w:type="dxa"/>
            <w:vAlign w:val="center"/>
          </w:tcPr>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4.2.2.2</w:t>
            </w:r>
            <w:r>
              <w:rPr>
                <w:rFonts w:ascii="Times New Roman" w:hAnsi="Times New Roman" w:eastAsia="宋体" w:cs="Times New Roman"/>
                <w:color w:val="000000" w:themeColor="text1"/>
                <w:szCs w:val="24"/>
                <w:lang w:val="en-GB"/>
                <w14:textFill>
                  <w14:solidFill>
                    <w14:schemeClr w14:val="tx1"/>
                  </w14:solidFill>
                </w14:textFill>
              </w:rPr>
              <w:t>废气处理效率可行性分析：</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活性炭吸附原理：由于活性炭固体表面上存在着未平衡和未饱和的分子引力或化学键力，因此当此活性炭固体表面与气体接触时，就能吸引气体分子，使其浓聚并保持在固体表面，此现象称为吸附。利用活性炭固体表面的吸附能力，使废气与大表面的多孔性固体物质相接触，废气中的污染物被吸附在活性炭固体表面上，使其与气体混合物分离，达到净化目的。废气经空气过滤器除去微小悬浮颗粒后，进入吸附罐，经过罐内活性碳吸附后，除去有害成分，符合排放标准的净化气体，经风机排出，活性炭吸附装置已经广泛的应用于工业企业有机废气治理，其治理效果已经得到广泛的认可。</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查阅《环境工程报》2016 年第 34 卷增刊《工业源重点行业 VOCs 治理技术处理效果的研究》（苏伟健、徐绮坤），其中关于活性炭吸附效率为 73.11%，二级活性炭吸附效率为 92.7%，本项目活性炭处理效率保守取80%。</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ascii="Times New Roman" w:hAnsi="Times New Roman" w:eastAsia="宋体" w:cs="Times New Roman"/>
                <w:color w:val="000000" w:themeColor="text1"/>
                <w:szCs w:val="24"/>
                <w:lang w:val="en-GB"/>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lang w:val="en-GB"/>
                <w14:textFill>
                  <w14:solidFill>
                    <w14:schemeClr w14:val="tx1"/>
                  </w14:solidFill>
                </w14:textFill>
              </w:rPr>
              <w:t xml:space="preserve">）有组织 </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ascii="Times New Roman" w:hAnsi="Times New Roman" w:eastAsia="宋体" w:cs="Times New Roman"/>
                <w:color w:val="000000" w:themeColor="text1"/>
                <w:szCs w:val="24"/>
                <w:lang w:val="en-GB"/>
                <w14:textFill>
                  <w14:solidFill>
                    <w14:schemeClr w14:val="tx1"/>
                  </w14:solidFill>
                </w14:textFill>
              </w:rPr>
              <w:t xml:space="preserve"> 项目将</w:t>
            </w:r>
            <w:r>
              <w:rPr>
                <w:rFonts w:ascii="Times New Roman" w:hAnsi="Times New Roman" w:eastAsia="宋体" w:cs="Times New Roman"/>
                <w:color w:val="000000" w:themeColor="text1"/>
                <w:szCs w:val="24"/>
                <w14:textFill>
                  <w14:solidFill>
                    <w14:schemeClr w14:val="tx1"/>
                  </w14:solidFill>
                </w14:textFill>
              </w:rPr>
              <w:t>半导电屏蔽层生产车间、橡胶绝缘件、外购导电金属件涂刷和环氧树脂绝缘件生产分别布置</w:t>
            </w:r>
            <w:r>
              <w:rPr>
                <w:rFonts w:ascii="Times New Roman" w:hAnsi="Times New Roman" w:eastAsia="宋体" w:cs="Times New Roman"/>
                <w:color w:val="000000" w:themeColor="text1"/>
                <w:szCs w:val="24"/>
                <w:lang w:val="en-GB"/>
                <w14:textFill>
                  <w14:solidFill>
                    <w14:schemeClr w14:val="tx1"/>
                  </w14:solidFill>
                </w14:textFill>
              </w:rPr>
              <w:t>在</w:t>
            </w:r>
            <w:r>
              <w:rPr>
                <w:rFonts w:ascii="Times New Roman" w:hAnsi="Times New Roman" w:eastAsia="宋体" w:cs="Times New Roman"/>
                <w:color w:val="000000" w:themeColor="text1"/>
                <w:szCs w:val="24"/>
                <w14:textFill>
                  <w14:solidFill>
                    <w14:schemeClr w14:val="tx1"/>
                  </w14:solidFill>
                </w14:textFill>
              </w:rPr>
              <w:t>4个</w:t>
            </w:r>
            <w:r>
              <w:rPr>
                <w:rFonts w:ascii="Times New Roman" w:hAnsi="Times New Roman" w:eastAsia="宋体" w:cs="Times New Roman"/>
                <w:color w:val="000000" w:themeColor="text1"/>
                <w:szCs w:val="24"/>
                <w:lang w:val="en-GB"/>
                <w14:textFill>
                  <w14:solidFill>
                    <w14:schemeClr w14:val="tx1"/>
                  </w14:solidFill>
                </w14:textFill>
              </w:rPr>
              <w:t>密闭车间内，</w:t>
            </w:r>
            <w:r>
              <w:rPr>
                <w:rFonts w:ascii="Times New Roman" w:hAnsi="Times New Roman" w:eastAsia="宋体" w:cs="Times New Roman"/>
                <w:color w:val="000000" w:themeColor="text1"/>
                <w:szCs w:val="24"/>
                <w14:textFill>
                  <w14:solidFill>
                    <w14:schemeClr w14:val="tx1"/>
                  </w14:solidFill>
                </w14:textFill>
              </w:rPr>
              <w:t>半导电屏蔽层生产车间和橡胶绝缘件</w:t>
            </w:r>
            <w:r>
              <w:rPr>
                <w:rFonts w:hint="eastAsia" w:ascii="Times New Roman" w:hAnsi="Times New Roman" w:eastAsia="宋体" w:cs="Times New Roman"/>
                <w:color w:val="000000" w:themeColor="text1"/>
                <w:szCs w:val="24"/>
                <w14:textFill>
                  <w14:solidFill>
                    <w14:schemeClr w14:val="tx1"/>
                  </w14:solidFill>
                </w14:textFill>
              </w:rPr>
              <w:t>产生的注胶、硫化废气</w:t>
            </w:r>
            <w:r>
              <w:rPr>
                <w:rFonts w:ascii="Times New Roman" w:hAnsi="Times New Roman" w:eastAsia="宋体" w:cs="Times New Roman"/>
                <w:color w:val="000000" w:themeColor="text1"/>
                <w:szCs w:val="24"/>
                <w14:textFill>
                  <w14:solidFill>
                    <w14:schemeClr w14:val="tx1"/>
                  </w14:solidFill>
                </w14:textFill>
              </w:rPr>
              <w:t>经收集后经二级活性炭吸附</w:t>
            </w:r>
            <w:r>
              <w:rPr>
                <w:rFonts w:hint="eastAsia" w:ascii="Times New Roman" w:hAnsi="Times New Roman" w:eastAsia="宋体" w:cs="Times New Roman"/>
                <w:color w:val="000000" w:themeColor="text1"/>
                <w:szCs w:val="24"/>
                <w14:textFill>
                  <w14:solidFill>
                    <w14:schemeClr w14:val="tx1"/>
                  </w14:solidFill>
                </w14:textFill>
              </w:rPr>
              <w:t>+15米高排气筒排放（DA005），</w:t>
            </w:r>
            <w:r>
              <w:rPr>
                <w:rFonts w:ascii="Times New Roman" w:hAnsi="Times New Roman" w:eastAsia="宋体" w:cs="Times New Roman"/>
                <w:color w:val="000000" w:themeColor="text1"/>
                <w:szCs w:val="24"/>
                <w:lang w:val="en-GB"/>
                <w14:textFill>
                  <w14:solidFill>
                    <w14:schemeClr w14:val="tx1"/>
                  </w14:solidFill>
                </w14:textFill>
              </w:rPr>
              <w:t>拟设置风机总风量为</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0000</w:t>
            </w:r>
            <w:r>
              <w:rPr>
                <w:rFonts w:ascii="Times New Roman" w:hAnsi="Times New Roman" w:eastAsia="宋体" w:cs="Times New Roman"/>
                <w:color w:val="000000" w:themeColor="text1"/>
                <w:szCs w:val="24"/>
                <w:lang w:val="en-GB"/>
                <w14:textFill>
                  <w14:solidFill>
                    <w14:schemeClr w14:val="tx1"/>
                  </w14:solidFill>
                </w14:textFill>
              </w:rPr>
              <w:t>m</w:t>
            </w:r>
            <w:r>
              <w:rPr>
                <w:rFonts w:ascii="Times New Roman" w:hAnsi="Times New Roman" w:eastAsia="宋体" w:cs="Times New Roman"/>
                <w:color w:val="000000" w:themeColor="text1"/>
                <w:szCs w:val="24"/>
                <w:vertAlign w:val="superscript"/>
                <w:lang w:val="en-GB"/>
                <w14:textFill>
                  <w14:solidFill>
                    <w14:schemeClr w14:val="tx1"/>
                  </w14:solidFill>
                </w14:textFill>
              </w:rPr>
              <w:t>3</w:t>
            </w:r>
            <w:r>
              <w:rPr>
                <w:rFonts w:ascii="Times New Roman" w:hAnsi="Times New Roman" w:eastAsia="宋体" w:cs="Times New Roman"/>
                <w:color w:val="000000" w:themeColor="text1"/>
                <w:szCs w:val="24"/>
                <w:lang w:val="en-GB"/>
                <w14:textFill>
                  <w14:solidFill>
                    <w14:schemeClr w14:val="tx1"/>
                  </w14:solidFill>
                </w14:textFill>
              </w:rPr>
              <w:t>/h、</w:t>
            </w:r>
            <w:r>
              <w:rPr>
                <w:rFonts w:ascii="Times New Roman" w:hAnsi="Times New Roman" w:eastAsia="宋体" w:cs="Times New Roman"/>
                <w:color w:val="000000" w:themeColor="text1"/>
                <w:szCs w:val="24"/>
                <w14:textFill>
                  <w14:solidFill>
                    <w14:schemeClr w14:val="tx1"/>
                  </w14:solidFill>
                </w14:textFill>
              </w:rPr>
              <w:t>外购导电金属件涂刷和环氧树脂绝缘件</w:t>
            </w:r>
            <w:r>
              <w:rPr>
                <w:rFonts w:hint="eastAsia" w:ascii="Times New Roman" w:hAnsi="Times New Roman" w:eastAsia="宋体" w:cs="Times New Roman"/>
                <w:color w:val="000000" w:themeColor="text1"/>
                <w:szCs w:val="24"/>
                <w14:textFill>
                  <w14:solidFill>
                    <w14:schemeClr w14:val="tx1"/>
                  </w14:solidFill>
                </w14:textFill>
              </w:rPr>
              <w:t>产生的</w:t>
            </w:r>
            <w:r>
              <w:rPr>
                <w:rFonts w:hint="eastAsia" w:ascii="Times New Roman" w:hAnsi="Times New Roman" w:eastAsia="宋体" w:cs="Times New Roman"/>
                <w:bCs/>
                <w:color w:val="000000" w:themeColor="text1"/>
                <w:szCs w:val="24"/>
                <w14:textFill>
                  <w14:solidFill>
                    <w14:schemeClr w14:val="tx1"/>
                  </w14:solidFill>
                </w14:textFill>
              </w:rPr>
              <w:t>涂刷、浇注、固化、二次固化和脱模废气</w:t>
            </w:r>
            <w:r>
              <w:rPr>
                <w:rFonts w:ascii="Times New Roman" w:hAnsi="Times New Roman" w:eastAsia="宋体" w:cs="Times New Roman"/>
                <w:color w:val="000000" w:themeColor="text1"/>
                <w:szCs w:val="24"/>
                <w14:textFill>
                  <w14:solidFill>
                    <w14:schemeClr w14:val="tx1"/>
                  </w14:solidFill>
                </w14:textFill>
              </w:rPr>
              <w:t>经收集后经二级活性炭吸附</w:t>
            </w:r>
            <w:r>
              <w:rPr>
                <w:rFonts w:hint="eastAsia" w:ascii="Times New Roman" w:hAnsi="Times New Roman" w:eastAsia="宋体" w:cs="Times New Roman"/>
                <w:color w:val="000000" w:themeColor="text1"/>
                <w:szCs w:val="24"/>
                <w14:textFill>
                  <w14:solidFill>
                    <w14:schemeClr w14:val="tx1"/>
                  </w14:solidFill>
                </w14:textFill>
              </w:rPr>
              <w:t>+15米高排气筒排放（DA006）</w:t>
            </w:r>
            <w:r>
              <w:rPr>
                <w:rFonts w:ascii="Times New Roman" w:hAnsi="Times New Roman" w:eastAsia="宋体" w:cs="Times New Roman"/>
                <w:color w:val="000000" w:themeColor="text1"/>
                <w:szCs w:val="24"/>
                <w:lang w:val="en-GB"/>
                <w14:textFill>
                  <w14:solidFill>
                    <w14:schemeClr w14:val="tx1"/>
                  </w14:solidFill>
                </w14:textFill>
              </w:rPr>
              <w:t>，项目</w:t>
            </w:r>
            <w:r>
              <w:rPr>
                <w:rFonts w:ascii="Times New Roman" w:hAnsi="Times New Roman" w:eastAsia="宋体" w:cs="Times New Roman"/>
                <w:color w:val="000000" w:themeColor="text1"/>
                <w:szCs w:val="24"/>
                <w14:textFill>
                  <w14:solidFill>
                    <w14:schemeClr w14:val="tx1"/>
                  </w14:solidFill>
                </w14:textFill>
              </w:rPr>
              <w:t>注胶、硫化</w:t>
            </w:r>
            <w:r>
              <w:rPr>
                <w:rFonts w:hint="eastAsia" w:ascii="Times New Roman" w:hAnsi="Times New Roman" w:eastAsia="宋体" w:cs="Times New Roman"/>
                <w:color w:val="000000" w:themeColor="text1"/>
                <w:szCs w:val="24"/>
                <w:lang w:val="en-GB"/>
                <w14:textFill>
                  <w14:solidFill>
                    <w14:schemeClr w14:val="tx1"/>
                  </w14:solidFill>
                </w14:textFill>
              </w:rPr>
              <w:t>产生的</w:t>
            </w:r>
            <w:r>
              <w:rPr>
                <w:rFonts w:ascii="Times New Roman" w:hAnsi="Times New Roman" w:eastAsia="宋体" w:cs="Times New Roman"/>
                <w:color w:val="000000" w:themeColor="text1"/>
                <w:szCs w:val="24"/>
                <w:lang w:val="en-GB"/>
                <w14:textFill>
                  <w14:solidFill>
                    <w14:schemeClr w14:val="tx1"/>
                  </w14:solidFill>
                </w14:textFill>
              </w:rPr>
              <w:t>非甲烷总烃</w:t>
            </w:r>
            <w:r>
              <w:rPr>
                <w:rFonts w:hint="eastAsia" w:ascii="Times New Roman" w:hAnsi="Times New Roman" w:eastAsia="宋体" w:cs="Times New Roman"/>
                <w:color w:val="000000" w:themeColor="text1"/>
                <w:szCs w:val="24"/>
                <w:lang w:val="en-GB"/>
                <w14:textFill>
                  <w14:solidFill>
                    <w14:schemeClr w14:val="tx1"/>
                  </w14:solidFill>
                </w14:textFill>
              </w:rPr>
              <w:t>排放浓度为0.1</w:t>
            </w:r>
            <w:r>
              <w:rPr>
                <w:rFonts w:ascii="Times New Roman" w:hAnsi="Times New Roman" w:eastAsia="宋体" w:cs="Times New Roman"/>
                <w:color w:val="000000" w:themeColor="text1"/>
                <w:szCs w:val="24"/>
                <w:lang w:val="en-GB"/>
                <w14:textFill>
                  <w14:solidFill>
                    <w14:schemeClr w14:val="tx1"/>
                  </w14:solidFill>
                </w14:textFill>
              </w:rPr>
              <w:t xml:space="preserve"> mg/m</w:t>
            </w:r>
            <w:r>
              <w:rPr>
                <w:rFonts w:ascii="Times New Roman" w:hAnsi="Times New Roman" w:eastAsia="宋体" w:cs="Times New Roman"/>
                <w:color w:val="000000" w:themeColor="text1"/>
                <w:szCs w:val="24"/>
                <w:vertAlign w:val="superscript"/>
                <w:lang w:val="en-GB"/>
                <w14:textFill>
                  <w14:solidFill>
                    <w14:schemeClr w14:val="tx1"/>
                  </w14:solidFill>
                </w14:textFill>
              </w:rPr>
              <w:t>3</w:t>
            </w:r>
            <w:r>
              <w:rPr>
                <w:rFonts w:hint="eastAsia" w:ascii="Times New Roman" w:hAnsi="Times New Roman" w:eastAsia="宋体" w:cs="Times New Roman"/>
                <w:color w:val="000000" w:themeColor="text1"/>
                <w:szCs w:val="24"/>
                <w:lang w:val="en-GB"/>
                <w14:textFill>
                  <w14:solidFill>
                    <w14:schemeClr w14:val="tx1"/>
                  </w14:solidFill>
                </w14:textFill>
              </w:rPr>
              <w:t>，根据</w:t>
            </w:r>
            <w:r>
              <w:rPr>
                <w:rFonts w:ascii="Times New Roman" w:hAnsi="Times New Roman" w:eastAsia="宋体" w:cs="Times New Roman"/>
                <w:bCs/>
                <w:color w:val="000000" w:themeColor="text1"/>
                <w:szCs w:val="24"/>
                <w14:textFill>
                  <w14:solidFill>
                    <w14:schemeClr w14:val="tx1"/>
                  </w14:solidFill>
                </w14:textFill>
              </w:rPr>
              <w:t>《橡胶制品工业污染物排放标准》</w:t>
            </w:r>
            <w:r>
              <w:rPr>
                <w:rFonts w:hint="eastAsia" w:ascii="Times New Roman" w:hAnsi="Times New Roman" w:eastAsia="宋体" w:cs="Times New Roman"/>
                <w:bCs/>
                <w:color w:val="000000" w:themeColor="text1"/>
                <w:szCs w:val="24"/>
                <w14:textFill>
                  <w14:solidFill>
                    <w14:schemeClr w14:val="tx1"/>
                  </w14:solidFill>
                </w14:textFill>
              </w:rPr>
              <w:t>需</w:t>
            </w:r>
            <w:r>
              <w:rPr>
                <w:rFonts w:hint="eastAsia" w:ascii="Times New Roman" w:hAnsi="Times New Roman" w:eastAsia="宋体" w:cs="Times New Roman"/>
                <w:color w:val="000000" w:themeColor="text1"/>
                <w:szCs w:val="24"/>
                <w:lang w:val="en-GB"/>
                <w14:textFill>
                  <w14:solidFill>
                    <w14:schemeClr w14:val="tx1"/>
                  </w14:solidFill>
                </w14:textFill>
              </w:rPr>
              <w:t>折算排放浓度，项目硫化工序年生产2000h，基准排气量2000m</w:t>
            </w:r>
            <w:r>
              <w:rPr>
                <w:rFonts w:hint="eastAsia" w:ascii="Times New Roman" w:hAnsi="Times New Roman" w:eastAsia="宋体" w:cs="Times New Roman"/>
                <w:color w:val="000000" w:themeColor="text1"/>
                <w:szCs w:val="24"/>
                <w:vertAlign w:val="superscript"/>
                <w:lang w:val="en-GB"/>
                <w14:textFill>
                  <w14:solidFill>
                    <w14:schemeClr w14:val="tx1"/>
                  </w14:solidFill>
                </w14:textFill>
              </w:rPr>
              <w:t>3</w:t>
            </w:r>
            <w:r>
              <w:rPr>
                <w:rFonts w:hint="eastAsia" w:ascii="Times New Roman" w:hAnsi="Times New Roman" w:eastAsia="宋体" w:cs="Times New Roman"/>
                <w:color w:val="000000" w:themeColor="text1"/>
                <w:szCs w:val="24"/>
                <w:lang w:val="en-GB"/>
                <w14:textFill>
                  <w14:solidFill>
                    <w14:schemeClr w14:val="tx1"/>
                  </w14:solidFill>
                </w14:textFill>
              </w:rPr>
              <w:t>/t胶料，年使用胶料量为413t，实际排气量为20000m</w:t>
            </w:r>
            <w:r>
              <w:rPr>
                <w:rFonts w:hint="eastAsia" w:ascii="Times New Roman" w:hAnsi="Times New Roman" w:eastAsia="宋体" w:cs="Times New Roman"/>
                <w:color w:val="000000" w:themeColor="text1"/>
                <w:szCs w:val="24"/>
                <w:vertAlign w:val="superscript"/>
                <w:lang w:val="en-GB"/>
                <w14:textFill>
                  <w14:solidFill>
                    <w14:schemeClr w14:val="tx1"/>
                  </w14:solidFill>
                </w14:textFill>
              </w:rPr>
              <w:t>3</w:t>
            </w:r>
            <w:r>
              <w:rPr>
                <w:rFonts w:hint="eastAsia" w:ascii="Times New Roman" w:hAnsi="Times New Roman" w:eastAsia="宋体" w:cs="Times New Roman"/>
                <w:color w:val="000000" w:themeColor="text1"/>
                <w:szCs w:val="24"/>
                <w:lang w:val="en-GB"/>
                <w14:textFill>
                  <w14:solidFill>
                    <w14:schemeClr w14:val="tx1"/>
                  </w14:solidFill>
                </w14:textFill>
              </w:rPr>
              <w:t>/h，则折算</w:t>
            </w:r>
            <w:r>
              <w:rPr>
                <w:rFonts w:ascii="Times New Roman" w:hAnsi="Times New Roman" w:eastAsia="宋体" w:cs="Times New Roman"/>
                <w:color w:val="000000" w:themeColor="text1"/>
                <w:szCs w:val="24"/>
                <w:lang w:val="en-GB"/>
                <w14:textFill>
                  <w14:solidFill>
                    <w14:schemeClr w14:val="tx1"/>
                  </w14:solidFill>
                </w14:textFill>
              </w:rPr>
              <w:t>基准排气量</w:t>
            </w:r>
            <w:r>
              <w:rPr>
                <w:rFonts w:hint="eastAsia" w:ascii="Times New Roman" w:hAnsi="Times New Roman" w:eastAsia="宋体" w:cs="Times New Roman"/>
                <w:color w:val="000000" w:themeColor="text1"/>
                <w:szCs w:val="24"/>
                <w:lang w:val="en-GB"/>
                <w14:textFill>
                  <w14:solidFill>
                    <w14:schemeClr w14:val="tx1"/>
                  </w14:solidFill>
                </w14:textFill>
              </w:rPr>
              <w:t>浓度为4.8</w:t>
            </w:r>
            <w:r>
              <w:rPr>
                <w:rFonts w:ascii="Times New Roman" w:hAnsi="Times New Roman" w:eastAsia="宋体" w:cs="Times New Roman"/>
                <w:color w:val="000000" w:themeColor="text1"/>
                <w:szCs w:val="24"/>
                <w:lang w:val="en-GB"/>
                <w14:textFill>
                  <w14:solidFill>
                    <w14:schemeClr w14:val="tx1"/>
                  </w14:solidFill>
                </w14:textFill>
              </w:rPr>
              <w:t xml:space="preserve"> mg/m</w:t>
            </w:r>
            <w:r>
              <w:rPr>
                <w:rFonts w:ascii="Times New Roman" w:hAnsi="Times New Roman" w:eastAsia="宋体" w:cs="Times New Roman"/>
                <w:color w:val="000000" w:themeColor="text1"/>
                <w:szCs w:val="24"/>
                <w:vertAlign w:val="superscript"/>
                <w:lang w:val="en-GB"/>
                <w14:textFill>
                  <w14:solidFill>
                    <w14:schemeClr w14:val="tx1"/>
                  </w14:solidFill>
                </w14:textFill>
              </w:rPr>
              <w:t>3</w:t>
            </w:r>
            <w:r>
              <w:rPr>
                <w:rFonts w:hint="eastAsia" w:ascii="Times New Roman" w:hAnsi="Times New Roman" w:eastAsia="宋体" w:cs="Times New Roman"/>
                <w:color w:val="000000" w:themeColor="text1"/>
                <w:szCs w:val="24"/>
                <w:lang w:val="en-GB"/>
                <w14:textFill>
                  <w14:solidFill>
                    <w14:schemeClr w14:val="tx1"/>
                  </w14:solidFill>
                </w14:textFill>
              </w:rPr>
              <w:t>，满足排放限值10</w:t>
            </w:r>
            <w:r>
              <w:rPr>
                <w:rFonts w:ascii="Times New Roman" w:hAnsi="Times New Roman" w:eastAsia="宋体" w:cs="Times New Roman"/>
                <w:color w:val="000000" w:themeColor="text1"/>
                <w:szCs w:val="24"/>
                <w:lang w:val="en-GB"/>
                <w14:textFill>
                  <w14:solidFill>
                    <w14:schemeClr w14:val="tx1"/>
                  </w14:solidFill>
                </w14:textFill>
              </w:rPr>
              <w:t xml:space="preserve"> mg/m</w:t>
            </w:r>
            <w:r>
              <w:rPr>
                <w:rFonts w:ascii="Times New Roman" w:hAnsi="Times New Roman" w:eastAsia="宋体" w:cs="Times New Roman"/>
                <w:color w:val="000000" w:themeColor="text1"/>
                <w:szCs w:val="24"/>
                <w:vertAlign w:val="superscript"/>
                <w:lang w:val="en-GB"/>
                <w14:textFill>
                  <w14:solidFill>
                    <w14:schemeClr w14:val="tx1"/>
                  </w14:solidFill>
                </w14:textFill>
              </w:rPr>
              <w:t>3</w:t>
            </w:r>
            <w:r>
              <w:rPr>
                <w:rFonts w:hint="eastAsia" w:ascii="Times New Roman" w:hAnsi="Times New Roman" w:eastAsia="宋体" w:cs="Times New Roman"/>
                <w:color w:val="000000" w:themeColor="text1"/>
                <w:szCs w:val="24"/>
                <w:lang w:val="en-GB"/>
                <w14:textFill>
                  <w14:solidFill>
                    <w14:schemeClr w14:val="tx1"/>
                  </w14:solidFill>
                </w14:textFill>
              </w:rPr>
              <w:t>的要求。</w:t>
            </w:r>
          </w:p>
          <w:p>
            <w:pPr>
              <w:pStyle w:val="185"/>
              <w:ind w:firstLine="480"/>
              <w:rPr>
                <w:color w:val="000000" w:themeColor="text1"/>
                <w14:textFill>
                  <w14:solidFill>
                    <w14:schemeClr w14:val="tx1"/>
                  </w14:solidFill>
                </w14:textFill>
              </w:rPr>
            </w:pPr>
            <w:r>
              <w:rPr>
                <w:rFonts w:hint="eastAsia"/>
                <w:color w:val="000000" w:themeColor="text1"/>
                <w:lang w:val="en-GB"/>
                <w14:textFill>
                  <w14:solidFill>
                    <w14:schemeClr w14:val="tx1"/>
                  </w14:solidFill>
                </w14:textFill>
              </w:rPr>
              <w:t>项</w:t>
            </w:r>
            <w:r>
              <w:rPr>
                <w:color w:val="000000" w:themeColor="text1"/>
                <w:lang w:val="en-GB"/>
                <w14:textFill>
                  <w14:solidFill>
                    <w14:schemeClr w14:val="tx1"/>
                  </w14:solidFill>
                </w14:textFill>
              </w:rPr>
              <w:t>目环氧件生产非甲烷总烃排放量为</w:t>
            </w:r>
            <w:r>
              <w:rPr>
                <w:rFonts w:hint="eastAsia"/>
                <w:color w:val="000000" w:themeColor="text1"/>
                <w:lang w:val="en-GB"/>
                <w14:textFill>
                  <w14:solidFill>
                    <w14:schemeClr w14:val="tx1"/>
                  </w14:solidFill>
                </w14:textFill>
              </w:rPr>
              <w:t>0.046</w:t>
            </w:r>
            <w:r>
              <w:rPr>
                <w:color w:val="000000" w:themeColor="text1"/>
                <w:lang w:val="en-GB"/>
                <w14:textFill>
                  <w14:solidFill>
                    <w14:schemeClr w14:val="tx1"/>
                  </w14:solidFill>
                </w14:textFill>
              </w:rPr>
              <w:t xml:space="preserve"> t/a，塑料产品年产约为</w:t>
            </w:r>
            <w:r>
              <w:rPr>
                <w:rFonts w:hint="eastAsia"/>
                <w:color w:val="000000" w:themeColor="text1"/>
                <w:lang w:val="en-GB"/>
                <w14:textFill>
                  <w14:solidFill>
                    <w14:schemeClr w14:val="tx1"/>
                  </w14:solidFill>
                </w14:textFill>
              </w:rPr>
              <w:t>100t/a，经计算DA006排气筒单位产品非甲烷总烃排放量为0.46kg/t产品，小于标准值0.5kg/t产品</w:t>
            </w:r>
            <w:r>
              <w:rPr>
                <w:color w:val="000000" w:themeColor="text1"/>
                <w:lang w:val="en-GB"/>
                <w14:textFill>
                  <w14:solidFill>
                    <w14:schemeClr w14:val="tx1"/>
                  </w14:solidFill>
                </w14:textFill>
              </w:rPr>
              <w:t>。</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ascii="Times New Roman" w:hAnsi="Times New Roman" w:eastAsia="宋体" w:cs="Times New Roman"/>
                <w:color w:val="000000" w:themeColor="text1"/>
                <w:szCs w:val="24"/>
                <w:lang w:val="en-GB"/>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lang w:val="en-GB"/>
                <w14:textFill>
                  <w14:solidFill>
                    <w14:schemeClr w14:val="tx1"/>
                  </w14:solidFill>
                </w14:textFill>
              </w:rPr>
              <w:t>）无组织</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ascii="Times New Roman" w:hAnsi="Times New Roman" w:eastAsia="宋体" w:cs="Times New Roman"/>
                <w:color w:val="000000" w:themeColor="text1"/>
                <w:szCs w:val="24"/>
                <w:lang w:val="en-GB"/>
                <w14:textFill>
                  <w14:solidFill>
                    <w14:schemeClr w14:val="tx1"/>
                  </w14:solidFill>
                </w14:textFill>
              </w:rPr>
              <w:t xml:space="preserve"> 项目</w:t>
            </w:r>
            <w:r>
              <w:rPr>
                <w:rFonts w:ascii="Times New Roman" w:hAnsi="Times New Roman" w:eastAsia="宋体" w:cs="Times New Roman"/>
                <w:color w:val="000000" w:themeColor="text1"/>
                <w:szCs w:val="24"/>
                <w14:textFill>
                  <w14:solidFill>
                    <w14:schemeClr w14:val="tx1"/>
                  </w14:solidFill>
                </w14:textFill>
              </w:rPr>
              <w:t>硫化、搅拌、固化、涂刷和脱模</w:t>
            </w:r>
            <w:r>
              <w:rPr>
                <w:rFonts w:ascii="Times New Roman" w:hAnsi="Times New Roman" w:eastAsia="宋体" w:cs="Times New Roman"/>
                <w:color w:val="000000" w:themeColor="text1"/>
                <w:szCs w:val="24"/>
                <w:lang w:val="en-GB"/>
                <w14:textFill>
                  <w14:solidFill>
                    <w14:schemeClr w14:val="tx1"/>
                  </w14:solidFill>
                </w14:textFill>
              </w:rPr>
              <w:t>工序生产过程产生的废气约有 10%未被收集以无组织形式排放，则未收集到的非甲烷总烃量为</w:t>
            </w:r>
            <w:r>
              <w:rPr>
                <w:rFonts w:ascii="Times New Roman" w:hAnsi="Times New Roman" w:eastAsia="宋体" w:cs="Times New Roman"/>
                <w:color w:val="000000" w:themeColor="text1"/>
                <w:szCs w:val="24"/>
                <w14:textFill>
                  <w14:solidFill>
                    <w14:schemeClr w14:val="tx1"/>
                  </w14:solidFill>
                </w14:textFill>
              </w:rPr>
              <w:t>0.8</w:t>
            </w:r>
            <w:r>
              <w:rPr>
                <w:rFonts w:ascii="Times New Roman" w:hAnsi="Times New Roman" w:eastAsia="宋体" w:cs="Times New Roman"/>
                <w:color w:val="000000" w:themeColor="text1"/>
                <w:szCs w:val="24"/>
                <w:lang w:val="en-GB"/>
                <w14:textFill>
                  <w14:solidFill>
                    <w14:schemeClr w14:val="tx1"/>
                  </w14:solidFill>
                </w14:textFill>
              </w:rPr>
              <w:t>t/a，排放速率为</w:t>
            </w:r>
            <w:r>
              <w:rPr>
                <w:rFonts w:ascii="Times New Roman" w:hAnsi="Times New Roman" w:eastAsia="宋体" w:cs="Times New Roman"/>
                <w:color w:val="000000" w:themeColor="text1"/>
                <w:szCs w:val="24"/>
                <w14:textFill>
                  <w14:solidFill>
                    <w14:schemeClr w14:val="tx1"/>
                  </w14:solidFill>
                </w14:textFill>
              </w:rPr>
              <w:t>0.4</w:t>
            </w:r>
            <w:r>
              <w:rPr>
                <w:rFonts w:ascii="Times New Roman" w:hAnsi="Times New Roman" w:eastAsia="宋体" w:cs="Times New Roman"/>
                <w:color w:val="000000" w:themeColor="text1"/>
                <w:szCs w:val="24"/>
                <w:lang w:val="en-GB"/>
                <w14:textFill>
                  <w14:solidFill>
                    <w14:schemeClr w14:val="tx1"/>
                  </w14:solidFill>
                </w14:textFill>
              </w:rPr>
              <w:t>kg/h，经加强车间管理，厂界非甲烷总烃无组织排放可达到《橡胶制品工业污染物排放标准》（GB27632-2011)表 6 现有和新建企业厂界无组织排放限值，厂界臭气浓度</w:t>
            </w:r>
            <w:r>
              <w:rPr>
                <w:rFonts w:ascii="Times New Roman" w:hAnsi="Times New Roman" w:eastAsia="宋体" w:cs="Times New Roman"/>
                <w:color w:val="000000" w:themeColor="text1"/>
                <w:szCs w:val="24"/>
                <w14:textFill>
                  <w14:solidFill>
                    <w14:schemeClr w14:val="tx1"/>
                  </w14:solidFill>
                </w14:textFill>
              </w:rPr>
              <w:t>和硫化氢</w:t>
            </w:r>
            <w:r>
              <w:rPr>
                <w:rFonts w:ascii="Times New Roman" w:hAnsi="Times New Roman" w:eastAsia="宋体" w:cs="Times New Roman"/>
                <w:color w:val="000000" w:themeColor="text1"/>
                <w:szCs w:val="24"/>
                <w:lang w:val="en-GB"/>
                <w14:textFill>
                  <w14:solidFill>
                    <w14:schemeClr w14:val="tx1"/>
                  </w14:solidFill>
                </w14:textFill>
              </w:rPr>
              <w:t>无组织排放达到《恶臭污染物排放标准》（GB14554-93）中表1恶臭污染物厂界标准值（二级标准中新改扩建），厂区内 NMHC无组织排放达到《挥发性有机物无组织排放控制标准》（GB37822-2019）厂区内非甲烷总烃无组织排放限值，对周边环境影响较小。</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（3）本项目风机风量合理性</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1#车间分为4个小车间，生产车间产污设备小而多，加上布局分布等原因，无法局部密闭，建设单位拟将4个小生产车间负压收集，4个小车间四周墙壁或门窗等密闭性良好，设置垂帘供进出车间，可保证车间的密闭性，收集总风量开口处保持微负压，不让废气外泄，密闭车间采用送抽风系统，送风量不大于抽风量，使车间保持微负压状态。密闭车间风量按照车间体积和单位时间换风次数的乘积进行估算，根据企业提供的资料，</w:t>
            </w: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车间</w:t>
            </w:r>
            <w:r>
              <w:rPr>
                <w:rFonts w:hint="eastAsia" w:ascii="Times New Roman" w:hAnsi="Times New Roman" w:eastAsia="宋体" w:cs="Times New Roman"/>
                <w:color w:val="000000" w:themeColor="text1"/>
                <w:szCs w:val="24"/>
                <w14:textFill>
                  <w14:solidFill>
                    <w14:schemeClr w14:val="tx1"/>
                  </w14:solidFill>
                </w14:textFill>
              </w:rPr>
              <w:t>层高为5.5m，废气生产车间单独分成</w:t>
            </w:r>
            <w:r>
              <w:rPr>
                <w:rFonts w:ascii="Times New Roman" w:hAnsi="Times New Roman" w:eastAsia="宋体" w:cs="Times New Roman"/>
                <w:color w:val="000000" w:themeColor="text1"/>
                <w:szCs w:val="24"/>
                <w14:textFill>
                  <w14:solidFill>
                    <w14:schemeClr w14:val="tx1"/>
                  </w14:solidFill>
                </w14:textFill>
              </w:rPr>
              <w:t>4个小生产车间，其中两个橡胶件</w:t>
            </w:r>
            <w:r>
              <w:rPr>
                <w:rFonts w:hint="eastAsia" w:ascii="Times New Roman" w:hAnsi="Times New Roman" w:eastAsia="宋体" w:cs="Times New Roman"/>
                <w:color w:val="000000" w:themeColor="text1"/>
                <w:szCs w:val="24"/>
                <w14:textFill>
                  <w14:solidFill>
                    <w14:schemeClr w14:val="tx1"/>
                  </w14:solidFill>
                </w14:textFill>
              </w:rPr>
              <w:t>小</w:t>
            </w:r>
            <w:r>
              <w:rPr>
                <w:rFonts w:ascii="Times New Roman" w:hAnsi="Times New Roman" w:eastAsia="宋体" w:cs="Times New Roman"/>
                <w:color w:val="000000" w:themeColor="text1"/>
                <w:szCs w:val="24"/>
                <w14:textFill>
                  <w14:solidFill>
                    <w14:schemeClr w14:val="tx1"/>
                  </w14:solidFill>
                </w14:textFill>
              </w:rPr>
              <w:t>车间有效面积为</w:t>
            </w:r>
            <w:r>
              <w:rPr>
                <w:rFonts w:hint="eastAsia" w:ascii="Times New Roman" w:hAnsi="Times New Roman" w:eastAsia="宋体" w:cs="Times New Roman"/>
                <w:color w:val="000000" w:themeColor="text1"/>
                <w:szCs w:val="24"/>
                <w14:textFill>
                  <w14:solidFill>
                    <w14:schemeClr w14:val="tx1"/>
                  </w14:solidFill>
                </w14:textFill>
              </w:rPr>
              <w:t>882</w:t>
            </w:r>
            <w:r>
              <w:rPr>
                <w:rFonts w:ascii="Times New Roman" w:hAnsi="Times New Roman" w:eastAsia="宋体" w:cs="Times New Roman"/>
                <w:color w:val="000000" w:themeColor="text1"/>
                <w:szCs w:val="24"/>
                <w14:textFill>
                  <w14:solidFill>
                    <w14:schemeClr w14:val="tx1"/>
                  </w14:solidFill>
                </w14:textFill>
              </w:rPr>
              <w:t>m</w:t>
            </w:r>
            <w:r>
              <w:rPr>
                <w:rFonts w:ascii="Times New Roman" w:hAnsi="Times New Roman" w:eastAsia="宋体" w:cs="Times New Roman"/>
                <w:color w:val="000000" w:themeColor="text1"/>
                <w:szCs w:val="24"/>
                <w:vertAlign w:val="super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，环氧绝缘件和涂刷两个</w:t>
            </w:r>
            <w:r>
              <w:rPr>
                <w:rFonts w:hint="eastAsia" w:ascii="Times New Roman" w:hAnsi="Times New Roman" w:eastAsia="宋体" w:cs="Times New Roman"/>
                <w:color w:val="000000" w:themeColor="text1"/>
                <w:szCs w:val="24"/>
                <w14:textFill>
                  <w14:solidFill>
                    <w14:schemeClr w14:val="tx1"/>
                  </w14:solidFill>
                </w14:textFill>
              </w:rPr>
              <w:t>小</w:t>
            </w:r>
            <w:r>
              <w:rPr>
                <w:rFonts w:ascii="Times New Roman" w:hAnsi="Times New Roman" w:eastAsia="宋体" w:cs="Times New Roman"/>
                <w:color w:val="000000" w:themeColor="text1"/>
                <w:szCs w:val="24"/>
                <w14:textFill>
                  <w14:solidFill>
                    <w14:schemeClr w14:val="tx1"/>
                  </w14:solidFill>
                </w14:textFill>
              </w:rPr>
              <w:t>车间有效面积为</w:t>
            </w:r>
            <w:r>
              <w:rPr>
                <w:rFonts w:hint="eastAsia" w:ascii="Times New Roman" w:hAnsi="Times New Roman" w:eastAsia="宋体" w:cs="Times New Roman"/>
                <w:color w:val="000000" w:themeColor="text1"/>
                <w:szCs w:val="24"/>
                <w14:textFill>
                  <w14:solidFill>
                    <w14:schemeClr w14:val="tx1"/>
                  </w14:solidFill>
                </w14:textFill>
              </w:rPr>
              <w:t>882</w:t>
            </w:r>
            <w:r>
              <w:rPr>
                <w:rFonts w:ascii="Times New Roman" w:hAnsi="Times New Roman" w:eastAsia="宋体" w:cs="Times New Roman"/>
                <w:color w:val="000000" w:themeColor="text1"/>
                <w:szCs w:val="24"/>
                <w14:textFill>
                  <w14:solidFill>
                    <w14:schemeClr w14:val="tx1"/>
                  </w14:solidFill>
                </w14:textFill>
              </w:rPr>
              <w:t>m</w:t>
            </w:r>
            <w:r>
              <w:rPr>
                <w:rFonts w:ascii="Times New Roman" w:hAnsi="Times New Roman" w:eastAsia="宋体" w:cs="Times New Roman"/>
                <w:color w:val="000000" w:themeColor="text1"/>
                <w:szCs w:val="24"/>
                <w:vertAlign w:val="super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4个车间上方单独做断隔层，</w:t>
            </w:r>
            <w:r>
              <w:rPr>
                <w:rFonts w:ascii="Times New Roman" w:hAnsi="Times New Roman" w:eastAsia="宋体" w:cs="Times New Roman"/>
                <w:color w:val="000000" w:themeColor="text1"/>
                <w:szCs w:val="24"/>
                <w14:textFill>
                  <w14:solidFill>
                    <w14:schemeClr w14:val="tx1"/>
                  </w14:solidFill>
                </w14:textFill>
              </w:rPr>
              <w:t>则两个橡胶件</w:t>
            </w:r>
            <w:r>
              <w:rPr>
                <w:rFonts w:hint="eastAsia" w:ascii="Times New Roman" w:hAnsi="Times New Roman" w:eastAsia="宋体" w:cs="Times New Roman"/>
                <w:color w:val="000000" w:themeColor="text1"/>
                <w:szCs w:val="24"/>
                <w14:textFill>
                  <w14:solidFill>
                    <w14:schemeClr w14:val="tx1"/>
                  </w14:solidFill>
                </w14:textFill>
              </w:rPr>
              <w:t>小</w:t>
            </w:r>
            <w:r>
              <w:rPr>
                <w:rFonts w:ascii="Times New Roman" w:hAnsi="Times New Roman" w:eastAsia="宋体" w:cs="Times New Roman"/>
                <w:color w:val="000000" w:themeColor="text1"/>
                <w:szCs w:val="24"/>
                <w14:textFill>
                  <w14:solidFill>
                    <w14:schemeClr w14:val="tx1"/>
                  </w14:solidFill>
                </w14:textFill>
              </w:rPr>
              <w:t>车间总体积为</w:t>
            </w:r>
            <w:r>
              <w:rPr>
                <w:rFonts w:hint="eastAsia" w:ascii="Times New Roman" w:hAnsi="Times New Roman" w:eastAsia="宋体" w:cs="Times New Roman"/>
                <w:color w:val="000000" w:themeColor="text1"/>
                <w:szCs w:val="24"/>
                <w14:textFill>
                  <w14:solidFill>
                    <w14:schemeClr w14:val="tx1"/>
                  </w14:solidFill>
                </w14:textFill>
              </w:rPr>
              <w:t>4851</w:t>
            </w:r>
            <w:r>
              <w:rPr>
                <w:rFonts w:ascii="Times New Roman" w:hAnsi="Times New Roman" w:eastAsia="宋体" w:cs="Times New Roman"/>
                <w:color w:val="000000" w:themeColor="text1"/>
                <w:szCs w:val="24"/>
                <w14:textFill>
                  <w14:solidFill>
                    <w14:schemeClr w14:val="tx1"/>
                  </w14:solidFill>
                </w14:textFill>
              </w:rPr>
              <w:t>m</w:t>
            </w:r>
            <w:r>
              <w:rPr>
                <w:rFonts w:hint="eastAsia" w:ascii="Times New Roman" w:hAnsi="Times New Roman" w:eastAsia="宋体" w:cs="Times New Roman"/>
                <w:color w:val="000000" w:themeColor="text1"/>
                <w:szCs w:val="24"/>
                <w:vertAlign w:val="super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。换风次数参照《三废处理工程技术手册 废气卷》第十七章净化系统的要求，一般作业室换气次数为</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次/h，则</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个车间所需的风量最少为</w:t>
            </w:r>
            <w:r>
              <w:rPr>
                <w:rFonts w:hint="eastAsia" w:ascii="Times New Roman" w:hAnsi="Times New Roman" w:eastAsia="宋体" w:cs="Times New Roman"/>
                <w:color w:val="000000" w:themeColor="text1"/>
                <w:szCs w:val="24"/>
                <w14:textFill>
                  <w14:solidFill>
                    <w14:schemeClr w14:val="tx1"/>
                  </w14:solidFill>
                </w14:textFill>
              </w:rPr>
              <w:t>19404</w:t>
            </w:r>
            <w:r>
              <w:rPr>
                <w:rFonts w:ascii="Times New Roman" w:hAnsi="Times New Roman" w:eastAsia="宋体" w:cs="Times New Roman"/>
                <w:color w:val="000000" w:themeColor="text1"/>
                <w:szCs w:val="24"/>
                <w14:textFill>
                  <w14:solidFill>
                    <w14:schemeClr w14:val="tx1"/>
                  </w14:solidFill>
                </w14:textFill>
              </w:rPr>
              <w:t>m</w:t>
            </w:r>
            <w:r>
              <w:rPr>
                <w:rFonts w:ascii="Times New Roman" w:hAnsi="Times New Roman" w:eastAsia="宋体" w:cs="Times New Roman"/>
                <w:color w:val="000000" w:themeColor="text1"/>
                <w:szCs w:val="24"/>
                <w:vertAlign w:val="super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/h。</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综上所述，项目</w:t>
            </w:r>
            <w:r>
              <w:rPr>
                <w:rFonts w:ascii="Times New Roman" w:hAnsi="Times New Roman" w:eastAsia="宋体" w:cs="Times New Roman"/>
                <w:color w:val="000000" w:themeColor="text1"/>
                <w:szCs w:val="24"/>
                <w:lang w:val="en-GB"/>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 xml:space="preserve">半导电屏蔽层生产车间和橡胶绝缘件车间合计拟设置 </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0000m</w:t>
            </w:r>
            <w:r>
              <w:rPr>
                <w:rFonts w:ascii="Times New Roman" w:hAnsi="Times New Roman" w:eastAsia="宋体" w:cs="Times New Roman"/>
                <w:color w:val="000000" w:themeColor="text1"/>
                <w:szCs w:val="24"/>
                <w:vertAlign w:val="super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 xml:space="preserve">/h 的风机收集；环氧件生产车间和涂刷车间合计拟设置 </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0000m</w:t>
            </w:r>
            <w:r>
              <w:rPr>
                <w:rFonts w:ascii="Times New Roman" w:hAnsi="Times New Roman" w:eastAsia="宋体" w:cs="Times New Roman"/>
                <w:color w:val="000000" w:themeColor="text1"/>
                <w:szCs w:val="24"/>
                <w:vertAlign w:val="super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/h 的风机收集，</w:t>
            </w:r>
            <w:r>
              <w:rPr>
                <w:rFonts w:hint="eastAsia" w:ascii="Times New Roman" w:hAnsi="Times New Roman" w:eastAsia="宋体" w:cs="Times New Roman"/>
                <w:color w:val="000000" w:themeColor="text1"/>
                <w:szCs w:val="24"/>
                <w14:textFill>
                  <w14:solidFill>
                    <w14:schemeClr w14:val="tx1"/>
                  </w14:solidFill>
                </w14:textFill>
              </w:rPr>
              <w:t>可以</w:t>
            </w:r>
            <w:r>
              <w:rPr>
                <w:rFonts w:ascii="Times New Roman" w:hAnsi="Times New Roman" w:eastAsia="宋体" w:cs="Times New Roman"/>
                <w:color w:val="000000" w:themeColor="text1"/>
                <w:szCs w:val="24"/>
                <w14:textFill>
                  <w14:solidFill>
                    <w14:schemeClr w14:val="tx1"/>
                  </w14:solidFill>
                </w14:textFill>
              </w:rPr>
              <w:t>满足生产车间换气次数不少于</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次的要求。</w:t>
            </w:r>
          </w:p>
          <w:p>
            <w:pPr>
              <w:widowControl w:val="0"/>
              <w:adjustRightInd w:val="0"/>
              <w:snapToGrid w:val="0"/>
              <w:spacing w:after="0"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4.2.2.3非正常工况</w:t>
            </w:r>
          </w:p>
          <w:p>
            <w:pPr>
              <w:pStyle w:val="19"/>
              <w:keepNext/>
              <w:widowControl w:val="0"/>
              <w:adjustRightInd w:val="0"/>
              <w:spacing w:before="0" w:after="0" w:line="360" w:lineRule="auto"/>
              <w:ind w:right="0"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本次评价主要考虑废气污染物排放的非正常工况，根据《环境影响评价技术导则大气环境》（HJ2.2-2018），大气污染物非正常工况主要包括：生产过程中开停车（工、炉）、设备检修、工艺设备运转异常、污染物排放控制措施达不到应有效率等情况。本项目环保设施与生产工序同步开启或提前开启，设备检修期间不进行生产，结合本项目设备清单和生产工艺，对照废气源强情况，本项目非正常工况主要为：①打磨自带布袋除尘发生故障导致废气直接排放；②</w:t>
            </w:r>
            <w:r>
              <w:rPr>
                <w:rFonts w:ascii="Times New Roman" w:hAnsi="Times New Roman" w:cs="Times New Roman"/>
                <w:color w:val="000000" w:themeColor="text1"/>
                <w:sz w:val="24"/>
                <w:szCs w:val="24"/>
                <w14:textFill>
                  <w14:solidFill>
                    <w14:schemeClr w14:val="tx1"/>
                  </w14:solidFill>
                </w14:textFill>
              </w:rPr>
              <w:t>有机废气</w:t>
            </w:r>
            <w:r>
              <w:rPr>
                <w:rFonts w:ascii="Times New Roman" w:hAnsi="Times New Roman" w:eastAsia="宋体" w:cs="Times New Roman"/>
                <w:color w:val="000000" w:themeColor="text1"/>
                <w:sz w:val="24"/>
                <w:szCs w:val="24"/>
                <w14:textFill>
                  <w14:solidFill>
                    <w14:schemeClr w14:val="tx1"/>
                  </w14:solidFill>
                </w14:textFill>
              </w:rPr>
              <w:t>“活性炭吸附”设施发生故障原因，导致有机废气直接进入尾气废气排放管道从而非正常排放</w:t>
            </w:r>
            <w:r>
              <w:rPr>
                <w:rFonts w:ascii="Times New Roman" w:hAnsi="Times New Roman" w:cs="Times New Roman"/>
                <w:color w:val="000000" w:themeColor="text1"/>
                <w:sz w:val="24"/>
                <w:szCs w:val="24"/>
                <w14:textFill>
                  <w14:solidFill>
                    <w14:schemeClr w14:val="tx1"/>
                  </w14:solidFill>
                </w14:textFill>
              </w:rPr>
              <w:t>。</w:t>
            </w:r>
          </w:p>
          <w:p>
            <w:pPr>
              <w:pStyle w:val="19"/>
              <w:keepNext/>
              <w:widowControl w:val="0"/>
              <w:adjustRightInd w:val="0"/>
              <w:spacing w:before="0" w:after="0" w:line="360" w:lineRule="auto"/>
              <w:ind w:right="0"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非正常工况大气污染源强计算：按照</w:t>
            </w:r>
            <w:r>
              <w:rPr>
                <w:rFonts w:ascii="Times New Roman" w:hAnsi="Times New Roman" w:cs="Times New Roman"/>
                <w:color w:val="000000" w:themeColor="text1"/>
                <w:sz w:val="24"/>
                <w:szCs w:val="24"/>
                <w14:textFill>
                  <w14:solidFill>
                    <w14:schemeClr w14:val="tx1"/>
                  </w14:solidFill>
                </w14:textFill>
              </w:rPr>
              <w:t>“活性炭吸附”处理效率降为30%和</w:t>
            </w:r>
            <w:r>
              <w:rPr>
                <w:rFonts w:ascii="Times New Roman" w:hAnsi="Times New Roman" w:eastAsia="宋体" w:cs="Times New Roman"/>
                <w:color w:val="000000" w:themeColor="text1"/>
                <w:sz w:val="24"/>
                <w:szCs w:val="24"/>
                <w14:textFill>
                  <w14:solidFill>
                    <w14:schemeClr w14:val="tx1"/>
                  </w14:solidFill>
                </w14:textFill>
              </w:rPr>
              <w:t>“单机自带布袋除尘”设施处理效率降低至0，持续时间以2h计，发生频率以1次/年计。</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表4.2-4</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非正常工况污染源强排放情况</w:t>
            </w:r>
          </w:p>
          <w:tbl>
            <w:tblPr>
              <w:tblStyle w:val="226"/>
              <w:tblW w:w="86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305"/>
              <w:gridCol w:w="2122"/>
              <w:gridCol w:w="1001"/>
              <w:gridCol w:w="1109"/>
              <w:gridCol w:w="1118"/>
              <w:gridCol w:w="12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污染因子</w:t>
                  </w:r>
                </w:p>
              </w:tc>
              <w:tc>
                <w:tcPr>
                  <w:tcW w:w="1305"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污染来源</w:t>
                  </w:r>
                </w:p>
              </w:tc>
              <w:tc>
                <w:tcPr>
                  <w:tcW w:w="2122"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治理设施</w:t>
                  </w:r>
                </w:p>
              </w:tc>
              <w:tc>
                <w:tcPr>
                  <w:tcW w:w="3228" w:type="dxa"/>
                  <w:gridSpan w:val="3"/>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排放情况</w:t>
                  </w:r>
                </w:p>
              </w:tc>
              <w:tc>
                <w:tcPr>
                  <w:tcW w:w="1256"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排放形式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vAlign w:val="center"/>
                </w:tcPr>
                <w:p>
                  <w:pPr>
                    <w:pStyle w:val="221"/>
                    <w:rPr>
                      <w:color w:val="000000" w:themeColor="text1"/>
                      <w14:textFill>
                        <w14:solidFill>
                          <w14:schemeClr w14:val="tx1"/>
                        </w14:solidFill>
                      </w14:textFill>
                    </w:rPr>
                  </w:pPr>
                </w:p>
              </w:tc>
              <w:tc>
                <w:tcPr>
                  <w:tcW w:w="1305" w:type="dxa"/>
                  <w:vMerge w:val="continue"/>
                  <w:vAlign w:val="center"/>
                </w:tcPr>
                <w:p>
                  <w:pPr>
                    <w:pStyle w:val="221"/>
                    <w:rPr>
                      <w:color w:val="000000" w:themeColor="text1"/>
                      <w14:textFill>
                        <w14:solidFill>
                          <w14:schemeClr w14:val="tx1"/>
                        </w14:solidFill>
                      </w14:textFill>
                    </w:rPr>
                  </w:pPr>
                </w:p>
              </w:tc>
              <w:tc>
                <w:tcPr>
                  <w:tcW w:w="2122" w:type="dxa"/>
                  <w:vMerge w:val="continue"/>
                  <w:vAlign w:val="center"/>
                </w:tcPr>
                <w:p>
                  <w:pPr>
                    <w:pStyle w:val="221"/>
                    <w:rPr>
                      <w:color w:val="000000" w:themeColor="text1"/>
                      <w14:textFill>
                        <w14:solidFill>
                          <w14:schemeClr w14:val="tx1"/>
                        </w14:solidFill>
                      </w14:textFill>
                    </w:rPr>
                  </w:pPr>
                </w:p>
              </w:tc>
              <w:tc>
                <w:tcPr>
                  <w:tcW w:w="10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排放量（t/a）</w:t>
                  </w:r>
                </w:p>
              </w:tc>
              <w:tc>
                <w:tcPr>
                  <w:tcW w:w="110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排放速率（kg/h）</w:t>
                  </w:r>
                </w:p>
              </w:tc>
              <w:tc>
                <w:tcPr>
                  <w:tcW w:w="1118"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p>
              </w:tc>
              <w:tc>
                <w:tcPr>
                  <w:tcW w:w="1256" w:type="dxa"/>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颗</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粒</w:t>
                  </w:r>
                </w:p>
                <w:p>
                  <w:pPr>
                    <w:pStyle w:val="221"/>
                    <w:rPr>
                      <w:color w:val="000000" w:themeColor="text1"/>
                      <w14:textFill>
                        <w14:solidFill>
                          <w14:schemeClr w14:val="tx1"/>
                        </w14:solidFill>
                      </w14:textFill>
                    </w:rPr>
                  </w:pPr>
                  <w:r>
                    <w:rPr>
                      <w:color w:val="000000" w:themeColor="text1"/>
                      <w14:textFill>
                        <w14:solidFill>
                          <w14:schemeClr w14:val="tx1"/>
                        </w14:solidFill>
                      </w14:textFill>
                    </w:rPr>
                    <w:t>物</w:t>
                  </w:r>
                </w:p>
              </w:tc>
              <w:tc>
                <w:tcPr>
                  <w:tcW w:w="130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打磨</w:t>
                  </w:r>
                </w:p>
              </w:tc>
              <w:tc>
                <w:tcPr>
                  <w:tcW w:w="2122"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布袋除尘（布袋破损，颗粒物处理效率0%）</w:t>
                  </w:r>
                </w:p>
              </w:tc>
              <w:tc>
                <w:tcPr>
                  <w:tcW w:w="10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0.98</w:t>
                  </w:r>
                </w:p>
              </w:tc>
              <w:tc>
                <w:tcPr>
                  <w:tcW w:w="110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0.49</w:t>
                  </w:r>
                </w:p>
              </w:tc>
              <w:tc>
                <w:tcPr>
                  <w:tcW w:w="1118"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25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130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车间废气</w:t>
                  </w:r>
                </w:p>
              </w:tc>
              <w:tc>
                <w:tcPr>
                  <w:tcW w:w="2122"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活性炭吸附，处理效率降为30%</w:t>
                  </w:r>
                </w:p>
              </w:tc>
              <w:tc>
                <w:tcPr>
                  <w:tcW w:w="10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0.36</w:t>
                  </w:r>
                </w:p>
              </w:tc>
              <w:tc>
                <w:tcPr>
                  <w:tcW w:w="110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0.18</w:t>
                  </w:r>
                </w:p>
              </w:tc>
              <w:tc>
                <w:tcPr>
                  <w:tcW w:w="11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25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有组织（DA00</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130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车间废气</w:t>
                  </w:r>
                </w:p>
              </w:tc>
              <w:tc>
                <w:tcPr>
                  <w:tcW w:w="2122"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活性炭吸附，处理效率降为30%</w:t>
                  </w:r>
                </w:p>
              </w:tc>
              <w:tc>
                <w:tcPr>
                  <w:tcW w:w="10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w:t>
                  </w:r>
                  <w:r>
                    <w:rPr>
                      <w:rFonts w:hint="eastAsia"/>
                      <w:color w:val="000000" w:themeColor="text1"/>
                      <w14:textFill>
                        <w14:solidFill>
                          <w14:schemeClr w14:val="tx1"/>
                        </w14:solidFill>
                      </w14:textFill>
                    </w:rPr>
                    <w:t>46</w:t>
                  </w:r>
                </w:p>
              </w:tc>
              <w:tc>
                <w:tcPr>
                  <w:tcW w:w="110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1118"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125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有组织（DA00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p>
              </w:tc>
            </w:tr>
          </w:tbl>
          <w:p>
            <w:pPr>
              <w:widowControl w:val="0"/>
              <w:adjustRightInd w:val="0"/>
              <w:snapToGrid w:val="0"/>
              <w:spacing w:after="0"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为预防此类工况发生，除确保生产设备和施工安装质量先进可靠外，还需要加强管理，做好设备的日常维护、保养工作，定期检查环保设施的运行情况，同时严格按照操作规程生产，可减少此类非正常工况的发生</w:t>
            </w:r>
            <w:r>
              <w:rPr>
                <w:rFonts w:ascii="Times New Roman" w:hAnsi="Times New Roman" w:cs="Times New Roman"/>
                <w:color w:val="000000" w:themeColor="text1"/>
                <w14:textFill>
                  <w14:solidFill>
                    <w14:schemeClr w14:val="tx1"/>
                  </w14:solidFill>
                </w14:textFill>
              </w:rPr>
              <w:t>。</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ascii="Times New Roman" w:hAnsi="Times New Roman" w:eastAsia="宋体" w:cs="Times New Roman"/>
                <w:color w:val="000000" w:themeColor="text1"/>
                <w:szCs w:val="24"/>
                <w:lang w:val="en-GB"/>
                <w14:textFill>
                  <w14:solidFill>
                    <w14:schemeClr w14:val="tx1"/>
                  </w14:solidFill>
                </w14:textFill>
              </w:rPr>
              <w:t>4.2.</w:t>
            </w:r>
            <w:r>
              <w:rPr>
                <w:rFonts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lang w:val="en-GB"/>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lang w:val="en-GB"/>
                <w14:textFill>
                  <w14:solidFill>
                    <w14:schemeClr w14:val="tx1"/>
                  </w14:solidFill>
                </w14:textFill>
              </w:rPr>
              <w:t>监测要求</w:t>
            </w:r>
          </w:p>
          <w:p>
            <w:pPr>
              <w:pStyle w:val="175"/>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bCs/>
                <w:color w:val="000000" w:themeColor="text1"/>
                <w:kern w:val="2"/>
                <w:szCs w:val="24"/>
                <w:lang w:val="en-GB"/>
                <w14:textFill>
                  <w14:solidFill>
                    <w14:schemeClr w14:val="tx1"/>
                  </w14:solidFill>
                </w14:textFill>
              </w:rPr>
              <w:t>对照</w:t>
            </w:r>
            <w:r>
              <w:rPr>
                <w:rFonts w:ascii="Times New Roman" w:hAnsi="Times New Roman" w:eastAsia="宋体" w:cs="Times New Roman"/>
                <w:bCs/>
                <w:color w:val="000000" w:themeColor="text1"/>
                <w:szCs w:val="24"/>
                <w14:textFill>
                  <w14:solidFill>
                    <w14:schemeClr w14:val="tx1"/>
                  </w14:solidFill>
                </w14:textFill>
              </w:rPr>
              <w:t>《排污许可证申请与核发技术规范 橡胶和塑料制品工业》（HJ HJ112-2020）</w:t>
            </w:r>
            <w:r>
              <w:rPr>
                <w:rFonts w:ascii="Times New Roman" w:hAnsi="Times New Roman" w:eastAsia="宋体" w:cs="Times New Roman"/>
                <w:color w:val="000000" w:themeColor="text1"/>
                <w:szCs w:val="24"/>
                <w14:textFill>
                  <w14:solidFill>
                    <w14:schemeClr w14:val="tx1"/>
                  </w14:solidFill>
                </w14:textFill>
              </w:rPr>
              <w:t xml:space="preserve">、《排污单位自行监测技术指南 </w:t>
            </w:r>
            <w:r>
              <w:rPr>
                <w:rFonts w:ascii="Times New Roman" w:hAnsi="Times New Roman" w:eastAsia="宋体" w:cs="Times New Roman"/>
                <w:bCs/>
                <w:color w:val="000000" w:themeColor="text1"/>
                <w:szCs w:val="24"/>
                <w14:textFill>
                  <w14:solidFill>
                    <w14:schemeClr w14:val="tx1"/>
                  </w14:solidFill>
                </w14:textFill>
              </w:rPr>
              <w:t>橡胶和塑料制品工业</w:t>
            </w:r>
            <w:r>
              <w:rPr>
                <w:rFonts w:ascii="Times New Roman" w:hAnsi="Times New Roman" w:eastAsia="宋体" w:cs="Times New Roman"/>
                <w:color w:val="000000" w:themeColor="text1"/>
                <w:szCs w:val="24"/>
                <w14:textFill>
                  <w14:solidFill>
                    <w14:schemeClr w14:val="tx1"/>
                  </w14:solidFill>
                </w14:textFill>
              </w:rPr>
              <w:t>》（HJ 1207-2021），项目废气监测要求详见表4.2-</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监测计划内容一览表</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1672"/>
              <w:gridCol w:w="3165"/>
              <w:gridCol w:w="1346"/>
              <w:gridCol w:w="1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监测内容</w:t>
                  </w:r>
                </w:p>
              </w:tc>
              <w:tc>
                <w:tcPr>
                  <w:tcW w:w="970"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监测位置</w:t>
                  </w:r>
                </w:p>
              </w:tc>
              <w:tc>
                <w:tcPr>
                  <w:tcW w:w="183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监测项目</w:t>
                  </w:r>
                </w:p>
              </w:tc>
              <w:tc>
                <w:tcPr>
                  <w:tcW w:w="78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监测频率</w:t>
                  </w:r>
                </w:p>
              </w:tc>
              <w:tc>
                <w:tcPr>
                  <w:tcW w:w="672"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vMerge w:val="restar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废气</w:t>
                  </w:r>
                </w:p>
              </w:tc>
              <w:tc>
                <w:tcPr>
                  <w:tcW w:w="970" w:type="pct"/>
                  <w:vMerge w:val="restar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DA00</w:t>
                  </w:r>
                  <w:r>
                    <w:rPr>
                      <w:rFonts w:hint="eastAsia" w:ascii="Times New Roman" w:hAnsi="Times New Roman" w:eastAsia="宋体" w:cs="Times New Roman"/>
                      <w:color w:val="000000" w:themeColor="text1"/>
                      <w:sz w:val="21"/>
                      <w:szCs w:val="21"/>
                      <w14:textFill>
                        <w14:solidFill>
                          <w14:schemeClr w14:val="tx1"/>
                        </w14:solidFill>
                      </w14:textFill>
                    </w:rPr>
                    <w:t>5</w:t>
                  </w:r>
                  <w:r>
                    <w:rPr>
                      <w:rFonts w:ascii="Times New Roman" w:hAnsi="Times New Roman" w:eastAsia="宋体" w:cs="Times New Roman"/>
                      <w:color w:val="000000" w:themeColor="text1"/>
                      <w:sz w:val="21"/>
                      <w:szCs w:val="21"/>
                      <w14:textFill>
                        <w14:solidFill>
                          <w14:schemeClr w14:val="tx1"/>
                        </w14:solidFill>
                      </w14:textFill>
                    </w:rPr>
                    <w:t>排气筒</w:t>
                  </w:r>
                </w:p>
              </w:tc>
              <w:tc>
                <w:tcPr>
                  <w:tcW w:w="183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臭气浓度、硫化氢</w:t>
                  </w:r>
                </w:p>
              </w:tc>
              <w:tc>
                <w:tcPr>
                  <w:tcW w:w="78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 xml:space="preserve"> 1次/年</w:t>
                  </w:r>
                </w:p>
              </w:tc>
              <w:tc>
                <w:tcPr>
                  <w:tcW w:w="672" w:type="pct"/>
                  <w:vMerge w:val="restar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委托有资质单位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c>
                <w:tcPr>
                  <w:tcW w:w="970"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c>
                <w:tcPr>
                  <w:tcW w:w="183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非甲烷总烃</w:t>
                  </w:r>
                </w:p>
              </w:tc>
              <w:tc>
                <w:tcPr>
                  <w:tcW w:w="78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1次/半年</w:t>
                  </w:r>
                </w:p>
              </w:tc>
              <w:tc>
                <w:tcPr>
                  <w:tcW w:w="672"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c>
                <w:tcPr>
                  <w:tcW w:w="970"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DA006排气筒</w:t>
                  </w:r>
                </w:p>
              </w:tc>
              <w:tc>
                <w:tcPr>
                  <w:tcW w:w="183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非甲烷总烃</w:t>
                  </w:r>
                  <w:r>
                    <w:rPr>
                      <w:rFonts w:hint="eastAsia" w:ascii="Times New Roman" w:hAnsi="Times New Roman" w:eastAsia="宋体" w:cs="Times New Roman"/>
                      <w:color w:val="000000" w:themeColor="text1"/>
                      <w:sz w:val="21"/>
                      <w:szCs w:val="21"/>
                      <w14:textFill>
                        <w14:solidFill>
                          <w14:schemeClr w14:val="tx1"/>
                        </w14:solidFill>
                      </w14:textFill>
                    </w:rPr>
                    <w:t>、甲苯、二甲苯、苯系物、酚类</w:t>
                  </w:r>
                </w:p>
              </w:tc>
              <w:tc>
                <w:tcPr>
                  <w:tcW w:w="78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1次/半年</w:t>
                  </w:r>
                </w:p>
              </w:tc>
              <w:tc>
                <w:tcPr>
                  <w:tcW w:w="672"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c>
                <w:tcPr>
                  <w:tcW w:w="970"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w:t>
                  </w:r>
                </w:p>
              </w:tc>
              <w:tc>
                <w:tcPr>
                  <w:tcW w:w="183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颗粒物、臭气浓度、硫化氢、甲苯、二甲苯、非甲烷总烃</w:t>
                  </w:r>
                </w:p>
              </w:tc>
              <w:tc>
                <w:tcPr>
                  <w:tcW w:w="78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 xml:space="preserve">1次/年 </w:t>
                  </w:r>
                </w:p>
              </w:tc>
              <w:tc>
                <w:tcPr>
                  <w:tcW w:w="672"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c>
                <w:tcPr>
                  <w:tcW w:w="970"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厂区内</w:t>
                  </w:r>
                </w:p>
              </w:tc>
              <w:tc>
                <w:tcPr>
                  <w:tcW w:w="183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非甲烷总烃</w:t>
                  </w:r>
                </w:p>
              </w:tc>
              <w:tc>
                <w:tcPr>
                  <w:tcW w:w="78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 xml:space="preserve">1次/年 </w:t>
                  </w:r>
                </w:p>
              </w:tc>
              <w:tc>
                <w:tcPr>
                  <w:tcW w:w="672" w:type="pct"/>
                  <w:vMerge w:val="continue"/>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p>
              </w:tc>
            </w:tr>
          </w:tbl>
          <w:p>
            <w:pPr>
              <w:pStyle w:val="4"/>
              <w:keepNext w:val="0"/>
              <w:keepLines w:val="0"/>
              <w:widowControl w:val="0"/>
              <w:topLinePunct/>
              <w:spacing w:before="0" w:line="360" w:lineRule="auto"/>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4.2.3 运营期噪声影响分析和防范措施</w:t>
            </w:r>
          </w:p>
          <w:p>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4.2.3.1 噪声源强分析</w:t>
            </w:r>
          </w:p>
          <w:p>
            <w:pPr>
              <w:pStyle w:val="171"/>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根据工程分析，项目运营期大部分为连续排放，声级范围在70～80dB之间。以生产车间中心坐标原点，正东向为X轴正方向，正北向为Y轴正方向，步距为1m。项目设备均放置在室内，各噪声源与场界的距离见表4.2-</w:t>
            </w:r>
            <w:r>
              <w:rPr>
                <w:rFonts w:hint="eastAsia" w:ascii="Times New Roman" w:hAnsi="Times New Roman" w:eastAsia="宋体" w:cs="Times New Roman"/>
                <w:color w:val="000000" w:themeColor="text1"/>
                <w:szCs w:val="24"/>
                <w14:textFill>
                  <w14:solidFill>
                    <w14:schemeClr w14:val="tx1"/>
                  </w14:solidFill>
                </w14:textFill>
              </w:rPr>
              <w:t>6</w:t>
            </w:r>
            <w:r>
              <w:rPr>
                <w:rFonts w:ascii="Times New Roman" w:hAnsi="Times New Roman" w:eastAsia="宋体" w:cs="Times New Roman"/>
                <w:color w:val="000000" w:themeColor="text1"/>
                <w:szCs w:val="24"/>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 xml:space="preserve">  室内主要噪声设备声级特性 单位：dB（A）</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58"/>
              <w:gridCol w:w="951"/>
              <w:gridCol w:w="672"/>
              <w:gridCol w:w="832"/>
              <w:gridCol w:w="1144"/>
              <w:gridCol w:w="1305"/>
              <w:gridCol w:w="763"/>
              <w:gridCol w:w="911"/>
              <w:gridCol w:w="7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位置</w:t>
                  </w:r>
                </w:p>
              </w:tc>
              <w:tc>
                <w:tcPr>
                  <w:tcW w:w="51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563"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数量（台/套）</w:t>
                  </w:r>
                </w:p>
              </w:tc>
              <w:tc>
                <w:tcPr>
                  <w:tcW w:w="401"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声源类型</w:t>
                  </w:r>
                </w:p>
              </w:tc>
              <w:tc>
                <w:tcPr>
                  <w:tcW w:w="494"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噪声源强</w:t>
                  </w:r>
                </w:p>
              </w:tc>
              <w:tc>
                <w:tcPr>
                  <w:tcW w:w="567"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坐标（x,y,z）</w:t>
                  </w:r>
                </w:p>
              </w:tc>
              <w:tc>
                <w:tcPr>
                  <w:tcW w:w="1221" w:type="pct"/>
                  <w:gridSpan w:val="2"/>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降噪措施</w:t>
                  </w:r>
                </w:p>
              </w:tc>
              <w:tc>
                <w:tcPr>
                  <w:tcW w:w="539" w:type="pct"/>
                  <w:vMerge w:val="restart"/>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持续时间（h/d）</w:t>
                  </w:r>
                </w:p>
              </w:tc>
              <w:tc>
                <w:tcPr>
                  <w:tcW w:w="44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建筑物外声压级/</w:t>
                  </w:r>
                </w:p>
                <w:p>
                  <w:pPr>
                    <w:pStyle w:val="221"/>
                    <w:rPr>
                      <w:bCs/>
                      <w:color w:val="000000" w:themeColor="text1"/>
                      <w14:textFill>
                        <w14:solidFill>
                          <w14:schemeClr w14:val="tx1"/>
                        </w14:solidFill>
                      </w14:textFill>
                    </w:rPr>
                  </w:pPr>
                  <w:r>
                    <w:rPr>
                      <w:color w:val="000000" w:themeColor="text1"/>
                      <w14:textFill>
                        <w14:solidFill>
                          <w14:schemeClr w14:val="tx1"/>
                        </w14:solidFill>
                      </w14:textFill>
                    </w:rPr>
                    <w:t>dB(A)（距离）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Merge w:val="continue"/>
                  <w:vAlign w:val="center"/>
                </w:tcPr>
                <w:p>
                  <w:pPr>
                    <w:pStyle w:val="221"/>
                    <w:rPr>
                      <w:color w:val="000000" w:themeColor="text1"/>
                      <w14:textFill>
                        <w14:solidFill>
                          <w14:schemeClr w14:val="tx1"/>
                        </w14:solidFill>
                      </w14:textFill>
                    </w:rPr>
                  </w:pPr>
                </w:p>
              </w:tc>
              <w:tc>
                <w:tcPr>
                  <w:tcW w:w="563" w:type="pct"/>
                  <w:vMerge w:val="continue"/>
                  <w:vAlign w:val="center"/>
                </w:tcPr>
                <w:p>
                  <w:pPr>
                    <w:pStyle w:val="221"/>
                    <w:rPr>
                      <w:color w:val="000000" w:themeColor="text1"/>
                      <w14:textFill>
                        <w14:solidFill>
                          <w14:schemeClr w14:val="tx1"/>
                        </w14:solidFill>
                      </w14:textFill>
                    </w:rPr>
                  </w:pPr>
                </w:p>
              </w:tc>
              <w:tc>
                <w:tcPr>
                  <w:tcW w:w="401" w:type="pct"/>
                  <w:vMerge w:val="continue"/>
                  <w:vAlign w:val="center"/>
                </w:tcPr>
                <w:p>
                  <w:pPr>
                    <w:pStyle w:val="221"/>
                    <w:rPr>
                      <w:color w:val="000000" w:themeColor="text1"/>
                      <w14:textFill>
                        <w14:solidFill>
                          <w14:schemeClr w14:val="tx1"/>
                        </w14:solidFill>
                      </w14:textFill>
                    </w:rPr>
                  </w:pPr>
                </w:p>
              </w:tc>
              <w:tc>
                <w:tcPr>
                  <w:tcW w:w="494" w:type="pct"/>
                  <w:vMerge w:val="continue"/>
                  <w:vAlign w:val="center"/>
                </w:tcPr>
                <w:p>
                  <w:pPr>
                    <w:pStyle w:val="221"/>
                    <w:rPr>
                      <w:color w:val="000000" w:themeColor="text1"/>
                      <w14:textFill>
                        <w14:solidFill>
                          <w14:schemeClr w14:val="tx1"/>
                        </w14:solidFill>
                      </w14:textFill>
                    </w:rPr>
                  </w:pPr>
                </w:p>
              </w:tc>
              <w:tc>
                <w:tcPr>
                  <w:tcW w:w="567" w:type="pct"/>
                  <w:vMerge w:val="continue"/>
                  <w:vAlign w:val="center"/>
                </w:tcPr>
                <w:p>
                  <w:pPr>
                    <w:pStyle w:val="221"/>
                    <w:rPr>
                      <w:color w:val="000000" w:themeColor="text1"/>
                      <w14:textFill>
                        <w14:solidFill>
                          <w14:schemeClr w14:val="tx1"/>
                        </w14:solidFill>
                      </w14:textFill>
                    </w:rPr>
                  </w:pP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工艺</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降噪效果</w:t>
                  </w:r>
                </w:p>
              </w:tc>
              <w:tc>
                <w:tcPr>
                  <w:tcW w:w="539" w:type="pct"/>
                  <w:vMerge w:val="continue"/>
                  <w:vAlign w:val="center"/>
                </w:tcPr>
                <w:p>
                  <w:pPr>
                    <w:pStyle w:val="221"/>
                    <w:rPr>
                      <w:color w:val="000000" w:themeColor="text1"/>
                      <w14:textFill>
                        <w14:solidFill>
                          <w14:schemeClr w14:val="tx1"/>
                        </w14:solidFill>
                      </w14:textFill>
                    </w:rPr>
                  </w:pP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生产车间</w:t>
                  </w:r>
                </w:p>
              </w:tc>
              <w:tc>
                <w:tcPr>
                  <w:tcW w:w="513" w:type="pct"/>
                  <w:vAlign w:val="center"/>
                </w:tcPr>
                <w:p>
                  <w:pPr>
                    <w:pStyle w:val="221"/>
                    <w:rPr>
                      <w:color w:val="000000" w:themeColor="text1"/>
                      <w:lang w:bidi="ar"/>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烘箱</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10</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3,25,1.2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64.37（1）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color w:val="000000" w:themeColor="text1"/>
                      <w:lang w:bidi="ar"/>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成型机</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41</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5,20,1.2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color w:val="000000" w:themeColor="text1"/>
                      <w:lang w:bidi="ar"/>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环氧合模机</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4</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75</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-10,20,1.2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color w:val="000000" w:themeColor="text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胶泵拌料机</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75</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-6,-6,1.2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color w:val="000000" w:themeColor="text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超声波绕管机</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扩张机</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5,20,1.2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叉车</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80</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-10,20,1.2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橡胶开炼机</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85</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5,20,1.2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vAlign w:val="center"/>
                </w:tcPr>
                <w:p>
                  <w:pPr>
                    <w:pStyle w:val="221"/>
                    <w:rPr>
                      <w:color w:val="000000" w:themeColor="text1"/>
                      <w14:textFill>
                        <w14:solidFill>
                          <w14:schemeClr w14:val="tx1"/>
                        </w14:solidFill>
                      </w14:textFill>
                    </w:rPr>
                  </w:pPr>
                </w:p>
              </w:tc>
              <w:tc>
                <w:tcPr>
                  <w:tcW w:w="513" w:type="pct"/>
                  <w:vAlign w:val="center"/>
                </w:tcPr>
                <w:p>
                  <w:pPr>
                    <w:pStyle w:val="221"/>
                    <w:rPr>
                      <w:rStyle w:val="64"/>
                      <w:rFonts w:hint="default" w:ascii="Times New Roman" w:hAnsi="Times New Roman" w:cs="Times New Roman"/>
                      <w:color w:val="000000" w:themeColor="text1"/>
                      <w:sz w:val="21"/>
                      <w:szCs w:val="21"/>
                      <w14:textFill>
                        <w14:solidFill>
                          <w14:schemeClr w14:val="tx1"/>
                        </w14:solidFill>
                      </w14:textFill>
                    </w:rPr>
                  </w:pPr>
                  <w:r>
                    <w:rPr>
                      <w:rStyle w:val="64"/>
                      <w:rFonts w:hint="default" w:ascii="Times New Roman" w:hAnsi="Times New Roman" w:cs="Times New Roman"/>
                      <w:color w:val="000000" w:themeColor="text1"/>
                      <w:sz w:val="21"/>
                      <w:szCs w:val="21"/>
                      <w14:textFill>
                        <w14:solidFill>
                          <w14:schemeClr w14:val="tx1"/>
                        </w14:solidFill>
                      </w14:textFill>
                    </w:rPr>
                    <w:t>超声波清洗机</w:t>
                  </w:r>
                </w:p>
              </w:tc>
              <w:tc>
                <w:tcPr>
                  <w:tcW w:w="56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401"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94"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75</w:t>
                  </w:r>
                </w:p>
              </w:tc>
              <w:tc>
                <w:tcPr>
                  <w:tcW w:w="56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-10,20,1.2</w:t>
                  </w:r>
                </w:p>
              </w:tc>
              <w:tc>
                <w:tcPr>
                  <w:tcW w:w="768"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设备减振、厂房隔声</w:t>
                  </w:r>
                </w:p>
              </w:tc>
              <w:tc>
                <w:tcPr>
                  <w:tcW w:w="453"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15~20</w:t>
                  </w:r>
                </w:p>
              </w:tc>
              <w:tc>
                <w:tcPr>
                  <w:tcW w:w="539"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48" w:type="pct"/>
                  <w:vMerge w:val="continue"/>
                  <w:vAlign w:val="center"/>
                </w:tcPr>
                <w:p>
                  <w:pPr>
                    <w:pStyle w:val="221"/>
                    <w:rPr>
                      <w:color w:val="000000" w:themeColor="text1"/>
                      <w14:textFill>
                        <w14:solidFill>
                          <w14:schemeClr w14:val="tx1"/>
                        </w14:solidFill>
                      </w14:textFill>
                    </w:rPr>
                  </w:pPr>
                </w:p>
              </w:tc>
            </w:tr>
          </w:tbl>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2-7</w:t>
            </w:r>
            <w:r>
              <w:rPr>
                <w:color w:val="000000" w:themeColor="text1"/>
                <w14:textFill>
                  <w14:solidFill>
                    <w14:schemeClr w14:val="tx1"/>
                  </w14:solidFill>
                </w14:textFill>
              </w:rPr>
              <w:t xml:space="preserve"> 本项目室外噪声源强调查表</w:t>
            </w:r>
          </w:p>
          <w:tbl>
            <w:tblPr>
              <w:tblStyle w:val="226"/>
              <w:tblW w:w="86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341"/>
              <w:gridCol w:w="676"/>
              <w:gridCol w:w="1126"/>
              <w:gridCol w:w="954"/>
              <w:gridCol w:w="954"/>
              <w:gridCol w:w="983"/>
              <w:gridCol w:w="794"/>
              <w:gridCol w:w="1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41"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676"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型号</w:t>
                  </w:r>
                </w:p>
              </w:tc>
              <w:tc>
                <w:tcPr>
                  <w:tcW w:w="112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声源源强</w:t>
                  </w:r>
                </w:p>
              </w:tc>
              <w:tc>
                <w:tcPr>
                  <w:tcW w:w="954"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声源控制措施</w:t>
                  </w:r>
                </w:p>
              </w:tc>
              <w:tc>
                <w:tcPr>
                  <w:tcW w:w="2731" w:type="dxa"/>
                  <w:gridSpan w:val="3"/>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空间相对位置</w:t>
                  </w:r>
                </w:p>
              </w:tc>
              <w:tc>
                <w:tcPr>
                  <w:tcW w:w="1039"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运行</w:t>
                  </w:r>
                </w:p>
                <w:p>
                  <w:pPr>
                    <w:pStyle w:val="221"/>
                    <w:rPr>
                      <w:color w:val="000000" w:themeColor="text1"/>
                      <w14:textFill>
                        <w14:solidFill>
                          <w14:schemeClr w14:val="tx1"/>
                        </w14:solidFill>
                      </w14:textFill>
                    </w:rPr>
                  </w:pPr>
                  <w:r>
                    <w:rPr>
                      <w:color w:val="000000" w:themeColor="text1"/>
                      <w14:textFill>
                        <w14:solidFill>
                          <w14:schemeClr w14:val="tx1"/>
                        </w14:solidFill>
                      </w14:textFill>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dxa"/>
                  <w:vMerge w:val="continue"/>
                  <w:vAlign w:val="center"/>
                </w:tcPr>
                <w:p>
                  <w:pPr>
                    <w:pStyle w:val="221"/>
                    <w:rPr>
                      <w:color w:val="000000" w:themeColor="text1"/>
                      <w14:textFill>
                        <w14:solidFill>
                          <w14:schemeClr w14:val="tx1"/>
                        </w14:solidFill>
                      </w14:textFill>
                    </w:rPr>
                  </w:pPr>
                </w:p>
              </w:tc>
              <w:tc>
                <w:tcPr>
                  <w:tcW w:w="1341" w:type="dxa"/>
                  <w:vMerge w:val="continue"/>
                  <w:vAlign w:val="center"/>
                </w:tcPr>
                <w:p>
                  <w:pPr>
                    <w:pStyle w:val="221"/>
                    <w:rPr>
                      <w:color w:val="000000" w:themeColor="text1"/>
                      <w14:textFill>
                        <w14:solidFill>
                          <w14:schemeClr w14:val="tx1"/>
                        </w14:solidFill>
                      </w14:textFill>
                    </w:rPr>
                  </w:pPr>
                </w:p>
              </w:tc>
              <w:tc>
                <w:tcPr>
                  <w:tcW w:w="676" w:type="dxa"/>
                  <w:vMerge w:val="continue"/>
                  <w:vAlign w:val="center"/>
                </w:tcPr>
                <w:p>
                  <w:pPr>
                    <w:pStyle w:val="221"/>
                    <w:rPr>
                      <w:color w:val="000000" w:themeColor="text1"/>
                      <w14:textFill>
                        <w14:solidFill>
                          <w14:schemeClr w14:val="tx1"/>
                        </w14:solidFill>
                      </w14:textFill>
                    </w:rPr>
                  </w:pPr>
                </w:p>
              </w:tc>
              <w:tc>
                <w:tcPr>
                  <w:tcW w:w="112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声功率级dB</w:t>
                  </w:r>
                </w:p>
                <w:p>
                  <w:pPr>
                    <w:pStyle w:val="221"/>
                    <w:rPr>
                      <w:color w:val="000000" w:themeColor="text1"/>
                      <w14:textFill>
                        <w14:solidFill>
                          <w14:schemeClr w14:val="tx1"/>
                        </w14:solidFill>
                      </w14:textFill>
                    </w:rPr>
                  </w:pPr>
                  <w:r>
                    <w:rPr>
                      <w:color w:val="000000" w:themeColor="text1"/>
                      <w14:textFill>
                        <w14:solidFill>
                          <w14:schemeClr w14:val="tx1"/>
                        </w14:solidFill>
                      </w14:textFill>
                    </w:rPr>
                    <w:t>(A)</w:t>
                  </w:r>
                </w:p>
              </w:tc>
              <w:tc>
                <w:tcPr>
                  <w:tcW w:w="954" w:type="dxa"/>
                  <w:vMerge w:val="continue"/>
                  <w:vAlign w:val="center"/>
                </w:tcPr>
                <w:p>
                  <w:pPr>
                    <w:pStyle w:val="221"/>
                    <w:rPr>
                      <w:color w:val="000000" w:themeColor="text1"/>
                      <w14:textFill>
                        <w14:solidFill>
                          <w14:schemeClr w14:val="tx1"/>
                        </w14:solidFill>
                      </w14:textFill>
                    </w:rPr>
                  </w:pPr>
                </w:p>
              </w:tc>
              <w:tc>
                <w:tcPr>
                  <w:tcW w:w="95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X</w:t>
                  </w:r>
                </w:p>
              </w:tc>
              <w:tc>
                <w:tcPr>
                  <w:tcW w:w="98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Y</w:t>
                  </w:r>
                </w:p>
              </w:tc>
              <w:tc>
                <w:tcPr>
                  <w:tcW w:w="79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Z</w:t>
                  </w:r>
                </w:p>
              </w:tc>
              <w:tc>
                <w:tcPr>
                  <w:tcW w:w="1039" w:type="dxa"/>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73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3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室内转室外</w:t>
                  </w:r>
                </w:p>
              </w:tc>
              <w:tc>
                <w:tcPr>
                  <w:tcW w:w="67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12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64.37</w:t>
                  </w:r>
                </w:p>
              </w:tc>
              <w:tc>
                <w:tcPr>
                  <w:tcW w:w="954"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消声器消声、厂房隔声</w:t>
                  </w:r>
                </w:p>
              </w:tc>
              <w:tc>
                <w:tcPr>
                  <w:tcW w:w="95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w:t>
                  </w:r>
                </w:p>
              </w:tc>
              <w:tc>
                <w:tcPr>
                  <w:tcW w:w="98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w:t>
                  </w:r>
                </w:p>
              </w:tc>
              <w:tc>
                <w:tcPr>
                  <w:tcW w:w="79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w:t>
                  </w:r>
                </w:p>
              </w:tc>
              <w:tc>
                <w:tcPr>
                  <w:tcW w:w="103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8h/d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13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冷却塔</w:t>
                  </w:r>
                </w:p>
              </w:tc>
              <w:tc>
                <w:tcPr>
                  <w:tcW w:w="67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12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85</w:t>
                  </w:r>
                </w:p>
              </w:tc>
              <w:tc>
                <w:tcPr>
                  <w:tcW w:w="954" w:type="dxa"/>
                  <w:vMerge w:val="continue"/>
                  <w:vAlign w:val="center"/>
                </w:tcPr>
                <w:p>
                  <w:pPr>
                    <w:pStyle w:val="221"/>
                    <w:rPr>
                      <w:color w:val="000000" w:themeColor="text1"/>
                      <w14:textFill>
                        <w14:solidFill>
                          <w14:schemeClr w14:val="tx1"/>
                        </w14:solidFill>
                      </w14:textFill>
                    </w:rPr>
                  </w:pPr>
                </w:p>
              </w:tc>
              <w:tc>
                <w:tcPr>
                  <w:tcW w:w="95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79</w:t>
                  </w:r>
                </w:p>
              </w:tc>
              <w:tc>
                <w:tcPr>
                  <w:tcW w:w="98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79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w:t>
                  </w:r>
                </w:p>
              </w:tc>
              <w:tc>
                <w:tcPr>
                  <w:tcW w:w="103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8h/d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73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13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风机</w:t>
                  </w:r>
                </w:p>
              </w:tc>
              <w:tc>
                <w:tcPr>
                  <w:tcW w:w="67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12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85</w:t>
                  </w:r>
                </w:p>
              </w:tc>
              <w:tc>
                <w:tcPr>
                  <w:tcW w:w="954" w:type="dxa"/>
                  <w:vMerge w:val="continue"/>
                  <w:vAlign w:val="center"/>
                </w:tcPr>
                <w:p>
                  <w:pPr>
                    <w:pStyle w:val="221"/>
                    <w:rPr>
                      <w:color w:val="000000" w:themeColor="text1"/>
                      <w14:textFill>
                        <w14:solidFill>
                          <w14:schemeClr w14:val="tx1"/>
                        </w14:solidFill>
                      </w14:textFill>
                    </w:rPr>
                  </w:pPr>
                </w:p>
              </w:tc>
              <w:tc>
                <w:tcPr>
                  <w:tcW w:w="95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-14</w:t>
                  </w:r>
                </w:p>
              </w:tc>
              <w:tc>
                <w:tcPr>
                  <w:tcW w:w="983"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36</w:t>
                  </w:r>
                </w:p>
              </w:tc>
              <w:tc>
                <w:tcPr>
                  <w:tcW w:w="79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w:t>
                  </w:r>
                </w:p>
              </w:tc>
              <w:tc>
                <w:tcPr>
                  <w:tcW w:w="103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8h/d</w:t>
                  </w:r>
                </w:p>
              </w:tc>
            </w:tr>
          </w:tbl>
          <w:p>
            <w:pPr>
              <w:pStyle w:val="14"/>
              <w:widowControl w:val="0"/>
              <w:tabs>
                <w:tab w:val="left" w:pos="307"/>
              </w:tabs>
              <w:adjustRightInd w:val="0"/>
              <w:snapToGrid w:val="0"/>
              <w:ind w:firstLine="482"/>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厂界和保护目标达标性分析</w:t>
            </w:r>
          </w:p>
          <w:p>
            <w:pPr>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本评价根据《环境影响评价技术导则-声环境》（HJ2.4-2021）推荐的方法，预测工程边界噪声值。</w:t>
            </w:r>
          </w:p>
          <w:p>
            <w:pPr>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①点声源衰减公式噪声室外传播声级衰减计算模式：</w:t>
            </w:r>
          </w:p>
          <w:p>
            <w:pPr>
              <w:widowControl w:val="0"/>
              <w:adjustRightInd w:val="0"/>
              <w:snapToGrid w:val="0"/>
              <w:spacing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1783080" cy="264160"/>
                  <wp:effectExtent l="0" t="0" r="7620" b="2540"/>
                  <wp:docPr id="56"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72"/>
                          <pic:cNvPicPr>
                            <a:picLocks noChangeAspect="1"/>
                          </pic:cNvPicPr>
                        </pic:nvPicPr>
                        <pic:blipFill>
                          <a:blip r:embed="rId40"/>
                          <a:stretch>
                            <a:fillRect/>
                          </a:stretch>
                        </pic:blipFill>
                        <pic:spPr>
                          <a:xfrm>
                            <a:off x="0" y="0"/>
                            <a:ext cx="1783080" cy="264160"/>
                          </a:xfrm>
                          <a:prstGeom prst="rect">
                            <a:avLst/>
                          </a:prstGeom>
                          <a:noFill/>
                          <a:ln>
                            <a:noFill/>
                          </a:ln>
                        </pic:spPr>
                      </pic:pic>
                    </a:graphicData>
                  </a:graphic>
                </wp:inline>
              </w:drawing>
            </w:r>
          </w:p>
          <w:p>
            <w:pPr>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式中：LAi—i声源在预测点产生的A声级，dB(A)； r</w:t>
            </w:r>
            <w:r>
              <w:rPr>
                <w:rFonts w:ascii="Times New Roman" w:hAnsi="Times New Roman" w:eastAsia="宋体" w:cs="Times New Roman"/>
                <w:color w:val="000000" w:themeColor="text1"/>
                <w:vertAlign w:val="subscript"/>
                <w14:textFill>
                  <w14:solidFill>
                    <w14:schemeClr w14:val="tx1"/>
                  </w14:solidFill>
                </w14:textFill>
              </w:rPr>
              <w:t>ij</w:t>
            </w:r>
            <w:r>
              <w:rPr>
                <w:rFonts w:ascii="Times New Roman" w:hAnsi="Times New Roman" w:eastAsia="宋体" w:cs="Times New Roman"/>
                <w:color w:val="000000" w:themeColor="text1"/>
                <w14:textFill>
                  <w14:solidFill>
                    <w14:schemeClr w14:val="tx1"/>
                  </w14:solidFill>
                </w14:textFill>
              </w:rPr>
              <w:t>—i声源至预测点j的距离，m； L</w:t>
            </w:r>
            <w:r>
              <w:rPr>
                <w:rFonts w:ascii="Times New Roman" w:hAnsi="Times New Roman" w:eastAsia="宋体" w:cs="Times New Roman"/>
                <w:color w:val="000000" w:themeColor="text1"/>
                <w:vertAlign w:val="subscript"/>
                <w14:textFill>
                  <w14:solidFill>
                    <w14:schemeClr w14:val="tx1"/>
                  </w14:solidFill>
                </w14:textFill>
              </w:rPr>
              <w:t>Wi</w:t>
            </w:r>
            <w:r>
              <w:rPr>
                <w:rFonts w:ascii="Times New Roman" w:hAnsi="Times New Roman" w:eastAsia="宋体" w:cs="Times New Roman"/>
                <w:color w:val="000000" w:themeColor="text1"/>
                <w14:textFill>
                  <w14:solidFill>
                    <w14:schemeClr w14:val="tx1"/>
                  </w14:solidFill>
                </w14:textFill>
              </w:rPr>
              <w:t>——噪声源的等效声级，dB(A)；TL—大气吸收、屏障屏蔽、地面效应等引起的噪声衰减，本项目取5dB(A)。</w:t>
            </w:r>
          </w:p>
          <w:p>
            <w:pPr>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 xml:space="preserve">②噪声级的叠加公式 </w:t>
            </w:r>
          </w:p>
          <w:p>
            <w:pPr>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对于相距较远的两个或两个以上噪声源同时存在时，它们对远处某一点（预测点）的声压级必须按能量叠加，该点的总声压级可用下面的公式进行计算：</w:t>
            </w:r>
          </w:p>
          <w:p>
            <w:pPr>
              <w:widowControl w:val="0"/>
              <w:adjustRightInd w:val="0"/>
              <w:snapToGrid w:val="0"/>
              <w:spacing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3152140" cy="584835"/>
                  <wp:effectExtent l="0" t="0" r="10160" b="5715"/>
                  <wp:docPr id="57"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73"/>
                          <pic:cNvPicPr>
                            <a:picLocks noChangeAspect="1"/>
                          </pic:cNvPicPr>
                        </pic:nvPicPr>
                        <pic:blipFill>
                          <a:blip r:embed="rId41"/>
                          <a:stretch>
                            <a:fillRect/>
                          </a:stretch>
                        </pic:blipFill>
                        <pic:spPr>
                          <a:xfrm>
                            <a:off x="0" y="0"/>
                            <a:ext cx="3152140" cy="584835"/>
                          </a:xfrm>
                          <a:prstGeom prst="rect">
                            <a:avLst/>
                          </a:prstGeom>
                          <a:noFill/>
                          <a:ln>
                            <a:noFill/>
                          </a:ln>
                        </pic:spPr>
                      </pic:pic>
                    </a:graphicData>
                  </a:graphic>
                </wp:inline>
              </w:drawing>
            </w:r>
          </w:p>
          <w:p>
            <w:pPr>
              <w:adjustRightInd w:val="0"/>
              <w:snapToGrid w:val="0"/>
              <w:spacing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式中：T为计算等效声级的时间，N为室外声源个数，M为等效室外声源个数。</w:t>
            </w:r>
          </w:p>
          <w:p>
            <w:pPr>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③预测点的预测等效声级Leq（A）计算公式</w:t>
            </w:r>
          </w:p>
          <w:p>
            <w:pPr>
              <w:adjustRightInd w:val="0"/>
              <w:snapToGrid w:val="0"/>
              <w:spacing w:line="360" w:lineRule="auto"/>
              <w:ind w:firstLine="480" w:firstLineChars="20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2750820" cy="332105"/>
                  <wp:effectExtent l="0" t="0" r="11430" b="10795"/>
                  <wp:docPr id="58"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76"/>
                          <pic:cNvPicPr>
                            <a:picLocks noChangeAspect="1"/>
                          </pic:cNvPicPr>
                        </pic:nvPicPr>
                        <pic:blipFill>
                          <a:blip r:embed="rId42"/>
                          <a:stretch>
                            <a:fillRect/>
                          </a:stretch>
                        </pic:blipFill>
                        <pic:spPr>
                          <a:xfrm>
                            <a:off x="0" y="0"/>
                            <a:ext cx="2750820" cy="332105"/>
                          </a:xfrm>
                          <a:prstGeom prst="rect">
                            <a:avLst/>
                          </a:prstGeom>
                          <a:noFill/>
                          <a:ln>
                            <a:noFill/>
                          </a:ln>
                        </pic:spPr>
                      </pic:pic>
                    </a:graphicData>
                  </a:graphic>
                </wp:inline>
              </w:drawing>
            </w:r>
          </w:p>
          <w:p>
            <w:pPr>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式中：</w:t>
            </w:r>
            <w:r>
              <w:rPr>
                <w:rFonts w:ascii="Times New Roman" w:hAnsi="Times New Roman" w:eastAsia="宋体" w:cs="Times New Roman"/>
                <w:i/>
                <w:iCs/>
                <w:color w:val="000000" w:themeColor="text1"/>
                <w14:textFill>
                  <w14:solidFill>
                    <w14:schemeClr w14:val="tx1"/>
                  </w14:solidFill>
                </w14:textFill>
              </w:rPr>
              <w:t>L</w:t>
            </w:r>
            <w:r>
              <w:rPr>
                <w:rFonts w:ascii="Times New Roman" w:hAnsi="Times New Roman" w:eastAsia="宋体" w:cs="Times New Roman"/>
                <w:i/>
                <w:iCs/>
                <w:color w:val="000000" w:themeColor="text1"/>
                <w:vertAlign w:val="subscript"/>
                <w14:textFill>
                  <w14:solidFill>
                    <w14:schemeClr w14:val="tx1"/>
                  </w14:solidFill>
                </w14:textFill>
              </w:rPr>
              <w:t>eq</w:t>
            </w:r>
            <w:r>
              <w:rPr>
                <w:rFonts w:ascii="Times New Roman" w:hAnsi="Times New Roman" w:eastAsia="宋体" w:cs="Times New Roman"/>
                <w:color w:val="000000" w:themeColor="text1"/>
                <w14:textFill>
                  <w14:solidFill>
                    <w14:schemeClr w14:val="tx1"/>
                  </w14:solidFill>
                </w14:textFill>
              </w:rPr>
              <w:t xml:space="preserve">（A）—建设项目声源在预测点的等效声级贡献值，dB(A)； </w:t>
            </w:r>
            <w:r>
              <w:rPr>
                <w:rFonts w:ascii="Times New Roman" w:hAnsi="Times New Roman" w:eastAsia="宋体" w:cs="Times New Roman"/>
                <w:i/>
                <w:iCs/>
                <w:color w:val="000000" w:themeColor="text1"/>
                <w14:textFill>
                  <w14:solidFill>
                    <w14:schemeClr w14:val="tx1"/>
                  </w14:solidFill>
                </w14:textFill>
              </w:rPr>
              <w:t>Leqb</w:t>
            </w:r>
            <w:r>
              <w:rPr>
                <w:rFonts w:ascii="Times New Roman" w:hAnsi="Times New Roman" w:eastAsia="宋体" w:cs="Times New Roman"/>
                <w:color w:val="000000" w:themeColor="text1"/>
                <w14:textFill>
                  <w14:solidFill>
                    <w14:schemeClr w14:val="tx1"/>
                  </w14:solidFill>
                </w14:textFill>
              </w:rPr>
              <w:t>—预测点背景值，dB(A)；</w:t>
            </w:r>
          </w:p>
          <w:p>
            <w:pPr>
              <w:widowControl w:val="0"/>
              <w:adjustRightInd w:val="0"/>
              <w:snapToGrid w:val="0"/>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本项目声环境影响预测：厂界噪声影响预测结果见下表4.</w:t>
            </w:r>
            <w:r>
              <w:rPr>
                <w:rFonts w:hint="eastAsia" w:ascii="Times New Roman" w:hAnsi="Times New Roman" w:eastAsia="宋体" w:cs="Times New Roman"/>
                <w:color w:val="000000" w:themeColor="text1"/>
                <w14:textFill>
                  <w14:solidFill>
                    <w14:schemeClr w14:val="tx1"/>
                  </w14:solidFill>
                </w14:textFill>
              </w:rPr>
              <w:t>2-8</w:t>
            </w:r>
            <w:r>
              <w:rPr>
                <w:rFonts w:ascii="Times New Roman" w:hAnsi="Times New Roman" w:eastAsia="宋体" w:cs="Times New Roman"/>
                <w:color w:val="000000" w:themeColor="text1"/>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2-8</w:t>
            </w:r>
            <w:r>
              <w:rPr>
                <w:color w:val="000000" w:themeColor="text1"/>
                <w14:textFill>
                  <w14:solidFill>
                    <w14:schemeClr w14:val="tx1"/>
                  </w14:solidFill>
                </w14:textFill>
              </w:rPr>
              <w:t xml:space="preserve"> 厂界噪声影响预测结果  （单位：dB（A））</w:t>
            </w:r>
          </w:p>
          <w:tbl>
            <w:tblPr>
              <w:tblStyle w:val="2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979"/>
              <w:gridCol w:w="641"/>
              <w:gridCol w:w="1077"/>
              <w:gridCol w:w="1420"/>
              <w:gridCol w:w="1375"/>
              <w:gridCol w:w="1636"/>
              <w:gridCol w:w="10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979"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预测点</w:t>
                  </w:r>
                </w:p>
              </w:tc>
              <w:tc>
                <w:tcPr>
                  <w:tcW w:w="641" w:type="dxa"/>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厂界距离</w:t>
                  </w:r>
                </w:p>
              </w:tc>
              <w:tc>
                <w:tcPr>
                  <w:tcW w:w="107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噪声本底值dB(A)</w:t>
                  </w:r>
                </w:p>
              </w:tc>
              <w:tc>
                <w:tcPr>
                  <w:tcW w:w="142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贡献值dB(A)</w:t>
                  </w:r>
                </w:p>
              </w:tc>
              <w:tc>
                <w:tcPr>
                  <w:tcW w:w="137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预测值dB(A)</w:t>
                  </w:r>
                </w:p>
              </w:tc>
              <w:tc>
                <w:tcPr>
                  <w:tcW w:w="163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标准限值dB(A)</w:t>
                  </w:r>
                </w:p>
              </w:tc>
              <w:tc>
                <w:tcPr>
                  <w:tcW w:w="10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超标/达标情况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vAlign w:val="center"/>
                </w:tcPr>
                <w:p>
                  <w:pPr>
                    <w:pStyle w:val="221"/>
                    <w:rPr>
                      <w:color w:val="000000" w:themeColor="text1"/>
                      <w14:textFill>
                        <w14:solidFill>
                          <w14:schemeClr w14:val="tx1"/>
                        </w14:solidFill>
                      </w14:textFill>
                    </w:rPr>
                  </w:pPr>
                </w:p>
              </w:tc>
              <w:tc>
                <w:tcPr>
                  <w:tcW w:w="979" w:type="dxa"/>
                  <w:vMerge w:val="continue"/>
                  <w:vAlign w:val="center"/>
                </w:tcPr>
                <w:p>
                  <w:pPr>
                    <w:pStyle w:val="221"/>
                    <w:rPr>
                      <w:color w:val="000000" w:themeColor="text1"/>
                      <w14:textFill>
                        <w14:solidFill>
                          <w14:schemeClr w14:val="tx1"/>
                        </w14:solidFill>
                      </w14:textFill>
                    </w:rPr>
                  </w:pPr>
                </w:p>
              </w:tc>
              <w:tc>
                <w:tcPr>
                  <w:tcW w:w="641" w:type="dxa"/>
                  <w:vMerge w:val="continue"/>
                  <w:vAlign w:val="center"/>
                </w:tcPr>
                <w:p>
                  <w:pPr>
                    <w:pStyle w:val="221"/>
                    <w:rPr>
                      <w:color w:val="000000" w:themeColor="text1"/>
                      <w14:textFill>
                        <w14:solidFill>
                          <w14:schemeClr w14:val="tx1"/>
                        </w14:solidFill>
                      </w14:textFill>
                    </w:rPr>
                  </w:pPr>
                </w:p>
              </w:tc>
              <w:tc>
                <w:tcPr>
                  <w:tcW w:w="107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昼间</w:t>
                  </w:r>
                </w:p>
                <w:p>
                  <w:pPr>
                    <w:pStyle w:val="221"/>
                    <w:rPr>
                      <w:color w:val="000000" w:themeColor="text1"/>
                      <w14:textFill>
                        <w14:solidFill>
                          <w14:schemeClr w14:val="tx1"/>
                        </w14:solidFill>
                      </w14:textFill>
                    </w:rPr>
                  </w:pPr>
                </w:p>
              </w:tc>
              <w:tc>
                <w:tcPr>
                  <w:tcW w:w="142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昼间</w:t>
                  </w:r>
                </w:p>
                <w:p>
                  <w:pPr>
                    <w:pStyle w:val="221"/>
                    <w:rPr>
                      <w:color w:val="000000" w:themeColor="text1"/>
                      <w14:textFill>
                        <w14:solidFill>
                          <w14:schemeClr w14:val="tx1"/>
                        </w14:solidFill>
                      </w14:textFill>
                    </w:rPr>
                  </w:pPr>
                </w:p>
              </w:tc>
              <w:tc>
                <w:tcPr>
                  <w:tcW w:w="137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163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10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昼间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42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97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北侧</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6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204</w:t>
                  </w:r>
                </w:p>
              </w:tc>
              <w:tc>
                <w:tcPr>
                  <w:tcW w:w="107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61.3</w:t>
                  </w:r>
                </w:p>
              </w:tc>
              <w:tc>
                <w:tcPr>
                  <w:tcW w:w="142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31</w:t>
                  </w:r>
                </w:p>
              </w:tc>
              <w:tc>
                <w:tcPr>
                  <w:tcW w:w="137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61.3</w:t>
                  </w:r>
                </w:p>
              </w:tc>
              <w:tc>
                <w:tcPr>
                  <w:tcW w:w="163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0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97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东侧</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6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232</w:t>
                  </w:r>
                </w:p>
              </w:tc>
              <w:tc>
                <w:tcPr>
                  <w:tcW w:w="107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59.8</w:t>
                  </w:r>
                </w:p>
              </w:tc>
              <w:tc>
                <w:tcPr>
                  <w:tcW w:w="142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33</w:t>
                  </w:r>
                </w:p>
              </w:tc>
              <w:tc>
                <w:tcPr>
                  <w:tcW w:w="137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59.81</w:t>
                  </w:r>
                </w:p>
              </w:tc>
              <w:tc>
                <w:tcPr>
                  <w:tcW w:w="163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0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97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南侧</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6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210</w:t>
                  </w:r>
                </w:p>
              </w:tc>
              <w:tc>
                <w:tcPr>
                  <w:tcW w:w="107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61.9</w:t>
                  </w:r>
                </w:p>
              </w:tc>
              <w:tc>
                <w:tcPr>
                  <w:tcW w:w="142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29</w:t>
                  </w:r>
                </w:p>
              </w:tc>
              <w:tc>
                <w:tcPr>
                  <w:tcW w:w="137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61.9</w:t>
                  </w:r>
                </w:p>
              </w:tc>
              <w:tc>
                <w:tcPr>
                  <w:tcW w:w="163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0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4</w:t>
                  </w:r>
                </w:p>
              </w:tc>
              <w:tc>
                <w:tcPr>
                  <w:tcW w:w="97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西侧</w:t>
                  </w:r>
                </w:p>
                <w:p>
                  <w:pPr>
                    <w:pStyle w:val="221"/>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6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53.9</w:t>
                  </w:r>
                </w:p>
              </w:tc>
              <w:tc>
                <w:tcPr>
                  <w:tcW w:w="107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62.1</w:t>
                  </w:r>
                </w:p>
              </w:tc>
              <w:tc>
                <w:tcPr>
                  <w:tcW w:w="142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33.5</w:t>
                  </w:r>
                </w:p>
              </w:tc>
              <w:tc>
                <w:tcPr>
                  <w:tcW w:w="137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62.1</w:t>
                  </w:r>
                </w:p>
              </w:tc>
              <w:tc>
                <w:tcPr>
                  <w:tcW w:w="163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0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97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下底铺</w:t>
                  </w:r>
                </w:p>
              </w:tc>
              <w:tc>
                <w:tcPr>
                  <w:tcW w:w="64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07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57.3</w:t>
                  </w:r>
                </w:p>
              </w:tc>
              <w:tc>
                <w:tcPr>
                  <w:tcW w:w="142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27</w:t>
                  </w:r>
                </w:p>
              </w:tc>
              <w:tc>
                <w:tcPr>
                  <w:tcW w:w="137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57.3</w:t>
                  </w:r>
                </w:p>
              </w:tc>
              <w:tc>
                <w:tcPr>
                  <w:tcW w:w="1636"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04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达标</w:t>
                  </w:r>
                </w:p>
              </w:tc>
            </w:tr>
          </w:tbl>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p>
          <w:p>
            <w:pPr>
              <w:widowControl w:val="0"/>
              <w:tabs>
                <w:tab w:val="left" w:pos="5400"/>
              </w:tabs>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5520055" cy="5102225"/>
                  <wp:effectExtent l="0" t="0" r="4445" b="3175"/>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43"/>
                          <a:stretch>
                            <a:fillRect/>
                          </a:stretch>
                        </pic:blipFill>
                        <pic:spPr>
                          <a:xfrm>
                            <a:off x="0" y="0"/>
                            <a:ext cx="5520055" cy="5102225"/>
                          </a:xfrm>
                          <a:prstGeom prst="rect">
                            <a:avLst/>
                          </a:prstGeom>
                          <a:noFill/>
                          <a:ln>
                            <a:noFill/>
                          </a:ln>
                        </pic:spPr>
                      </pic:pic>
                    </a:graphicData>
                  </a:graphic>
                </wp:inline>
              </w:drawing>
            </w:r>
          </w:p>
          <w:p>
            <w:pPr>
              <w:pStyle w:val="217"/>
              <w:adjustRightInd w:val="0"/>
              <w:snapToGrid w:val="0"/>
              <w:ind w:firstLine="482"/>
              <w:jc w:val="center"/>
              <w:rPr>
                <w:color w:val="000000" w:themeColor="text1"/>
                <w:szCs w:val="24"/>
                <w14:textFill>
                  <w14:solidFill>
                    <w14:schemeClr w14:val="tx1"/>
                  </w14:solidFill>
                </w14:textFill>
              </w:rPr>
            </w:pPr>
            <w:r>
              <w:rPr>
                <w:b/>
                <w:bCs/>
                <w:color w:val="000000" w:themeColor="text1"/>
                <w:szCs w:val="24"/>
                <w14:textFill>
                  <w14:solidFill>
                    <w14:schemeClr w14:val="tx1"/>
                  </w14:solidFill>
                </w14:textFill>
              </w:rPr>
              <w:t>图4.</w:t>
            </w:r>
            <w:r>
              <w:rPr>
                <w:rFonts w:hint="eastAsia"/>
                <w:b/>
                <w:bCs/>
                <w:color w:val="000000" w:themeColor="text1"/>
                <w:szCs w:val="24"/>
                <w14:textFill>
                  <w14:solidFill>
                    <w14:schemeClr w14:val="tx1"/>
                  </w14:solidFill>
                </w14:textFill>
              </w:rPr>
              <w:t>2-2</w:t>
            </w:r>
            <w:r>
              <w:rPr>
                <w:b/>
                <w:bCs/>
                <w:color w:val="000000" w:themeColor="text1"/>
                <w:szCs w:val="24"/>
                <w14:textFill>
                  <w14:solidFill>
                    <w14:schemeClr w14:val="tx1"/>
                  </w14:solidFill>
                </w14:textFill>
              </w:rPr>
              <w:t>噪声</w:t>
            </w:r>
            <w:r>
              <w:rPr>
                <w:b/>
                <w:bCs/>
                <w:color w:val="000000" w:themeColor="text1"/>
                <w14:textFill>
                  <w14:solidFill>
                    <w14:schemeClr w14:val="tx1"/>
                  </w14:solidFill>
                </w14:textFill>
              </w:rPr>
              <w:t>预测贡献值等值线分布图</w:t>
            </w:r>
          </w:p>
          <w:p>
            <w:pPr>
              <w:pStyle w:val="171"/>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由上表可知，本项目投产后正常运行过程中对厂界的噪声预测值可以满足《工业企业厂界环境噪声排放标准》（GB12348-2008）3类标准，其中西侧可达《工业企业厂界环境噪声排放标准》（GB12348-2008）中的 4 类标准，敏感点噪声可达《声环境质量标准》（GB3096-2008）中的 2 类标准。正常生产时不会造成噪声污染，声环境影响可以接受。</w:t>
            </w:r>
          </w:p>
          <w:p>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4.2.3.3 噪声治理措施可行性分析</w:t>
            </w:r>
          </w:p>
          <w:p>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根据对本项目运营期噪声环境影响分析可得：各厂界可达到《工业企业厂界环境噪声排放标准》（GB 12348-2008）中相应标准限值。因此项目运营后产生的噪声对周边声环境产生影响较小。但厂方应对高噪声设备采取减震等综合措施进行降噪，加大设备用房的隔声效果，确保厂界噪声达标排放，特别是东南侧车间不得设置高噪声设备，减少对最近敏感保护目标的影响。本次环评建议厂方采取以下措施来减小噪声对外界环境的影响：</w:t>
            </w:r>
          </w:p>
          <w:p>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（1）设备应合理布局，尽可能使高噪声设备远离居民敏感点，减少噪声对居民生活的影响。</w:t>
            </w:r>
          </w:p>
          <w:p>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加强设备的安装、调试、使用和维护管理。建立设备使用档案，做好日常维护保养，使其处于良好的工况下运行。正确的安装、调试、使用，良好的润滑和合理有效的检修，积极应用各种设备状态监测和故障诊断技术，对运行的设备进行及时、合理而有效的维护保养，能有效防止零部件的松动、磨损和设备运转状态的劣化，从而减小摩擦和撞击振动所产生的噪声。综上，本项目运营期声防治措施基本可行。</w:t>
            </w:r>
          </w:p>
          <w:p>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4.2.3.4监测要求</w:t>
            </w:r>
          </w:p>
          <w:p>
            <w:pPr>
              <w:pStyle w:val="175"/>
              <w:widowControl w:val="0"/>
              <w:topLinePunct/>
              <w:spacing w:after="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根据《排污许可证申请与核发技术规范 工业噪声》（HJ 1301-2023），项目声环境监测计划见表4.2-</w:t>
            </w:r>
            <w:r>
              <w:rPr>
                <w:rFonts w:hint="eastAsia" w:ascii="Times New Roman" w:hAnsi="Times New Roman" w:eastAsia="宋体" w:cs="Times New Roman"/>
                <w:color w:val="000000" w:themeColor="text1"/>
                <w:szCs w:val="24"/>
                <w14:textFill>
                  <w14:solidFill>
                    <w14:schemeClr w14:val="tx1"/>
                  </w14:solidFill>
                </w14:textFill>
              </w:rPr>
              <w:t>9</w:t>
            </w:r>
            <w:r>
              <w:rPr>
                <w:rFonts w:ascii="Times New Roman" w:hAnsi="Times New Roman" w:eastAsia="宋体" w:cs="Times New Roman"/>
                <w:color w:val="000000" w:themeColor="text1"/>
                <w:szCs w:val="24"/>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声环境监测计划内容一览表</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2589"/>
              <w:gridCol w:w="1881"/>
              <w:gridCol w:w="1774"/>
              <w:gridCol w:w="11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监测内容</w:t>
                  </w:r>
                </w:p>
              </w:tc>
              <w:tc>
                <w:tcPr>
                  <w:tcW w:w="1502"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监测位置</w:t>
                  </w:r>
                </w:p>
              </w:tc>
              <w:tc>
                <w:tcPr>
                  <w:tcW w:w="109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监测项目</w:t>
                  </w:r>
                </w:p>
              </w:tc>
              <w:tc>
                <w:tcPr>
                  <w:tcW w:w="1029"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监测频率</w:t>
                  </w:r>
                </w:p>
              </w:tc>
              <w:tc>
                <w:tcPr>
                  <w:tcW w:w="66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噪声</w:t>
                  </w:r>
                </w:p>
              </w:tc>
              <w:tc>
                <w:tcPr>
                  <w:tcW w:w="1502"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东、西、南、北厂界外1m</w:t>
                  </w:r>
                </w:p>
              </w:tc>
              <w:tc>
                <w:tcPr>
                  <w:tcW w:w="1091"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等效连续A声级</w:t>
                  </w:r>
                </w:p>
              </w:tc>
              <w:tc>
                <w:tcPr>
                  <w:tcW w:w="1029"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1次/季</w:t>
                  </w:r>
                </w:p>
              </w:tc>
              <w:tc>
                <w:tcPr>
                  <w:tcW w:w="666" w:type="pct"/>
                  <w:vAlign w:val="center"/>
                </w:tcPr>
                <w:p>
                  <w:pPr>
                    <w:pStyle w:val="180"/>
                    <w:widowControl w:val="0"/>
                    <w:topLinePunct/>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委托有资质单位</w:t>
                  </w:r>
                </w:p>
              </w:tc>
            </w:tr>
          </w:tbl>
          <w:p>
            <w:pPr>
              <w:pStyle w:val="4"/>
              <w:keepNext w:val="0"/>
              <w:keepLines w:val="0"/>
              <w:widowControl w:val="0"/>
              <w:topLinePunct/>
              <w:spacing w:before="0" w:line="360" w:lineRule="auto"/>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4.2.4 运营期固废影响分析和防范措施</w:t>
            </w:r>
          </w:p>
          <w:p>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4.2.4.1 固废种类</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固废主要为生产过程中产生的一般工业固废和危险废物，一般工业固废有残次品、废包装袋、修边的废边角料、废砂纸、橡胶及树脂收集粉尘；危险废物有废润滑油、废活性炭、废包装桶、含油抹布及其他抹布和污水站污泥。</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（1）一般工业固废</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①残次品：项目生产过程中会产生不合格品（废电缆附件等），根据业主提供的资料，不合格品的产生量为 1.12t/a，集中收集后外售；</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②废边角料：项目半导电屏蔽层、橡胶绝缘体（阻燃）和环氧树脂绝缘件加工过程中根据产品要求进行修边，该环节会产生橡胶和树脂边角碎料；</w:t>
            </w:r>
            <w:r>
              <w:rPr>
                <w:rFonts w:hint="eastAsia" w:ascii="Times New Roman" w:hAnsi="Times New Roman" w:eastAsia="宋体" w:cs="Times New Roman"/>
                <w:color w:val="000000" w:themeColor="text1"/>
                <w:szCs w:val="24"/>
                <w14:textFill>
                  <w14:solidFill>
                    <w14:schemeClr w14:val="tx1"/>
                  </w14:solidFill>
                </w14:textFill>
              </w:rPr>
              <w:t>PE线通过超声波绕管机缠绕环节会产生废PE边角料，边角料</w:t>
            </w:r>
            <w:r>
              <w:rPr>
                <w:rFonts w:ascii="Times New Roman" w:hAnsi="Times New Roman" w:eastAsia="宋体" w:cs="Times New Roman"/>
                <w:color w:val="000000" w:themeColor="text1"/>
                <w:szCs w:val="24"/>
                <w14:textFill>
                  <w14:solidFill>
                    <w14:schemeClr w14:val="tx1"/>
                  </w14:solidFill>
                </w14:textFill>
              </w:rPr>
              <w:t>年产生量合计约为0.05t/a，经集中收集后外售。</w:t>
            </w:r>
          </w:p>
          <w:p>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③废包装袋：项目生产过程中，会产生一定量的包装袋，根据建设单位提供信息，废包装产生量约为0.01t/a，集中收集后外售。</w:t>
            </w:r>
          </w:p>
          <w:p>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4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④</w:t>
            </w:r>
            <w:r>
              <w:rPr>
                <w:rFonts w:ascii="Times New Roman" w:hAnsi="Times New Roman" w:eastAsia="宋体" w:cs="Times New Roman"/>
                <w:color w:val="000000" w:themeColor="text1"/>
                <w:szCs w:val="24"/>
                <w14:textFill>
                  <w14:solidFill>
                    <w14:schemeClr w14:val="tx1"/>
                  </w14:solidFill>
                </w14:textFill>
              </w:rPr>
              <w:fldChar w:fldCharType="end"/>
            </w:r>
            <w:r>
              <w:rPr>
                <w:rFonts w:ascii="Times New Roman" w:hAnsi="Times New Roman" w:eastAsia="宋体" w:cs="Times New Roman"/>
                <w:color w:val="000000" w:themeColor="text1"/>
                <w:szCs w:val="24"/>
                <w14:textFill>
                  <w14:solidFill>
                    <w14:schemeClr w14:val="tx1"/>
                  </w14:solidFill>
                </w14:textFill>
              </w:rPr>
              <w:t>废砂纸：</w:t>
            </w:r>
            <w:r>
              <w:rPr>
                <w:rFonts w:ascii="Times New Roman" w:hAnsi="Times New Roman" w:eastAsia="宋体" w:cs="Times New Roman"/>
                <w:color w:val="000000" w:themeColor="text1"/>
                <w:szCs w:val="24"/>
                <w:lang w:bidi="ar"/>
                <w14:textFill>
                  <w14:solidFill>
                    <w14:schemeClr w14:val="tx1"/>
                  </w14:solidFill>
                </w14:textFill>
              </w:rPr>
              <w:t>项目需要用砂纸对部分工件表面进行打磨及砂光，根据业主提供资料，项目废砂纸产生量约为0.01t/a，集中收集后综合利用。</w:t>
            </w:r>
          </w:p>
          <w:p>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5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⑤</w:t>
            </w:r>
            <w:r>
              <w:rPr>
                <w:rFonts w:ascii="Times New Roman" w:hAnsi="Times New Roman" w:eastAsia="宋体" w:cs="Times New Roman"/>
                <w:color w:val="000000" w:themeColor="text1"/>
                <w:szCs w:val="24"/>
                <w14:textFill>
                  <w14:solidFill>
                    <w14:schemeClr w14:val="tx1"/>
                  </w14:solidFill>
                </w14:textFill>
              </w:rPr>
              <w:fldChar w:fldCharType="end"/>
            </w:r>
            <w:r>
              <w:rPr>
                <w:rFonts w:ascii="Times New Roman" w:hAnsi="Times New Roman" w:eastAsia="宋体" w:cs="Times New Roman"/>
                <w:color w:val="000000" w:themeColor="text1"/>
                <w:szCs w:val="24"/>
                <w14:textFill>
                  <w14:solidFill>
                    <w14:schemeClr w14:val="tx1"/>
                  </w14:solidFill>
                </w14:textFill>
              </w:rPr>
              <w:t>橡胶及树脂收集粉尘：本项目打磨台对电缆附件进行打磨有自带单机布袋除尘处理装置，根据工程分析，该部分粉尘年收集量为0.882t/a，集中收集后进行回收处理。</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（2）危险废物</w:t>
            </w:r>
          </w:p>
          <w:p>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①废润滑油：本项目在对设备进行维护时会产生一定量的废润滑油，根据建设单位提供的资料显示，废润滑油的产生量约为 0.001t/a，收集后在厂内危废暂存场暂存，委托有资质单位处置；</w:t>
            </w:r>
          </w:p>
          <w:p>
            <w:pPr>
              <w:pStyle w:val="19"/>
              <w:spacing w:before="0" w:after="0" w:line="360" w:lineRule="auto"/>
              <w:ind w:right="0"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②废活性炭：项目有机废气采用活性炭吸附装置处理，活性炭吸附过程会产生少量的废弃活性炭吸附饱和物，根据《国家危险废物名录》，废活性炭属于 HW49 中 900-041-49 类危险废物。根据中国建筑出版社(1997)出版的《简明通风设计手册》第十章中关于活性吸附处理治理废气的方法中提供的数据：每 1.0kg活性炭吸附有机废气的平衡量为 0.25~0.35kg，本项目按 1t活性炭吸附 0.3t 废气计算，根据工程分析，项目活性炭吸附装置</w:t>
            </w:r>
            <w:r>
              <w:rPr>
                <w:rFonts w:hint="eastAsia" w:ascii="Times New Roman" w:hAnsi="Times New Roman" w:eastAsia="宋体" w:cs="Times New Roman"/>
                <w:color w:val="000000" w:themeColor="text1"/>
                <w:sz w:val="24"/>
                <w:szCs w:val="24"/>
                <w14:textFill>
                  <w14:solidFill>
                    <w14:schemeClr w14:val="tx1"/>
                  </w14:solidFill>
                </w14:textFill>
              </w:rPr>
              <w:t>TA001</w:t>
            </w:r>
            <w:r>
              <w:rPr>
                <w:rFonts w:ascii="Times New Roman" w:hAnsi="Times New Roman" w:eastAsia="宋体" w:cs="Times New Roman"/>
                <w:color w:val="000000" w:themeColor="text1"/>
                <w:sz w:val="24"/>
                <w:szCs w:val="24"/>
                <w14:textFill>
                  <w14:solidFill>
                    <w14:schemeClr w14:val="tx1"/>
                  </w14:solidFill>
                </w14:textFill>
              </w:rPr>
              <w:t>废气去除量约</w:t>
            </w:r>
            <w:r>
              <w:rPr>
                <w:rFonts w:hint="eastAsia" w:ascii="Times New Roman" w:hAnsi="Times New Roman" w:eastAsia="宋体" w:cs="Times New Roman"/>
                <w:color w:val="000000" w:themeColor="text1"/>
                <w:sz w:val="24"/>
                <w:szCs w:val="24"/>
                <w14:textFill>
                  <w14:solidFill>
                    <w14:schemeClr w14:val="tx1"/>
                  </w14:solidFill>
                </w14:textFill>
              </w:rPr>
              <w:t>0.022</w:t>
            </w:r>
            <w:r>
              <w:rPr>
                <w:rFonts w:ascii="Times New Roman" w:hAnsi="Times New Roman" w:eastAsia="宋体" w:cs="Times New Roman"/>
                <w:color w:val="000000" w:themeColor="text1"/>
                <w:sz w:val="24"/>
                <w:szCs w:val="24"/>
                <w14:textFill>
                  <w14:solidFill>
                    <w14:schemeClr w14:val="tx1"/>
                  </w14:solidFill>
                </w14:textFill>
              </w:rPr>
              <w:t>t/a，</w:t>
            </w:r>
            <w:r>
              <w:rPr>
                <w:rFonts w:hint="eastAsia" w:ascii="Times New Roman" w:hAnsi="Times New Roman" w:eastAsia="宋体" w:cs="Times New Roman"/>
                <w:color w:val="000000" w:themeColor="text1"/>
                <w:sz w:val="24"/>
                <w:szCs w:val="24"/>
                <w14:textFill>
                  <w14:solidFill>
                    <w14:schemeClr w14:val="tx1"/>
                  </w14:solidFill>
                </w14:textFill>
              </w:rPr>
              <w:t>所需活性炭量为0.073t/a；</w:t>
            </w:r>
            <w:r>
              <w:rPr>
                <w:rFonts w:ascii="Times New Roman" w:hAnsi="Times New Roman" w:eastAsia="宋体" w:cs="Times New Roman"/>
                <w:color w:val="000000" w:themeColor="text1"/>
                <w:sz w:val="24"/>
                <w:szCs w:val="24"/>
                <w14:textFill>
                  <w14:solidFill>
                    <w14:schemeClr w14:val="tx1"/>
                  </w14:solidFill>
                </w14:textFill>
              </w:rPr>
              <w:t>项目活性炭吸附装置</w:t>
            </w:r>
            <w:r>
              <w:rPr>
                <w:rFonts w:hint="eastAsia" w:ascii="Times New Roman" w:hAnsi="Times New Roman" w:eastAsia="宋体" w:cs="Times New Roman"/>
                <w:color w:val="000000" w:themeColor="text1"/>
                <w:sz w:val="24"/>
                <w:szCs w:val="24"/>
                <w14:textFill>
                  <w14:solidFill>
                    <w14:schemeClr w14:val="tx1"/>
                  </w14:solidFill>
                </w14:textFill>
              </w:rPr>
              <w:t>TA002</w:t>
            </w:r>
            <w:r>
              <w:rPr>
                <w:rFonts w:ascii="Times New Roman" w:hAnsi="Times New Roman" w:eastAsia="宋体" w:cs="Times New Roman"/>
                <w:color w:val="000000" w:themeColor="text1"/>
                <w:sz w:val="24"/>
                <w:szCs w:val="24"/>
                <w14:textFill>
                  <w14:solidFill>
                    <w14:schemeClr w14:val="tx1"/>
                  </w14:solidFill>
                </w14:textFill>
              </w:rPr>
              <w:t>废气去除量约</w:t>
            </w:r>
            <w:r>
              <w:rPr>
                <w:rFonts w:hint="eastAsia" w:ascii="Times New Roman" w:hAnsi="Times New Roman" w:eastAsia="宋体" w:cs="Times New Roman"/>
                <w:color w:val="000000" w:themeColor="text1"/>
                <w:sz w:val="24"/>
                <w:szCs w:val="24"/>
                <w14:textFill>
                  <w14:solidFill>
                    <w14:schemeClr w14:val="tx1"/>
                  </w14:solidFill>
                </w14:textFill>
              </w:rPr>
              <w:t>0.408</w:t>
            </w:r>
            <w:r>
              <w:rPr>
                <w:rFonts w:ascii="Times New Roman" w:hAnsi="Times New Roman" w:eastAsia="宋体" w:cs="Times New Roman"/>
                <w:color w:val="000000" w:themeColor="text1"/>
                <w:sz w:val="24"/>
                <w:szCs w:val="24"/>
                <w14:textFill>
                  <w14:solidFill>
                    <w14:schemeClr w14:val="tx1"/>
                  </w14:solidFill>
                </w14:textFill>
              </w:rPr>
              <w:t>t/a</w:t>
            </w:r>
            <w:r>
              <w:rPr>
                <w:rFonts w:hint="eastAsia" w:ascii="Times New Roman" w:hAnsi="Times New Roman" w:eastAsia="宋体" w:cs="Times New Roman"/>
                <w:color w:val="000000" w:themeColor="text1"/>
                <w:sz w:val="24"/>
                <w:szCs w:val="24"/>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所需活性炭量为</w:t>
            </w:r>
            <w:r>
              <w:rPr>
                <w:rFonts w:hint="eastAsia" w:ascii="Times New Roman" w:hAnsi="Times New Roman" w:eastAsia="宋体" w:cs="Times New Roman"/>
                <w:color w:val="000000" w:themeColor="text1"/>
                <w:sz w:val="24"/>
                <w:szCs w:val="24"/>
                <w14:textFill>
                  <w14:solidFill>
                    <w14:schemeClr w14:val="tx1"/>
                  </w14:solidFill>
                </w14:textFill>
              </w:rPr>
              <w:t>1.36</w:t>
            </w:r>
            <w:r>
              <w:rPr>
                <w:rFonts w:ascii="Times New Roman" w:hAnsi="Times New Roman" w:eastAsia="宋体" w:cs="Times New Roman"/>
                <w:color w:val="000000" w:themeColor="text1"/>
                <w:sz w:val="24"/>
                <w:szCs w:val="24"/>
                <w14:textFill>
                  <w14:solidFill>
                    <w14:schemeClr w14:val="tx1"/>
                  </w14:solidFill>
                </w14:textFill>
              </w:rPr>
              <w:t>t</w:t>
            </w:r>
            <w:r>
              <w:rPr>
                <w:rFonts w:hint="eastAsia" w:ascii="Times New Roman" w:hAnsi="Times New Roman" w:eastAsia="宋体" w:cs="Times New Roman"/>
                <w:color w:val="000000" w:themeColor="text1"/>
                <w:sz w:val="24"/>
                <w:szCs w:val="24"/>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a</w:t>
            </w:r>
            <w:r>
              <w:rPr>
                <w:rFonts w:hint="eastAsia" w:ascii="Times New Roman" w:hAnsi="Times New Roman" w:eastAsia="宋体" w:cs="Times New Roman"/>
                <w:color w:val="000000" w:themeColor="text1"/>
                <w:sz w:val="24"/>
                <w:szCs w:val="24"/>
                <w14:textFill>
                  <w14:solidFill>
                    <w14:schemeClr w14:val="tx1"/>
                  </w14:solidFill>
                </w14:textFill>
              </w:rPr>
              <w:t>。</w:t>
            </w:r>
          </w:p>
          <w:p>
            <w:pPr>
              <w:pStyle w:val="19"/>
              <w:spacing w:before="0" w:after="0" w:line="360" w:lineRule="auto"/>
              <w:ind w:right="0"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 xml:space="preserve">活性炭在使用一段时间后会失效，需进行定期更换。活性炭填装量如下：活性炭吸附装置通过速度一般取 0.4-0.5m/s，本评价取 0.4m/s，配套风机风量为 </w:t>
            </w:r>
            <w:r>
              <w:rPr>
                <w:rFonts w:hint="eastAsia" w:ascii="Times New Roman" w:hAnsi="Times New Roman" w:eastAsia="宋体" w:cs="Times New Roman"/>
                <w:color w:val="000000" w:themeColor="text1"/>
                <w:sz w:val="24"/>
                <w:szCs w:val="24"/>
                <w14:textFill>
                  <w14:solidFill>
                    <w14:schemeClr w14:val="tx1"/>
                  </w14:solidFill>
                </w14:textFill>
              </w:rPr>
              <w:t>2</w:t>
            </w:r>
            <w:r>
              <w:rPr>
                <w:rFonts w:ascii="Times New Roman" w:hAnsi="Times New Roman" w:eastAsia="宋体" w:cs="Times New Roman"/>
                <w:color w:val="000000" w:themeColor="text1"/>
                <w:sz w:val="24"/>
                <w:szCs w:val="24"/>
                <w14:textFill>
                  <w14:solidFill>
                    <w14:schemeClr w14:val="tx1"/>
                  </w14:solidFill>
                </w14:textFill>
              </w:rPr>
              <w:t>0000m</w:t>
            </w:r>
            <w:r>
              <w:rPr>
                <w:rFonts w:ascii="Times New Roman" w:hAnsi="Times New Roman" w:eastAsia="宋体" w:cs="Times New Roman"/>
                <w:color w:val="000000" w:themeColor="text1"/>
                <w:sz w:val="24"/>
                <w:szCs w:val="24"/>
                <w:vertAlign w:val="superscript"/>
                <w14:textFill>
                  <w14:solidFill>
                    <w14:schemeClr w14:val="tx1"/>
                  </w14:solidFill>
                </w14:textFill>
              </w:rPr>
              <w:t>3</w:t>
            </w:r>
            <w:r>
              <w:rPr>
                <w:rFonts w:ascii="Times New Roman" w:hAnsi="Times New Roman" w:eastAsia="宋体" w:cs="Times New Roman"/>
                <w:color w:val="000000" w:themeColor="text1"/>
                <w:sz w:val="24"/>
                <w:szCs w:val="24"/>
                <w14:textFill>
                  <w14:solidFill>
                    <w14:schemeClr w14:val="tx1"/>
                  </w14:solidFill>
                </w14:textFill>
              </w:rPr>
              <w:t>/h≈</w:t>
            </w:r>
            <w:r>
              <w:rPr>
                <w:rFonts w:hint="eastAsia" w:ascii="Times New Roman" w:hAnsi="Times New Roman" w:eastAsia="宋体" w:cs="Times New Roman"/>
                <w:color w:val="000000" w:themeColor="text1"/>
                <w:sz w:val="24"/>
                <w:szCs w:val="24"/>
                <w14:textFill>
                  <w14:solidFill>
                    <w14:schemeClr w14:val="tx1"/>
                  </w14:solidFill>
                </w14:textFill>
              </w:rPr>
              <w:t>5.6</w:t>
            </w:r>
            <w:r>
              <w:rPr>
                <w:rFonts w:ascii="Times New Roman" w:hAnsi="Times New Roman" w:eastAsia="宋体" w:cs="Times New Roman"/>
                <w:color w:val="000000" w:themeColor="text1"/>
                <w:sz w:val="24"/>
                <w:szCs w:val="24"/>
                <w14:textFill>
                  <w14:solidFill>
                    <w14:schemeClr w14:val="tx1"/>
                  </w14:solidFill>
                </w14:textFill>
              </w:rPr>
              <w:t>m</w:t>
            </w:r>
            <w:r>
              <w:rPr>
                <w:rFonts w:ascii="Times New Roman" w:hAnsi="Times New Roman" w:eastAsia="宋体" w:cs="Times New Roman"/>
                <w:color w:val="000000" w:themeColor="text1"/>
                <w:sz w:val="24"/>
                <w:szCs w:val="24"/>
                <w:vertAlign w:val="superscript"/>
                <w14:textFill>
                  <w14:solidFill>
                    <w14:schemeClr w14:val="tx1"/>
                  </w14:solidFill>
                </w14:textFill>
              </w:rPr>
              <w:t>3</w:t>
            </w:r>
            <w:r>
              <w:rPr>
                <w:rFonts w:ascii="Times New Roman" w:hAnsi="Times New Roman" w:eastAsia="宋体" w:cs="Times New Roman"/>
                <w:color w:val="000000" w:themeColor="text1"/>
                <w:sz w:val="24"/>
                <w:szCs w:val="24"/>
                <w14:textFill>
                  <w14:solidFill>
                    <w14:schemeClr w14:val="tx1"/>
                  </w14:solidFill>
                </w14:textFill>
              </w:rPr>
              <w:t>/s，则吸附装置截断面积A=V/U=</w:t>
            </w:r>
            <w:r>
              <w:rPr>
                <w:rFonts w:hint="eastAsia" w:ascii="Times New Roman" w:hAnsi="Times New Roman" w:eastAsia="宋体" w:cs="Times New Roman"/>
                <w:color w:val="000000" w:themeColor="text1"/>
                <w:sz w:val="24"/>
                <w:szCs w:val="24"/>
                <w14:textFill>
                  <w14:solidFill>
                    <w14:schemeClr w14:val="tx1"/>
                  </w14:solidFill>
                </w14:textFill>
              </w:rPr>
              <w:t>5.6</w:t>
            </w:r>
            <w:r>
              <w:rPr>
                <w:rFonts w:ascii="Times New Roman" w:hAnsi="Times New Roman" w:eastAsia="宋体" w:cs="Times New Roman"/>
                <w:color w:val="000000" w:themeColor="text1"/>
                <w:sz w:val="24"/>
                <w:szCs w:val="24"/>
                <w14:textFill>
                  <w14:solidFill>
                    <w14:schemeClr w14:val="tx1"/>
                  </w14:solidFill>
                </w14:textFill>
              </w:rPr>
              <w:t>/0.4=</w:t>
            </w:r>
            <w:r>
              <w:rPr>
                <w:rFonts w:hint="eastAsia" w:ascii="Times New Roman" w:hAnsi="Times New Roman" w:eastAsia="宋体" w:cs="Times New Roman"/>
                <w:color w:val="000000" w:themeColor="text1"/>
                <w:sz w:val="24"/>
                <w:szCs w:val="24"/>
                <w14:textFill>
                  <w14:solidFill>
                    <w14:schemeClr w14:val="tx1"/>
                  </w14:solidFill>
                </w14:textFill>
              </w:rPr>
              <w:t>14</w:t>
            </w:r>
            <w:r>
              <w:rPr>
                <w:rFonts w:ascii="Times New Roman" w:hAnsi="Times New Roman" w:eastAsia="宋体" w:cs="Times New Roman"/>
                <w:color w:val="000000" w:themeColor="text1"/>
                <w:sz w:val="24"/>
                <w:szCs w:val="24"/>
                <w14:textFill>
                  <w14:solidFill>
                    <w14:schemeClr w14:val="tx1"/>
                  </w14:solidFill>
                </w14:textFill>
              </w:rPr>
              <w:t>m</w:t>
            </w:r>
            <w:r>
              <w:rPr>
                <w:rFonts w:ascii="Times New Roman" w:hAnsi="Times New Roman" w:eastAsia="宋体" w:cs="Times New Roman"/>
                <w:color w:val="000000" w:themeColor="text1"/>
                <w:sz w:val="24"/>
                <w:szCs w:val="24"/>
                <w:vertAlign w:val="superscript"/>
                <w14:textFill>
                  <w14:solidFill>
                    <w14:schemeClr w14:val="tx1"/>
                  </w14:solidFill>
                </w14:textFill>
              </w:rPr>
              <w:t>2</w:t>
            </w:r>
            <w:r>
              <w:rPr>
                <w:rFonts w:ascii="Times New Roman" w:hAnsi="Times New Roman" w:eastAsia="宋体" w:cs="Times New Roman"/>
                <w:color w:val="000000" w:themeColor="text1"/>
                <w:sz w:val="24"/>
                <w:szCs w:val="24"/>
                <w14:textFill>
                  <w14:solidFill>
                    <w14:schemeClr w14:val="tx1"/>
                  </w14:solidFill>
                </w14:textFill>
              </w:rPr>
              <w:t xml:space="preserve">。活性炭固定吸附床的停留时间在行业内的经验值为 0.5-2s，本评价取 </w:t>
            </w:r>
            <w:r>
              <w:rPr>
                <w:rFonts w:hint="eastAsia" w:ascii="Times New Roman" w:hAnsi="Times New Roman" w:eastAsia="宋体" w:cs="Times New Roman"/>
                <w:color w:val="000000" w:themeColor="text1"/>
                <w:sz w:val="24"/>
                <w:szCs w:val="24"/>
                <w14:textFill>
                  <w14:solidFill>
                    <w14:schemeClr w14:val="tx1"/>
                  </w14:solidFill>
                </w14:textFill>
              </w:rPr>
              <w:t>2</w:t>
            </w:r>
            <w:r>
              <w:rPr>
                <w:rFonts w:ascii="Times New Roman" w:hAnsi="Times New Roman" w:eastAsia="宋体" w:cs="Times New Roman"/>
                <w:color w:val="000000" w:themeColor="text1"/>
                <w:sz w:val="24"/>
                <w:szCs w:val="24"/>
                <w14:textFill>
                  <w14:solidFill>
                    <w14:schemeClr w14:val="tx1"/>
                  </w14:solidFill>
                </w14:textFill>
              </w:rPr>
              <w:t xml:space="preserve">s，计算得填料高度 </w:t>
            </w:r>
            <w:r>
              <w:rPr>
                <w:rFonts w:hint="eastAsia" w:ascii="Times New Roman" w:hAnsi="Times New Roman" w:eastAsia="宋体" w:cs="Times New Roman"/>
                <w:color w:val="000000" w:themeColor="text1"/>
                <w:sz w:val="24"/>
                <w:szCs w:val="24"/>
                <w14:textFill>
                  <w14:solidFill>
                    <w14:schemeClr w14:val="tx1"/>
                  </w14:solidFill>
                </w14:textFill>
              </w:rPr>
              <w:t>0.2</w:t>
            </w:r>
            <w:r>
              <w:rPr>
                <w:rFonts w:ascii="Times New Roman" w:hAnsi="Times New Roman" w:eastAsia="宋体" w:cs="Times New Roman"/>
                <w:color w:val="000000" w:themeColor="text1"/>
                <w:sz w:val="24"/>
                <w:szCs w:val="24"/>
                <w14:textFill>
                  <w14:solidFill>
                    <w14:schemeClr w14:val="tx1"/>
                  </w14:solidFill>
                </w14:textFill>
              </w:rPr>
              <w:t>m。填料密度r取 500kg/m</w:t>
            </w:r>
            <w:r>
              <w:rPr>
                <w:rFonts w:ascii="Times New Roman" w:hAnsi="Times New Roman" w:eastAsia="宋体" w:cs="Times New Roman"/>
                <w:color w:val="000000" w:themeColor="text1"/>
                <w:sz w:val="24"/>
                <w:szCs w:val="24"/>
                <w:vertAlign w:val="superscript"/>
                <w14:textFill>
                  <w14:solidFill>
                    <w14:schemeClr w14:val="tx1"/>
                  </w14:solidFill>
                </w14:textFill>
              </w:rPr>
              <w:t>3</w:t>
            </w:r>
            <w:r>
              <w:rPr>
                <w:rFonts w:ascii="Times New Roman" w:hAnsi="Times New Roman" w:eastAsia="宋体" w:cs="Times New Roman"/>
                <w:color w:val="000000" w:themeColor="text1"/>
                <w:sz w:val="24"/>
                <w:szCs w:val="24"/>
                <w14:textFill>
                  <w14:solidFill>
                    <w14:schemeClr w14:val="tx1"/>
                  </w14:solidFill>
                </w14:textFill>
              </w:rPr>
              <w:t>，则装碳量：W=A*h*r=</w:t>
            </w:r>
            <w:r>
              <w:rPr>
                <w:rFonts w:hint="eastAsia" w:ascii="Times New Roman" w:hAnsi="Times New Roman" w:eastAsia="宋体" w:cs="Times New Roman"/>
                <w:color w:val="000000" w:themeColor="text1"/>
                <w:sz w:val="24"/>
                <w:szCs w:val="24"/>
                <w14:textFill>
                  <w14:solidFill>
                    <w14:schemeClr w14:val="tx1"/>
                  </w14:solidFill>
                </w14:textFill>
              </w:rPr>
              <w:t>14</w:t>
            </w:r>
            <w:r>
              <w:rPr>
                <w:rFonts w:ascii="Times New Roman" w:hAnsi="Times New Roman" w:eastAsia="宋体" w:cs="Times New Roman"/>
                <w:color w:val="000000" w:themeColor="text1"/>
                <w:sz w:val="24"/>
                <w:szCs w:val="24"/>
                <w14:textFill>
                  <w14:solidFill>
                    <w14:schemeClr w14:val="tx1"/>
                  </w14:solidFill>
                </w14:textFill>
              </w:rPr>
              <w:t>x0.</w:t>
            </w:r>
            <w:r>
              <w:rPr>
                <w:rFonts w:hint="eastAsia" w:ascii="Times New Roman" w:hAnsi="Times New Roman" w:eastAsia="宋体" w:cs="Times New Roman"/>
                <w:color w:val="000000" w:themeColor="text1"/>
                <w:sz w:val="24"/>
                <w:szCs w:val="24"/>
                <w14:textFill>
                  <w14:solidFill>
                    <w14:schemeClr w14:val="tx1"/>
                  </w14:solidFill>
                </w14:textFill>
              </w:rPr>
              <w:t>2</w:t>
            </w:r>
            <w:r>
              <w:rPr>
                <w:rFonts w:ascii="Times New Roman" w:hAnsi="Times New Roman" w:eastAsia="宋体" w:cs="Times New Roman"/>
                <w:color w:val="000000" w:themeColor="text1"/>
                <w:sz w:val="24"/>
                <w:szCs w:val="24"/>
                <w14:textFill>
                  <w14:solidFill>
                    <w14:schemeClr w14:val="tx1"/>
                  </w14:solidFill>
                </w14:textFill>
              </w:rPr>
              <w:t>x500=</w:t>
            </w:r>
            <w:r>
              <w:rPr>
                <w:rFonts w:hint="eastAsia" w:ascii="Times New Roman" w:hAnsi="Times New Roman" w:eastAsia="宋体" w:cs="Times New Roman"/>
                <w:color w:val="000000" w:themeColor="text1"/>
                <w:sz w:val="24"/>
                <w:szCs w:val="24"/>
                <w14:textFill>
                  <w14:solidFill>
                    <w14:schemeClr w14:val="tx1"/>
                  </w14:solidFill>
                </w14:textFill>
              </w:rPr>
              <w:t>1400</w:t>
            </w:r>
            <w:r>
              <w:rPr>
                <w:rFonts w:ascii="Times New Roman" w:hAnsi="Times New Roman" w:eastAsia="宋体" w:cs="Times New Roman"/>
                <w:color w:val="000000" w:themeColor="text1"/>
                <w:sz w:val="24"/>
                <w:szCs w:val="24"/>
                <w14:textFill>
                  <w14:solidFill>
                    <w14:schemeClr w14:val="tx1"/>
                  </w14:solidFill>
                </w14:textFill>
              </w:rPr>
              <w:t>kg。</w:t>
            </w:r>
          </w:p>
          <w:p>
            <w:pPr>
              <w:pStyle w:val="19"/>
              <w:spacing w:before="0" w:after="0" w:line="360" w:lineRule="auto"/>
              <w:ind w:right="0"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项目共产生废活性炭3.23t/a，暂存危废间后委托有资质单位处理。</w:t>
            </w:r>
          </w:p>
          <w:p>
            <w:pPr>
              <w:pStyle w:val="19"/>
              <w:spacing w:before="0" w:after="0" w:line="360" w:lineRule="auto"/>
              <w:ind w:right="0" w:firstLine="482" w:firstLineChars="200"/>
              <w:jc w:val="center"/>
              <w:rPr>
                <w:rFonts w:ascii="Times New Roman" w:hAnsi="Times New Roman" w:eastAsia="宋体" w:cs="Times New Roman"/>
                <w:b/>
                <w:color w:val="000000" w:themeColor="text1"/>
                <w:sz w:val="24"/>
                <w:szCs w:val="24"/>
                <w14:textFill>
                  <w14:solidFill>
                    <w14:schemeClr w14:val="tx1"/>
                  </w14:solidFill>
                </w14:textFill>
              </w:rPr>
            </w:pPr>
            <w:r>
              <w:rPr>
                <w:rFonts w:ascii="Times New Roman" w:hAnsi="Times New Roman" w:eastAsia="宋体" w:cs="Times New Roman"/>
                <w:b/>
                <w:color w:val="000000" w:themeColor="text1"/>
                <w:sz w:val="24"/>
                <w:szCs w:val="24"/>
                <w14:textFill>
                  <w14:solidFill>
                    <w14:schemeClr w14:val="tx1"/>
                  </w14:solidFill>
                </w14:textFill>
              </w:rPr>
              <w:t>表</w:t>
            </w:r>
            <w:r>
              <w:rPr>
                <w:rFonts w:hint="eastAsia" w:ascii="Times New Roman" w:hAnsi="Times New Roman" w:eastAsia="宋体" w:cs="Times New Roman"/>
                <w:b/>
                <w:color w:val="000000" w:themeColor="text1"/>
                <w:sz w:val="24"/>
                <w:szCs w:val="24"/>
                <w14:textFill>
                  <w14:solidFill>
                    <w14:schemeClr w14:val="tx1"/>
                  </w14:solidFill>
                </w14:textFill>
              </w:rPr>
              <w:t>4.2-10活性炭更换频次核算表</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221"/>
              <w:gridCol w:w="1047"/>
              <w:gridCol w:w="1414"/>
              <w:gridCol w:w="1229"/>
              <w:gridCol w:w="1228"/>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2"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污染治理设施编号</w:t>
                  </w:r>
                </w:p>
              </w:tc>
              <w:tc>
                <w:tcPr>
                  <w:tcW w:w="709"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治理工艺</w:t>
                  </w:r>
                </w:p>
              </w:tc>
              <w:tc>
                <w:tcPr>
                  <w:tcW w:w="608"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活性炭填充量</w:t>
                  </w:r>
                </w:p>
              </w:tc>
              <w:tc>
                <w:tcPr>
                  <w:tcW w:w="821"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废气总吸附量</w:t>
                  </w:r>
                </w:p>
              </w:tc>
              <w:tc>
                <w:tcPr>
                  <w:tcW w:w="714"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理论总更换量</w:t>
                  </w:r>
                </w:p>
              </w:tc>
              <w:tc>
                <w:tcPr>
                  <w:tcW w:w="713"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理论更换次数</w:t>
                  </w:r>
                </w:p>
              </w:tc>
              <w:tc>
                <w:tcPr>
                  <w:tcW w:w="713"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更换频次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TA001</w:t>
                  </w:r>
                </w:p>
              </w:tc>
              <w:tc>
                <w:tcPr>
                  <w:tcW w:w="709" w:type="pct"/>
                  <w:vMerge w:val="restar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二级活性炭吸附</w:t>
                  </w:r>
                </w:p>
              </w:tc>
              <w:tc>
                <w:tcPr>
                  <w:tcW w:w="608"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1.4</w:t>
                  </w:r>
                </w:p>
              </w:tc>
              <w:tc>
                <w:tcPr>
                  <w:tcW w:w="821"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0.022</w:t>
                  </w:r>
                </w:p>
              </w:tc>
              <w:tc>
                <w:tcPr>
                  <w:tcW w:w="714"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1.422</w:t>
                  </w:r>
                </w:p>
              </w:tc>
              <w:tc>
                <w:tcPr>
                  <w:tcW w:w="713"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713"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300天/次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TA002</w:t>
                  </w:r>
                </w:p>
              </w:tc>
              <w:tc>
                <w:tcPr>
                  <w:tcW w:w="709" w:type="pct"/>
                  <w:vMerge w:val="continue"/>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p>
              </w:tc>
              <w:tc>
                <w:tcPr>
                  <w:tcW w:w="608"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1.4</w:t>
                  </w:r>
                </w:p>
              </w:tc>
              <w:tc>
                <w:tcPr>
                  <w:tcW w:w="821"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0.408</w:t>
                  </w:r>
                </w:p>
              </w:tc>
              <w:tc>
                <w:tcPr>
                  <w:tcW w:w="714"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1.808</w:t>
                  </w:r>
                </w:p>
              </w:tc>
              <w:tc>
                <w:tcPr>
                  <w:tcW w:w="713"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713" w:type="pct"/>
                </w:tcPr>
                <w:p>
                  <w:pPr>
                    <w:pStyle w:val="19"/>
                    <w:spacing w:before="0" w:after="0" w:line="360" w:lineRule="auto"/>
                    <w:ind w:right="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300天/次</w:t>
                  </w:r>
                </w:p>
              </w:tc>
            </w:tr>
          </w:tbl>
          <w:p>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③污水处理站污泥：项目进入污水处理设施的废水为生产废水，废水处理过程中产生的污泥主要为沉淀物，污泥的产生量为2.5t/a；</w:t>
            </w:r>
          </w:p>
          <w:p>
            <w:pPr>
              <w:pStyle w:val="5"/>
              <w:spacing w:before="0" w:line="360" w:lineRule="auto"/>
              <w:ind w:firstLine="480" w:firstLineChars="200"/>
              <w:rPr>
                <w:rFonts w:ascii="Times New Roman" w:hAnsi="Times New Roman" w:eastAsia="宋体" w:cs="Times New Roman"/>
                <w:i w:val="0"/>
                <w:iCs w:val="0"/>
                <w:color w:val="000000" w:themeColor="text1"/>
                <w:szCs w:val="24"/>
                <w14:textFill>
                  <w14:solidFill>
                    <w14:schemeClr w14:val="tx1"/>
                  </w14:solidFill>
                </w14:textFill>
              </w:rPr>
            </w:pPr>
            <w:r>
              <w:rPr>
                <w:rFonts w:ascii="Times New Roman" w:hAnsi="Times New Roman" w:eastAsia="宋体" w:cs="Times New Roman"/>
                <w:i w:val="0"/>
                <w:iCs w:val="0"/>
                <w:color w:val="000000" w:themeColor="text1"/>
                <w:szCs w:val="24"/>
                <w14:textFill>
                  <w14:solidFill>
                    <w14:schemeClr w14:val="tx1"/>
                  </w14:solidFill>
                </w14:textFill>
              </w:rPr>
              <w:fldChar w:fldCharType="begin"/>
            </w:r>
            <w:r>
              <w:rPr>
                <w:rFonts w:ascii="Times New Roman" w:hAnsi="Times New Roman" w:eastAsia="宋体" w:cs="Times New Roman"/>
                <w:i w:val="0"/>
                <w:iCs w:val="0"/>
                <w:color w:val="000000" w:themeColor="text1"/>
                <w:szCs w:val="24"/>
                <w14:textFill>
                  <w14:solidFill>
                    <w14:schemeClr w14:val="tx1"/>
                  </w14:solidFill>
                </w14:textFill>
              </w:rPr>
              <w:instrText xml:space="preserve"> = 4 \* GB3 \* MERGEFORMAT </w:instrText>
            </w:r>
            <w:r>
              <w:rPr>
                <w:rFonts w:ascii="Times New Roman" w:hAnsi="Times New Roman" w:eastAsia="宋体" w:cs="Times New Roman"/>
                <w:i w:val="0"/>
                <w:iCs w:val="0"/>
                <w:color w:val="000000" w:themeColor="text1"/>
                <w:szCs w:val="24"/>
                <w14:textFill>
                  <w14:solidFill>
                    <w14:schemeClr w14:val="tx1"/>
                  </w14:solidFill>
                </w14:textFill>
              </w:rPr>
              <w:fldChar w:fldCharType="separate"/>
            </w:r>
            <w:r>
              <w:rPr>
                <w:rFonts w:ascii="Times New Roman" w:hAnsi="Times New Roman" w:eastAsia="宋体" w:cs="Times New Roman"/>
                <w:i w:val="0"/>
                <w:iCs w:val="0"/>
                <w:color w:val="000000" w:themeColor="text1"/>
                <w:szCs w:val="24"/>
                <w14:textFill>
                  <w14:solidFill>
                    <w14:schemeClr w14:val="tx1"/>
                  </w14:solidFill>
                </w14:textFill>
              </w:rPr>
              <w:t>④</w:t>
            </w:r>
            <w:r>
              <w:rPr>
                <w:rFonts w:ascii="Times New Roman" w:hAnsi="Times New Roman" w:eastAsia="宋体" w:cs="Times New Roman"/>
                <w:i w:val="0"/>
                <w:iCs w:val="0"/>
                <w:color w:val="000000" w:themeColor="text1"/>
                <w:szCs w:val="24"/>
                <w14:textFill>
                  <w14:solidFill>
                    <w14:schemeClr w14:val="tx1"/>
                  </w14:solidFill>
                </w14:textFill>
              </w:rPr>
              <w:fldChar w:fldCharType="end"/>
            </w:r>
            <w:r>
              <w:rPr>
                <w:rFonts w:ascii="Times New Roman" w:hAnsi="Times New Roman" w:eastAsia="宋体" w:cs="Times New Roman"/>
                <w:i w:val="0"/>
                <w:iCs w:val="0"/>
                <w:color w:val="000000" w:themeColor="text1"/>
                <w:szCs w:val="24"/>
                <w14:textFill>
                  <w14:solidFill>
                    <w14:schemeClr w14:val="tx1"/>
                  </w14:solidFill>
                </w14:textFill>
              </w:rPr>
              <w:t>废包装桶：环氧树脂浇注材料及固化剂废桶年产量约 500个、1kg/个；电缆附件润滑脂废包装盒，年产量约 0.001；润滑油废桶年产量约0.045t/a。</w:t>
            </w:r>
          </w:p>
          <w:p>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5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ascii="Times New Roman" w:hAnsi="Times New Roman" w:eastAsia="宋体" w:cs="Times New Roman"/>
                <w:color w:val="000000" w:themeColor="text1"/>
                <w:szCs w:val="24"/>
                <w14:textFill>
                  <w14:solidFill>
                    <w14:schemeClr w14:val="tx1"/>
                  </w14:solidFill>
                </w14:textFill>
              </w:rPr>
              <w:t>⑤</w:t>
            </w:r>
            <w:r>
              <w:rPr>
                <w:rFonts w:ascii="Times New Roman" w:hAnsi="Times New Roman" w:eastAsia="宋体" w:cs="Times New Roman"/>
                <w:color w:val="000000" w:themeColor="text1"/>
                <w:szCs w:val="24"/>
                <w14:textFill>
                  <w14:solidFill>
                    <w14:schemeClr w14:val="tx1"/>
                  </w14:solidFill>
                </w14:textFill>
              </w:rPr>
              <w:fldChar w:fldCharType="end"/>
            </w:r>
            <w:r>
              <w:rPr>
                <w:rFonts w:ascii="Times New Roman" w:hAnsi="Times New Roman" w:eastAsia="宋体" w:cs="Times New Roman"/>
                <w:color w:val="000000" w:themeColor="text1"/>
                <w:szCs w:val="24"/>
                <w14:textFill>
                  <w14:solidFill>
                    <w14:schemeClr w14:val="tx1"/>
                  </w14:solidFill>
                </w14:textFill>
              </w:rPr>
              <w:t>含油抹布及其他抹布：本项目本项目生产设备运行需要使用润滑油等，电缆附件电器性能测试时需要使用润滑脂，该过程会产生含油抹布及手套，产生量约为 0.1t/a，集中收集后交由有资质单位处理。</w:t>
            </w:r>
          </w:p>
          <w:p>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本项目固废源强见表4.2-</w:t>
            </w:r>
            <w:r>
              <w:rPr>
                <w:rFonts w:hint="eastAsia" w:ascii="Times New Roman" w:hAnsi="Times New Roman" w:eastAsia="宋体" w:cs="Times New Roman"/>
                <w:color w:val="000000" w:themeColor="text1"/>
                <w:szCs w:val="24"/>
                <w14:textFill>
                  <w14:solidFill>
                    <w14:schemeClr w14:val="tx1"/>
                  </w14:solidFill>
                </w14:textFill>
              </w:rPr>
              <w:t>11</w:t>
            </w:r>
            <w:r>
              <w:rPr>
                <w:rFonts w:ascii="Times New Roman" w:hAnsi="Times New Roman" w:eastAsia="宋体" w:cs="Times New Roman"/>
                <w:color w:val="000000" w:themeColor="text1"/>
                <w:szCs w:val="24"/>
                <w14:textFill>
                  <w14:solidFill>
                    <w14:schemeClr w14:val="tx1"/>
                  </w14:solidFill>
                </w14:textFill>
              </w:rPr>
              <w:t>。</w:t>
            </w:r>
          </w:p>
          <w:p>
            <w:pPr>
              <w:pStyle w:val="222"/>
              <w:spacing w:before="12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表4.2-</w:t>
            </w:r>
            <w:r>
              <w:rPr>
                <w:rFonts w:hint="eastAsia"/>
                <w:snapToGrid w:val="0"/>
                <w:color w:val="000000" w:themeColor="text1"/>
                <w14:textFill>
                  <w14:solidFill>
                    <w14:schemeClr w14:val="tx1"/>
                  </w14:solidFill>
                </w14:textFill>
              </w:rPr>
              <w:t>11</w:t>
            </w:r>
            <w:r>
              <w:rPr>
                <w:snapToGrid w:val="0"/>
                <w:color w:val="000000" w:themeColor="text1"/>
                <w14:textFill>
                  <w14:solidFill>
                    <w14:schemeClr w14:val="tx1"/>
                  </w14:solidFill>
                </w14:textFill>
              </w:rPr>
              <w:t xml:space="preserve">  固体污染源源强核算结果及相关参数一览表</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332"/>
              <w:gridCol w:w="875"/>
              <w:gridCol w:w="1406"/>
              <w:gridCol w:w="1073"/>
              <w:gridCol w:w="737"/>
              <w:gridCol w:w="794"/>
              <w:gridCol w:w="866"/>
              <w:gridCol w:w="8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377"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固废类别</w:t>
                  </w: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固体废物</w:t>
                  </w:r>
                </w:p>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名称</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产生</w:t>
                  </w:r>
                </w:p>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工序</w:t>
                  </w:r>
                </w:p>
              </w:tc>
              <w:tc>
                <w:tcPr>
                  <w:tcW w:w="815"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废物类别、废物代码</w:t>
                  </w:r>
                </w:p>
              </w:tc>
              <w:tc>
                <w:tcPr>
                  <w:tcW w:w="622"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主要成分</w:t>
                  </w:r>
                </w:p>
              </w:tc>
              <w:tc>
                <w:tcPr>
                  <w:tcW w:w="427"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环境危险特征</w:t>
                  </w:r>
                </w:p>
              </w:tc>
              <w:tc>
                <w:tcPr>
                  <w:tcW w:w="460"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产生量t/a</w:t>
                  </w:r>
                </w:p>
              </w:tc>
              <w:tc>
                <w:tcPr>
                  <w:tcW w:w="502"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利用处置措施</w:t>
                  </w:r>
                </w:p>
              </w:tc>
              <w:tc>
                <w:tcPr>
                  <w:tcW w:w="511"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restar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一般固废</w:t>
                  </w:r>
                </w:p>
              </w:tc>
              <w:tc>
                <w:tcPr>
                  <w:tcW w:w="772"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残次品</w:t>
                  </w:r>
                </w:p>
              </w:tc>
              <w:tc>
                <w:tcPr>
                  <w:tcW w:w="507"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生产</w:t>
                  </w:r>
                </w:p>
              </w:tc>
              <w:tc>
                <w:tcPr>
                  <w:tcW w:w="815"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06，383-004-06</w:t>
                  </w:r>
                </w:p>
              </w:tc>
              <w:tc>
                <w:tcPr>
                  <w:tcW w:w="6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橡胶、树脂零件</w:t>
                  </w:r>
                </w:p>
              </w:tc>
              <w:tc>
                <w:tcPr>
                  <w:tcW w:w="427"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1.12</w:t>
                  </w:r>
                </w:p>
              </w:tc>
              <w:tc>
                <w:tcPr>
                  <w:tcW w:w="502" w:type="pct"/>
                  <w:vMerge w:val="restar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一般固废间</w:t>
                  </w:r>
                </w:p>
              </w:tc>
              <w:tc>
                <w:tcPr>
                  <w:tcW w:w="511"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集中收集后外售综合利用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废包装材料</w:t>
                  </w:r>
                </w:p>
              </w:tc>
              <w:tc>
                <w:tcPr>
                  <w:tcW w:w="507"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原料包装</w:t>
                  </w:r>
                </w:p>
              </w:tc>
              <w:tc>
                <w:tcPr>
                  <w:tcW w:w="815"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09，</w:t>
                  </w:r>
                </w:p>
                <w:p>
                  <w:pPr>
                    <w:pStyle w:val="221"/>
                    <w:rPr>
                      <w:color w:val="000000" w:themeColor="text1"/>
                      <w14:textFill>
                        <w14:solidFill>
                          <w14:schemeClr w14:val="tx1"/>
                        </w14:solidFill>
                      </w14:textFill>
                    </w:rPr>
                  </w:pPr>
                  <w:r>
                    <w:rPr>
                      <w:color w:val="000000" w:themeColor="text1"/>
                      <w14:textFill>
                        <w14:solidFill>
                          <w14:schemeClr w14:val="tx1"/>
                        </w14:solidFill>
                      </w14:textFill>
                    </w:rPr>
                    <w:t>383-004-09</w:t>
                  </w:r>
                </w:p>
              </w:tc>
              <w:tc>
                <w:tcPr>
                  <w:tcW w:w="622"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包装物</w:t>
                  </w:r>
                </w:p>
              </w:tc>
              <w:tc>
                <w:tcPr>
                  <w:tcW w:w="427"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废边角料</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修边、缠绕</w:t>
                  </w:r>
                </w:p>
              </w:tc>
              <w:tc>
                <w:tcPr>
                  <w:tcW w:w="815"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06，383-004-06</w:t>
                  </w:r>
                </w:p>
              </w:tc>
              <w:tc>
                <w:tcPr>
                  <w:tcW w:w="62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橡胶、树脂碎屑、</w:t>
                  </w:r>
                  <w:r>
                    <w:rPr>
                      <w:rFonts w:hint="eastAsia"/>
                      <w:color w:val="000000" w:themeColor="text1"/>
                      <w:lang w:bidi="ar"/>
                      <w14:textFill>
                        <w14:solidFill>
                          <w14:schemeClr w14:val="tx1"/>
                        </w14:solidFill>
                      </w14:textFill>
                    </w:rPr>
                    <w:t>PE</w:t>
                  </w:r>
                </w:p>
              </w:tc>
              <w:tc>
                <w:tcPr>
                  <w:tcW w:w="42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lang w:bidi="ar"/>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废砂纸</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打磨</w:t>
                  </w:r>
                </w:p>
              </w:tc>
              <w:tc>
                <w:tcPr>
                  <w:tcW w:w="815"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99，900-999-99</w:t>
                  </w:r>
                </w:p>
              </w:tc>
              <w:tc>
                <w:tcPr>
                  <w:tcW w:w="62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砂纸</w:t>
                  </w:r>
                </w:p>
              </w:tc>
              <w:tc>
                <w:tcPr>
                  <w:tcW w:w="42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lang w:bidi="ar"/>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打磨橡胶及树脂收集粉尘</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打磨</w:t>
                  </w:r>
                </w:p>
              </w:tc>
              <w:tc>
                <w:tcPr>
                  <w:tcW w:w="815"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66，382-001-66</w:t>
                  </w:r>
                </w:p>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382-003-66</w:t>
                  </w:r>
                </w:p>
              </w:tc>
              <w:tc>
                <w:tcPr>
                  <w:tcW w:w="622" w:type="pct"/>
                  <w:vAlign w:val="center"/>
                </w:tcPr>
                <w:p>
                  <w:pPr>
                    <w:pStyle w:val="221"/>
                    <w:rPr>
                      <w:color w:val="000000" w:themeColor="text1"/>
                      <w:lang w:bidi="ar"/>
                      <w14:textFill>
                        <w14:solidFill>
                          <w14:schemeClr w14:val="tx1"/>
                        </w14:solidFill>
                      </w14:textFill>
                    </w:rPr>
                  </w:pPr>
                  <w:r>
                    <w:rPr>
                      <w:color w:val="000000" w:themeColor="text1"/>
                      <w14:textFill>
                        <w14:solidFill>
                          <w14:schemeClr w14:val="tx1"/>
                        </w14:solidFill>
                      </w14:textFill>
                    </w:rPr>
                    <w:t>橡胶、树脂碎屑</w:t>
                  </w:r>
                </w:p>
              </w:tc>
              <w:tc>
                <w:tcPr>
                  <w:tcW w:w="42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0.882</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lang w:bidi="ar"/>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废润滑油</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设备维修</w:t>
                  </w:r>
                </w:p>
              </w:tc>
              <w:tc>
                <w:tcPr>
                  <w:tcW w:w="815"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HW08，900-214-08</w:t>
                  </w:r>
                </w:p>
              </w:tc>
              <w:tc>
                <w:tcPr>
                  <w:tcW w:w="62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油</w:t>
                  </w:r>
                </w:p>
              </w:tc>
              <w:tc>
                <w:tcPr>
                  <w:tcW w:w="427" w:type="pct"/>
                  <w:vAlign w:val="center"/>
                </w:tcPr>
                <w:p>
                  <w:pPr>
                    <w:pStyle w:val="221"/>
                    <w:rPr>
                      <w:color w:val="000000" w:themeColor="text1"/>
                      <w:lang w:bidi="ar"/>
                      <w14:textFill>
                        <w14:solidFill>
                          <w14:schemeClr w14:val="tx1"/>
                        </w14:solidFill>
                      </w14:textFill>
                    </w:rPr>
                  </w:pPr>
                  <w:r>
                    <w:rPr>
                      <w:color w:val="000000" w:themeColor="text1"/>
                      <w:sz w:val="20"/>
                      <w:szCs w:val="20"/>
                      <w:lang w:bidi="ar"/>
                      <w14:textFill>
                        <w14:solidFill>
                          <w14:schemeClr w14:val="tx1"/>
                        </w14:solidFill>
                      </w14:textFill>
                    </w:rPr>
                    <w:t>T/I</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502" w:type="pct"/>
                  <w:vMerge w:val="restar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危废暂存间</w:t>
                  </w:r>
                </w:p>
                <w:p>
                  <w:pPr>
                    <w:pStyle w:val="221"/>
                    <w:rPr>
                      <w:color w:val="000000" w:themeColor="text1"/>
                      <w14:textFill>
                        <w14:solidFill>
                          <w14:schemeClr w14:val="tx1"/>
                        </w14:solidFill>
                      </w14:textFill>
                    </w:rPr>
                  </w:pPr>
                </w:p>
              </w:tc>
              <w:tc>
                <w:tcPr>
                  <w:tcW w:w="511" w:type="pct"/>
                  <w:vMerge w:val="restart"/>
                  <w:vAlign w:val="center"/>
                </w:tcPr>
                <w:p>
                  <w:pPr>
                    <w:pStyle w:val="221"/>
                    <w:rPr>
                      <w:color w:val="000000" w:themeColor="text1"/>
                      <w:lang w:bidi="ar"/>
                      <w14:textFill>
                        <w14:solidFill>
                          <w14:schemeClr w14:val="tx1"/>
                        </w14:solidFill>
                      </w14:textFill>
                    </w:rPr>
                  </w:pPr>
                  <w:r>
                    <w:rPr>
                      <w:color w:val="000000" w:themeColor="text1"/>
                      <w14:textFill>
                        <w14:solidFill>
                          <w14:schemeClr w14:val="tx1"/>
                        </w14:solidFill>
                      </w14:textFill>
                    </w:rPr>
                    <w:t>委托有处置资质单位进行处理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废活性炭</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废气处理</w:t>
                  </w:r>
                </w:p>
              </w:tc>
              <w:tc>
                <w:tcPr>
                  <w:tcW w:w="815"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HW49，</w:t>
                  </w:r>
                  <w:r>
                    <w:rPr>
                      <w:color w:val="000000" w:themeColor="text1"/>
                      <w:lang w:bidi="ar"/>
                      <w14:textFill>
                        <w14:solidFill>
                          <w14:schemeClr w14:val="tx1"/>
                        </w14:solidFill>
                      </w14:textFill>
                    </w:rPr>
                    <w:t>900-039-49</w:t>
                  </w:r>
                </w:p>
              </w:tc>
              <w:tc>
                <w:tcPr>
                  <w:tcW w:w="62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活性炭+有机物</w:t>
                  </w:r>
                </w:p>
              </w:tc>
              <w:tc>
                <w:tcPr>
                  <w:tcW w:w="427" w:type="pct"/>
                  <w:vAlign w:val="center"/>
                </w:tcPr>
                <w:p>
                  <w:pPr>
                    <w:pStyle w:val="221"/>
                    <w:rPr>
                      <w:color w:val="000000" w:themeColor="text1"/>
                      <w:lang w:bidi="ar"/>
                      <w14:textFill>
                        <w14:solidFill>
                          <w14:schemeClr w14:val="tx1"/>
                        </w14:solidFill>
                      </w14:textFill>
                    </w:rPr>
                  </w:pPr>
                  <w:r>
                    <w:rPr>
                      <w:color w:val="000000" w:themeColor="text1"/>
                      <w:sz w:val="20"/>
                      <w:szCs w:val="20"/>
                      <w:lang w:bidi="ar"/>
                      <w14:textFill>
                        <w14:solidFill>
                          <w14:schemeClr w14:val="tx1"/>
                        </w14:solidFill>
                      </w14:textFill>
                    </w:rPr>
                    <w:t>T/I</w:t>
                  </w:r>
                </w:p>
              </w:tc>
              <w:tc>
                <w:tcPr>
                  <w:tcW w:w="460" w:type="pc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3.23</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lang w:bidi="ar"/>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废包装桶</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原料桶</w:t>
                  </w:r>
                </w:p>
              </w:tc>
              <w:tc>
                <w:tcPr>
                  <w:tcW w:w="815"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HW49，900-041-49</w:t>
                  </w:r>
                </w:p>
              </w:tc>
              <w:tc>
                <w:tcPr>
                  <w:tcW w:w="62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包装材料</w:t>
                  </w:r>
                </w:p>
              </w:tc>
              <w:tc>
                <w:tcPr>
                  <w:tcW w:w="427" w:type="pct"/>
                  <w:vAlign w:val="center"/>
                </w:tcPr>
                <w:p>
                  <w:pPr>
                    <w:pStyle w:val="221"/>
                    <w:rPr>
                      <w:color w:val="000000" w:themeColor="text1"/>
                      <w:lang w:bidi="ar"/>
                      <w14:textFill>
                        <w14:solidFill>
                          <w14:schemeClr w14:val="tx1"/>
                        </w14:solidFill>
                      </w14:textFill>
                    </w:rPr>
                  </w:pPr>
                  <w:r>
                    <w:rPr>
                      <w:color w:val="000000" w:themeColor="text1"/>
                      <w:sz w:val="20"/>
                      <w:szCs w:val="20"/>
                      <w:lang w:bidi="ar"/>
                      <w14:textFill>
                        <w14:solidFill>
                          <w14:schemeClr w14:val="tx1"/>
                        </w14:solidFill>
                      </w14:textFill>
                    </w:rPr>
                    <w:t>T/I</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0.045</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lang w:bidi="ar"/>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污水处理站污泥</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废水处理</w:t>
                  </w:r>
                </w:p>
              </w:tc>
              <w:tc>
                <w:tcPr>
                  <w:tcW w:w="815" w:type="pct"/>
                  <w:vAlign w:val="center"/>
                </w:tcPr>
                <w:p>
                  <w:pPr>
                    <w:pStyle w:val="221"/>
                    <w:rPr>
                      <w:color w:val="000000" w:themeColor="text1"/>
                      <w14:textFill>
                        <w14:solidFill>
                          <w14:schemeClr w14:val="tx1"/>
                        </w14:solidFill>
                      </w14:textFill>
                    </w:rPr>
                  </w:pPr>
                  <w:r>
                    <w:rPr>
                      <w:color w:val="000000" w:themeColor="text1"/>
                      <w:lang w:bidi="ar"/>
                      <w14:textFill>
                        <w14:solidFill>
                          <w14:schemeClr w14:val="tx1"/>
                        </w14:solidFill>
                      </w14:textFill>
                    </w:rPr>
                    <w:t>HW49，383-006-49</w:t>
                  </w:r>
                </w:p>
              </w:tc>
              <w:tc>
                <w:tcPr>
                  <w:tcW w:w="62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水分、污泥等</w:t>
                  </w:r>
                </w:p>
              </w:tc>
              <w:tc>
                <w:tcPr>
                  <w:tcW w:w="427" w:type="pct"/>
                  <w:vAlign w:val="center"/>
                </w:tcPr>
                <w:p>
                  <w:pPr>
                    <w:pStyle w:val="221"/>
                    <w:rPr>
                      <w:color w:val="000000" w:themeColor="text1"/>
                      <w:lang w:bidi="ar"/>
                      <w14:textFill>
                        <w14:solidFill>
                          <w14:schemeClr w14:val="tx1"/>
                        </w14:solidFill>
                      </w14:textFill>
                    </w:rPr>
                  </w:pPr>
                  <w:r>
                    <w:rPr>
                      <w:color w:val="000000" w:themeColor="text1"/>
                      <w:sz w:val="20"/>
                      <w:szCs w:val="20"/>
                      <w:lang w:bidi="ar"/>
                      <w14:textFill>
                        <w14:solidFill>
                          <w14:schemeClr w14:val="tx1"/>
                        </w14:solidFill>
                      </w14:textFill>
                    </w:rPr>
                    <w:t>T/I</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2.5</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lang w:bidi="ar"/>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7" w:type="pct"/>
                  <w:vMerge w:val="continue"/>
                  <w:vAlign w:val="center"/>
                </w:tcPr>
                <w:p>
                  <w:pPr>
                    <w:pStyle w:val="221"/>
                    <w:rPr>
                      <w:color w:val="000000" w:themeColor="text1"/>
                      <w14:textFill>
                        <w14:solidFill>
                          <w14:schemeClr w14:val="tx1"/>
                        </w14:solidFill>
                      </w14:textFill>
                    </w:rPr>
                  </w:pPr>
                </w:p>
              </w:tc>
              <w:tc>
                <w:tcPr>
                  <w:tcW w:w="77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含油抹布及其他抹布</w:t>
                  </w:r>
                </w:p>
              </w:tc>
              <w:tc>
                <w:tcPr>
                  <w:tcW w:w="507"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设备维修</w:t>
                  </w:r>
                </w:p>
              </w:tc>
              <w:tc>
                <w:tcPr>
                  <w:tcW w:w="815"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HW49，900-041-49</w:t>
                  </w:r>
                </w:p>
              </w:tc>
              <w:tc>
                <w:tcPr>
                  <w:tcW w:w="622" w:type="pct"/>
                  <w:vAlign w:val="center"/>
                </w:tcPr>
                <w:p>
                  <w:pPr>
                    <w:pStyle w:val="221"/>
                    <w:rPr>
                      <w:color w:val="000000" w:themeColor="text1"/>
                      <w:lang w:bidi="ar"/>
                      <w14:textFill>
                        <w14:solidFill>
                          <w14:schemeClr w14:val="tx1"/>
                        </w14:solidFill>
                      </w14:textFill>
                    </w:rPr>
                  </w:pPr>
                  <w:r>
                    <w:rPr>
                      <w:color w:val="000000" w:themeColor="text1"/>
                      <w:lang w:bidi="ar"/>
                      <w14:textFill>
                        <w14:solidFill>
                          <w14:schemeClr w14:val="tx1"/>
                        </w14:solidFill>
                      </w14:textFill>
                    </w:rPr>
                    <w:t>油、抹布、手套</w:t>
                  </w:r>
                </w:p>
              </w:tc>
              <w:tc>
                <w:tcPr>
                  <w:tcW w:w="427" w:type="pct"/>
                  <w:vAlign w:val="center"/>
                </w:tcPr>
                <w:p>
                  <w:pPr>
                    <w:pStyle w:val="221"/>
                    <w:rPr>
                      <w:color w:val="000000" w:themeColor="text1"/>
                      <w:sz w:val="20"/>
                      <w:szCs w:val="20"/>
                      <w:lang w:bidi="ar"/>
                      <w14:textFill>
                        <w14:solidFill>
                          <w14:schemeClr w14:val="tx1"/>
                        </w14:solidFill>
                      </w14:textFill>
                    </w:rPr>
                  </w:pPr>
                  <w:r>
                    <w:rPr>
                      <w:color w:val="000000" w:themeColor="text1"/>
                      <w:sz w:val="20"/>
                      <w:szCs w:val="20"/>
                      <w:lang w:bidi="ar"/>
                      <w14:textFill>
                        <w14:solidFill>
                          <w14:schemeClr w14:val="tx1"/>
                        </w14:solidFill>
                      </w14:textFill>
                    </w:rPr>
                    <w:t>T/In</w:t>
                  </w:r>
                </w:p>
              </w:tc>
              <w:tc>
                <w:tcPr>
                  <w:tcW w:w="460" w:type="pct"/>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0.1</w:t>
                  </w:r>
                </w:p>
              </w:tc>
              <w:tc>
                <w:tcPr>
                  <w:tcW w:w="502" w:type="pct"/>
                  <w:vMerge w:val="continue"/>
                  <w:vAlign w:val="center"/>
                </w:tcPr>
                <w:p>
                  <w:pPr>
                    <w:pStyle w:val="221"/>
                    <w:rPr>
                      <w:color w:val="000000" w:themeColor="text1"/>
                      <w14:textFill>
                        <w14:solidFill>
                          <w14:schemeClr w14:val="tx1"/>
                        </w14:solidFill>
                      </w14:textFill>
                    </w:rPr>
                  </w:pPr>
                </w:p>
              </w:tc>
              <w:tc>
                <w:tcPr>
                  <w:tcW w:w="511" w:type="pct"/>
                  <w:vMerge w:val="continue"/>
                  <w:vAlign w:val="center"/>
                </w:tcPr>
                <w:p>
                  <w:pPr>
                    <w:pStyle w:val="221"/>
                    <w:rPr>
                      <w:color w:val="000000" w:themeColor="text1"/>
                      <w:lang w:bidi="ar"/>
                      <w14:textFill>
                        <w14:solidFill>
                          <w14:schemeClr w14:val="tx1"/>
                        </w14:solidFill>
                      </w14:textFill>
                    </w:rPr>
                  </w:pPr>
                </w:p>
              </w:tc>
            </w:tr>
          </w:tbl>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 xml:space="preserve">4.2.4.2固体废物环境影响分析及管理要求 </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根据国家《一般工业固体废物贮存和填埋污染控制标准》（GB 18599-2020）中的要求，一般工业固体废物的贮存和管理应做到：</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（1）暂存场所的建设类型，必须与将要堆放的一般工业固体废物的类别一致；</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（2）暂存场所应采取防止粉尘污染的措施；</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（3）暂存场所周边应设置导流沟渠；</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（4）应设计渗滤集排水设施；</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（5）为防止一般工业固体废物和渗滤液流失，应构筑堤、坝、挡土墙等设施；</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（6）一般工业固体废物贮存、处置场，禁止危险废物和生活垃圾混入；</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（7）应建立检查维护制度、档案制度；</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（8）贮存场所的环境保护图形标志，应按照规定进行检查和维护。</w:t>
            </w:r>
          </w:p>
          <w:p>
            <w:pPr>
              <w:adjustRightInd w:val="0"/>
              <w:snapToGrid w:val="0"/>
              <w:spacing w:after="0" w:line="360" w:lineRule="auto"/>
              <w:ind w:firstLine="480" w:firstLineChars="200"/>
              <w:rPr>
                <w:rFonts w:ascii="Times New Roman" w:hAnsi="Times New Roman" w:eastAsia="宋体" w:cs="Times New Roman"/>
                <w:color w:val="000000" w:themeColor="text1"/>
                <w:kern w:val="2"/>
                <w:szCs w:val="24"/>
                <w:lang w:bidi="ar"/>
                <w14:textFill>
                  <w14:solidFill>
                    <w14:schemeClr w14:val="tx1"/>
                  </w14:solidFill>
                </w14:textFill>
              </w:rPr>
            </w:pPr>
            <w:r>
              <w:rPr>
                <w:rFonts w:ascii="Times New Roman" w:hAnsi="Times New Roman" w:eastAsia="宋体" w:cs="Times New Roman"/>
                <w:color w:val="000000" w:themeColor="text1"/>
                <w:szCs w:val="24"/>
                <w:lang w:bidi="ar"/>
                <w14:textFill>
                  <w14:solidFill>
                    <w14:schemeClr w14:val="tx1"/>
                  </w14:solidFill>
                </w14:textFill>
              </w:rPr>
              <w:t>危险废物：本项目产生废活性炭、污水处理站污泥等属于危险废物，危险废物的收集和临时贮存危险废物仓库建</w:t>
            </w:r>
            <w:r>
              <w:rPr>
                <w:rFonts w:ascii="Times New Roman" w:hAnsi="Times New Roman" w:eastAsia="宋体" w:cs="Times New Roman"/>
                <w:color w:val="000000" w:themeColor="text1"/>
                <w:kern w:val="2"/>
                <w:szCs w:val="24"/>
                <w:lang w:bidi="ar"/>
                <w14:textFill>
                  <w14:solidFill>
                    <w14:schemeClr w14:val="tx1"/>
                  </w14:solidFill>
                </w14:textFill>
              </w:rPr>
              <w:t>设应满足《危险废物贮存污染控制标准》（GB 18597-2023）相关要求。</w:t>
            </w:r>
          </w:p>
          <w:p>
            <w:pPr>
              <w:adjustRightInd w:val="0"/>
              <w:snapToGrid w:val="0"/>
              <w:spacing w:after="0" w:line="360" w:lineRule="auto"/>
              <w:ind w:firstLine="480" w:firstLineChars="200"/>
              <w:rPr>
                <w:rFonts w:ascii="Times New Roman" w:hAnsi="Times New Roman" w:eastAsia="宋体" w:cs="Times New Roman"/>
                <w:color w:val="000000" w:themeColor="text1"/>
                <w:kern w:val="2"/>
                <w:szCs w:val="24"/>
                <w:lang w:bidi="ar"/>
                <w14:textFill>
                  <w14:solidFill>
                    <w14:schemeClr w14:val="tx1"/>
                  </w14:solidFill>
                </w14:textFill>
              </w:rPr>
            </w:pPr>
            <w:r>
              <w:rPr>
                <w:rFonts w:ascii="Times New Roman" w:hAnsi="Times New Roman" w:eastAsia="宋体" w:cs="Times New Roman"/>
                <w:color w:val="000000" w:themeColor="text1"/>
                <w:kern w:val="2"/>
                <w:szCs w:val="24"/>
                <w:lang w:bidi="ar"/>
                <w14:textFill>
                  <w14:solidFill>
                    <w14:schemeClr w14:val="tx1"/>
                  </w14:solidFill>
                </w14:textFill>
              </w:rPr>
              <w:t>本项目危废依托现有危废暂存间，现有危废暂存间的贮存能力为</w:t>
            </w:r>
            <w:r>
              <w:rPr>
                <w:rFonts w:hint="eastAsia" w:ascii="Times New Roman" w:hAnsi="Times New Roman" w:eastAsia="宋体" w:cs="Times New Roman"/>
                <w:color w:val="000000" w:themeColor="text1"/>
                <w:kern w:val="2"/>
                <w:szCs w:val="24"/>
                <w:lang w:bidi="ar"/>
                <w14:textFill>
                  <w14:solidFill>
                    <w14:schemeClr w14:val="tx1"/>
                  </w14:solidFill>
                </w14:textFill>
              </w:rPr>
              <w:t>15t，占地面积为10m</w:t>
            </w:r>
            <w:r>
              <w:rPr>
                <w:rFonts w:hint="eastAsia" w:ascii="Times New Roman" w:hAnsi="Times New Roman" w:eastAsia="宋体" w:cs="Times New Roman"/>
                <w:color w:val="000000" w:themeColor="text1"/>
                <w:kern w:val="2"/>
                <w:szCs w:val="24"/>
                <w:vertAlign w:val="superscript"/>
                <w:lang w:bidi="ar"/>
                <w14:textFill>
                  <w14:solidFill>
                    <w14:schemeClr w14:val="tx1"/>
                  </w14:solidFill>
                </w14:textFill>
              </w:rPr>
              <w:t>3</w:t>
            </w:r>
            <w:r>
              <w:rPr>
                <w:rFonts w:hint="eastAsia" w:ascii="Times New Roman" w:hAnsi="Times New Roman" w:eastAsia="宋体" w:cs="Times New Roman"/>
                <w:color w:val="000000" w:themeColor="text1"/>
                <w:kern w:val="2"/>
                <w:szCs w:val="24"/>
                <w:lang w:bidi="ar"/>
                <w14:textFill>
                  <w14:solidFill>
                    <w14:schemeClr w14:val="tx1"/>
                  </w14:solidFill>
                </w14:textFill>
              </w:rPr>
              <w:t>，本项目扩建后全厂的危险废物产生量为13.4 t/a，产污周期为半年，因此，危废暂存间足够容纳本项目产生的危险废物。</w:t>
            </w:r>
          </w:p>
          <w:p>
            <w:pPr>
              <w:adjustRightInd w:val="0"/>
              <w:snapToGrid w:val="0"/>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退役期要求：根据《福建省固体废物污染环境防治条例2024》可知，产生、收集、贮存、利用、处置工业固体废物的单位应当在终止或者搬迁之前将工业固体废物贮存、处置情况以及对相关设施、场所采取的污染防治措施等向所在地生态环境主管部门报告，并在终止或者搬迁后九十日内委托有资质的单位对原址土壤和地下水受破坏、污染的程度进行检测和评估。对原址土壤或者地下水造成破坏、污染的，应当进行生态修复或者治理，并将检测、评估结果以及修复或者治理情况报相关主管部门。</w:t>
            </w:r>
          </w:p>
          <w:p>
            <w:pPr>
              <w:widowControl w:val="0"/>
              <w:adjustRightInd w:val="0"/>
              <w:snapToGri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综上所述，项目固体废物严格按照国家规定的法律法规处理，固体废物均可得到妥善地处理和处置，处理措施合理可行；只要建设单位认真落实本环评提出的各项固体废物处置措施，并按照固体废物的相关管理要求，加强各类固体废物的收集、分类储存、转移和处置管理，本工程全厂产生的固体废物均不会造成二次污染，因此对环境的影响很小。</w:t>
            </w:r>
          </w:p>
          <w:p>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4.2.5 地下水、土壤环境影响分析</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4.2.5.1地下水环境影响分析</w:t>
            </w:r>
          </w:p>
          <w:p>
            <w:pPr>
              <w:pStyle w:val="171"/>
              <w:widowControl w:val="0"/>
              <w:topLinePunct/>
              <w:spacing w:after="0"/>
              <w:ind w:firstLine="240" w:firstLineChars="1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对照《环境影响评价技术导则 地下水环境》（HJ610-2016）附录A中78、电气机械及器材制造业”行业，属于“IV类项目”，可不进行地下水环境影响评价。</w:t>
            </w:r>
          </w:p>
          <w:p>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4.2.5.2土壤环境影响分析</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根据《环境影响评价技术导则 土壤环境（试行）》（HJ964-2018）附录A（土壤环境影响评价项目类别表），项目属于“其他行业”，为IV类项目，可不开展土壤环境影响评价工作，本项目主要是生产清洗废水排入自建污水处理站，若不做防渗措施而影响地下水和土壤环境，污泥暂存危废间，</w:t>
            </w:r>
            <w:r>
              <w:rPr>
                <w:rFonts w:hint="eastAsia" w:ascii="Times New Roman" w:hAnsi="Times New Roman" w:eastAsia="宋体" w:cs="Times New Roman"/>
                <w:color w:val="000000" w:themeColor="text1"/>
                <w:szCs w:val="24"/>
                <w14:textFill>
                  <w14:solidFill>
                    <w14:schemeClr w14:val="tx1"/>
                  </w14:solidFill>
                </w14:textFill>
              </w:rPr>
              <w:t>防止污泥渗入地面。</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4.2.5.3地下水、土壤保护措施</w:t>
            </w:r>
          </w:p>
          <w:p>
            <w:pPr>
              <w:pStyle w:val="228"/>
              <w:spacing w:line="360" w:lineRule="auto"/>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分区防渗：根据项目各功能区的性质和特点，本项目分重点防渗区、一般防渗区及简单防渗区。为确保项目安全运行，以上区域需采取相应防渗措施，避免泄漏的废水渗入地下污染地下水。</w:t>
            </w:r>
          </w:p>
          <w:p>
            <w:pPr>
              <w:pStyle w:val="228"/>
              <w:spacing w:line="360" w:lineRule="auto"/>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a.重点防渗区：主要包括污水处理站、危废间。本项目拟在污水处理站四周地面进行硬化处理且设置了围堰，能够及时防止清洗废水渗入地面，地面采用C30防渗混凝土，可有效防止污水处理站突然泄漏对地下水的污染。本项目危废间地面采取粘土铺底，再在上层铺设10~15cm水泥进行硬化，并铺设环氧树脂防渗，防渗层渗透系数≤10</w:t>
            </w:r>
            <w:r>
              <w:rPr>
                <w:rFonts w:hint="eastAsia" w:ascii="宋体" w:hAnsi="宋体"/>
                <w:color w:val="000000" w:themeColor="text1"/>
                <w:sz w:val="24"/>
                <w:szCs w:val="24"/>
                <w:vertAlign w:val="superscript"/>
                <w14:textFill>
                  <w14:solidFill>
                    <w14:schemeClr w14:val="tx1"/>
                  </w14:solidFill>
                </w14:textFill>
              </w:rPr>
              <w:t>-10</w:t>
            </w:r>
            <w:r>
              <w:rPr>
                <w:rFonts w:hint="eastAsia" w:ascii="宋体" w:hAnsi="宋体"/>
                <w:color w:val="000000" w:themeColor="text1"/>
                <w:sz w:val="24"/>
                <w:szCs w:val="24"/>
                <w14:textFill>
                  <w14:solidFill>
                    <w14:schemeClr w14:val="tx1"/>
                  </w14:solidFill>
                </w14:textFill>
              </w:rPr>
              <w:t>cm/s 防渗措施。且危废间四周地面进行硬化处理，能够及时防止污泥渗入地面。</w:t>
            </w:r>
          </w:p>
          <w:p>
            <w:pPr>
              <w:pStyle w:val="228"/>
              <w:spacing w:line="360" w:lineRule="auto"/>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b.</w:t>
            </w:r>
            <w:r>
              <w:rPr>
                <w:rFonts w:ascii="宋体" w:hAnsi="宋体"/>
                <w:color w:val="000000" w:themeColor="text1"/>
                <w:sz w:val="24"/>
                <w:szCs w:val="24"/>
                <w14:textFill>
                  <w14:solidFill>
                    <w14:schemeClr w14:val="tx1"/>
                  </w14:solidFill>
                </w14:textFill>
              </w:rPr>
              <w:t>一般防渗区</w:t>
            </w:r>
            <w:r>
              <w:rPr>
                <w:rFonts w:hint="eastAsia" w:ascii="宋体" w:hAnsi="宋体"/>
                <w:color w:val="000000" w:themeColor="text1"/>
                <w:sz w:val="24"/>
                <w:szCs w:val="24"/>
                <w14:textFill>
                  <w14:solidFill>
                    <w14:schemeClr w14:val="tx1"/>
                  </w14:solidFill>
                </w14:textFill>
              </w:rPr>
              <w:t>：主要包括生产车间、一般固废暂存间，本项目在生产车间、一般固废暂存间地面采用混凝土防渗。</w:t>
            </w:r>
          </w:p>
          <w:p>
            <w:pPr>
              <w:pStyle w:val="228"/>
              <w:spacing w:line="360" w:lineRule="auto"/>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c.简单防渗区：主要为道路，道路采取地面硬化措施。</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综上所述，采取分区防渗等措施后，对土壤及地下水环境影响较小，防治措施可行。</w:t>
            </w:r>
          </w:p>
          <w:p>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4.2.6 运营期环境风险影响分析和防范措施</w:t>
            </w:r>
          </w:p>
          <w:p>
            <w:pPr>
              <w:adjustRightInd w:val="0"/>
              <w:snapToGrid w:val="0"/>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危险物质及工艺系统性危险性(P)分级</w:t>
            </w:r>
          </w:p>
          <w:p>
            <w:pPr>
              <w:adjustRightInd w:val="0"/>
              <w:snapToGrid w:val="0"/>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危险物质数量与临界比值(Q)：Q为每种物质在厂界内最大存在总量与其对应临界量的比值。当存在多种危险物质时，则按下式计算：</w:t>
            </w:r>
          </w:p>
          <w:p>
            <w:pPr>
              <w:adjustRightInd w:val="0"/>
              <w:snapToGrid w:val="0"/>
              <w:spacing w:after="0"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Q=q1/Q1+q2/Q2+···qn/Qn</w:t>
            </w:r>
          </w:p>
          <w:p>
            <w:pPr>
              <w:adjustRightInd w:val="0"/>
              <w:snapToGrid w:val="0"/>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式中：q1，q2···qn：每种危险物质的最大存在总量，t；</w:t>
            </w:r>
          </w:p>
          <w:p>
            <w:pPr>
              <w:adjustRightInd w:val="0"/>
              <w:snapToGrid w:val="0"/>
              <w:spacing w:after="0" w:line="360" w:lineRule="auto"/>
              <w:ind w:firstLine="1200" w:firstLineChars="5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Q1，Q2···Qn：每种危险物质的临界量，t。</w:t>
            </w:r>
          </w:p>
          <w:p>
            <w:pPr>
              <w:adjustRightInd w:val="0"/>
              <w:snapToGrid w:val="0"/>
              <w:spacing w:after="0" w:line="360" w:lineRule="auto"/>
              <w:ind w:firstLine="1200" w:firstLineChars="5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当Q＜1时，该项目环境风险潜势为Ⅰ。</w:t>
            </w:r>
          </w:p>
          <w:p>
            <w:pPr>
              <w:adjustRightInd w:val="0"/>
              <w:snapToGrid w:val="0"/>
              <w:spacing w:after="0" w:line="360" w:lineRule="auto"/>
              <w:ind w:firstLine="1200" w:firstLineChars="5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当Q≥1时，将Q值划分为：（1）1≤Q＜10；（2）10≤Q＜100；（3）Q≥100。</w:t>
            </w:r>
          </w:p>
          <w:p>
            <w:pPr>
              <w:adjustRightInd w:val="0"/>
              <w:snapToGrid w:val="0"/>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对照《建设项目环境风险评价技术导则》（HJ169-2018）附录突发环境事件风险物质及临界量清单，本项目涉及风险物质信息见表4.2-</w:t>
            </w:r>
            <w:r>
              <w:rPr>
                <w:rFonts w:hint="eastAsia" w:ascii="Times New Roman" w:hAnsi="Times New Roman" w:cs="Times New Roman"/>
                <w:color w:val="000000" w:themeColor="text1"/>
                <w14:textFill>
                  <w14:solidFill>
                    <w14:schemeClr w14:val="tx1"/>
                  </w14:solidFill>
                </w14:textFill>
              </w:rPr>
              <w:t>11</w:t>
            </w:r>
            <w:r>
              <w:rPr>
                <w:rFonts w:ascii="Times New Roman" w:hAnsi="Times New Roman" w:cs="Times New Roman"/>
                <w:color w:val="000000" w:themeColor="text1"/>
                <w14:textFill>
                  <w14:solidFill>
                    <w14:schemeClr w14:val="tx1"/>
                  </w14:solidFill>
                </w14:textFill>
              </w:rPr>
              <w:t>。</w:t>
            </w:r>
          </w:p>
          <w:p>
            <w:pPr>
              <w:adjustRightInd w:val="0"/>
              <w:snapToGrid w:val="0"/>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危险物质数量与临界计算结果见表4.2-</w:t>
            </w:r>
            <w:r>
              <w:rPr>
                <w:rFonts w:hint="eastAsia" w:ascii="Times New Roman" w:hAnsi="Times New Roman" w:cs="Times New Roman"/>
                <w:color w:val="000000" w:themeColor="text1"/>
                <w14:textFill>
                  <w14:solidFill>
                    <w14:schemeClr w14:val="tx1"/>
                  </w14:solidFill>
                </w14:textFill>
              </w:rPr>
              <w:t>11</w:t>
            </w:r>
            <w:r>
              <w:rPr>
                <w:rFonts w:ascii="Times New Roman" w:hAnsi="Times New Roman" w:cs="Times New Roman"/>
                <w:color w:val="000000" w:themeColor="text1"/>
                <w14:textFill>
                  <w14:solidFill>
                    <w14:schemeClr w14:val="tx1"/>
                  </w14:solidFill>
                </w14:textFill>
              </w:rPr>
              <w:t>：</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主要危险物质的储量及临界量</w:t>
            </w:r>
          </w:p>
          <w:tbl>
            <w:tblPr>
              <w:tblStyle w:val="3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24"/>
              <w:gridCol w:w="1093"/>
              <w:gridCol w:w="1189"/>
              <w:gridCol w:w="2230"/>
              <w:gridCol w:w="1337"/>
              <w:gridCol w:w="13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324" w:type="dxa"/>
                  <w:tcBorders>
                    <w:top w:val="single" w:color="auto" w:sz="12" w:space="0"/>
                    <w:left w:val="nil"/>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物质名称</w:t>
                  </w:r>
                </w:p>
              </w:tc>
              <w:tc>
                <w:tcPr>
                  <w:tcW w:w="1093" w:type="dxa"/>
                  <w:tcBorders>
                    <w:top w:val="single" w:color="auto" w:sz="12"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CAS号</w:t>
                  </w:r>
                </w:p>
              </w:tc>
              <w:tc>
                <w:tcPr>
                  <w:tcW w:w="1189" w:type="dxa"/>
                  <w:tcBorders>
                    <w:top w:val="single" w:color="auto" w:sz="12"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贮存位置</w:t>
                  </w:r>
                </w:p>
              </w:tc>
              <w:tc>
                <w:tcPr>
                  <w:tcW w:w="2230" w:type="dxa"/>
                  <w:tcBorders>
                    <w:top w:val="single" w:color="auto" w:sz="12"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厂内最大储存量q，t</w:t>
                  </w:r>
                </w:p>
              </w:tc>
              <w:tc>
                <w:tcPr>
                  <w:tcW w:w="1337" w:type="dxa"/>
                  <w:tcBorders>
                    <w:top w:val="single" w:color="auto" w:sz="12"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临界量Q，t</w:t>
                  </w:r>
                </w:p>
              </w:tc>
              <w:tc>
                <w:tcPr>
                  <w:tcW w:w="1330" w:type="dxa"/>
                  <w:tcBorders>
                    <w:top w:val="single" w:color="auto" w:sz="12" w:space="0"/>
                    <w:left w:val="single" w:color="auto" w:sz="4" w:space="0"/>
                    <w:bottom w:val="single" w:color="auto" w:sz="4" w:space="0"/>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q/Q</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324" w:type="dxa"/>
                  <w:tcBorders>
                    <w:top w:val="single" w:color="auto" w:sz="4" w:space="0"/>
                    <w:left w:val="nil"/>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危险废物（润滑油）</w:t>
                  </w:r>
                </w:p>
              </w:tc>
              <w:tc>
                <w:tcPr>
                  <w:tcW w:w="109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118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危废间</w:t>
                  </w:r>
                </w:p>
              </w:tc>
              <w:tc>
                <w:tcPr>
                  <w:tcW w:w="223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0.2</w:t>
                  </w:r>
                </w:p>
              </w:tc>
              <w:tc>
                <w:tcPr>
                  <w:tcW w:w="13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2500</w:t>
                  </w:r>
                </w:p>
              </w:tc>
              <w:tc>
                <w:tcPr>
                  <w:tcW w:w="1330" w:type="dxa"/>
                  <w:tcBorders>
                    <w:top w:val="single" w:color="auto" w:sz="4" w:space="0"/>
                    <w:left w:val="single" w:color="auto" w:sz="4" w:space="0"/>
                    <w:bottom w:val="single" w:color="auto" w:sz="4" w:space="0"/>
                    <w:right w:val="nil"/>
                  </w:tcBorders>
                  <w:vAlign w:val="center"/>
                </w:tcPr>
                <w:p>
                  <w:pPr>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2"/>
                      <w:lang w:bidi="ar"/>
                      <w14:textFill>
                        <w14:solidFill>
                          <w14:schemeClr w14:val="tx1"/>
                        </w14:solidFill>
                      </w14:textFill>
                    </w:rPr>
                    <w:t>0.00008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324" w:type="dxa"/>
                  <w:tcBorders>
                    <w:top w:val="single" w:color="auto" w:sz="4" w:space="0"/>
                    <w:left w:val="nil"/>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助剂（稀释剂）</w:t>
                  </w:r>
                </w:p>
              </w:tc>
              <w:tc>
                <w:tcPr>
                  <w:tcW w:w="109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108-38-3</w:t>
                  </w:r>
                </w:p>
              </w:tc>
              <w:tc>
                <w:tcPr>
                  <w:tcW w:w="118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原料</w:t>
                  </w:r>
                </w:p>
              </w:tc>
              <w:tc>
                <w:tcPr>
                  <w:tcW w:w="223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0.007</w:t>
                  </w:r>
                </w:p>
              </w:tc>
              <w:tc>
                <w:tcPr>
                  <w:tcW w:w="13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w:t>
                  </w:r>
                </w:p>
              </w:tc>
              <w:tc>
                <w:tcPr>
                  <w:tcW w:w="1330" w:type="dxa"/>
                  <w:tcBorders>
                    <w:top w:val="single" w:color="auto" w:sz="4" w:space="0"/>
                    <w:left w:val="single" w:color="auto" w:sz="4" w:space="0"/>
                    <w:bottom w:val="single" w:color="auto" w:sz="4" w:space="0"/>
                    <w:right w:val="nil"/>
                  </w:tcBorders>
                  <w:vAlign w:val="center"/>
                </w:tcPr>
                <w:p>
                  <w:pPr>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2"/>
                      <w:lang w:bidi="ar"/>
                      <w14:textFill>
                        <w14:solidFill>
                          <w14:schemeClr w14:val="tx1"/>
                        </w14:solidFill>
                      </w14:textFill>
                    </w:rPr>
                    <w:t>0.0007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7" w:hRule="atLeast"/>
                <w:jc w:val="center"/>
              </w:trPr>
              <w:tc>
                <w:tcPr>
                  <w:tcW w:w="1324" w:type="dxa"/>
                  <w:tcBorders>
                    <w:top w:val="single" w:color="auto" w:sz="4" w:space="0"/>
                    <w:left w:val="nil"/>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助剂（粘接表面处理剂）</w:t>
                  </w:r>
                </w:p>
              </w:tc>
              <w:tc>
                <w:tcPr>
                  <w:tcW w:w="109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108-88-3</w:t>
                  </w:r>
                </w:p>
              </w:tc>
              <w:tc>
                <w:tcPr>
                  <w:tcW w:w="118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原料车间</w:t>
                  </w:r>
                </w:p>
              </w:tc>
              <w:tc>
                <w:tcPr>
                  <w:tcW w:w="223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0.05</w:t>
                  </w:r>
                </w:p>
              </w:tc>
              <w:tc>
                <w:tcPr>
                  <w:tcW w:w="13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w:t>
                  </w:r>
                </w:p>
              </w:tc>
              <w:tc>
                <w:tcPr>
                  <w:tcW w:w="1330" w:type="dxa"/>
                  <w:tcBorders>
                    <w:top w:val="single" w:color="auto" w:sz="4" w:space="0"/>
                    <w:left w:val="single" w:color="auto" w:sz="4" w:space="0"/>
                    <w:bottom w:val="single" w:color="auto" w:sz="4" w:space="0"/>
                    <w:right w:val="nil"/>
                  </w:tcBorders>
                  <w:vAlign w:val="center"/>
                </w:tcPr>
                <w:p>
                  <w:pPr>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2"/>
                      <w:lang w:bidi="ar"/>
                      <w14:textFill>
                        <w14:solidFill>
                          <w14:schemeClr w14:val="tx1"/>
                        </w14:solidFill>
                      </w14:textFill>
                    </w:rPr>
                    <w:t>0.005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324" w:type="dxa"/>
                  <w:tcBorders>
                    <w:top w:val="single" w:color="auto" w:sz="4" w:space="0"/>
                    <w:left w:val="nil"/>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危险废物（废活性炭）</w:t>
                  </w:r>
                </w:p>
              </w:tc>
              <w:tc>
                <w:tcPr>
                  <w:tcW w:w="109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1189" w:type="dxa"/>
                  <w:vMerge w:val="restart"/>
                  <w:tcBorders>
                    <w:top w:val="single" w:color="auto" w:sz="4" w:space="0"/>
                    <w:left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危废间</w:t>
                  </w:r>
                </w:p>
              </w:tc>
              <w:tc>
                <w:tcPr>
                  <w:tcW w:w="223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3.23</w:t>
                  </w:r>
                </w:p>
              </w:tc>
              <w:tc>
                <w:tcPr>
                  <w:tcW w:w="13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50</w:t>
                  </w:r>
                </w:p>
              </w:tc>
              <w:tc>
                <w:tcPr>
                  <w:tcW w:w="1330" w:type="dxa"/>
                  <w:tcBorders>
                    <w:top w:val="single" w:color="auto" w:sz="4" w:space="0"/>
                    <w:left w:val="single" w:color="auto" w:sz="4" w:space="0"/>
                    <w:bottom w:val="single" w:color="auto" w:sz="4" w:space="0"/>
                    <w:right w:val="nil"/>
                  </w:tcBorders>
                  <w:vAlign w:val="center"/>
                </w:tcPr>
                <w:p>
                  <w:pPr>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2"/>
                      <w:lang w:bidi="ar"/>
                      <w14:textFill>
                        <w14:solidFill>
                          <w14:schemeClr w14:val="tx1"/>
                        </w14:solidFill>
                      </w14:textFill>
                    </w:rPr>
                    <w:t>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324" w:type="dxa"/>
                  <w:tcBorders>
                    <w:top w:val="single" w:color="auto" w:sz="4" w:space="0"/>
                    <w:left w:val="nil"/>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危险废物（废包装桶）</w:t>
                  </w:r>
                </w:p>
              </w:tc>
              <w:tc>
                <w:tcPr>
                  <w:tcW w:w="109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1189" w:type="dxa"/>
                  <w:vMerge w:val="continue"/>
                  <w:tcBorders>
                    <w:left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223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0.045</w:t>
                  </w:r>
                </w:p>
              </w:tc>
              <w:tc>
                <w:tcPr>
                  <w:tcW w:w="13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50</w:t>
                  </w:r>
                </w:p>
              </w:tc>
              <w:tc>
                <w:tcPr>
                  <w:tcW w:w="1330" w:type="dxa"/>
                  <w:tcBorders>
                    <w:top w:val="single" w:color="auto" w:sz="4" w:space="0"/>
                    <w:left w:val="single" w:color="auto" w:sz="4" w:space="0"/>
                    <w:bottom w:val="single" w:color="auto" w:sz="4" w:space="0"/>
                    <w:right w:val="nil"/>
                  </w:tcBorders>
                  <w:vAlign w:val="center"/>
                </w:tcPr>
                <w:p>
                  <w:pPr>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2"/>
                      <w:lang w:bidi="ar"/>
                      <w14:textFill>
                        <w14:solidFill>
                          <w14:schemeClr w14:val="tx1"/>
                        </w14:solidFill>
                      </w14:textFill>
                    </w:rPr>
                    <w:t>0.0009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324" w:type="dxa"/>
                  <w:tcBorders>
                    <w:top w:val="single" w:color="auto" w:sz="4" w:space="0"/>
                    <w:left w:val="nil"/>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危险废物（污水处理站污泥）</w:t>
                  </w:r>
                </w:p>
              </w:tc>
              <w:tc>
                <w:tcPr>
                  <w:tcW w:w="109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1189" w:type="dxa"/>
                  <w:vMerge w:val="continue"/>
                  <w:tcBorders>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223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2.5</w:t>
                  </w:r>
                </w:p>
              </w:tc>
              <w:tc>
                <w:tcPr>
                  <w:tcW w:w="13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50</w:t>
                  </w:r>
                </w:p>
              </w:tc>
              <w:tc>
                <w:tcPr>
                  <w:tcW w:w="1330" w:type="dxa"/>
                  <w:tcBorders>
                    <w:top w:val="single" w:color="auto" w:sz="4" w:space="0"/>
                    <w:left w:val="single" w:color="auto" w:sz="4" w:space="0"/>
                    <w:bottom w:val="single" w:color="auto" w:sz="4" w:space="0"/>
                    <w:right w:val="nil"/>
                  </w:tcBorders>
                  <w:vAlign w:val="center"/>
                </w:tcPr>
                <w:p>
                  <w:pPr>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2"/>
                      <w:lang w:bidi="ar"/>
                      <w14:textFill>
                        <w14:solidFill>
                          <w14:schemeClr w14:val="tx1"/>
                        </w14:solidFill>
                      </w14:textFill>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417" w:type="dxa"/>
                  <w:gridSpan w:val="2"/>
                  <w:tcBorders>
                    <w:top w:val="single" w:color="auto" w:sz="4" w:space="0"/>
                    <w:left w:val="nil"/>
                    <w:bottom w:val="single" w:color="auto" w:sz="12"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总计</w:t>
                  </w:r>
                </w:p>
              </w:tc>
              <w:tc>
                <w:tcPr>
                  <w:tcW w:w="1189" w:type="dxa"/>
                  <w:tcBorders>
                    <w:top w:val="single" w:color="auto" w:sz="4" w:space="0"/>
                    <w:left w:val="single" w:color="auto" w:sz="4" w:space="0"/>
                    <w:bottom w:val="single" w:color="auto" w:sz="12"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2230" w:type="dxa"/>
                  <w:tcBorders>
                    <w:top w:val="single" w:color="auto" w:sz="4" w:space="0"/>
                    <w:left w:val="single" w:color="auto" w:sz="4" w:space="0"/>
                    <w:bottom w:val="single" w:color="auto" w:sz="12"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1337" w:type="dxa"/>
                  <w:tcBorders>
                    <w:top w:val="single" w:color="auto" w:sz="4" w:space="0"/>
                    <w:left w:val="single" w:color="auto" w:sz="4" w:space="0"/>
                    <w:bottom w:val="single" w:color="auto" w:sz="12" w:space="0"/>
                    <w:right w:val="single" w:color="auto" w:sz="4"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c>
                <w:tcPr>
                  <w:tcW w:w="1330" w:type="dxa"/>
                  <w:tcBorders>
                    <w:top w:val="single" w:color="auto" w:sz="4" w:space="0"/>
                    <w:left w:val="single" w:color="auto" w:sz="4" w:space="0"/>
                    <w:bottom w:val="single" w:color="auto" w:sz="12" w:space="0"/>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0.12</w:t>
                  </w:r>
                </w:p>
              </w:tc>
            </w:tr>
          </w:tbl>
          <w:p>
            <w:pPr>
              <w:spacing w:after="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根据上表可知，危险物质数量与临界量比值为Q＜1，根据《建设项目环境风险评价技术导则》（HJ169-2018）附录C，Q＜1，可直接判定该项目环境风险潜势为Ⅰ，</w:t>
            </w:r>
            <w:r>
              <w:rPr>
                <w:rFonts w:hint="eastAsia" w:ascii="Times New Roman" w:hAnsi="Times New Roman" w:cs="Times New Roman"/>
                <w:color w:val="000000" w:themeColor="text1"/>
                <w14:textFill>
                  <w14:solidFill>
                    <w14:schemeClr w14:val="tx1"/>
                  </w14:solidFill>
                </w14:textFill>
              </w:rPr>
              <w:t>根据《建设项目环境风险评价技术导则》表 1，当Q&lt;1 时，该项目环境风险潜势为 I，可开展简单分析</w:t>
            </w:r>
            <w:r>
              <w:rPr>
                <w:rFonts w:ascii="Times New Roman" w:hAnsi="Times New Roman" w:cs="Times New Roman"/>
                <w:color w:val="000000" w:themeColor="text1"/>
                <w14:textFill>
                  <w14:solidFill>
                    <w14:schemeClr w14:val="tx1"/>
                  </w14:solidFill>
                </w14:textFill>
              </w:rPr>
              <w:t>。</w:t>
            </w:r>
          </w:p>
          <w:p>
            <w:pPr>
              <w:pStyle w:val="19"/>
              <w:keepNext/>
              <w:widowControl w:val="0"/>
              <w:spacing w:before="0" w:after="0" w:line="240" w:lineRule="auto"/>
              <w:ind w:right="0"/>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表4</w:t>
            </w:r>
            <w:r>
              <w:rPr>
                <w:rFonts w:hint="eastAsia" w:ascii="Times New Roman" w:hAnsi="Times New Roman" w:cs="Times New Roman"/>
                <w:b/>
                <w:bCs/>
                <w:color w:val="000000" w:themeColor="text1"/>
                <w:sz w:val="24"/>
                <w:szCs w:val="24"/>
                <w14:textFill>
                  <w14:solidFill>
                    <w14:schemeClr w14:val="tx1"/>
                  </w14:solidFill>
                </w14:textFill>
              </w:rPr>
              <w:t>-12</w:t>
            </w:r>
            <w:r>
              <w:rPr>
                <w:rFonts w:ascii="Times New Roman" w:hAnsi="Times New Roman" w:cs="Times New Roman"/>
                <w:b/>
                <w:bCs/>
                <w:color w:val="000000" w:themeColor="text1"/>
                <w:sz w:val="24"/>
                <w:szCs w:val="24"/>
                <w14:textFill>
                  <w14:solidFill>
                    <w14:schemeClr w14:val="tx1"/>
                  </w14:solidFill>
                </w14:textFill>
              </w:rPr>
              <w:t xml:space="preserve"> 建设项目环境风险简单分析内容表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7"/>
              <w:gridCol w:w="949"/>
              <w:gridCol w:w="1536"/>
              <w:gridCol w:w="959"/>
              <w:gridCol w:w="2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7" w:type="dxa"/>
                  <w:tcBorders>
                    <w:top w:val="single" w:color="auto" w:sz="12" w:space="0"/>
                    <w:lef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建设项目名称</w:t>
                  </w:r>
                </w:p>
              </w:tc>
              <w:tc>
                <w:tcPr>
                  <w:tcW w:w="6117" w:type="dxa"/>
                  <w:gridSpan w:val="4"/>
                  <w:tcBorders>
                    <w:top w:val="single" w:color="auto" w:sz="12" w:space="0"/>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中压预制式电缆附件车间扩建项目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2257" w:type="dxa"/>
                  <w:tcBorders>
                    <w:lef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建设地点</w:t>
                  </w:r>
                </w:p>
              </w:tc>
              <w:tc>
                <w:tcPr>
                  <w:tcW w:w="949" w:type="dxa"/>
                  <w:tcBorders>
                    <w:right w:val="single" w:color="000000" w:sz="6"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福建省</w:t>
                  </w:r>
                </w:p>
              </w:tc>
              <w:tc>
                <w:tcPr>
                  <w:tcW w:w="1536" w:type="dxa"/>
                  <w:tcBorders>
                    <w:left w:val="single" w:color="000000" w:sz="6" w:space="0"/>
                    <w:right w:val="single" w:color="000000" w:sz="6"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福州市</w:t>
                  </w:r>
                </w:p>
              </w:tc>
              <w:tc>
                <w:tcPr>
                  <w:tcW w:w="959" w:type="dxa"/>
                  <w:tcBorders>
                    <w:left w:val="single" w:color="000000" w:sz="6" w:space="0"/>
                    <w:right w:val="single" w:color="000000" w:sz="6"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福清市</w:t>
                  </w:r>
                </w:p>
              </w:tc>
              <w:tc>
                <w:tcPr>
                  <w:tcW w:w="2673" w:type="dxa"/>
                  <w:tcBorders>
                    <w:left w:val="single" w:color="000000" w:sz="6" w:space="0"/>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融侨经济技术开发区宏路街道周店村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7" w:type="dxa"/>
                  <w:tcBorders>
                    <w:lef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地理坐标</w:t>
                  </w:r>
                </w:p>
              </w:tc>
              <w:tc>
                <w:tcPr>
                  <w:tcW w:w="949" w:type="dxa"/>
                  <w:tcBorders>
                    <w:right w:val="single" w:color="000000" w:sz="6"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经度</w:t>
                  </w:r>
                </w:p>
              </w:tc>
              <w:tc>
                <w:tcPr>
                  <w:tcW w:w="1536" w:type="dxa"/>
                  <w:tcBorders>
                    <w:left w:val="single" w:color="000000" w:sz="6" w:space="0"/>
                    <w:right w:val="single" w:color="000000" w:sz="6"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119°18′30.194″</w:t>
                  </w:r>
                </w:p>
              </w:tc>
              <w:tc>
                <w:tcPr>
                  <w:tcW w:w="959" w:type="dxa"/>
                  <w:tcBorders>
                    <w:left w:val="single" w:color="000000" w:sz="6" w:space="0"/>
                    <w:right w:val="single" w:color="000000" w:sz="6" w:space="0"/>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纬度</w:t>
                  </w:r>
                </w:p>
              </w:tc>
              <w:tc>
                <w:tcPr>
                  <w:tcW w:w="2673" w:type="dxa"/>
                  <w:tcBorders>
                    <w:left w:val="single" w:color="000000" w:sz="6" w:space="0"/>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25°40′40.421″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257" w:type="dxa"/>
                  <w:tcBorders>
                    <w:lef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主要危险物质及分布</w:t>
                  </w:r>
                </w:p>
              </w:tc>
              <w:tc>
                <w:tcPr>
                  <w:tcW w:w="6117" w:type="dxa"/>
                  <w:gridSpan w:val="4"/>
                  <w:tcBorders>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7" w:type="dxa"/>
                  <w:tcBorders>
                    <w:lef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环境影响途径及危害后果（大气、地表水、地下水等）</w:t>
                  </w:r>
                </w:p>
              </w:tc>
              <w:tc>
                <w:tcPr>
                  <w:tcW w:w="6117" w:type="dxa"/>
                  <w:gridSpan w:val="4"/>
                  <w:tcBorders>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污水处理站设施破坏废水渗漏及危险废物暂存过程渗漏，</w:t>
                  </w:r>
                  <w:r>
                    <w:rPr>
                      <w:rFonts w:ascii="Times New Roman" w:hAnsi="Times New Roman" w:eastAsia="宋体" w:cs="Times New Roman"/>
                      <w:color w:val="000000" w:themeColor="text1"/>
                      <w:sz w:val="21"/>
                      <w:szCs w:val="21"/>
                      <w14:textFill>
                        <w14:solidFill>
                          <w14:schemeClr w14:val="tx1"/>
                        </w14:solidFill>
                      </w14:textFill>
                    </w:rPr>
                    <w:t>影响周边</w:t>
                  </w:r>
                  <w:r>
                    <w:rPr>
                      <w:rFonts w:hint="eastAsia" w:ascii="Times New Roman" w:hAnsi="Times New Roman" w:eastAsia="宋体" w:cs="Times New Roman"/>
                      <w:color w:val="000000" w:themeColor="text1"/>
                      <w:sz w:val="21"/>
                      <w:szCs w:val="21"/>
                      <w14:textFill>
                        <w14:solidFill>
                          <w14:schemeClr w14:val="tx1"/>
                        </w14:solidFill>
                      </w14:textFill>
                    </w:rPr>
                    <w:t>地下</w:t>
                  </w:r>
                  <w:r>
                    <w:rPr>
                      <w:rFonts w:ascii="Times New Roman" w:hAnsi="Times New Roman" w:eastAsia="宋体" w:cs="Times New Roman"/>
                      <w:color w:val="000000" w:themeColor="text1"/>
                      <w:sz w:val="21"/>
                      <w:szCs w:val="21"/>
                      <w14:textFill>
                        <w14:solidFill>
                          <w14:schemeClr w14:val="tx1"/>
                        </w14:solidFill>
                      </w14:textFill>
                    </w:rPr>
                    <w:t>水环境及土壤环境。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7" w:type="dxa"/>
                  <w:tcBorders>
                    <w:lef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风险防范措施要求</w:t>
                  </w:r>
                </w:p>
              </w:tc>
              <w:tc>
                <w:tcPr>
                  <w:tcW w:w="6117" w:type="dxa"/>
                  <w:gridSpan w:val="4"/>
                  <w:tcBorders>
                    <w:right w:val="nil"/>
                  </w:tcBorders>
                  <w:vAlign w:val="center"/>
                </w:tcPr>
                <w:p>
                  <w:pPr>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1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hint="eastAsia" w:ascii="Times New Roman" w:hAnsi="Times New Roman" w:eastAsia="宋体" w:cs="Times New Roman"/>
                      <w:color w:val="000000" w:themeColor="text1"/>
                      <w:sz w:val="21"/>
                      <w:szCs w:val="21"/>
                      <w14:textFill>
                        <w14:solidFill>
                          <w14:schemeClr w14:val="tx1"/>
                        </w14:solidFill>
                      </w14:textFill>
                    </w:rPr>
                    <w:t>做好防渗工作②</w:t>
                  </w:r>
                  <w:r>
                    <w:rPr>
                      <w:rFonts w:ascii="Times New Roman" w:hAnsi="Times New Roman" w:eastAsia="宋体" w:cs="Times New Roman"/>
                      <w:color w:val="000000" w:themeColor="text1"/>
                      <w:sz w:val="21"/>
                      <w:szCs w:val="21"/>
                      <w14:textFill>
                        <w14:solidFill>
                          <w14:schemeClr w14:val="tx1"/>
                        </w14:solidFill>
                      </w14:textFill>
                    </w:rPr>
                    <w:t>定期巡检废水处理设施，对破损处进行修复</w:t>
                  </w:r>
                  <w:r>
                    <w:rPr>
                      <w:rFonts w:hint="eastAsia"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4" w:type="dxa"/>
                  <w:gridSpan w:val="5"/>
                  <w:tcBorders>
                    <w:left w:val="nil"/>
                    <w:bottom w:val="single" w:color="auto" w:sz="12" w:space="0"/>
                    <w:right w:val="nil"/>
                  </w:tcBorders>
                  <w:vAlign w:val="center"/>
                </w:tcPr>
                <w:p>
                  <w:pPr>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填表说明（列出项目相关信息及评价说明）</w:t>
                  </w:r>
                </w:p>
                <w:p>
                  <w:pPr>
                    <w:adjustRightInd w:val="0"/>
                    <w:snapToGrid w:val="0"/>
                    <w:spacing w:after="0" w:line="240" w:lineRule="auto"/>
                    <w:rPr>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1、本项目环境风险潜势为I；2、通过采取有效措施进行处置后，不会对周边大气和水环境造成重大威胁。</w:t>
                  </w:r>
                </w:p>
              </w:tc>
            </w:tr>
          </w:tbl>
          <w:p>
            <w:pPr>
              <w:widowControl w:val="0"/>
              <w:tabs>
                <w:tab w:val="left" w:pos="5400"/>
              </w:tabs>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4.2.6.5风险防范措施</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①厂区排水实行雨污分流，雨水经雨水管网排入外环境。</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②制定废水处理操作规程并上墙，严格按照操作规范的要求进行运行控制，防止误操作导致的废水事故。</w:t>
            </w:r>
          </w:p>
          <w:p>
            <w:pPr>
              <w:pStyle w:val="187"/>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③建立巡查制度，定期对废水处理设施进行巡查，并做好记录，发现问题及时停工检修。</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4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ascii="Times New Roman" w:hAnsi="Times New Roman" w:eastAsia="宋体" w:cs="Times New Roman"/>
                <w:color w:val="000000" w:themeColor="text1"/>
                <w:szCs w:val="24"/>
                <w14:textFill>
                  <w14:solidFill>
                    <w14:schemeClr w14:val="tx1"/>
                  </w14:solidFill>
                </w14:textFill>
              </w:rPr>
              <w:t>④</w:t>
            </w:r>
            <w:r>
              <w:rPr>
                <w:rFonts w:ascii="Times New Roman" w:hAnsi="Times New Roman" w:eastAsia="宋体" w:cs="Times New Roman"/>
                <w:color w:val="000000" w:themeColor="text1"/>
                <w:szCs w:val="24"/>
                <w14:textFill>
                  <w14:solidFill>
                    <w14:schemeClr w14:val="tx1"/>
                  </w14:solidFill>
                </w14:textFill>
              </w:rPr>
              <w:fldChar w:fldCharType="end"/>
            </w:r>
            <w:r>
              <w:rPr>
                <w:rFonts w:ascii="Times New Roman" w:hAnsi="Times New Roman" w:eastAsia="宋体" w:cs="Times New Roman"/>
                <w:color w:val="000000" w:themeColor="text1"/>
                <w:szCs w:val="24"/>
                <w14:textFill>
                  <w14:solidFill>
                    <w14:schemeClr w14:val="tx1"/>
                  </w14:solidFill>
                </w14:textFill>
              </w:rPr>
              <w:t>废</w:t>
            </w:r>
            <w:r>
              <w:rPr>
                <w:rFonts w:ascii="Times New Roman" w:hAnsi="Times New Roman" w:eastAsia="宋体" w:cs="Times New Roman"/>
                <w:snapToGrid w:val="0"/>
                <w:color w:val="000000" w:themeColor="text1"/>
                <w:szCs w:val="24"/>
                <w14:textFill>
                  <w14:solidFill>
                    <w14:schemeClr w14:val="tx1"/>
                  </w14:solidFill>
                </w14:textFill>
              </w:rPr>
              <w:t>气处理设施故障事件，应通过一系列环境风险防范措施，可有效降低环境风险</w:t>
            </w:r>
            <w:r>
              <w:rPr>
                <w:rFonts w:ascii="Times New Roman" w:hAnsi="Times New Roman" w:eastAsia="宋体" w:cs="Times New Roman"/>
                <w:color w:val="000000" w:themeColor="text1"/>
                <w:szCs w:val="24"/>
                <w14:textFill>
                  <w14:solidFill>
                    <w14:schemeClr w14:val="tx1"/>
                  </w14:solidFill>
                </w14:textFill>
              </w:rPr>
              <w:t>的发生概率，其环境风险水平能控制在可以接受的范围内。</w:t>
            </w:r>
          </w:p>
          <w:p>
            <w:pPr>
              <w:pStyle w:val="171"/>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 xml:space="preserve">结论：建设单位将严格采取实施上述提出的要求措施后，可有效防止项目产生的污染物进入环境，有效降低了对周围环境存在的风险影响。并且通过上述措施，建设单位可将环境风险控制在可接受的范围内，不会人体、周围敏感点及水体、大 </w:t>
            </w:r>
          </w:p>
          <w:p>
            <w:pPr>
              <w:pStyle w:val="171"/>
              <w:widowControl w:val="0"/>
              <w:topLinePunct/>
              <w:spacing w:after="0"/>
              <w:ind w:firstLine="0" w:firstLineChars="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 xml:space="preserve">气、土壤等造成明显危害，控制措施有效，环境风险可防控。 </w:t>
            </w:r>
          </w:p>
          <w:p>
            <w:pPr>
              <w:widowControl w:val="0"/>
              <w:topLinePunct/>
              <w:spacing w:after="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4.2.7 运营期电磁辐射影响分析</w:t>
            </w:r>
          </w:p>
          <w:p>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本项目不涉及电磁辐射源。</w:t>
            </w:r>
          </w:p>
          <w:p>
            <w:pPr>
              <w:pStyle w:val="4"/>
              <w:keepNext w:val="0"/>
              <w:keepLines w:val="0"/>
              <w:widowControl w:val="0"/>
              <w:topLinePunct/>
              <w:spacing w:before="0" w:line="360" w:lineRule="auto"/>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4.2.8 运营期生态影响分析</w:t>
            </w:r>
          </w:p>
          <w:p>
            <w:pPr>
              <w:pStyle w:val="171"/>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本项目位于福建省福州市福清市融侨经济技术开发区宏路街道周店村，租用已建工业厂房进行建设，不新增用地。因此，本项目的建设不会对周边生态环境造成明显影响。</w:t>
            </w:r>
          </w:p>
          <w:p>
            <w:pPr>
              <w:keepNext/>
              <w:widowControl w:val="0"/>
              <w:tabs>
                <w:tab w:val="left" w:pos="1010"/>
              </w:tabs>
              <w:snapToGrid w:val="0"/>
              <w:spacing w:after="0" w:line="360" w:lineRule="auto"/>
              <w:rPr>
                <w:rFonts w:ascii="Times New Roman" w:hAnsi="Times New Roman" w:eastAsia="宋体" w:cs="Times New Roman"/>
                <w:b/>
                <w:color w:val="000000" w:themeColor="text1"/>
                <w:szCs w:val="24"/>
                <w14:textFill>
                  <w14:solidFill>
                    <w14:schemeClr w14:val="tx1"/>
                  </w14:solidFill>
                </w14:textFill>
              </w:rPr>
            </w:pPr>
            <w:r>
              <w:rPr>
                <w:rFonts w:ascii="Times New Roman" w:hAnsi="Times New Roman" w:eastAsia="宋体" w:cs="Times New Roman"/>
                <w:b/>
                <w:color w:val="000000" w:themeColor="text1"/>
                <w:szCs w:val="24"/>
                <w14:textFill>
                  <w14:solidFill>
                    <w14:schemeClr w14:val="tx1"/>
                  </w14:solidFill>
                </w14:textFill>
              </w:rPr>
              <w:t>4.2.9排污口规范化</w:t>
            </w:r>
          </w:p>
          <w:p>
            <w:pPr>
              <w:keepNext/>
              <w:widowControl w:val="0"/>
              <w:snapToGrid w:val="0"/>
              <w:spacing w:line="360" w:lineRule="auto"/>
              <w:ind w:firstLine="480" w:firstLineChars="200"/>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各污染源排放口应设置专项图标，建设单位按照《关于开展排放口规范化整治工作的通知》（环发〔1999〕24 号）和《排污口规范化整治技术要求（试行）》（环监〔1996〕470号）等文件要求，进行排污口规范化设置工作，详见表4.</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-1</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。标志牌应设在与之功能相应的醒目处，并保持清晰、完整。</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 xml:space="preserve"> 各排污口（源）标志牌设置示意图</w:t>
            </w:r>
          </w:p>
          <w:tbl>
            <w:tblPr>
              <w:tblStyle w:val="226"/>
              <w:tblW w:w="86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7"/>
              <w:gridCol w:w="2154"/>
              <w:gridCol w:w="2136"/>
              <w:gridCol w:w="2047"/>
              <w:gridCol w:w="14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949" w:type="dxa"/>
                  <w:vAlign w:val="center"/>
                </w:tcPr>
                <w:p>
                  <w:pPr>
                    <w:pStyle w:val="218"/>
                    <w:keepNext/>
                    <w:widowControl w:val="0"/>
                    <w:adjustRightInd w:val="0"/>
                    <w:snapToGrid w:val="0"/>
                    <w:spacing w:before="0" w:after="0" w:line="240" w:lineRule="auto"/>
                    <w:ind w:firstLine="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排放口</w:t>
                  </w:r>
                </w:p>
              </w:tc>
              <w:tc>
                <w:tcPr>
                  <w:tcW w:w="2180" w:type="dxa"/>
                  <w:vAlign w:val="center"/>
                </w:tcPr>
                <w:p>
                  <w:pPr>
                    <w:pStyle w:val="218"/>
                    <w:keepNext/>
                    <w:widowControl w:val="0"/>
                    <w:adjustRightInd w:val="0"/>
                    <w:snapToGrid w:val="0"/>
                    <w:spacing w:before="0" w:after="0" w:line="240" w:lineRule="auto"/>
                    <w:ind w:firstLine="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废气排放</w:t>
                  </w:r>
                </w:p>
              </w:tc>
              <w:tc>
                <w:tcPr>
                  <w:tcW w:w="2164" w:type="dxa"/>
                  <w:vAlign w:val="center"/>
                </w:tcPr>
                <w:p>
                  <w:pPr>
                    <w:pStyle w:val="218"/>
                    <w:keepNext/>
                    <w:widowControl w:val="0"/>
                    <w:adjustRightInd w:val="0"/>
                    <w:snapToGrid w:val="0"/>
                    <w:spacing w:before="0" w:after="0" w:line="240" w:lineRule="auto"/>
                    <w:ind w:firstLine="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一般固废</w:t>
                  </w:r>
                </w:p>
              </w:tc>
              <w:tc>
                <w:tcPr>
                  <w:tcW w:w="2086" w:type="dxa"/>
                  <w:vAlign w:val="center"/>
                </w:tcPr>
                <w:p>
                  <w:pPr>
                    <w:pStyle w:val="218"/>
                    <w:keepNext/>
                    <w:widowControl w:val="0"/>
                    <w:adjustRightInd w:val="0"/>
                    <w:snapToGrid w:val="0"/>
                    <w:spacing w:before="0" w:after="0" w:line="240" w:lineRule="auto"/>
                    <w:ind w:firstLine="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噪声源</w:t>
                  </w:r>
                </w:p>
              </w:tc>
              <w:tc>
                <w:tcPr>
                  <w:tcW w:w="1241" w:type="dxa"/>
                  <w:vAlign w:val="center"/>
                </w:tcPr>
                <w:p>
                  <w:pPr>
                    <w:pStyle w:val="218"/>
                    <w:keepNext/>
                    <w:widowControl w:val="0"/>
                    <w:adjustRightInd w:val="0"/>
                    <w:snapToGrid w:val="0"/>
                    <w:spacing w:before="0" w:after="0" w:line="240" w:lineRule="auto"/>
                    <w:ind w:firstLine="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危废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vAlign w:val="center"/>
                </w:tcPr>
                <w:p>
                  <w:pPr>
                    <w:pStyle w:val="218"/>
                    <w:keepNext/>
                    <w:widowControl w:val="0"/>
                    <w:adjustRightInd w:val="0"/>
                    <w:snapToGrid w:val="0"/>
                    <w:spacing w:before="0" w:after="0" w:line="240" w:lineRule="auto"/>
                    <w:ind w:firstLine="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图形符号</w:t>
                  </w:r>
                </w:p>
              </w:tc>
              <w:tc>
                <w:tcPr>
                  <w:tcW w:w="2180" w:type="dxa"/>
                  <w:vAlign w:val="center"/>
                </w:tcPr>
                <w:p>
                  <w:pPr>
                    <w:pStyle w:val="219"/>
                    <w:keepNext/>
                    <w:widowControl w:val="0"/>
                    <w:snapToGrid w:val="0"/>
                    <w:rPr>
                      <w:rFonts w:eastAsia="宋体"/>
                      <w:bCs/>
                      <w:color w:val="000000" w:themeColor="text1"/>
                      <w:szCs w:val="21"/>
                      <w14:textFill>
                        <w14:solidFill>
                          <w14:schemeClr w14:val="tx1"/>
                        </w14:solidFill>
                      </w14:textFill>
                    </w:rPr>
                  </w:pPr>
                  <w:r>
                    <w:rPr>
                      <w:rFonts w:eastAsia="宋体"/>
                      <w:color w:val="000000" w:themeColor="text1"/>
                      <w14:textFill>
                        <w14:solidFill>
                          <w14:schemeClr w14:val="tx1"/>
                        </w14:solidFill>
                      </w14:textFill>
                    </w:rPr>
                    <w:drawing>
                      <wp:inline distT="0" distB="0" distL="114300" distR="114300">
                        <wp:extent cx="1133475" cy="838835"/>
                        <wp:effectExtent l="0" t="0" r="9525" b="18415"/>
                        <wp:docPr id="61"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2"/>
                                <pic:cNvPicPr>
                                  <a:picLocks noChangeAspect="1"/>
                                </pic:cNvPicPr>
                              </pic:nvPicPr>
                              <pic:blipFill>
                                <a:blip r:embed="rId44"/>
                                <a:stretch>
                                  <a:fillRect/>
                                </a:stretch>
                              </pic:blipFill>
                              <pic:spPr>
                                <a:xfrm>
                                  <a:off x="0" y="0"/>
                                  <a:ext cx="1133475" cy="838835"/>
                                </a:xfrm>
                                <a:prstGeom prst="rect">
                                  <a:avLst/>
                                </a:prstGeom>
                                <a:noFill/>
                                <a:ln>
                                  <a:noFill/>
                                </a:ln>
                              </pic:spPr>
                            </pic:pic>
                          </a:graphicData>
                        </a:graphic>
                      </wp:inline>
                    </w:drawing>
                  </w:r>
                </w:p>
              </w:tc>
              <w:tc>
                <w:tcPr>
                  <w:tcW w:w="2164" w:type="dxa"/>
                  <w:vAlign w:val="center"/>
                </w:tcPr>
                <w:p>
                  <w:pPr>
                    <w:pStyle w:val="219"/>
                    <w:keepNext/>
                    <w:widowControl w:val="0"/>
                    <w:snapToGrid w:val="0"/>
                    <w:rPr>
                      <w:rFonts w:eastAsia="宋体"/>
                      <w:bCs/>
                      <w:color w:val="000000" w:themeColor="text1"/>
                      <w:szCs w:val="21"/>
                      <w14:textFill>
                        <w14:solidFill>
                          <w14:schemeClr w14:val="tx1"/>
                        </w14:solidFill>
                      </w14:textFill>
                    </w:rPr>
                  </w:pPr>
                  <w:r>
                    <w:rPr>
                      <w:rFonts w:eastAsia="宋体"/>
                      <w:color w:val="000000" w:themeColor="text1"/>
                      <w14:textFill>
                        <w14:solidFill>
                          <w14:schemeClr w14:val="tx1"/>
                        </w14:solidFill>
                      </w14:textFill>
                    </w:rPr>
                    <w:drawing>
                      <wp:inline distT="0" distB="0" distL="114300" distR="114300">
                        <wp:extent cx="1105535" cy="872490"/>
                        <wp:effectExtent l="0" t="0" r="18415" b="3810"/>
                        <wp:docPr id="62"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3"/>
                                <pic:cNvPicPr>
                                  <a:picLocks noChangeAspect="1"/>
                                </pic:cNvPicPr>
                              </pic:nvPicPr>
                              <pic:blipFill>
                                <a:blip r:embed="rId45"/>
                                <a:stretch>
                                  <a:fillRect/>
                                </a:stretch>
                              </pic:blipFill>
                              <pic:spPr>
                                <a:xfrm>
                                  <a:off x="0" y="0"/>
                                  <a:ext cx="1105535" cy="872490"/>
                                </a:xfrm>
                                <a:prstGeom prst="rect">
                                  <a:avLst/>
                                </a:prstGeom>
                                <a:noFill/>
                                <a:ln>
                                  <a:noFill/>
                                </a:ln>
                              </pic:spPr>
                            </pic:pic>
                          </a:graphicData>
                        </a:graphic>
                      </wp:inline>
                    </w:drawing>
                  </w:r>
                </w:p>
              </w:tc>
              <w:tc>
                <w:tcPr>
                  <w:tcW w:w="2086" w:type="dxa"/>
                  <w:vAlign w:val="center"/>
                </w:tcPr>
                <w:p>
                  <w:pPr>
                    <w:pStyle w:val="219"/>
                    <w:keepNext/>
                    <w:widowControl w:val="0"/>
                    <w:snapToGrid w:val="0"/>
                    <w:rPr>
                      <w:rFonts w:eastAsia="宋体"/>
                      <w:bCs/>
                      <w:color w:val="000000" w:themeColor="text1"/>
                      <w:szCs w:val="21"/>
                      <w14:textFill>
                        <w14:solidFill>
                          <w14:schemeClr w14:val="tx1"/>
                        </w14:solidFill>
                      </w14:textFill>
                    </w:rPr>
                  </w:pPr>
                  <w:r>
                    <w:rPr>
                      <w:rFonts w:eastAsia="宋体"/>
                      <w:bCs/>
                      <w:color w:val="000000" w:themeColor="text1"/>
                      <w:szCs w:val="21"/>
                      <w14:textFill>
                        <w14:solidFill>
                          <w14:schemeClr w14:val="tx1"/>
                        </w14:solidFill>
                      </w14:textFill>
                    </w:rPr>
                    <w:drawing>
                      <wp:inline distT="0" distB="0" distL="114300" distR="114300">
                        <wp:extent cx="1010285" cy="838200"/>
                        <wp:effectExtent l="0" t="0" r="18415" b="0"/>
                        <wp:docPr id="63" name="图片 689" descr="13005_dis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89" descr="13005_disp100"/>
                                <pic:cNvPicPr>
                                  <a:picLocks noChangeAspect="1"/>
                                </pic:cNvPicPr>
                              </pic:nvPicPr>
                              <pic:blipFill>
                                <a:blip r:embed="rId46"/>
                                <a:stretch>
                                  <a:fillRect/>
                                </a:stretch>
                              </pic:blipFill>
                              <pic:spPr>
                                <a:xfrm>
                                  <a:off x="0" y="0"/>
                                  <a:ext cx="1010285" cy="838200"/>
                                </a:xfrm>
                                <a:prstGeom prst="rect">
                                  <a:avLst/>
                                </a:prstGeom>
                                <a:noFill/>
                                <a:ln>
                                  <a:noFill/>
                                </a:ln>
                              </pic:spPr>
                            </pic:pic>
                          </a:graphicData>
                        </a:graphic>
                      </wp:inline>
                    </w:drawing>
                  </w:r>
                </w:p>
              </w:tc>
              <w:tc>
                <w:tcPr>
                  <w:tcW w:w="1241" w:type="dxa"/>
                  <w:vAlign w:val="center"/>
                </w:tcPr>
                <w:p>
                  <w:pPr>
                    <w:pStyle w:val="219"/>
                    <w:keepNext/>
                    <w:widowControl w:val="0"/>
                    <w:snapToGrid w:val="0"/>
                    <w:rPr>
                      <w:rFonts w:eastAsia="宋体"/>
                      <w:bCs/>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752475" cy="762000"/>
                        <wp:effectExtent l="0" t="0" r="9525" b="0"/>
                        <wp:docPr id="164472674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26748" name="图片 1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752475" cy="762000"/>
                                </a:xfrm>
                                <a:prstGeom prst="rect">
                                  <a:avLst/>
                                </a:prstGeom>
                                <a:noFill/>
                                <a:ln>
                                  <a:noFill/>
                                </a:ln>
                                <a:effectLst/>
                              </pic:spPr>
                            </pic:pic>
                          </a:graphicData>
                        </a:graphic>
                      </wp:inline>
                    </w:drawing>
                  </w:r>
                </w:p>
              </w:tc>
            </w:tr>
          </w:tbl>
          <w:p>
            <w:pPr>
              <w:keepNext/>
              <w:widowControl w:val="0"/>
              <w:snapToGrid w:val="0"/>
              <w:spacing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4.2.10竣工环保验收</w:t>
            </w:r>
          </w:p>
          <w:p>
            <w:pPr>
              <w:keepNext/>
              <w:widowControl w:val="0"/>
              <w:snapToGrid w:val="0"/>
              <w:spacing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单位应按照国家及本市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pPr>
              <w:keepNext/>
              <w:widowControl w:val="0"/>
              <w:snapToGrid w:val="0"/>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4.2.11环保投资估算</w:t>
            </w:r>
          </w:p>
          <w:p>
            <w:pPr>
              <w:pStyle w:val="19"/>
              <w:keepNext/>
              <w:widowControl w:val="0"/>
              <w:spacing w:before="0" w:after="0" w:line="360" w:lineRule="auto"/>
              <w:ind w:right="0"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本项目环保投资</w:t>
            </w:r>
            <w:r>
              <w:rPr>
                <w:rFonts w:hint="eastAsia" w:ascii="Times New Roman" w:hAnsi="Times New Roman" w:cs="Times New Roman"/>
                <w:color w:val="000000" w:themeColor="text1"/>
                <w:sz w:val="24"/>
                <w:szCs w:val="24"/>
                <w14:textFill>
                  <w14:solidFill>
                    <w14:schemeClr w14:val="tx1"/>
                  </w14:solidFill>
                </w14:textFill>
              </w:rPr>
              <w:t>204.5</w:t>
            </w:r>
            <w:r>
              <w:rPr>
                <w:rFonts w:ascii="Times New Roman" w:hAnsi="Times New Roman" w:eastAsia="宋体" w:cs="Times New Roman"/>
                <w:color w:val="000000" w:themeColor="text1"/>
                <w:sz w:val="24"/>
                <w:szCs w:val="24"/>
                <w14:textFill>
                  <w14:solidFill>
                    <w14:schemeClr w14:val="tx1"/>
                  </w14:solidFill>
                </w14:textFill>
              </w:rPr>
              <w:t>万元，占项目总投资</w:t>
            </w:r>
            <w:r>
              <w:rPr>
                <w:rFonts w:ascii="Times New Roman" w:hAnsi="Times New Roman" w:cs="Times New Roman"/>
                <w:color w:val="000000" w:themeColor="text1"/>
                <w:sz w:val="24"/>
                <w:szCs w:val="24"/>
                <w14:textFill>
                  <w14:solidFill>
                    <w14:schemeClr w14:val="tx1"/>
                  </w14:solidFill>
                </w14:textFill>
              </w:rPr>
              <w:t>1500</w:t>
            </w:r>
            <w:r>
              <w:rPr>
                <w:rFonts w:ascii="Times New Roman" w:hAnsi="Times New Roman" w:eastAsia="宋体" w:cs="Times New Roman"/>
                <w:color w:val="000000" w:themeColor="text1"/>
                <w:sz w:val="24"/>
                <w:szCs w:val="24"/>
                <w14:textFill>
                  <w14:solidFill>
                    <w14:schemeClr w14:val="tx1"/>
                  </w14:solidFill>
                </w14:textFill>
              </w:rPr>
              <w:t>万元的</w:t>
            </w:r>
            <w:r>
              <w:rPr>
                <w:rFonts w:hint="eastAsia" w:ascii="Times New Roman" w:hAnsi="Times New Roman" w:cs="Times New Roman"/>
                <w:color w:val="000000" w:themeColor="text1"/>
                <w:sz w:val="24"/>
                <w:szCs w:val="24"/>
                <w14:textFill>
                  <w14:solidFill>
                    <w14:schemeClr w14:val="tx1"/>
                  </w14:solidFill>
                </w14:textFill>
              </w:rPr>
              <w:t>13.6</w:t>
            </w:r>
            <w:r>
              <w:rPr>
                <w:rFonts w:ascii="Times New Roman" w:hAnsi="Times New Roman" w:eastAsia="宋体" w:cs="Times New Roman"/>
                <w:color w:val="000000" w:themeColor="text1"/>
                <w:sz w:val="24"/>
                <w:szCs w:val="24"/>
                <w14:textFill>
                  <w14:solidFill>
                    <w14:schemeClr w14:val="tx1"/>
                  </w14:solidFill>
                </w14:textFill>
              </w:rPr>
              <w:t>%。项目的环保投资主要用于处理废气、废水和噪声等，建设单位在环保方面进行投资后可将环境污染降至最低，以促进环境资源的可持续发展。项目环保投资详情见下表。</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4.2-13</w:t>
            </w:r>
            <w:r>
              <w:rPr>
                <w:color w:val="000000" w:themeColor="text1"/>
                <w14:textFill>
                  <w14:solidFill>
                    <w14:schemeClr w14:val="tx1"/>
                  </w14:solidFill>
                </w14:textFill>
              </w:rPr>
              <w:t xml:space="preserve"> 环保投资一览表</w:t>
            </w:r>
          </w:p>
          <w:tbl>
            <w:tblPr>
              <w:tblStyle w:val="226"/>
              <w:tblW w:w="85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855"/>
              <w:gridCol w:w="2497"/>
              <w:gridCol w:w="1099"/>
              <w:gridCol w:w="1170"/>
              <w:gridCol w:w="12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85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功能</w:t>
                  </w:r>
                </w:p>
              </w:tc>
              <w:tc>
                <w:tcPr>
                  <w:tcW w:w="109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单价</w:t>
                  </w:r>
                </w:p>
                <w:p>
                  <w:pPr>
                    <w:pStyle w:val="221"/>
                    <w:rPr>
                      <w:color w:val="000000" w:themeColor="text1"/>
                      <w14:textFill>
                        <w14:solidFill>
                          <w14:schemeClr w14:val="tx1"/>
                        </w14:solidFill>
                      </w14:textFill>
                    </w:rPr>
                  </w:pPr>
                  <w:r>
                    <w:rPr>
                      <w:color w:val="000000" w:themeColor="text1"/>
                      <w14:textFill>
                        <w14:solidFill>
                          <w14:schemeClr w14:val="tx1"/>
                        </w14:solidFill>
                      </w14:textFill>
                    </w:rPr>
                    <w:t>（万元）</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12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总价</w:t>
                  </w:r>
                </w:p>
                <w:p>
                  <w:pPr>
                    <w:pStyle w:val="221"/>
                    <w:rPr>
                      <w:color w:val="000000" w:themeColor="text1"/>
                      <w14:textFill>
                        <w14:solidFill>
                          <w14:schemeClr w14:val="tx1"/>
                        </w14:solidFill>
                      </w14:textFill>
                    </w:rPr>
                  </w:pPr>
                  <w:r>
                    <w:rPr>
                      <w:color w:val="000000" w:themeColor="text1"/>
                      <w14:textFill>
                        <w14:solidFill>
                          <w14:schemeClr w14:val="tx1"/>
                        </w14:solidFill>
                      </w14:textFill>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5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集气罩（管）+负压集气系统</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生产设施废气收集</w:t>
                  </w:r>
                </w:p>
              </w:tc>
              <w:tc>
                <w:tcPr>
                  <w:tcW w:w="109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80</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1套</w:t>
                  </w:r>
                </w:p>
              </w:tc>
              <w:tc>
                <w:tcPr>
                  <w:tcW w:w="12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185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单机布袋收尘</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废气处理</w:t>
                  </w:r>
                </w:p>
              </w:tc>
              <w:tc>
                <w:tcPr>
                  <w:tcW w:w="109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1台</w:t>
                  </w:r>
                </w:p>
              </w:tc>
              <w:tc>
                <w:tcPr>
                  <w:tcW w:w="12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1855" w:type="dxa"/>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二级活性炭吸附</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废气处理</w:t>
                  </w:r>
                </w:p>
              </w:tc>
              <w:tc>
                <w:tcPr>
                  <w:tcW w:w="109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1套</w:t>
                  </w:r>
                </w:p>
              </w:tc>
              <w:tc>
                <w:tcPr>
                  <w:tcW w:w="12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4</w:t>
                  </w:r>
                </w:p>
              </w:tc>
              <w:tc>
                <w:tcPr>
                  <w:tcW w:w="185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噪声处理装置</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降低厂区生产噪声</w:t>
                  </w:r>
                </w:p>
              </w:tc>
              <w:tc>
                <w:tcPr>
                  <w:tcW w:w="109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50台</w:t>
                  </w:r>
                </w:p>
              </w:tc>
              <w:tc>
                <w:tcPr>
                  <w:tcW w:w="12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185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废水处理站</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废水处理</w:t>
                  </w:r>
                </w:p>
              </w:tc>
              <w:tc>
                <w:tcPr>
                  <w:tcW w:w="1099"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1项</w:t>
                  </w:r>
                </w:p>
              </w:tc>
              <w:tc>
                <w:tcPr>
                  <w:tcW w:w="12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6</w:t>
                  </w:r>
                </w:p>
              </w:tc>
              <w:tc>
                <w:tcPr>
                  <w:tcW w:w="185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环保预留资金</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09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1项</w:t>
                  </w:r>
                </w:p>
              </w:tc>
              <w:tc>
                <w:tcPr>
                  <w:tcW w:w="12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总计</w:t>
                  </w:r>
                </w:p>
              </w:tc>
              <w:tc>
                <w:tcPr>
                  <w:tcW w:w="1855"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497"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099"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170"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2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204.5</w:t>
                  </w:r>
                </w:p>
              </w:tc>
            </w:tr>
          </w:tbl>
          <w:p>
            <w:pPr>
              <w:pStyle w:val="171"/>
              <w:widowControl w:val="0"/>
              <w:topLinePunct/>
              <w:spacing w:after="0"/>
              <w:ind w:firstLine="0" w:firstLineChars="0"/>
              <w:rPr>
                <w:rFonts w:ascii="Times New Roman" w:hAnsi="Times New Roman" w:eastAsia="宋体" w:cs="Times New Roman"/>
                <w:b/>
                <w:color w:val="000000" w:themeColor="text1"/>
                <w:szCs w:val="24"/>
                <w14:textFill>
                  <w14:solidFill>
                    <w14:schemeClr w14:val="tx1"/>
                  </w14:solidFill>
                </w14:textFill>
              </w:rPr>
            </w:pPr>
            <w:r>
              <w:rPr>
                <w:rFonts w:hint="eastAsia" w:ascii="Times New Roman" w:hAnsi="Times New Roman" w:eastAsia="宋体" w:cs="Times New Roman"/>
                <w:b/>
                <w:color w:val="000000" w:themeColor="text1"/>
                <w:szCs w:val="24"/>
                <w14:textFill>
                  <w14:solidFill>
                    <w14:schemeClr w14:val="tx1"/>
                  </w14:solidFill>
                </w14:textFill>
              </w:rPr>
              <w:t>4.2.12 三本账分析</w:t>
            </w:r>
          </w:p>
          <w:p>
            <w:pPr>
              <w:keepNext/>
              <w:autoSpaceDE w:val="0"/>
              <w:snapToGrid w:val="0"/>
              <w:spacing w:after="0" w:line="360" w:lineRule="auto"/>
              <w:ind w:firstLine="480" w:firstLineChars="200"/>
              <w:rPr>
                <w:color w:val="000000" w:themeColor="text1"/>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根据拟建项目和本项目和现有项目污染源核算，全厂“三本账”分析如下：</w:t>
            </w:r>
          </w:p>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 xml:space="preserve">.2-14 </w:t>
            </w:r>
            <w:r>
              <w:rPr>
                <w:color w:val="000000" w:themeColor="text1"/>
                <w14:textFill>
                  <w14:solidFill>
                    <w14:schemeClr w14:val="tx1"/>
                  </w14:solidFill>
                </w14:textFill>
              </w:rPr>
              <w:t>项目扩建前后污染物排放“三本账”</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1122"/>
              <w:gridCol w:w="1210"/>
              <w:gridCol w:w="1038"/>
              <w:gridCol w:w="1038"/>
              <w:gridCol w:w="1248"/>
              <w:gridCol w:w="1150"/>
              <w:gridCol w:w="9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类别</w:t>
                  </w: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污染物名称</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现有工程排放量（实际验收量）</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已批未建工程</w:t>
                  </w:r>
                  <w:r>
                    <w:rPr>
                      <w:rFonts w:ascii="Times New Roman" w:hAnsi="Times New Roman" w:cs="Times New Roman"/>
                      <w:color w:val="000000" w:themeColor="text1"/>
                      <w:sz w:val="21"/>
                      <w:szCs w:val="21"/>
                      <w14:textFill>
                        <w14:solidFill>
                          <w14:schemeClr w14:val="tx1"/>
                        </w14:solidFill>
                      </w14:textFill>
                    </w:rPr>
                    <w:t>环评批复排放量</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扩建项目排放量</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“以新带老”削减量</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扩建后总体工程排放量t/a</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排放增减量t/a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restar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颗粒物</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0.0031</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0.0022</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0.098</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0.1</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非甲烷总烃</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0.0213</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0.049</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0.07</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w:t>
                  </w:r>
                  <w:r>
                    <w:rPr>
                      <w:rFonts w:hint="eastAsia" w:ascii="Times New Roman" w:hAnsi="Times New Roman" w:eastAsia="宋体" w:cs="Times New Roman"/>
                      <w:color w:val="000000" w:themeColor="text1"/>
                      <w:spacing w:val="3"/>
                      <w:sz w:val="21"/>
                      <w:szCs w:val="21"/>
                      <w14:textFill>
                        <w14:solidFill>
                          <w14:schemeClr w14:val="tx1"/>
                        </w14:solidFill>
                      </w14:textFill>
                    </w:rPr>
                    <w:t>0.049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甲苯及二甲苯</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0.221</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0.221</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+0.221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酚类</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0.028</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0.028</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硫化氢</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0.0009</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0.0009</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油烟</w:t>
                  </w:r>
                </w:p>
              </w:tc>
              <w:tc>
                <w:tcPr>
                  <w:tcW w:w="7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0.008</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0.008</w:t>
                  </w:r>
                </w:p>
              </w:tc>
              <w:tc>
                <w:tcPr>
                  <w:tcW w:w="579"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restar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w:t>
                  </w: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污水量</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2668</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1036.8</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3724.8</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0.12</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0.42</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动植</w:t>
                  </w:r>
                </w:p>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物油</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BOD</w:t>
                  </w:r>
                  <w:r>
                    <w:rPr>
                      <w:rFonts w:ascii="Times New Roman" w:hAnsi="Times New Roman" w:cs="Times New Roman"/>
                      <w:color w:val="000000" w:themeColor="text1"/>
                      <w:sz w:val="21"/>
                      <w:szCs w:val="21"/>
                      <w:vertAlign w:val="subscript"/>
                      <w14:textFill>
                        <w14:solidFill>
                          <w14:schemeClr w14:val="tx1"/>
                        </w14:solidFill>
                      </w14:textFill>
                    </w:rPr>
                    <w:t>5</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0.039</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0.059</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NH</w:t>
                  </w:r>
                  <w:r>
                    <w:rPr>
                      <w:rFonts w:ascii="Times New Roman" w:hAnsi="Times New Roman" w:cs="Times New Roman"/>
                      <w:color w:val="000000" w:themeColor="text1"/>
                      <w:sz w:val="21"/>
                      <w:szCs w:val="21"/>
                      <w:vertAlign w:val="sub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-N</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SS</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0.14</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0.19</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restar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固废</w:t>
                  </w: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残次品</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1.12</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2</w:t>
                  </w:r>
                  <w:r>
                    <w:rPr>
                      <w:rFonts w:ascii="Times New Roman" w:hAnsi="Times New Roman" w:eastAsia="宋体" w:cs="Times New Roman"/>
                      <w:color w:val="000000" w:themeColor="text1"/>
                      <w:spacing w:val="3"/>
                      <w:sz w:val="21"/>
                      <w:szCs w:val="21"/>
                      <w14:textFill>
                        <w14:solidFill>
                          <w14:schemeClr w14:val="tx1"/>
                        </w14:solidFill>
                      </w14:textFill>
                    </w:rPr>
                    <w:t>.12</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废包装材料</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0.01</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0.01</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废弃组装件</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2.1</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7.6</w:t>
                  </w:r>
                </w:p>
              </w:tc>
              <w:tc>
                <w:tcPr>
                  <w:tcW w:w="579"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废边</w:t>
                  </w:r>
                </w:p>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角料</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0.05</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25.05</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废砂纸</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0.01</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0.01</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橡胶及树脂收集粉尘</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0.882</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11.982</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+0.882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废润</w:t>
                  </w:r>
                </w:p>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滑油</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0.1</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0.001</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1.501</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废活</w:t>
                  </w:r>
                </w:p>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性炭</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2.5</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3.23</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14:textFill>
                        <w14:solidFill>
                          <w14:schemeClr w14:val="tx1"/>
                        </w14:solidFill>
                      </w14:textFill>
                    </w:rPr>
                    <w:t>5.73</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w:t>
                  </w:r>
                  <w:r>
                    <w:rPr>
                      <w:rFonts w:hint="eastAsia" w:ascii="Times New Roman" w:hAnsi="Times New Roman" w:eastAsia="宋体" w:cs="Times New Roman"/>
                      <w:color w:val="000000" w:themeColor="text1"/>
                      <w:spacing w:val="3"/>
                      <w:sz w:val="21"/>
                      <w:szCs w:val="21"/>
                      <w14:textFill>
                        <w14:solidFill>
                          <w14:schemeClr w14:val="tx1"/>
                        </w14:solidFill>
                      </w14:textFill>
                    </w:rPr>
                    <w:t>3.23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废包</w:t>
                  </w:r>
                </w:p>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装桶</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0.045</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0.045</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污水处理站污泥</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2.5</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2.5</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含油抹布及其他抹布</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0.03</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0.1</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0.1</w:t>
                  </w:r>
                  <w:r>
                    <w:rPr>
                      <w:rFonts w:hint="eastAsia" w:ascii="Times New Roman" w:hAnsi="Times New Roman" w:eastAsia="宋体" w:cs="Times New Roman"/>
                      <w:color w:val="000000" w:themeColor="text1"/>
                      <w:spacing w:val="3"/>
                      <w:sz w:val="21"/>
                      <w:szCs w:val="21"/>
                      <w14:textFill>
                        <w14:solidFill>
                          <w14:schemeClr w14:val="tx1"/>
                        </w14:solidFill>
                      </w14:textFill>
                    </w:rPr>
                    <w:t>3</w:t>
                  </w:r>
                </w:p>
              </w:tc>
              <w:tc>
                <w:tcPr>
                  <w:tcW w:w="579"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废切</w:t>
                  </w:r>
                </w:p>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削液</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0.9</w:t>
                  </w:r>
                </w:p>
              </w:tc>
              <w:tc>
                <w:tcPr>
                  <w:tcW w:w="579"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3" w:type="pct"/>
                  <w:vMerge w:val="continue"/>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p>
              </w:tc>
              <w:tc>
                <w:tcPr>
                  <w:tcW w:w="651"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废机油</w:t>
                  </w:r>
                </w:p>
              </w:tc>
              <w:tc>
                <w:tcPr>
                  <w:tcW w:w="7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w:t>
                  </w:r>
                </w:p>
              </w:tc>
              <w:tc>
                <w:tcPr>
                  <w:tcW w:w="602"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w:t>
                  </w:r>
                </w:p>
              </w:tc>
              <w:tc>
                <w:tcPr>
                  <w:tcW w:w="602"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c>
                <w:tcPr>
                  <w:tcW w:w="724" w:type="pct"/>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667"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1.5</w:t>
                  </w:r>
                </w:p>
              </w:tc>
              <w:tc>
                <w:tcPr>
                  <w:tcW w:w="579" w:type="pct"/>
                  <w:vAlign w:val="center"/>
                </w:tcPr>
                <w:p>
                  <w:pPr>
                    <w:spacing w:after="0" w:line="240" w:lineRule="auto"/>
                    <w:jc w:val="center"/>
                    <w:rPr>
                      <w:rFonts w:ascii="Times New Roman" w:hAnsi="Times New Roman" w:eastAsia="宋体" w:cs="Times New Roman"/>
                      <w:color w:val="000000" w:themeColor="text1"/>
                      <w:spacing w:val="3"/>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w:t>
                  </w:r>
                </w:p>
              </w:tc>
            </w:tr>
          </w:tbl>
          <w:p>
            <w:pPr>
              <w:pStyle w:val="171"/>
              <w:widowControl w:val="0"/>
              <w:topLinePunct/>
              <w:spacing w:after="0"/>
              <w:ind w:left="480" w:leftChars="200" w:firstLine="0" w:firstLineChars="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cr/>
            </w:r>
          </w:p>
          <w:p>
            <w:pPr>
              <w:pStyle w:val="171"/>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p>
          <w:p>
            <w:pPr>
              <w:pStyle w:val="171"/>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p>
          <w:p>
            <w:pPr>
              <w:pStyle w:val="171"/>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p>
          <w:p>
            <w:pPr>
              <w:pStyle w:val="171"/>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p>
          <w:p>
            <w:pPr>
              <w:pStyle w:val="171"/>
              <w:widowControl w:val="0"/>
              <w:topLinePunct/>
              <w:spacing w:after="0"/>
              <w:ind w:firstLine="0" w:firstLineChars="0"/>
              <w:rPr>
                <w:rFonts w:ascii="Times New Roman" w:hAnsi="Times New Roman" w:eastAsia="宋体" w:cs="Times New Roman"/>
                <w:color w:val="000000" w:themeColor="text1"/>
                <w:szCs w:val="24"/>
                <w14:textFill>
                  <w14:solidFill>
                    <w14:schemeClr w14:val="tx1"/>
                  </w14:solidFill>
                </w14:textFill>
              </w:rPr>
            </w:pPr>
          </w:p>
        </w:tc>
      </w:tr>
    </w:tbl>
    <w:p>
      <w:pPr>
        <w:widowControl w:val="0"/>
        <w:topLinePunct/>
        <w:rPr>
          <w:rFonts w:ascii="Times New Roman" w:hAnsi="Times New Roman" w:eastAsia="宋体" w:cs="Times New Roman"/>
          <w:color w:val="000000" w:themeColor="text1"/>
          <w14:textFill>
            <w14:solidFill>
              <w14:schemeClr w14:val="tx1"/>
            </w14:solidFill>
          </w14:textFill>
        </w:rPr>
        <w:sectPr>
          <w:pgSz w:w="11907" w:h="16840"/>
          <w:pgMar w:top="1417" w:right="1417" w:bottom="1417" w:left="1417" w:header="992" w:footer="992" w:gutter="0"/>
          <w:cols w:space="720" w:num="1"/>
          <w:docGrid w:linePitch="312" w:charSpace="0"/>
        </w:sectPr>
      </w:pPr>
    </w:p>
    <w:p>
      <w:pPr>
        <w:pStyle w:val="29"/>
        <w:widowControl w:val="0"/>
        <w:topLinePunct/>
        <w:spacing w:line="36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9" w:name="_Toc4977"/>
      <w:bookmarkStart w:id="10" w:name="_Toc1441"/>
      <w:r>
        <w:rPr>
          <w:rFonts w:ascii="Times New Roman" w:hAnsi="Times New Roman" w:eastAsia="宋体" w:cs="Times New Roman"/>
          <w:b/>
          <w:bCs/>
          <w:snapToGrid w:val="0"/>
          <w:color w:val="000000" w:themeColor="text1"/>
          <w:sz w:val="32"/>
          <w:szCs w:val="32"/>
          <w14:textFill>
            <w14:solidFill>
              <w14:schemeClr w14:val="tx1"/>
            </w14:solidFill>
          </w14:textFill>
        </w:rPr>
        <w:t>五、</w:t>
      </w:r>
      <w:bookmarkStart w:id="11" w:name="_Hlk54167917"/>
      <w:r>
        <w:rPr>
          <w:rFonts w:ascii="Times New Roman" w:hAnsi="Times New Roman" w:eastAsia="宋体" w:cs="Times New Roman"/>
          <w:b/>
          <w:bCs/>
          <w:snapToGrid w:val="0"/>
          <w:color w:val="000000" w:themeColor="text1"/>
          <w:sz w:val="32"/>
          <w:szCs w:val="32"/>
          <w14:textFill>
            <w14:solidFill>
              <w14:schemeClr w14:val="tx1"/>
            </w14:solidFill>
          </w14:textFill>
        </w:rPr>
        <w:t>环境保护措施监督检查清单</w:t>
      </w:r>
      <w:bookmarkEnd w:id="9"/>
      <w:bookmarkEnd w:id="10"/>
      <w:bookmarkEnd w:id="11"/>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8"/>
        <w:gridCol w:w="607"/>
        <w:gridCol w:w="771"/>
        <w:gridCol w:w="1601"/>
        <w:gridCol w:w="1642"/>
        <w:gridCol w:w="81"/>
        <w:gridCol w:w="1913"/>
        <w:gridCol w:w="17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tcBorders>
              <w:tl2br w:val="single" w:color="auto" w:sz="4" w:space="0"/>
            </w:tcBorders>
            <w:vAlign w:val="center"/>
          </w:tcPr>
          <w:p>
            <w:pPr>
              <w:widowControl w:val="0"/>
              <w:topLinePunct/>
              <w:adjustRightInd w:val="0"/>
              <w:snapToGrid w:val="0"/>
              <w:spacing w:after="0" w:line="240" w:lineRule="auto"/>
              <w:jc w:val="righ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内容</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要素</w:t>
            </w:r>
          </w:p>
        </w:tc>
        <w:tc>
          <w:tcPr>
            <w:tcW w:w="1378" w:type="dxa"/>
            <w:gridSpan w:val="2"/>
            <w:vAlign w:val="center"/>
          </w:tcPr>
          <w:p>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排放口（编号、名称）/污染源</w:t>
            </w:r>
          </w:p>
        </w:tc>
        <w:tc>
          <w:tcPr>
            <w:tcW w:w="1601"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w:t>
            </w:r>
          </w:p>
        </w:tc>
        <w:tc>
          <w:tcPr>
            <w:tcW w:w="1642"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环境保护措施</w:t>
            </w:r>
          </w:p>
        </w:tc>
        <w:tc>
          <w:tcPr>
            <w:tcW w:w="1994" w:type="dxa"/>
            <w:gridSpan w:val="2"/>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执行标准</w:t>
            </w:r>
          </w:p>
        </w:tc>
        <w:tc>
          <w:tcPr>
            <w:tcW w:w="1735"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排放限值（</w:t>
            </w:r>
            <w:r>
              <w:rPr>
                <w:rFonts w:ascii="Times New Roman" w:hAnsi="Times New Roman" w:eastAsia="宋体" w:cs="Times New Roman"/>
                <w:bCs/>
                <w:color w:val="000000" w:themeColor="text1"/>
                <w:sz w:val="21"/>
                <w14:textFill>
                  <w14:solidFill>
                    <w14:schemeClr w14:val="tx1"/>
                  </w14:solidFill>
                </w14:textFill>
              </w:rPr>
              <w:t>mg/m</w:t>
            </w:r>
            <w:r>
              <w:rPr>
                <w:rFonts w:ascii="Times New Roman" w:hAnsi="Times New Roman" w:eastAsia="宋体" w:cs="Times New Roman"/>
                <w:bCs/>
                <w:color w:val="000000" w:themeColor="text1"/>
                <w:sz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938" w:type="dxa"/>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大气环境</w:t>
            </w:r>
          </w:p>
        </w:tc>
        <w:tc>
          <w:tcPr>
            <w:tcW w:w="607" w:type="dxa"/>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DA00</w:t>
            </w:r>
            <w:r>
              <w:rPr>
                <w:rFonts w:hint="eastAsia" w:ascii="Times New Roman" w:hAnsi="Times New Roman" w:eastAsia="宋体" w:cs="Times New Roman"/>
                <w:color w:val="000000" w:themeColor="text1"/>
                <w:sz w:val="21"/>
                <w:szCs w:val="21"/>
                <w14:textFill>
                  <w14:solidFill>
                    <w14:schemeClr w14:val="tx1"/>
                  </w14:solidFill>
                </w14:textFill>
              </w:rPr>
              <w:t>5</w:t>
            </w:r>
          </w:p>
        </w:tc>
        <w:tc>
          <w:tcPr>
            <w:tcW w:w="771" w:type="dxa"/>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注胶、硫化</w:t>
            </w:r>
            <w:r>
              <w:rPr>
                <w:rFonts w:ascii="Times New Roman" w:hAnsi="Times New Roman" w:eastAsia="宋体" w:cs="Times New Roman"/>
                <w:bCs/>
                <w:color w:val="000000" w:themeColor="text1"/>
                <w:sz w:val="21"/>
                <w14:textFill>
                  <w14:solidFill>
                    <w14:schemeClr w14:val="tx1"/>
                  </w14:solidFill>
                </w14:textFill>
              </w:rPr>
              <w:t>工序</w:t>
            </w:r>
          </w:p>
        </w:tc>
        <w:tc>
          <w:tcPr>
            <w:tcW w:w="16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臭气浓度</w:t>
            </w:r>
          </w:p>
        </w:tc>
        <w:tc>
          <w:tcPr>
            <w:tcW w:w="1642" w:type="dxa"/>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车间负压收集+二级活性炭吸附+15米高排气筒（DA005）排放</w:t>
            </w:r>
          </w:p>
        </w:tc>
        <w:tc>
          <w:tcPr>
            <w:tcW w:w="1994" w:type="dxa"/>
            <w:gridSpan w:val="2"/>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《恶臭污染物排放标准》（GB14554-93）表2标准限值</w:t>
            </w:r>
          </w:p>
        </w:tc>
        <w:tc>
          <w:tcPr>
            <w:tcW w:w="1735"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2000（无量纲）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71"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1642" w:type="dxa"/>
            <w:vMerge w:val="continue"/>
            <w:vAlign w:val="center"/>
          </w:tcPr>
          <w:p>
            <w:pPr>
              <w:widowControl w:val="0"/>
              <w:topLinePunct/>
              <w:adjustRightInd w:val="0"/>
              <w:snapToGrid w:val="0"/>
              <w:spacing w:after="0" w:line="240" w:lineRule="auto"/>
              <w:jc w:val="center"/>
              <w:rPr>
                <w:rFonts w:ascii="Times New Roman" w:hAnsi="Times New Roman" w:cs="Times New Roman"/>
                <w:bCs/>
                <w:color w:val="000000" w:themeColor="text1"/>
                <w:sz w:val="21"/>
                <w:szCs w:val="21"/>
                <w14:textFill>
                  <w14:solidFill>
                    <w14:schemeClr w14:val="tx1"/>
                  </w14:solidFill>
                </w14:textFill>
              </w:rPr>
            </w:pPr>
          </w:p>
        </w:tc>
        <w:tc>
          <w:tcPr>
            <w:tcW w:w="1994" w:type="dxa"/>
            <w:gridSpan w:val="2"/>
            <w:vMerge w:val="continue"/>
            <w:vAlign w:val="center"/>
          </w:tcPr>
          <w:p>
            <w:pPr>
              <w:pStyle w:val="119"/>
              <w:widowControl w:val="0"/>
              <w:topLinePunct/>
              <w:adjustRightInd w:val="0"/>
              <w:snapToGrid w:val="0"/>
              <w:spacing w:after="0" w:line="240" w:lineRule="auto"/>
              <w:rPr>
                <w:rFonts w:ascii="Times New Roman" w:hAnsi="Times New Roman" w:eastAsia="宋体" w:cs="Times New Roman"/>
                <w:bCs/>
                <w:color w:val="000000" w:themeColor="text1"/>
                <w:sz w:val="21"/>
                <w14:textFill>
                  <w14:solidFill>
                    <w14:schemeClr w14:val="tx1"/>
                  </w14:solidFill>
                </w14:textFill>
              </w:rPr>
            </w:pPr>
          </w:p>
        </w:tc>
        <w:tc>
          <w:tcPr>
            <w:tcW w:w="1735" w:type="dxa"/>
            <w:vAlign w:val="center"/>
          </w:tcPr>
          <w:p>
            <w:pPr>
              <w:pStyle w:val="119"/>
              <w:widowControl w:val="0"/>
              <w:topLinePunct/>
              <w:adjustRightInd w:val="0"/>
              <w:snapToGrid w:val="0"/>
              <w:spacing w:after="0" w:line="240" w:lineRule="auto"/>
              <w:rPr>
                <w:rFonts w:ascii="Times New Roman" w:hAnsi="Times New Roman" w:eastAsia="宋体" w:cs="Times New Roman"/>
                <w:bCs/>
                <w:color w:val="000000" w:themeColor="text1"/>
                <w:sz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0.33kg/h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71"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非甲烷</w:t>
            </w:r>
          </w:p>
          <w:p>
            <w:pPr>
              <w:pStyle w:val="221"/>
              <w:rPr>
                <w:color w:val="000000" w:themeColor="text1"/>
                <w14:textFill>
                  <w14:solidFill>
                    <w14:schemeClr w14:val="tx1"/>
                  </w14:solidFill>
                </w14:textFill>
              </w:rPr>
            </w:pPr>
            <w:r>
              <w:rPr>
                <w:color w:val="000000" w:themeColor="text1"/>
                <w14:textFill>
                  <w14:solidFill>
                    <w14:schemeClr w14:val="tx1"/>
                  </w14:solidFill>
                </w14:textFill>
              </w:rPr>
              <w:t>总烃</w:t>
            </w:r>
          </w:p>
        </w:tc>
        <w:tc>
          <w:tcPr>
            <w:tcW w:w="1642" w:type="dxa"/>
            <w:vMerge w:val="continue"/>
            <w:vAlign w:val="center"/>
          </w:tcPr>
          <w:p>
            <w:pPr>
              <w:widowControl w:val="0"/>
              <w:topLinePunct/>
              <w:adjustRightInd w:val="0"/>
              <w:snapToGrid w:val="0"/>
              <w:spacing w:after="0" w:line="240" w:lineRule="auto"/>
              <w:jc w:val="center"/>
              <w:rPr>
                <w:rFonts w:ascii="Times New Roman" w:hAnsi="Times New Roman" w:cs="Times New Roman"/>
                <w:bCs/>
                <w:color w:val="000000" w:themeColor="text1"/>
                <w:sz w:val="21"/>
                <w:szCs w:val="21"/>
                <w14:textFill>
                  <w14:solidFill>
                    <w14:schemeClr w14:val="tx1"/>
                  </w14:solidFill>
                </w14:textFill>
              </w:rPr>
            </w:pPr>
          </w:p>
        </w:tc>
        <w:tc>
          <w:tcPr>
            <w:tcW w:w="1994" w:type="dxa"/>
            <w:gridSpan w:val="2"/>
            <w:vAlign w:val="center"/>
          </w:tcPr>
          <w:p>
            <w:pPr>
              <w:pStyle w:val="119"/>
              <w:widowControl w:val="0"/>
              <w:topLinePunct/>
              <w:adjustRightInd w:val="0"/>
              <w:snapToGrid w:val="0"/>
              <w:spacing w:after="0" w:line="240" w:lineRule="auto"/>
              <w:rPr>
                <w:rFonts w:ascii="Times New Roman" w:hAnsi="Times New Roman" w:eastAsia="宋体" w:cs="Times New Roman"/>
                <w:bCs/>
                <w:color w:val="000000" w:themeColor="text1"/>
                <w:sz w:val="21"/>
                <w14:textFill>
                  <w14:solidFill>
                    <w14:schemeClr w14:val="tx1"/>
                  </w14:solidFill>
                </w14:textFill>
              </w:rPr>
            </w:pPr>
            <w:r>
              <w:rPr>
                <w:rFonts w:ascii="Times New Roman" w:hAnsi="Times New Roman" w:eastAsia="宋体" w:cs="Times New Roman"/>
                <w:bCs/>
                <w:color w:val="000000" w:themeColor="text1"/>
                <w:sz w:val="21"/>
                <w14:textFill>
                  <w14:solidFill>
                    <w14:schemeClr w14:val="tx1"/>
                  </w14:solidFill>
                </w14:textFill>
              </w:rPr>
              <w:t>《橡胶制品工业污染物排放标准》(GB27632-2011)表5标准</w:t>
            </w:r>
          </w:p>
        </w:tc>
        <w:tc>
          <w:tcPr>
            <w:tcW w:w="1735" w:type="dxa"/>
            <w:vAlign w:val="center"/>
          </w:tcPr>
          <w:p>
            <w:pPr>
              <w:pStyle w:val="119"/>
              <w:widowControl w:val="0"/>
              <w:topLinePunct/>
              <w:adjustRightInd w:val="0"/>
              <w:snapToGrid w:val="0"/>
              <w:spacing w:after="0" w:line="240" w:lineRule="auto"/>
              <w:rPr>
                <w:rFonts w:ascii="Times New Roman" w:hAnsi="Times New Roman" w:eastAsia="宋体" w:cs="Times New Roman"/>
                <w:bCs/>
                <w:color w:val="000000" w:themeColor="text1"/>
                <w:sz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10</w:t>
            </w:r>
            <w:r>
              <w:rPr>
                <w:rFonts w:ascii="Times New Roman" w:hAnsi="Times New Roman" w:eastAsia="宋体" w:cs="Times New Roman"/>
                <w:bCs/>
                <w:color w:val="000000" w:themeColor="text1"/>
                <w:sz w:val="21"/>
                <w14:textFill>
                  <w14:solidFill>
                    <w14:schemeClr w14:val="tx1"/>
                  </w14:solidFill>
                </w14:textFill>
              </w:rPr>
              <w:t xml:space="preserve"> mg/m</w:t>
            </w:r>
            <w:r>
              <w:rPr>
                <w:rFonts w:ascii="Times New Roman" w:hAnsi="Times New Roman" w:eastAsia="宋体" w:cs="Times New Roman"/>
                <w:bCs/>
                <w:color w:val="000000" w:themeColor="text1"/>
                <w:sz w:val="21"/>
                <w:vertAlign w:val="superscript"/>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DA006</w:t>
            </w:r>
          </w:p>
        </w:tc>
        <w:tc>
          <w:tcPr>
            <w:tcW w:w="771" w:type="dxa"/>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涂刷、浇注、固化、二次固化和脱模废气</w:t>
            </w:r>
          </w:p>
        </w:tc>
        <w:tc>
          <w:tcPr>
            <w:tcW w:w="16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甲苯</w:t>
            </w:r>
          </w:p>
        </w:tc>
        <w:tc>
          <w:tcPr>
            <w:tcW w:w="1642" w:type="dxa"/>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车间负压收集+二级活性炭吸附+15米高排气筒（DA006）排放</w:t>
            </w:r>
          </w:p>
        </w:tc>
        <w:tc>
          <w:tcPr>
            <w:tcW w:w="1994" w:type="dxa"/>
            <w:gridSpan w:val="2"/>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《工业涂装工序挥发性有机物排放标准》（DB35/1783-2018）表1标准</w:t>
            </w:r>
          </w:p>
        </w:tc>
        <w:tc>
          <w:tcPr>
            <w:tcW w:w="1735"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mg/m</w:t>
            </w:r>
            <w:r>
              <w:rPr>
                <w:color w:val="000000" w:themeColor="text1"/>
                <w:vertAlign w:val="superscript"/>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71"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二甲苯</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vMerge w:val="continue"/>
            <w:shd w:val="clear" w:color="auto" w:fill="auto"/>
            <w:vAlign w:val="center"/>
          </w:tcPr>
          <w:p>
            <w:pPr>
              <w:pStyle w:val="221"/>
              <w:rPr>
                <w:color w:val="000000" w:themeColor="text1"/>
                <w14:textFill>
                  <w14:solidFill>
                    <w14:schemeClr w14:val="tx1"/>
                  </w14:solidFill>
                </w14:textFill>
              </w:rPr>
            </w:pPr>
          </w:p>
        </w:tc>
        <w:tc>
          <w:tcPr>
            <w:tcW w:w="1735"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w:t>
            </w:r>
            <w:r>
              <w:rPr>
                <w:color w:val="000000" w:themeColor="text1"/>
                <w14:textFill>
                  <w14:solidFill>
                    <w14:schemeClr w14:val="tx1"/>
                  </w14:solidFill>
                </w14:textFill>
              </w:rPr>
              <w:t xml:space="preserve"> mg/m</w:t>
            </w:r>
            <w:r>
              <w:rPr>
                <w:color w:val="000000" w:themeColor="text1"/>
                <w:vertAlign w:val="superscript"/>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71"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vMerge w:val="continue"/>
            <w:shd w:val="clear" w:color="auto" w:fill="auto"/>
            <w:vAlign w:val="center"/>
          </w:tcPr>
          <w:p>
            <w:pPr>
              <w:pStyle w:val="221"/>
              <w:rPr>
                <w:color w:val="000000" w:themeColor="text1"/>
                <w14:textFill>
                  <w14:solidFill>
                    <w14:schemeClr w14:val="tx1"/>
                  </w14:solidFill>
                </w14:textFill>
              </w:rPr>
            </w:pPr>
          </w:p>
        </w:tc>
        <w:tc>
          <w:tcPr>
            <w:tcW w:w="1735"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60</w:t>
            </w:r>
            <w:r>
              <w:rPr>
                <w:color w:val="000000" w:themeColor="text1"/>
                <w14:textFill>
                  <w14:solidFill>
                    <w14:schemeClr w14:val="tx1"/>
                  </w14:solidFill>
                </w14:textFill>
              </w:rPr>
              <w:t xml:space="preserve"> mg/m</w:t>
            </w:r>
            <w:r>
              <w:rPr>
                <w:color w:val="000000" w:themeColor="text1"/>
                <w:vertAlign w:val="superscript"/>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71"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苯系物</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vMerge w:val="continue"/>
            <w:shd w:val="clear" w:color="auto" w:fill="auto"/>
            <w:vAlign w:val="center"/>
          </w:tcPr>
          <w:p>
            <w:pPr>
              <w:pStyle w:val="221"/>
              <w:rPr>
                <w:color w:val="000000" w:themeColor="text1"/>
                <w14:textFill>
                  <w14:solidFill>
                    <w14:schemeClr w14:val="tx1"/>
                  </w14:solidFill>
                </w14:textFill>
              </w:rPr>
            </w:pPr>
          </w:p>
        </w:tc>
        <w:tc>
          <w:tcPr>
            <w:tcW w:w="1735"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w:t>
            </w:r>
            <w:r>
              <w:rPr>
                <w:color w:val="000000" w:themeColor="text1"/>
                <w14:textFill>
                  <w14:solidFill>
                    <w14:schemeClr w14:val="tx1"/>
                  </w14:solidFill>
                </w14:textFill>
              </w:rPr>
              <w:t xml:space="preserve"> mg/m</w:t>
            </w:r>
            <w:r>
              <w:rPr>
                <w:color w:val="000000" w:themeColor="text1"/>
                <w:vertAlign w:val="superscript"/>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71"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酚类</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shd w:val="clear" w:color="auto" w:fill="auto"/>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《合成树脂工业污染物排放标准》(GB31572-2015)表4</w:t>
            </w:r>
          </w:p>
        </w:tc>
        <w:tc>
          <w:tcPr>
            <w:tcW w:w="1735"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 xml:space="preserve"> mg/m</w:t>
            </w:r>
            <w:r>
              <w:rPr>
                <w:color w:val="000000" w:themeColor="text1"/>
                <w:vertAlign w:val="superscript"/>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07"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DA007</w:t>
            </w:r>
          </w:p>
        </w:tc>
        <w:tc>
          <w:tcPr>
            <w:tcW w:w="771"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食堂油烟</w:t>
            </w:r>
          </w:p>
        </w:tc>
        <w:tc>
          <w:tcPr>
            <w:tcW w:w="1601"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油烟</w:t>
            </w:r>
          </w:p>
        </w:tc>
        <w:tc>
          <w:tcPr>
            <w:tcW w:w="1642" w:type="dxa"/>
            <w:vAlign w:val="center"/>
          </w:tcPr>
          <w:p>
            <w:pPr>
              <w:widowControl w:val="0"/>
              <w:topLinePunct/>
              <w:adjustRightInd w:val="0"/>
              <w:snapToGrid w:val="0"/>
              <w:spacing w:after="0" w:line="240" w:lineRule="auto"/>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油烟</w:t>
            </w:r>
            <w:r>
              <w:rPr>
                <w:rFonts w:hint="eastAsia" w:ascii="Times New Roman" w:hAnsi="Times New Roman" w:cs="Times New Roman"/>
                <w:bCs/>
                <w:color w:val="000000" w:themeColor="text1"/>
                <w:sz w:val="21"/>
                <w:szCs w:val="21"/>
                <w14:textFill>
                  <w14:solidFill>
                    <w14:schemeClr w14:val="tx1"/>
                  </w14:solidFill>
                </w14:textFill>
              </w:rPr>
              <w:t>经油烟净化器处理+专用烟道屋顶排放</w:t>
            </w:r>
          </w:p>
        </w:tc>
        <w:tc>
          <w:tcPr>
            <w:tcW w:w="1994" w:type="dxa"/>
            <w:gridSpan w:val="2"/>
            <w:shd w:val="clear" w:color="auto" w:fill="auto"/>
            <w:vAlign w:val="center"/>
          </w:tcPr>
          <w:p>
            <w:pPr>
              <w:pStyle w:val="119"/>
              <w:widowControl w:val="0"/>
              <w:topLinePunct/>
              <w:adjustRightInd w:val="0"/>
              <w:snapToGrid w:val="0"/>
              <w:spacing w:after="0" w:line="240" w:lineRule="auto"/>
              <w:rPr>
                <w:rFonts w:ascii="Times New Roman" w:hAnsi="Times New Roman" w:eastAsia="宋体" w:cs="Times New Roman"/>
                <w:bCs/>
                <w:color w:val="000000" w:themeColor="text1"/>
                <w:sz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w:t>
            </w:r>
          </w:p>
        </w:tc>
        <w:tc>
          <w:tcPr>
            <w:tcW w:w="1735" w:type="dxa"/>
            <w:vAlign w:val="center"/>
          </w:tcPr>
          <w:p>
            <w:pPr>
              <w:pStyle w:val="119"/>
              <w:widowControl w:val="0"/>
              <w:topLinePunct/>
              <w:adjustRightInd w:val="0"/>
              <w:snapToGrid w:val="0"/>
              <w:spacing w:after="0" w:line="240" w:lineRule="auto"/>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restart"/>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w:t>
            </w:r>
          </w:p>
        </w:tc>
        <w:tc>
          <w:tcPr>
            <w:tcW w:w="16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642" w:type="dxa"/>
            <w:vMerge w:val="restart"/>
            <w:vAlign w:val="center"/>
          </w:tcPr>
          <w:p>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加强车间封闭措施和负压集气设施收集效率</w:t>
            </w:r>
          </w:p>
        </w:tc>
        <w:tc>
          <w:tcPr>
            <w:tcW w:w="1994" w:type="dxa"/>
            <w:gridSpan w:val="2"/>
            <w:shd w:val="clear" w:color="auto" w:fill="auto"/>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1.0</w:t>
            </w:r>
            <w:r>
              <w:rPr>
                <w:color w:val="000000" w:themeColor="text1"/>
                <w:szCs w:val="22"/>
                <w14:textFill>
                  <w14:solidFill>
                    <w14:schemeClr w14:val="tx1"/>
                  </w14:solidFill>
                </w14:textFill>
              </w:rPr>
              <w:t xml:space="preserve"> </w:t>
            </w: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1735" w:type="dxa"/>
            <w:vAlign w:val="center"/>
          </w:tcPr>
          <w:p>
            <w:pPr>
              <w:pStyle w:val="221"/>
              <w:rPr>
                <w:bCs/>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《橡胶制品工业污染物排放标准》GB27632-2011)表6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Merge w:val="restart"/>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w:t>
            </w:r>
          </w:p>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总烃</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shd w:val="clear" w:color="auto" w:fill="auto"/>
            <w:vAlign w:val="center"/>
          </w:tcPr>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厂界2.0</w:t>
            </w:r>
            <w:r>
              <w:rPr>
                <w:color w:val="000000" w:themeColor="text1"/>
                <w14:textFill>
                  <w14:solidFill>
                    <w14:schemeClr w14:val="tx1"/>
                  </w14:solidFill>
                </w14:textFill>
              </w:rPr>
              <w:t xml:space="preserve"> </w:t>
            </w: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1735" w:type="dxa"/>
            <w:vMerge w:val="restart"/>
            <w:vAlign w:val="center"/>
          </w:tcPr>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《工业涂装工序挥发性有机物排放标准》（DB35/1783-2018）表4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Merge w:val="continue"/>
            <w:vAlign w:val="center"/>
          </w:tcPr>
          <w:p>
            <w:pPr>
              <w:pStyle w:val="221"/>
              <w:rPr>
                <w:color w:val="000000" w:themeColor="text1"/>
                <w14:textFill>
                  <w14:solidFill>
                    <w14:schemeClr w14:val="tx1"/>
                  </w14:solidFill>
                </w14:textFill>
              </w:rPr>
            </w:pP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shd w:val="clear" w:color="auto" w:fill="auto"/>
            <w:vAlign w:val="center"/>
          </w:tcPr>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厂区内监控点处1h平均浓度值：8.0</w:t>
            </w:r>
            <w:r>
              <w:rPr>
                <w:color w:val="000000" w:themeColor="text1"/>
                <w14:textFill>
                  <w14:solidFill>
                    <w14:schemeClr w14:val="tx1"/>
                  </w14:solidFill>
                </w14:textFill>
              </w:rPr>
              <w:t xml:space="preserve"> </w:t>
            </w: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1735" w:type="dxa"/>
            <w:vMerge w:val="continue"/>
            <w:vAlign w:val="center"/>
          </w:tcPr>
          <w:p>
            <w:pPr>
              <w:pStyle w:val="221"/>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Merge w:val="continue"/>
            <w:vAlign w:val="center"/>
          </w:tcPr>
          <w:p>
            <w:pPr>
              <w:pStyle w:val="221"/>
              <w:rPr>
                <w:color w:val="000000" w:themeColor="text1"/>
                <w14:textFill>
                  <w14:solidFill>
                    <w14:schemeClr w14:val="tx1"/>
                  </w14:solidFill>
                </w14:textFill>
              </w:rPr>
            </w:pP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shd w:val="clear" w:color="auto" w:fill="auto"/>
            <w:vAlign w:val="center"/>
          </w:tcPr>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厂区内监控点处任意一次浓度值：30</w:t>
            </w:r>
            <w:r>
              <w:rPr>
                <w:color w:val="000000" w:themeColor="text1"/>
                <w14:textFill>
                  <w14:solidFill>
                    <w14:schemeClr w14:val="tx1"/>
                  </w14:solidFill>
                </w14:textFill>
              </w:rPr>
              <w:t xml:space="preserve"> </w:t>
            </w: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1735"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《挥发性有机物无组织排放控制标准》(GB 37822-2019)附录A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甲苯</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shd w:val="clear" w:color="auto" w:fill="auto"/>
            <w:vAlign w:val="center"/>
          </w:tcPr>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0.6</w:t>
            </w:r>
            <w:r>
              <w:rPr>
                <w:rFonts w:asciiTheme="minorHAnsi" w:hAnsiTheme="minorHAnsi" w:eastAsiaTheme="minorEastAsia" w:cstheme="minorBidi"/>
                <w:bCs/>
                <w:color w:val="000000" w:themeColor="text1"/>
                <w:sz w:val="24"/>
                <w:szCs w:val="22"/>
                <w14:textFill>
                  <w14:solidFill>
                    <w14:schemeClr w14:val="tx1"/>
                  </w14:solidFill>
                </w14:textFill>
                <w14:ligatures w14:val="none"/>
              </w:rPr>
              <w:t xml:space="preserve"> </w:t>
            </w: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1735" w:type="dxa"/>
            <w:vMerge w:val="restart"/>
            <w:vAlign w:val="center"/>
          </w:tcPr>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《工业涂装工序挥发性有机物排放标准》（DB35/1783-2018）表4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二甲苯</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vAlign w:val="center"/>
          </w:tcPr>
          <w:p>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0.2</w:t>
            </w:r>
            <w:r>
              <w:rPr>
                <w:rFonts w:asciiTheme="minorHAnsi" w:hAnsiTheme="minorHAnsi" w:eastAsiaTheme="minorEastAsia" w:cstheme="minorBidi"/>
                <w:bCs/>
                <w:color w:val="000000" w:themeColor="text1"/>
                <w:sz w:val="24"/>
                <w:szCs w:val="22"/>
                <w14:textFill>
                  <w14:solidFill>
                    <w14:schemeClr w14:val="tx1"/>
                  </w14:solidFill>
                </w14:textFill>
                <w14:ligatures w14:val="none"/>
              </w:rPr>
              <w:t xml:space="preserve"> </w:t>
            </w: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1735" w:type="dxa"/>
            <w:vMerge w:val="continue"/>
            <w:vAlign w:val="center"/>
          </w:tcPr>
          <w:p>
            <w:pPr>
              <w:pStyle w:val="221"/>
              <w:rPr>
                <w:bCs/>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bCs/>
                <w:color w:val="000000" w:themeColor="text1"/>
                <w14:textFill>
                  <w14:solidFill>
                    <w14:schemeClr w14:val="tx1"/>
                  </w14:solidFill>
                </w14:textFill>
              </w:rPr>
              <w:t>臭气浓度</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20（无量纲）</w:t>
            </w:r>
          </w:p>
        </w:tc>
        <w:tc>
          <w:tcPr>
            <w:tcW w:w="1735" w:type="dxa"/>
            <w:vMerge w:val="restart"/>
            <w:vAlign w:val="center"/>
          </w:tcPr>
          <w:p>
            <w:pPr>
              <w:pStyle w:val="221"/>
              <w:rPr>
                <w:bCs/>
                <w:color w:val="000000" w:themeColor="text1"/>
                <w14:textFill>
                  <w14:solidFill>
                    <w14:schemeClr w14:val="tx1"/>
                  </w14:solidFill>
                </w14:textFill>
              </w:rPr>
            </w:pPr>
            <w:r>
              <w:rPr>
                <w:bCs/>
                <w:color w:val="000000" w:themeColor="text1"/>
                <w14:textFill>
                  <w14:solidFill>
                    <w14:schemeClr w14:val="tx1"/>
                  </w14:solidFill>
                </w14:textFill>
              </w:rPr>
              <w:t>《恶臭污染物排放标准》（GB14554-93）表1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78" w:type="dxa"/>
            <w:gridSpan w:val="2"/>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601" w:type="dxa"/>
            <w:vAlign w:val="center"/>
          </w:tcPr>
          <w:p>
            <w:pPr>
              <w:pStyle w:val="221"/>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1642" w:type="dxa"/>
            <w:vMerge w:val="continue"/>
            <w:vAlign w:val="center"/>
          </w:tcPr>
          <w:p>
            <w:pPr>
              <w:pStyle w:val="221"/>
              <w:rPr>
                <w:color w:val="000000" w:themeColor="text1"/>
                <w14:textFill>
                  <w14:solidFill>
                    <w14:schemeClr w14:val="tx1"/>
                  </w14:solidFill>
                </w14:textFill>
              </w:rPr>
            </w:pPr>
          </w:p>
        </w:tc>
        <w:tc>
          <w:tcPr>
            <w:tcW w:w="1994" w:type="dxa"/>
            <w:gridSpan w:val="2"/>
            <w:vAlign w:val="center"/>
          </w:tcPr>
          <w:p>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0.06</w:t>
            </w:r>
            <w:r>
              <w:rPr>
                <w:rFonts w:asciiTheme="minorHAnsi" w:hAnsiTheme="minorHAnsi" w:eastAsiaTheme="minorEastAsia" w:cstheme="minorBidi"/>
                <w:bCs/>
                <w:color w:val="000000" w:themeColor="text1"/>
                <w:sz w:val="24"/>
                <w:szCs w:val="22"/>
                <w14:textFill>
                  <w14:solidFill>
                    <w14:schemeClr w14:val="tx1"/>
                  </w14:solidFill>
                </w14:textFill>
                <w14:ligatures w14:val="none"/>
              </w:rPr>
              <w:t xml:space="preserve"> </w:t>
            </w:r>
            <w:r>
              <w:rPr>
                <w:bCs/>
                <w:color w:val="000000" w:themeColor="text1"/>
                <w14:textFill>
                  <w14:solidFill>
                    <w14:schemeClr w14:val="tx1"/>
                  </w14:solidFill>
                </w14:textFill>
              </w:rPr>
              <w:t>mg/m</w:t>
            </w:r>
            <w:r>
              <w:rPr>
                <w:bCs/>
                <w:color w:val="000000" w:themeColor="text1"/>
                <w:vertAlign w:val="superscript"/>
                <w14:textFill>
                  <w14:solidFill>
                    <w14:schemeClr w14:val="tx1"/>
                  </w14:solidFill>
                </w14:textFill>
              </w:rPr>
              <w:t>3</w:t>
            </w:r>
          </w:p>
        </w:tc>
        <w:tc>
          <w:tcPr>
            <w:tcW w:w="1735" w:type="dxa"/>
            <w:vMerge w:val="continue"/>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地表水</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w:t>
            </w:r>
          </w:p>
        </w:tc>
        <w:tc>
          <w:tcPr>
            <w:tcW w:w="1378" w:type="dxa"/>
            <w:gridSpan w:val="2"/>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清洗废水</w:t>
            </w:r>
          </w:p>
        </w:tc>
        <w:tc>
          <w:tcPr>
            <w:tcW w:w="1601" w:type="dxa"/>
            <w:vAlign w:val="center"/>
          </w:tcPr>
          <w:p>
            <w:pPr>
              <w:pStyle w:val="145"/>
              <w:widowControl w:val="0"/>
              <w:topLinePunct/>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pH</w:t>
            </w:r>
            <w:r>
              <w:rPr>
                <w:rFonts w:hint="eastAsia" w:ascii="Times New Roman" w:hAnsi="Times New Roman" w:eastAsia="宋体" w:cs="Times New Roman"/>
                <w:color w:val="000000" w:themeColor="text1"/>
                <w:sz w:val="21"/>
                <w14:textFill>
                  <w14:solidFill>
                    <w14:schemeClr w14:val="tx1"/>
                  </w14:solidFill>
                </w14:textFill>
              </w:rPr>
              <w:t>、</w:t>
            </w:r>
            <w:r>
              <w:rPr>
                <w:rFonts w:ascii="Times New Roman" w:hAnsi="Times New Roman" w:eastAsia="宋体" w:cs="Times New Roman"/>
                <w:color w:val="000000" w:themeColor="text1"/>
                <w:sz w:val="21"/>
                <w14:textFill>
                  <w14:solidFill>
                    <w14:schemeClr w14:val="tx1"/>
                  </w14:solidFill>
                </w14:textFill>
              </w:rPr>
              <w:t>BOD</w:t>
            </w:r>
            <w:r>
              <w:rPr>
                <w:rFonts w:ascii="Times New Roman" w:hAnsi="Times New Roman" w:eastAsia="宋体" w:cs="Times New Roman"/>
                <w:color w:val="000000" w:themeColor="text1"/>
                <w:sz w:val="21"/>
                <w:vertAlign w:val="subscript"/>
                <w14:textFill>
                  <w14:solidFill>
                    <w14:schemeClr w14:val="tx1"/>
                  </w14:solidFill>
                </w14:textFill>
              </w:rPr>
              <w:t>5</w:t>
            </w:r>
            <w:r>
              <w:rPr>
                <w:rFonts w:hint="eastAsia" w:ascii="Times New Roman" w:hAnsi="Times New Roman" w:eastAsia="宋体" w:cs="Times New Roman"/>
                <w:color w:val="000000" w:themeColor="text1"/>
                <w:sz w:val="21"/>
                <w14:textFill>
                  <w14:solidFill>
                    <w14:schemeClr w14:val="tx1"/>
                  </w14:solidFill>
                </w14:textFill>
              </w:rPr>
              <w:t>、</w:t>
            </w:r>
            <w:r>
              <w:rPr>
                <w:rFonts w:ascii="Times New Roman" w:hAnsi="Times New Roman" w:eastAsia="宋体" w:cs="Times New Roman"/>
                <w:color w:val="000000" w:themeColor="text1"/>
                <w:sz w:val="21"/>
                <w14:textFill>
                  <w14:solidFill>
                    <w14:schemeClr w14:val="tx1"/>
                  </w14:solidFill>
                </w14:textFill>
              </w:rPr>
              <w:t>COD</w:t>
            </w:r>
            <w:r>
              <w:rPr>
                <w:rFonts w:hint="eastAsia" w:ascii="Times New Roman" w:hAnsi="Times New Roman" w:eastAsia="宋体" w:cs="Times New Roman"/>
                <w:color w:val="000000" w:themeColor="text1"/>
                <w:sz w:val="21"/>
                <w14:textFill>
                  <w14:solidFill>
                    <w14:schemeClr w14:val="tx1"/>
                  </w14:solidFill>
                </w14:textFill>
              </w:rPr>
              <w:t>、</w:t>
            </w:r>
            <w:r>
              <w:rPr>
                <w:rFonts w:ascii="Times New Roman" w:hAnsi="Times New Roman" w:eastAsia="宋体" w:cs="Times New Roman"/>
                <w:color w:val="000000" w:themeColor="text1"/>
                <w:sz w:val="21"/>
                <w14:textFill>
                  <w14:solidFill>
                    <w14:schemeClr w14:val="tx1"/>
                  </w14:solidFill>
                </w14:textFill>
              </w:rPr>
              <w:t>SS</w:t>
            </w:r>
            <w:r>
              <w:rPr>
                <w:rFonts w:hint="eastAsia" w:ascii="Times New Roman" w:hAnsi="Times New Roman" w:eastAsia="宋体" w:cs="Times New Roman"/>
                <w:color w:val="000000" w:themeColor="text1"/>
                <w:sz w:val="21"/>
                <w14:textFill>
                  <w14:solidFill>
                    <w14:schemeClr w14:val="tx1"/>
                  </w14:solidFill>
                </w14:textFill>
              </w:rPr>
              <w:t>、石油类、LAS</w:t>
            </w:r>
          </w:p>
        </w:tc>
        <w:tc>
          <w:tcPr>
            <w:tcW w:w="3636" w:type="dxa"/>
            <w:gridSpan w:val="3"/>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经自建污水处理站处理后回用于冷却塔冷却用水</w:t>
            </w:r>
          </w:p>
        </w:tc>
        <w:tc>
          <w:tcPr>
            <w:tcW w:w="1735"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声环境</w:t>
            </w:r>
          </w:p>
        </w:tc>
        <w:tc>
          <w:tcPr>
            <w:tcW w:w="1378" w:type="dxa"/>
            <w:gridSpan w:val="2"/>
            <w:vAlign w:val="center"/>
          </w:tcPr>
          <w:p>
            <w:pPr>
              <w:pStyle w:val="145"/>
              <w:widowControl w:val="0"/>
              <w:topLinePunct/>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车间设备</w:t>
            </w:r>
          </w:p>
        </w:tc>
        <w:tc>
          <w:tcPr>
            <w:tcW w:w="1601" w:type="dxa"/>
            <w:vAlign w:val="center"/>
          </w:tcPr>
          <w:p>
            <w:pPr>
              <w:pStyle w:val="145"/>
              <w:widowControl w:val="0"/>
              <w:topLinePunct/>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噪声</w:t>
            </w:r>
          </w:p>
        </w:tc>
        <w:tc>
          <w:tcPr>
            <w:tcW w:w="1723" w:type="dxa"/>
            <w:gridSpan w:val="2"/>
            <w:vAlign w:val="center"/>
          </w:tcPr>
          <w:p>
            <w:pPr>
              <w:pStyle w:val="145"/>
              <w:widowControl w:val="0"/>
              <w:topLinePunct/>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基础减振、厂房隔声</w:t>
            </w:r>
          </w:p>
        </w:tc>
        <w:tc>
          <w:tcPr>
            <w:tcW w:w="1913" w:type="dxa"/>
            <w:vAlign w:val="center"/>
          </w:tcPr>
          <w:p>
            <w:pPr>
              <w:pStyle w:val="145"/>
              <w:widowControl w:val="0"/>
              <w:topLinePunct/>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厂界执行《工业企业厂界环境噪声排放标准》（GB 12348-2008）3类标准</w:t>
            </w:r>
            <w:r>
              <w:rPr>
                <w:rFonts w:hint="eastAsia" w:ascii="Times New Roman" w:hAnsi="Times New Roman" w:eastAsia="宋体" w:cs="Times New Roman"/>
                <w:color w:val="000000" w:themeColor="text1"/>
                <w:sz w:val="21"/>
                <w14:textFill>
                  <w14:solidFill>
                    <w14:schemeClr w14:val="tx1"/>
                  </w14:solidFill>
                </w14:textFill>
              </w:rPr>
              <w:t>、其中西侧</w:t>
            </w:r>
            <w:r>
              <w:rPr>
                <w:rFonts w:ascii="Times New Roman" w:hAnsi="Times New Roman" w:eastAsia="宋体" w:cs="Times New Roman"/>
                <w:color w:val="000000" w:themeColor="text1"/>
                <w:sz w:val="21"/>
                <w14:textFill>
                  <w14:solidFill>
                    <w14:schemeClr w14:val="tx1"/>
                  </w14:solidFill>
                </w14:textFill>
              </w:rPr>
              <w:t>执行</w:t>
            </w:r>
            <w:r>
              <w:rPr>
                <w:rFonts w:hint="eastAsia" w:ascii="Times New Roman" w:hAnsi="Times New Roman" w:eastAsia="宋体" w:cs="Times New Roman"/>
                <w:color w:val="000000" w:themeColor="text1"/>
                <w:sz w:val="21"/>
                <w14:textFill>
                  <w14:solidFill>
                    <w14:schemeClr w14:val="tx1"/>
                  </w14:solidFill>
                </w14:textFill>
              </w:rPr>
              <w:t>4a</w:t>
            </w:r>
            <w:r>
              <w:rPr>
                <w:rFonts w:ascii="Times New Roman" w:hAnsi="Times New Roman" w:eastAsia="宋体" w:cs="Times New Roman"/>
                <w:color w:val="000000" w:themeColor="text1"/>
                <w:sz w:val="21"/>
                <w14:textFill>
                  <w14:solidFill>
                    <w14:schemeClr w14:val="tx1"/>
                  </w14:solidFill>
                </w14:textFill>
              </w:rPr>
              <w:t>类标准</w:t>
            </w:r>
          </w:p>
        </w:tc>
        <w:tc>
          <w:tcPr>
            <w:tcW w:w="1735" w:type="dxa"/>
            <w:vAlign w:val="center"/>
          </w:tcPr>
          <w:p>
            <w:pPr>
              <w:pStyle w:val="145"/>
              <w:widowControl w:val="0"/>
              <w:topLinePunct/>
              <w:spacing w:after="0" w:line="240" w:lineRule="auto"/>
              <w:ind w:firstLine="420"/>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昼间≤65dB（A）</w:t>
            </w:r>
            <w:r>
              <w:rPr>
                <w:rFonts w:hint="eastAsia" w:ascii="Times New Roman" w:hAnsi="Times New Roman" w:eastAsia="宋体" w:cs="Times New Roman"/>
                <w:color w:val="000000" w:themeColor="text1"/>
                <w:sz w:val="21"/>
                <w14:textFill>
                  <w14:solidFill>
                    <w14:schemeClr w14:val="tx1"/>
                  </w14:solidFill>
                </w14:textFill>
              </w:rPr>
              <w:t>（其中西侧</w:t>
            </w:r>
            <w:r>
              <w:rPr>
                <w:rFonts w:ascii="Times New Roman" w:hAnsi="Times New Roman" w:eastAsia="宋体" w:cs="Times New Roman"/>
                <w:color w:val="000000" w:themeColor="text1"/>
                <w:sz w:val="21"/>
                <w14:textFill>
                  <w14:solidFill>
                    <w14:schemeClr w14:val="tx1"/>
                  </w14:solidFill>
                </w14:textFill>
              </w:rPr>
              <w:t>昼间≤</w:t>
            </w:r>
            <w:r>
              <w:rPr>
                <w:rFonts w:hint="eastAsia" w:ascii="Times New Roman" w:hAnsi="Times New Roman" w:eastAsia="宋体" w:cs="Times New Roman"/>
                <w:color w:val="000000" w:themeColor="text1"/>
                <w:sz w:val="21"/>
                <w14:textFill>
                  <w14:solidFill>
                    <w14:schemeClr w14:val="tx1"/>
                  </w14:solidFill>
                </w14:textFill>
              </w:rPr>
              <w:t>70</w:t>
            </w:r>
            <w:r>
              <w:rPr>
                <w:rFonts w:ascii="Times New Roman" w:hAnsi="Times New Roman" w:eastAsia="宋体" w:cs="Times New Roman"/>
                <w:color w:val="000000" w:themeColor="text1"/>
                <w:sz w:val="21"/>
                <w14:textFill>
                  <w14:solidFill>
                    <w14:schemeClr w14:val="tx1"/>
                  </w14:solidFill>
                </w14:textFill>
              </w:rPr>
              <w:t>dB（A）</w:t>
            </w:r>
            <w:r>
              <w:rPr>
                <w:rFonts w:hint="eastAsia" w:ascii="Times New Roman" w:hAnsi="Times New Roman" w:eastAsia="宋体" w:cs="Times New Roman"/>
                <w:color w:val="000000" w:themeColor="text1"/>
                <w:sz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固体废物</w:t>
            </w:r>
          </w:p>
        </w:tc>
        <w:tc>
          <w:tcPr>
            <w:tcW w:w="8350" w:type="dxa"/>
            <w:gridSpan w:val="7"/>
            <w:vAlign w:val="center"/>
          </w:tcPr>
          <w:p>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fldChar w:fldCharType="begin"/>
            </w:r>
            <w:r>
              <w:rPr>
                <w:rFonts w:ascii="Times New Roman" w:hAnsi="Times New Roman" w:eastAsia="宋体" w:cs="Times New Roman"/>
                <w:color w:val="000000" w:themeColor="text1"/>
                <w:sz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14:textFill>
                  <w14:solidFill>
                    <w14:schemeClr w14:val="tx1"/>
                  </w14:solidFill>
                </w14:textFill>
              </w:rPr>
              <w:instrText xml:space="preserve">= 1 \* GB3</w:instrText>
            </w:r>
            <w:r>
              <w:rPr>
                <w:rFonts w:ascii="Times New Roman" w:hAnsi="Times New Roman" w:eastAsia="宋体" w:cs="Times New Roman"/>
                <w:color w:val="000000" w:themeColor="text1"/>
                <w:sz w:val="21"/>
                <w14:textFill>
                  <w14:solidFill>
                    <w14:schemeClr w14:val="tx1"/>
                  </w14:solidFill>
                </w14:textFill>
              </w:rPr>
              <w:instrText xml:space="preserve"> </w:instrText>
            </w:r>
            <w:r>
              <w:rPr>
                <w:rFonts w:ascii="Times New Roman" w:hAnsi="Times New Roman" w:eastAsia="宋体" w:cs="Times New Roman"/>
                <w:color w:val="000000" w:themeColor="text1"/>
                <w:sz w:val="21"/>
                <w14:textFill>
                  <w14:solidFill>
                    <w14:schemeClr w14:val="tx1"/>
                  </w14:solidFill>
                </w14:textFill>
              </w:rPr>
              <w:fldChar w:fldCharType="separate"/>
            </w:r>
            <w:r>
              <w:rPr>
                <w:rFonts w:hint="eastAsia" w:ascii="Times New Roman" w:hAnsi="Times New Roman" w:eastAsia="宋体" w:cs="Times New Roman"/>
                <w:color w:val="000000" w:themeColor="text1"/>
                <w:sz w:val="21"/>
                <w14:textFill>
                  <w14:solidFill>
                    <w14:schemeClr w14:val="tx1"/>
                  </w14:solidFill>
                </w14:textFill>
              </w:rPr>
              <w:t>①</w:t>
            </w:r>
            <w:r>
              <w:rPr>
                <w:rFonts w:ascii="Times New Roman" w:hAnsi="Times New Roman" w:eastAsia="宋体" w:cs="Times New Roman"/>
                <w:color w:val="000000" w:themeColor="text1"/>
                <w:sz w:val="21"/>
                <w14:textFill>
                  <w14:solidFill>
                    <w14:schemeClr w14:val="tx1"/>
                  </w14:solidFill>
                </w14:textFill>
              </w:rPr>
              <w:fldChar w:fldCharType="end"/>
            </w:r>
            <w:r>
              <w:rPr>
                <w:rFonts w:hint="eastAsia" w:ascii="Times New Roman" w:hAnsi="Times New Roman" w:eastAsia="宋体" w:cs="Times New Roman"/>
                <w:color w:val="000000" w:themeColor="text1"/>
                <w:sz w:val="21"/>
                <w14:textFill>
                  <w14:solidFill>
                    <w14:schemeClr w14:val="tx1"/>
                  </w14:solidFill>
                </w14:textFill>
              </w:rPr>
              <w:t>残次品、废包装袋、修边的废边角料、废砂纸、橡胶及树脂收集粉尘</w:t>
            </w:r>
            <w:r>
              <w:rPr>
                <w:rFonts w:ascii="Times New Roman" w:hAnsi="Times New Roman" w:eastAsia="宋体" w:cs="Times New Roman"/>
                <w:color w:val="000000" w:themeColor="text1"/>
                <w:sz w:val="21"/>
                <w14:textFill>
                  <w14:solidFill>
                    <w14:schemeClr w14:val="tx1"/>
                  </w14:solidFill>
                </w14:textFill>
              </w:rPr>
              <w:t>属于一般固废，集中收集于一般固废间后外售，一般固废间应满足《一般工业固体废物贮存和填埋污染控制标准》（GB18599-2020）的相关要求；</w:t>
            </w:r>
          </w:p>
          <w:p>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fldChar w:fldCharType="begin"/>
            </w:r>
            <w:r>
              <w:rPr>
                <w:rFonts w:ascii="Times New Roman" w:hAnsi="Times New Roman" w:eastAsia="宋体" w:cs="Times New Roman"/>
                <w:color w:val="000000" w:themeColor="text1"/>
                <w:sz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14:textFill>
                  <w14:solidFill>
                    <w14:schemeClr w14:val="tx1"/>
                  </w14:solidFill>
                </w14:textFill>
              </w:rPr>
              <w:instrText xml:space="preserve">= 2 \* GB3</w:instrText>
            </w:r>
            <w:r>
              <w:rPr>
                <w:rFonts w:ascii="Times New Roman" w:hAnsi="Times New Roman" w:eastAsia="宋体" w:cs="Times New Roman"/>
                <w:color w:val="000000" w:themeColor="text1"/>
                <w:sz w:val="21"/>
                <w14:textFill>
                  <w14:solidFill>
                    <w14:schemeClr w14:val="tx1"/>
                  </w14:solidFill>
                </w14:textFill>
              </w:rPr>
              <w:instrText xml:space="preserve"> </w:instrText>
            </w:r>
            <w:r>
              <w:rPr>
                <w:rFonts w:ascii="Times New Roman" w:hAnsi="Times New Roman" w:eastAsia="宋体" w:cs="Times New Roman"/>
                <w:color w:val="000000" w:themeColor="text1"/>
                <w:sz w:val="21"/>
                <w14:textFill>
                  <w14:solidFill>
                    <w14:schemeClr w14:val="tx1"/>
                  </w14:solidFill>
                </w14:textFill>
              </w:rPr>
              <w:fldChar w:fldCharType="separate"/>
            </w:r>
            <w:r>
              <w:rPr>
                <w:rFonts w:hint="eastAsia" w:ascii="Times New Roman" w:hAnsi="Times New Roman" w:eastAsia="宋体" w:cs="Times New Roman"/>
                <w:color w:val="000000" w:themeColor="text1"/>
                <w:sz w:val="21"/>
                <w14:textFill>
                  <w14:solidFill>
                    <w14:schemeClr w14:val="tx1"/>
                  </w14:solidFill>
                </w14:textFill>
              </w:rPr>
              <w:t>②</w:t>
            </w:r>
            <w:r>
              <w:rPr>
                <w:rFonts w:ascii="Times New Roman" w:hAnsi="Times New Roman" w:eastAsia="宋体" w:cs="Times New Roman"/>
                <w:color w:val="000000" w:themeColor="text1"/>
                <w:sz w:val="21"/>
                <w14:textFill>
                  <w14:solidFill>
                    <w14:schemeClr w14:val="tx1"/>
                  </w14:solidFill>
                </w14:textFill>
              </w:rPr>
              <w:fldChar w:fldCharType="end"/>
            </w:r>
            <w:r>
              <w:rPr>
                <w:rFonts w:hint="eastAsia" w:ascii="Times New Roman" w:hAnsi="Times New Roman" w:eastAsia="宋体" w:cs="Times New Roman"/>
                <w:color w:val="000000" w:themeColor="text1"/>
                <w:sz w:val="21"/>
                <w14:textFill>
                  <w14:solidFill>
                    <w14:schemeClr w14:val="tx1"/>
                  </w14:solidFill>
                </w14:textFill>
              </w:rPr>
              <w:t>废润滑油、废活性炭、废包装桶、含油抹布及其他抹布和污水站污泥，暂存于危废暂存间，委托有处置资质单位进行处理</w:t>
            </w:r>
            <w:r>
              <w:rPr>
                <w:rFonts w:ascii="Times New Roman" w:hAnsi="Times New Roman" w:eastAsia="宋体" w:cs="Times New Roman"/>
                <w:color w:val="000000" w:themeColor="text1"/>
                <w:sz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土壤及地下水污染防治措施</w:t>
            </w:r>
          </w:p>
        </w:tc>
        <w:tc>
          <w:tcPr>
            <w:tcW w:w="8350" w:type="dxa"/>
            <w:gridSpan w:val="7"/>
            <w:vAlign w:val="center"/>
          </w:tcPr>
          <w:p>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1#车间</w:t>
            </w:r>
            <w:r>
              <w:rPr>
                <w:rFonts w:ascii="Times New Roman" w:hAnsi="Times New Roman" w:eastAsia="宋体" w:cs="Times New Roman"/>
                <w:color w:val="000000" w:themeColor="text1"/>
                <w:sz w:val="21"/>
                <w:szCs w:val="21"/>
                <w14:textFill>
                  <w14:solidFill>
                    <w14:schemeClr w14:val="tx1"/>
                  </w14:solidFill>
                </w14:textFill>
              </w:rPr>
              <w:t>已全部进行地面硬化，能有效防止渗漏对土壤环境及地下水水质造成污染，污水处理站按一般防渗要求做好防渗措施。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生态保护措施</w:t>
            </w:r>
          </w:p>
        </w:tc>
        <w:tc>
          <w:tcPr>
            <w:tcW w:w="8350" w:type="dxa"/>
            <w:gridSpan w:val="7"/>
            <w:vAlign w:val="center"/>
          </w:tcPr>
          <w:p>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1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加强宣传教育，对职工进行环保知识的教育，提高环保意识和注重环保的自觉性。</w:t>
            </w:r>
          </w:p>
          <w:p>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2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②</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加强厂区绿化，对厂区内现有的植物、草皮、树木做好防护。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环境风险防范措施</w:t>
            </w:r>
          </w:p>
        </w:tc>
        <w:tc>
          <w:tcPr>
            <w:tcW w:w="8350" w:type="dxa"/>
            <w:gridSpan w:val="7"/>
            <w:vAlign w:val="center"/>
          </w:tcPr>
          <w:p>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1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建立健全车间的各项安全管理制度，明确生产车间各岗位人员的责任制和奖惩制度。</w:t>
            </w:r>
          </w:p>
          <w:p>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2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②</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在生产车间配备灭火器等火灾消防器材，配备电气防护用品和防火、防毒的劳保用品，并有专人管理和维护。</w:t>
            </w:r>
          </w:p>
          <w:p>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3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③</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厂区排水实行雨污分流，雨水经雨水管网排入外环境。</w:t>
            </w:r>
          </w:p>
          <w:p>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4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④</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制定废水处理操作规程并上墙，严格按照操作规范的要求进行运行控制，防止误操作导致的废水事故超标排放。</w:t>
            </w:r>
          </w:p>
          <w:p>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5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⑤</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建立巡查制度，定期对</w:t>
            </w:r>
            <w:r>
              <w:rPr>
                <w:rFonts w:hint="eastAsia" w:ascii="Times New Roman" w:hAnsi="Times New Roman" w:eastAsia="宋体" w:cs="Times New Roman"/>
                <w:color w:val="000000" w:themeColor="text1"/>
                <w:sz w:val="21"/>
                <w:szCs w:val="21"/>
                <w14:textFill>
                  <w14:solidFill>
                    <w14:schemeClr w14:val="tx1"/>
                  </w14:solidFill>
                </w14:textFill>
              </w:rPr>
              <w:t>废气</w:t>
            </w:r>
            <w:r>
              <w:rPr>
                <w:rFonts w:ascii="Times New Roman" w:hAnsi="Times New Roman" w:eastAsia="宋体" w:cs="Times New Roman"/>
                <w:color w:val="000000" w:themeColor="text1"/>
                <w:sz w:val="21"/>
                <w:szCs w:val="21"/>
                <w14:textFill>
                  <w14:solidFill>
                    <w14:schemeClr w14:val="tx1"/>
                  </w14:solidFill>
                </w14:textFill>
              </w:rPr>
              <w:t>处理设施进行巡查，并做好记录，发现问题及时停工检修。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8" w:type="dxa"/>
            <w:vAlign w:val="center"/>
          </w:tcPr>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其他环境</w:t>
            </w:r>
          </w:p>
          <w:p>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管理要求</w:t>
            </w:r>
          </w:p>
        </w:tc>
        <w:tc>
          <w:tcPr>
            <w:tcW w:w="8350" w:type="dxa"/>
            <w:gridSpan w:val="7"/>
            <w:vAlign w:val="center"/>
          </w:tcPr>
          <w:p>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（1）制定环保设施的管理制度，加强日常环保管理和环保处理设施的维护和保养；</w:t>
            </w:r>
          </w:p>
          <w:p>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（2）落实环境监测计划。</w:t>
            </w:r>
          </w:p>
          <w:p>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（3）</w:t>
            </w:r>
            <w:r>
              <w:rPr>
                <w:rFonts w:ascii="Times New Roman" w:hAnsi="Times New Roman" w:cs="Times New Roman"/>
                <w:bCs/>
                <w:color w:val="000000" w:themeColor="text1"/>
                <w:sz w:val="21"/>
                <w:szCs w:val="21"/>
                <w14:textFill>
                  <w14:solidFill>
                    <w14:schemeClr w14:val="tx1"/>
                  </w14:solidFill>
                </w14:textFill>
              </w:rPr>
              <w:t>应规范化排污口建设，</w:t>
            </w:r>
            <w:r>
              <w:rPr>
                <w:rFonts w:hint="eastAsia" w:ascii="Times New Roman" w:hAnsi="Times New Roman" w:cs="Times New Roman"/>
                <w:bCs/>
                <w:color w:val="000000" w:themeColor="text1"/>
                <w:sz w:val="21"/>
                <w:szCs w:val="21"/>
                <w14:textFill>
                  <w14:solidFill>
                    <w14:schemeClr w14:val="tx1"/>
                  </w14:solidFill>
                </w14:textFill>
              </w:rPr>
              <w:t>并设置排污口标识牌；</w:t>
            </w:r>
            <w:r>
              <w:rPr>
                <w:rFonts w:ascii="Times New Roman" w:hAnsi="Times New Roman" w:cs="Times New Roman"/>
                <w:bCs/>
                <w:color w:val="000000" w:themeColor="text1"/>
                <w:sz w:val="21"/>
                <w:szCs w:val="21"/>
                <w14:textFill>
                  <w14:solidFill>
                    <w14:schemeClr w14:val="tx1"/>
                  </w14:solidFill>
                </w14:textFill>
              </w:rPr>
              <w:t>按照《固定污染源排污许可分类管理名录（2019版）》中的“</w:t>
            </w:r>
            <w:r>
              <w:rPr>
                <w:rFonts w:hint="eastAsia" w:ascii="Times New Roman" w:hAnsi="Times New Roman" w:cs="Times New Roman"/>
                <w:bCs/>
                <w:color w:val="000000" w:themeColor="text1"/>
                <w:sz w:val="21"/>
                <w:szCs w:val="21"/>
                <w14:textFill>
                  <w14:solidFill>
                    <w14:schemeClr w14:val="tx1"/>
                  </w14:solidFill>
                </w14:textFill>
              </w:rPr>
              <w:t>三十三</w:t>
            </w:r>
            <w:r>
              <w:rPr>
                <w:rFonts w:ascii="Times New Roman" w:hAnsi="Times New Roman" w:cs="Times New Roman"/>
                <w:bCs/>
                <w:color w:val="000000" w:themeColor="text1"/>
                <w:sz w:val="21"/>
                <w:szCs w:val="21"/>
                <w14:textFill>
                  <w14:solidFill>
                    <w14:schemeClr w14:val="tx1"/>
                  </w14:solidFill>
                </w14:textFill>
              </w:rPr>
              <w:t>-电气机械和器材制造业 38电线、电缆、光缆及电工器材制造383”</w:t>
            </w:r>
            <w:r>
              <w:rPr>
                <w:rFonts w:hint="eastAsia" w:ascii="Times New Roman" w:hAnsi="Times New Roman" w:cs="Times New Roman"/>
                <w:bCs/>
                <w:color w:val="000000" w:themeColor="text1"/>
                <w:sz w:val="21"/>
                <w:szCs w:val="21"/>
                <w14:textFill>
                  <w14:solidFill>
                    <w14:schemeClr w14:val="tx1"/>
                  </w14:solidFill>
                </w14:textFill>
              </w:rPr>
              <w:t>，</w:t>
            </w:r>
            <w:r>
              <w:rPr>
                <w:rFonts w:ascii="Times New Roman" w:hAnsi="Times New Roman" w:cs="Times New Roman"/>
                <w:bCs/>
                <w:color w:val="000000" w:themeColor="text1"/>
                <w:sz w:val="21"/>
                <w:szCs w:val="21"/>
                <w14:textFill>
                  <w14:solidFill>
                    <w14:schemeClr w14:val="tx1"/>
                  </w14:solidFill>
                </w14:textFill>
              </w:rPr>
              <w:t>申领排污许可证</w:t>
            </w:r>
            <w:r>
              <w:rPr>
                <w:rFonts w:hint="eastAsia" w:ascii="Times New Roman" w:hAnsi="Times New Roman" w:cs="Times New Roman"/>
                <w:bCs/>
                <w:color w:val="000000" w:themeColor="text1"/>
                <w:sz w:val="21"/>
                <w:szCs w:val="21"/>
                <w14:textFill>
                  <w14:solidFill>
                    <w14:schemeClr w14:val="tx1"/>
                  </w14:solidFill>
                </w14:textFill>
              </w:rPr>
              <w:t>；</w:t>
            </w:r>
          </w:p>
        </w:tc>
      </w:tr>
    </w:tbl>
    <w:p>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pPr>
    </w:p>
    <w:p>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sectPr>
          <w:pgSz w:w="11906" w:h="16838"/>
          <w:pgMar w:top="1417" w:right="1417" w:bottom="1417" w:left="1417" w:header="992" w:footer="992" w:gutter="0"/>
          <w:cols w:space="720" w:num="1"/>
          <w:docGrid w:linePitch="312" w:charSpace="0"/>
        </w:sectPr>
      </w:pPr>
    </w:p>
    <w:p>
      <w:pPr>
        <w:pStyle w:val="29"/>
        <w:widowControl w:val="0"/>
        <w:topLinePunct/>
        <w:jc w:val="cente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sectPr>
          <w:pgSz w:w="11906" w:h="16838"/>
          <w:pgMar w:top="1417" w:right="1417" w:bottom="1417" w:left="1417" w:header="992" w:footer="992" w:gutter="0"/>
          <w:cols w:space="720" w:num="1"/>
          <w:docGrid w:linePitch="312" w:charSpace="0"/>
        </w:sectPr>
      </w:pPr>
      <w:r>
        <w:rPr>
          <w:rFonts w:hint="eastAsia" w:ascii="Times New Roman" w:hAnsi="Times New Roman" w:eastAsia="宋体" w:cs="Times New Roman"/>
          <w:b/>
          <w:bCs/>
          <w:snapToGrid w:val="0"/>
          <w:color w:val="000000" w:themeColor="text1"/>
          <w:sz w:val="32"/>
          <w:szCs w:val="32"/>
          <w:lang w:eastAsia="zh-CN"/>
          <w14:textFill>
            <w14:solidFill>
              <w14:schemeClr w14:val="tx1"/>
            </w14:solidFill>
          </w14:textFill>
        </w:rPr>
        <w:drawing>
          <wp:anchor distT="0" distB="0" distL="114300" distR="114300" simplePos="0" relativeHeight="251777024" behindDoc="1" locked="0" layoutInCell="1" allowOverlap="1">
            <wp:simplePos x="0" y="0"/>
            <wp:positionH relativeFrom="column">
              <wp:posOffset>-908685</wp:posOffset>
            </wp:positionH>
            <wp:positionV relativeFrom="paragraph">
              <wp:posOffset>-908050</wp:posOffset>
            </wp:positionV>
            <wp:extent cx="7574915" cy="10706735"/>
            <wp:effectExtent l="0" t="0" r="6985" b="18415"/>
            <wp:wrapNone/>
            <wp:docPr id="198" name="图片 198" descr="资质扫描材料(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资质扫描材料(1)_7"/>
                    <pic:cNvPicPr>
                      <a:picLocks noChangeAspect="1"/>
                    </pic:cNvPicPr>
                  </pic:nvPicPr>
                  <pic:blipFill>
                    <a:blip r:embed="rId48"/>
                    <a:stretch>
                      <a:fillRect/>
                    </a:stretch>
                  </pic:blipFill>
                  <pic:spPr>
                    <a:xfrm>
                      <a:off x="0" y="0"/>
                      <a:ext cx="7574915" cy="10706735"/>
                    </a:xfrm>
                    <a:prstGeom prst="rect">
                      <a:avLst/>
                    </a:prstGeom>
                  </pic:spPr>
                </pic:pic>
              </a:graphicData>
            </a:graphic>
          </wp:anchor>
        </w:drawing>
      </w:r>
    </w:p>
    <w:p>
      <w:pPr>
        <w:pStyle w:val="2"/>
        <w:keepNext w:val="0"/>
        <w:keepLines w:val="0"/>
        <w:widowControl w:val="0"/>
        <w:topLinePunct/>
        <w:spacing w:before="0" w:line="360" w:lineRule="auto"/>
        <w:rPr>
          <w:rFonts w:ascii="Times New Roman" w:hAnsi="Times New Roman" w:eastAsia="宋体" w:cs="Times New Roman"/>
          <w:b/>
          <w:bCs/>
          <w:color w:val="000000" w:themeColor="text1"/>
          <w:szCs w:val="36"/>
          <w14:textFill>
            <w14:solidFill>
              <w14:schemeClr w14:val="tx1"/>
            </w14:solidFill>
          </w14:textFill>
        </w:rPr>
      </w:pPr>
      <w:bookmarkStart w:id="12" w:name="_Toc15322"/>
      <w:bookmarkStart w:id="13" w:name="_Toc30056"/>
      <w:r>
        <w:rPr>
          <w:rFonts w:ascii="Times New Roman" w:hAnsi="Times New Roman" w:eastAsia="宋体" w:cs="Times New Roman"/>
          <w:b/>
          <w:bCs/>
          <w:color w:val="000000" w:themeColor="text1"/>
          <w:szCs w:val="36"/>
          <w14:textFill>
            <w14:solidFill>
              <w14:schemeClr w14:val="tx1"/>
            </w14:solidFill>
          </w14:textFill>
        </w:rPr>
        <w:t>附表</w:t>
      </w:r>
      <w:bookmarkEnd w:id="12"/>
      <w:bookmarkEnd w:id="13"/>
    </w:p>
    <w:p>
      <w:pPr>
        <w:pStyle w:val="3"/>
        <w:keepNext w:val="0"/>
        <w:keepLines w:val="0"/>
        <w:widowControl w:val="0"/>
        <w:tabs>
          <w:tab w:val="left" w:pos="5400"/>
        </w:tabs>
        <w:topLinePunct/>
        <w:spacing w:before="0" w:line="360" w:lineRule="auto"/>
        <w:jc w:val="center"/>
        <w:rPr>
          <w:rFonts w:ascii="Times New Roman" w:hAnsi="Times New Roman" w:eastAsia="宋体" w:cs="Times New Roman"/>
          <w:color w:val="000000" w:themeColor="text1"/>
          <w:szCs w:val="30"/>
          <w14:textFill>
            <w14:solidFill>
              <w14:schemeClr w14:val="tx1"/>
            </w14:solidFill>
          </w14:textFill>
        </w:rPr>
      </w:pPr>
      <w:bookmarkStart w:id="14" w:name="_Toc2025"/>
      <w:r>
        <w:rPr>
          <w:rFonts w:ascii="Times New Roman" w:hAnsi="Times New Roman" w:eastAsia="宋体" w:cs="Times New Roman"/>
          <w:color w:val="000000" w:themeColor="text1"/>
          <w:szCs w:val="30"/>
          <w14:textFill>
            <w14:solidFill>
              <w14:schemeClr w14:val="tx1"/>
            </w14:solidFill>
          </w14:textFill>
        </w:rPr>
        <w:t>建设项目污染物排放量汇总表</w:t>
      </w:r>
      <w:bookmarkEnd w:id="14"/>
    </w:p>
    <w:tbl>
      <w:tblPr>
        <w:tblStyle w:val="173"/>
        <w:tblW w:w="1392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2126"/>
        <w:gridCol w:w="1701"/>
        <w:gridCol w:w="1276"/>
        <w:gridCol w:w="1702"/>
        <w:gridCol w:w="1416"/>
        <w:gridCol w:w="1843"/>
        <w:gridCol w:w="1697"/>
        <w:gridCol w:w="130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5" w:hRule="atLeast"/>
        </w:trPr>
        <w:tc>
          <w:tcPr>
            <w:tcW w:w="852" w:type="dxa"/>
            <w:tcBorders>
              <w:top w:val="single" w:color="000000" w:sz="6" w:space="0"/>
              <w:left w:val="single" w:color="000000" w:sz="6" w:space="0"/>
              <w:tl2br w:val="single" w:color="000000" w:sz="2" w:space="0"/>
            </w:tcBorders>
            <w:vAlign w:val="center"/>
          </w:tcPr>
          <w:p>
            <w:pPr>
              <w:spacing w:after="0" w:line="240" w:lineRule="auto"/>
              <w:jc w:val="both"/>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项目</w:t>
            </w:r>
          </w:p>
          <w:p>
            <w:pPr>
              <w:spacing w:after="0" w:line="240" w:lineRule="auto"/>
              <w:jc w:val="both"/>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分类</w:t>
            </w:r>
          </w:p>
        </w:tc>
        <w:tc>
          <w:tcPr>
            <w:tcW w:w="2126" w:type="dxa"/>
            <w:tcBorders>
              <w:top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污染物名称</w:t>
            </w:r>
          </w:p>
        </w:tc>
        <w:tc>
          <w:tcPr>
            <w:tcW w:w="1701" w:type="dxa"/>
            <w:tcBorders>
              <w:top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现有工程排放量（固体废物产生量）t/a①</w:t>
            </w:r>
          </w:p>
        </w:tc>
        <w:tc>
          <w:tcPr>
            <w:tcW w:w="1276" w:type="dxa"/>
            <w:tcBorders>
              <w:top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现有工程许可排放量 t/a②</w:t>
            </w:r>
          </w:p>
        </w:tc>
        <w:tc>
          <w:tcPr>
            <w:tcW w:w="1702" w:type="dxa"/>
            <w:tcBorders>
              <w:top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在建工程排放量（固体废物产生量）t/a③</w:t>
            </w:r>
          </w:p>
        </w:tc>
        <w:tc>
          <w:tcPr>
            <w:tcW w:w="1416" w:type="dxa"/>
            <w:tcBorders>
              <w:top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本项目排放量 （固体废物产 生量）t/a④</w:t>
            </w:r>
          </w:p>
        </w:tc>
        <w:tc>
          <w:tcPr>
            <w:tcW w:w="1843" w:type="dxa"/>
            <w:tcBorders>
              <w:top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以新带老削减量（新建项目不 填）t/a⑤</w:t>
            </w:r>
          </w:p>
        </w:tc>
        <w:tc>
          <w:tcPr>
            <w:tcW w:w="1697" w:type="dxa"/>
            <w:tcBorders>
              <w:top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本项目建成后</w:t>
            </w:r>
          </w:p>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全厂排放量（固体废物产生量）t/a⑥</w:t>
            </w:r>
          </w:p>
        </w:tc>
        <w:tc>
          <w:tcPr>
            <w:tcW w:w="1308" w:type="dxa"/>
            <w:tcBorders>
              <w:top w:val="single" w:color="000000" w:sz="6" w:space="0"/>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变化量t/a⑦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restart"/>
            <w:tcBorders>
              <w:lef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废气</w:t>
            </w:r>
          </w:p>
        </w:tc>
        <w:tc>
          <w:tcPr>
            <w:tcW w:w="212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颗粒物</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0.0031</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0.0022</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0.098</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0.1</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lef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非甲烷总烃</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0.0213</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0.049</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0.070</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lef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甲苯及二甲苯</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0.221</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0.221</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+0.221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lef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酚类</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0.028</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0.028</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left w:val="single" w:color="000000" w:sz="6" w:space="0"/>
              <w:bottom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硫化氢</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0.0009</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0.0009</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+0.0009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852" w:type="dxa"/>
            <w:vMerge w:val="restart"/>
            <w:tcBorders>
              <w:top w:val="single" w:color="auto" w:sz="4" w:space="0"/>
              <w:left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废水</w:t>
            </w: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废水量</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2668</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w:t>
            </w: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1036.8</w:t>
            </w:r>
          </w:p>
        </w:tc>
        <w:tc>
          <w:tcPr>
            <w:tcW w:w="1416" w:type="dxa"/>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w:t>
            </w: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3724.8</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852" w:type="dxa"/>
            <w:vMerge w:val="continue"/>
            <w:tcBorders>
              <w:left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0.12</w:t>
            </w:r>
          </w:p>
        </w:tc>
        <w:tc>
          <w:tcPr>
            <w:tcW w:w="1416" w:type="dxa"/>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0.42</w:t>
            </w:r>
          </w:p>
        </w:tc>
        <w:tc>
          <w:tcPr>
            <w:tcW w:w="1308" w:type="dxa"/>
            <w:tcBorders>
              <w:right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852" w:type="dxa"/>
            <w:vMerge w:val="continue"/>
            <w:tcBorders>
              <w:left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动植物油</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416" w:type="dxa"/>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1308" w:type="dxa"/>
            <w:tcBorders>
              <w:right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852" w:type="dxa"/>
            <w:vMerge w:val="continue"/>
            <w:tcBorders>
              <w:left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BOD</w:t>
            </w:r>
            <w:r>
              <w:rPr>
                <w:rFonts w:ascii="Times New Roman" w:hAnsi="Times New Roman" w:cs="Times New Roman"/>
                <w:color w:val="000000" w:themeColor="text1"/>
                <w:sz w:val="21"/>
                <w:szCs w:val="21"/>
                <w:vertAlign w:val="subscript"/>
                <w14:textFill>
                  <w14:solidFill>
                    <w14:schemeClr w14:val="tx1"/>
                  </w14:solidFill>
                </w14:textFill>
              </w:rPr>
              <w:t>5</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0.039</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1416" w:type="dxa"/>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0.059</w:t>
            </w:r>
          </w:p>
        </w:tc>
        <w:tc>
          <w:tcPr>
            <w:tcW w:w="1308" w:type="dxa"/>
            <w:tcBorders>
              <w:right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852" w:type="dxa"/>
            <w:vMerge w:val="continue"/>
            <w:tcBorders>
              <w:left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NH</w:t>
            </w:r>
            <w:r>
              <w:rPr>
                <w:rFonts w:ascii="Times New Roman" w:hAnsi="Times New Roman" w:cs="Times New Roman"/>
                <w:color w:val="000000" w:themeColor="text1"/>
                <w:sz w:val="21"/>
                <w:szCs w:val="21"/>
                <w:vertAlign w:val="sub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-N</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416" w:type="dxa"/>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1308" w:type="dxa"/>
            <w:tcBorders>
              <w:right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852" w:type="dxa"/>
            <w:vMerge w:val="continue"/>
            <w:tcBorders>
              <w:left w:val="single" w:color="auto" w:sz="4" w:space="0"/>
              <w:bottom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SS</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0.14</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0.05</w:t>
            </w:r>
          </w:p>
        </w:tc>
        <w:tc>
          <w:tcPr>
            <w:tcW w:w="1416" w:type="dxa"/>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0.19</w:t>
            </w:r>
          </w:p>
        </w:tc>
        <w:tc>
          <w:tcPr>
            <w:tcW w:w="1308" w:type="dxa"/>
            <w:tcBorders>
              <w:right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6" w:hRule="atLeast"/>
        </w:trPr>
        <w:tc>
          <w:tcPr>
            <w:tcW w:w="852" w:type="dxa"/>
            <w:vMerge w:val="restart"/>
            <w:tcBorders>
              <w:top w:val="single" w:color="auto" w:sz="4" w:space="0"/>
              <w:left w:val="single" w:color="auto" w:sz="4" w:space="0"/>
              <w:bottom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一般工业 固体废物</w:t>
            </w: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残次品</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1.12</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2.12</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废包装材料</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0.01</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0.01</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2"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废边角料</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25</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0.05</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25.05</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2"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废弃组装件</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5.5</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2.1</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7.6</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废砂纸</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0.01</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0.01</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橡胶及树脂收集粉尘</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11.1</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0.882</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11.982</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+0.882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restart"/>
            <w:tcBorders>
              <w:top w:val="single" w:color="auto" w:sz="4" w:space="0"/>
              <w:left w:val="single" w:color="auto" w:sz="4" w:space="0"/>
              <w:righ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危险废物</w:t>
            </w: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废润滑油</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1.5</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0.1</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0.001</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1.501</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2" w:type="dxa"/>
            <w:vMerge w:val="continue"/>
            <w:tcBorders>
              <w:left w:val="single" w:color="auto" w:sz="4" w:space="0"/>
              <w:right w:val="single" w:color="auto" w:sz="4"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废活性炭</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2.5</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3.23</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5.73</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+3.23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52" w:type="dxa"/>
            <w:vMerge w:val="continue"/>
            <w:tcBorders>
              <w:left w:val="single" w:color="auto" w:sz="4" w:space="0"/>
              <w:right w:val="single" w:color="auto" w:sz="4"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废包装桶</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0.045</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0.045</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852" w:type="dxa"/>
            <w:vMerge w:val="continue"/>
            <w:tcBorders>
              <w:left w:val="single" w:color="auto" w:sz="4" w:space="0"/>
              <w:right w:val="single" w:color="auto" w:sz="4"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ascii="Times New Roman" w:hAnsi="Times New Roman" w:eastAsia="宋体" w:cs="Times New Roman"/>
                <w:color w:val="000000" w:themeColor="text1"/>
                <w:spacing w:val="3"/>
                <w:sz w:val="20"/>
                <w:szCs w:val="20"/>
                <w14:textFill>
                  <w14:solidFill>
                    <w14:schemeClr w14:val="tx1"/>
                  </w14:solidFill>
                </w14:textFill>
              </w:rPr>
              <w:t>污水处理站污泥</w:t>
            </w:r>
          </w:p>
        </w:tc>
        <w:tc>
          <w:tcPr>
            <w:tcW w:w="1701"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w:t>
            </w:r>
          </w:p>
        </w:tc>
        <w:tc>
          <w:tcPr>
            <w:tcW w:w="127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2.5</w:t>
            </w:r>
          </w:p>
        </w:tc>
        <w:tc>
          <w:tcPr>
            <w:tcW w:w="1843"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2.5</w:t>
            </w:r>
          </w:p>
        </w:tc>
        <w:tc>
          <w:tcPr>
            <w:tcW w:w="1308" w:type="dxa"/>
            <w:tcBorders>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852" w:type="dxa"/>
            <w:vMerge w:val="continue"/>
            <w:tcBorders>
              <w:left w:val="single" w:color="auto" w:sz="4" w:space="0"/>
              <w:right w:val="single" w:color="auto" w:sz="4"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废切削油</w:t>
            </w:r>
          </w:p>
        </w:tc>
        <w:tc>
          <w:tcPr>
            <w:tcW w:w="1701"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0.9</w:t>
            </w:r>
          </w:p>
        </w:tc>
        <w:tc>
          <w:tcPr>
            <w:tcW w:w="1276"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0.9</w:t>
            </w:r>
          </w:p>
        </w:tc>
        <w:tc>
          <w:tcPr>
            <w:tcW w:w="1308" w:type="dxa"/>
            <w:tcBorders>
              <w:bottom w:val="single" w:color="000000" w:sz="6" w:space="0"/>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852" w:type="dxa"/>
            <w:vMerge w:val="continue"/>
            <w:tcBorders>
              <w:left w:val="single" w:color="auto" w:sz="4" w:space="0"/>
              <w:right w:val="single" w:color="auto" w:sz="4"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废机油</w:t>
            </w:r>
          </w:p>
        </w:tc>
        <w:tc>
          <w:tcPr>
            <w:tcW w:w="1701"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1.4</w:t>
            </w:r>
          </w:p>
        </w:tc>
        <w:tc>
          <w:tcPr>
            <w:tcW w:w="1276"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0.1</w:t>
            </w:r>
          </w:p>
        </w:tc>
        <w:tc>
          <w:tcPr>
            <w:tcW w:w="1416"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843"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1.5</w:t>
            </w:r>
          </w:p>
        </w:tc>
        <w:tc>
          <w:tcPr>
            <w:tcW w:w="1308" w:type="dxa"/>
            <w:tcBorders>
              <w:bottom w:val="single" w:color="000000" w:sz="6" w:space="0"/>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852" w:type="dxa"/>
            <w:vMerge w:val="continue"/>
            <w:tcBorders>
              <w:left w:val="single" w:color="auto" w:sz="4" w:space="0"/>
              <w:bottom w:val="single" w:color="auto" w:sz="4" w:space="0"/>
              <w:right w:val="single" w:color="auto" w:sz="4"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2126" w:type="dxa"/>
            <w:tcBorders>
              <w:left w:val="single" w:color="auto" w:sz="4" w:space="0"/>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含油抹布及其他抹布</w:t>
            </w:r>
          </w:p>
        </w:tc>
        <w:tc>
          <w:tcPr>
            <w:tcW w:w="1701"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0.03</w:t>
            </w:r>
          </w:p>
        </w:tc>
        <w:tc>
          <w:tcPr>
            <w:tcW w:w="1276"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702"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w:t>
            </w:r>
          </w:p>
        </w:tc>
        <w:tc>
          <w:tcPr>
            <w:tcW w:w="1416"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0.1</w:t>
            </w:r>
          </w:p>
        </w:tc>
        <w:tc>
          <w:tcPr>
            <w:tcW w:w="1843" w:type="dxa"/>
            <w:tcBorders>
              <w:bottom w:val="single" w:color="000000" w:sz="6" w:space="0"/>
            </w:tcBorders>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p>
        </w:tc>
        <w:tc>
          <w:tcPr>
            <w:tcW w:w="1697" w:type="dxa"/>
            <w:tcBorders>
              <w:bottom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0.13</w:t>
            </w:r>
          </w:p>
        </w:tc>
        <w:tc>
          <w:tcPr>
            <w:tcW w:w="1308" w:type="dxa"/>
            <w:tcBorders>
              <w:bottom w:val="single" w:color="000000" w:sz="6" w:space="0"/>
              <w:right w:val="single" w:color="000000" w:sz="6" w:space="0"/>
            </w:tcBorders>
            <w:vAlign w:val="center"/>
          </w:tcPr>
          <w:p>
            <w:pPr>
              <w:spacing w:after="0" w:line="240" w:lineRule="auto"/>
              <w:jc w:val="center"/>
              <w:rPr>
                <w:rFonts w:ascii="Times New Roman" w:hAnsi="Times New Roman" w:eastAsia="宋体" w:cs="Times New Roman"/>
                <w:color w:val="000000" w:themeColor="text1"/>
                <w:spacing w:val="3"/>
                <w:sz w:val="20"/>
                <w:szCs w:val="20"/>
                <w14:textFill>
                  <w14:solidFill>
                    <w14:schemeClr w14:val="tx1"/>
                  </w14:solidFill>
                </w14:textFill>
              </w:rPr>
            </w:pPr>
            <w:r>
              <w:rPr>
                <w:rFonts w:hint="eastAsia" w:ascii="Times New Roman" w:hAnsi="Times New Roman" w:eastAsia="宋体" w:cs="Times New Roman"/>
                <w:color w:val="000000" w:themeColor="text1"/>
                <w:spacing w:val="3"/>
                <w:sz w:val="20"/>
                <w:szCs w:val="20"/>
                <w14:textFill>
                  <w14:solidFill>
                    <w14:schemeClr w14:val="tx1"/>
                  </w14:solidFill>
                </w14:textFill>
              </w:rPr>
              <w:t>+0.1</w:t>
            </w:r>
          </w:p>
        </w:tc>
      </w:tr>
    </w:tbl>
    <w:p>
      <w:pPr>
        <w:pStyle w:val="68"/>
        <w:widowControl w:val="0"/>
        <w:topLinePunct/>
        <w:spacing w:beforeLines="0" w:afterLines="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snapToGrid w:val="0"/>
          <w:color w:val="000000" w:themeColor="text1"/>
          <w:kern w:val="21"/>
          <w:sz w:val="21"/>
          <w:szCs w:val="21"/>
          <w14:textFill>
            <w14:solidFill>
              <w14:schemeClr w14:val="tx1"/>
            </w14:solidFill>
          </w14:textFill>
        </w:rPr>
        <w:t>注：</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6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⑥</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1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3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③</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4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④</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5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⑤</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7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⑦</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6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⑥</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1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本表填写的排放量均为纳管排放量。</w:t>
      </w:r>
    </w:p>
    <w:p/>
    <w:p/>
    <w:p>
      <w:pPr>
        <w:rPr>
          <w:rFonts w:ascii="Times New Roman" w:hAnsi="Times New Roman" w:eastAsia="宋体" w:cs="Times New Roman"/>
          <w:color w:val="000000" w:themeColor="text1"/>
          <w:sz w:val="21"/>
          <w:szCs w:val="21"/>
          <w14:textFill>
            <w14:solidFill>
              <w14:schemeClr w14:val="tx1"/>
            </w14:solidFill>
          </w14:textFill>
        </w:rPr>
        <w:sectPr>
          <w:footerReference r:id="rId11" w:type="default"/>
          <w:pgSz w:w="16838" w:h="11906" w:orient="landscape"/>
          <w:pgMar w:top="1417" w:right="1417" w:bottom="1417" w:left="1417" w:header="992" w:footer="992" w:gutter="0"/>
          <w:cols w:space="720" w:num="1"/>
          <w:docGrid w:linePitch="312" w:charSpace="0"/>
        </w:sectPr>
      </w:pPr>
    </w:p>
    <w:p>
      <w:pPr>
        <w:spacing w:before="48" w:line="219" w:lineRule="auto"/>
        <w:ind w:left="28"/>
        <w:outlineLvl w:val="0"/>
        <w:rPr>
          <w:color w:val="000000" w:themeColor="text1"/>
          <w14:textFill>
            <w14:solidFill>
              <w14:schemeClr w14:val="tx1"/>
            </w14:solidFill>
          </w14:textFill>
        </w:rPr>
      </w:pPr>
      <w:r>
        <w:rPr>
          <w:rFonts w:ascii="宋体" w:hAnsi="宋体" w:eastAsia="宋体" w:cs="宋体"/>
          <w:b/>
          <w:bCs/>
          <w:color w:val="000000" w:themeColor="text1"/>
          <w:spacing w:val="-9"/>
          <w:szCs w:val="24"/>
          <w14:textFill>
            <w14:solidFill>
              <w14:schemeClr w14:val="tx1"/>
            </w14:solidFill>
          </w14:textFill>
        </w:rPr>
        <w:t>附图</w:t>
      </w:r>
      <w:r>
        <w:rPr>
          <w:rFonts w:ascii="宋体" w:hAnsi="宋体" w:eastAsia="宋体" w:cs="宋体"/>
          <w:color w:val="000000" w:themeColor="text1"/>
          <w:spacing w:val="-36"/>
          <w:szCs w:val="24"/>
          <w14:textFill>
            <w14:solidFill>
              <w14:schemeClr w14:val="tx1"/>
            </w14:solidFill>
          </w14:textFill>
        </w:rPr>
        <w:t xml:space="preserve"> </w:t>
      </w:r>
      <w:r>
        <w:rPr>
          <w:rFonts w:ascii="Times New Roman" w:hAnsi="Times New Roman" w:eastAsia="Times New Roman" w:cs="Times New Roman"/>
          <w:b/>
          <w:bCs/>
          <w:color w:val="000000" w:themeColor="text1"/>
          <w:spacing w:val="-9"/>
          <w:szCs w:val="24"/>
          <w14:textFill>
            <w14:solidFill>
              <w14:schemeClr w14:val="tx1"/>
            </w14:solidFill>
          </w14:textFill>
        </w:rPr>
        <w:t>1</w:t>
      </w:r>
      <w:r>
        <w:rPr>
          <w:rFonts w:ascii="Times New Roman" w:hAnsi="Times New Roman" w:eastAsia="Times New Roman" w:cs="Times New Roman"/>
          <w:b/>
          <w:bCs/>
          <w:color w:val="000000" w:themeColor="text1"/>
          <w:spacing w:val="-30"/>
          <w:szCs w:val="24"/>
          <w14:textFill>
            <w14:solidFill>
              <w14:schemeClr w14:val="tx1"/>
            </w14:solidFill>
          </w14:textFill>
        </w:rPr>
        <w:t xml:space="preserve"> </w:t>
      </w:r>
      <w:r>
        <w:rPr>
          <w:rFonts w:ascii="宋体" w:hAnsi="宋体" w:eastAsia="宋体" w:cs="宋体"/>
          <w:b/>
          <w:bCs/>
          <w:color w:val="000000" w:themeColor="text1"/>
          <w:spacing w:val="-9"/>
          <w:szCs w:val="24"/>
          <w14:textFill>
            <w14:solidFill>
              <w14:schemeClr w14:val="tx1"/>
            </w14:solidFill>
          </w14:textFill>
        </w:rPr>
        <w:t>：项目地理位置图</w:t>
      </w:r>
    </w:p>
    <w:p>
      <w:pPr>
        <w:pStyle w:val="29"/>
        <w:widowControl w:val="0"/>
        <w:spacing w:before="0" w:beforeAutospacing="0" w:after="0" w:afterAutospacing="0"/>
        <w:jc w:val="center"/>
        <w:rPr>
          <w:rFonts w:hint="eastAsia"/>
          <w:color w:val="000000" w:themeColor="text1"/>
          <w14:textFill>
            <w14:solidFill>
              <w14:schemeClr w14:val="tx1"/>
            </w14:solidFill>
          </w14:textFill>
        </w:rPr>
        <w:sectPr>
          <w:footerReference r:id="rId12" w:type="default"/>
          <w:pgSz w:w="11906" w:h="16839"/>
          <w:pgMar w:top="1405" w:right="1417" w:bottom="1257" w:left="1416" w:header="0" w:footer="1097" w:gutter="0"/>
          <w:cols w:space="720" w:num="1"/>
        </w:sectPr>
      </w:pPr>
      <w:r>
        <w:rPr>
          <w:color w:val="000000" w:themeColor="text1"/>
          <w:sz w:val="2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2490470</wp:posOffset>
                </wp:positionH>
                <wp:positionV relativeFrom="paragraph">
                  <wp:posOffset>3014980</wp:posOffset>
                </wp:positionV>
                <wp:extent cx="45720" cy="45720"/>
                <wp:effectExtent l="38100" t="38100" r="50165" b="50165"/>
                <wp:wrapNone/>
                <wp:docPr id="68" name="十字星 68"/>
                <wp:cNvGraphicFramePr/>
                <a:graphic xmlns:a="http://schemas.openxmlformats.org/drawingml/2006/main">
                  <a:graphicData uri="http://schemas.microsoft.com/office/word/2010/wordprocessingShape">
                    <wps:wsp>
                      <wps:cNvSpPr/>
                      <wps:spPr>
                        <a:xfrm flipH="1">
                          <a:off x="0" y="0"/>
                          <a:ext cx="45719" cy="45719"/>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flip:x;margin-left:196.1pt;margin-top:237.4pt;height:3.6pt;width:3.6pt;z-index:251669504;v-text-anchor:middle;mso-width-relative:page;mso-height-relative:page;" fillcolor="#FF0000" filled="t" stroked="t" coordsize="21600,21600" o:gfxdata="UEsDBAoAAAAAAIdO4kAAAAAAAAAAAAAAAAAEAAAAZHJzL1BLAwQUAAAACACHTuJAv+VhJ9wAAAAL&#10;AQAADwAAAGRycy9kb3ducmV2LnhtbE2PwU7DMAyG70i8Q2QkLmhL1hW2lqY7IAHisANjk8Yta0xb&#10;rXGqJlvH22NOcLT96ff3F6uL68QZh9B60jCbKhBIlbct1Rq2H8+TJYgQDVnTeUIN3xhgVV5fFSa3&#10;fqR3PG9iLTiEQm40NDH2uZShatCZMPU9Et++/OBM5HGopR3MyOGuk4lSD9KZlvhDY3p8arA6bk5O&#10;Qzvud/0d3X+u3wKql9f99pgtlNa3NzP1CCLiJf7B8KvP6lCy08GfyAbRaZhnScKohnSRcgcm5lmW&#10;gjjwZpkokGUh/3cofwBQSwMEFAAAAAgAh07iQLXdpxBmAgAA6gQAAA4AAABkcnMvZTJvRG9jLnht&#10;bK1UzW4TMRC+I/EOlu90kygtNOqmihoFkCqoVBBnx2tnLfkP28mm3HgAznDjCXis8hx89m5/4dAD&#10;e7BmPLPfzHwz45PTvdFkJ0JUztZ0fDCiRFjuGmU3Nf34YfXiFSUxMdsw7ayo6ZWI9HT+/NlJ52di&#10;4lqnGxEIQGycdb6mbUp+VlWRt8KweOC8sDBKFwxLUMOmagLrgG50NRmNjqrOhcYHx0WMuF32Rjog&#10;hqcAOikVF0vHt0bY1KMGoVlCSbFVPtJ5yVZKwdN7KaNIRNcUlaZyIgjkdT6r+QmbbQLzreJDCuwp&#10;KTyqyTBlEfQWaskSI9ug/oIyigcXnUwH3JmqL6QwgirGo0fcXLbMi1ILqI7+lvT4/2D5u91FIKqp&#10;6RH6bplBx6+/fb3+9f33j58EdyCo83EGv0t/EQYtQszV7mUwRGrl32CSSv2oiOwLvVe39Ip9IhyX&#10;08OX42NKOCy9CLSqB8lgPsT0WjhDslBTzGCYFky2O4+p973xyf7RadWslNZFCZv1mQ5kx9Do1WqE&#10;L6cO+Adu2pKuppPDKcyEM4yvxNhANB4URLuhhOkN9oKnUGI/+Ds+LUhOcsli2ydTEIZctEVKmc6e&#10;wCytXXOFDgTXj2b0fKXw/zmL6YIFzCISxbam9zikdsjeDRIlrQtf/nWf/TEisFLSYbZR2ectC4IS&#10;/dZieI7H02lehqKgFRMo4b5lfd9it+bMgdUx3gXPi5j9k74RZXDmE5Z6kaPCxCxH7J7DQTlL/c7h&#10;WeBisShuWADP0rm99PxmeqxbbJOTqnT7jp2BNKxA6eiwrnnH7uvF6+6J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VhJ9wAAAALAQAADwAAAAAAAAABACAAAAAiAAAAZHJzL2Rvd25yZXYueG1s&#10;UEsBAhQAFAAAAAgAh07iQLXdpxBmAgAA6gQAAA4AAAAAAAAAAQAgAAAAKwEAAGRycy9lMm9Eb2Mu&#10;eG1sUEsFBgAAAAAGAAYAWQEAAAMGAAAAAA==&#10;" adj="8100">
                <v:fill on="t" focussize="0,0"/>
                <v:stroke weight="2pt" color="#FF0000 [2404]" joinstyle="round"/>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3281680</wp:posOffset>
                </wp:positionH>
                <wp:positionV relativeFrom="paragraph">
                  <wp:posOffset>2339975</wp:posOffset>
                </wp:positionV>
                <wp:extent cx="1485265" cy="570865"/>
                <wp:effectExtent l="800735" t="4445" r="19050" b="148590"/>
                <wp:wrapNone/>
                <wp:docPr id="84" name="矩形标注 84"/>
                <wp:cNvGraphicFramePr/>
                <a:graphic xmlns:a="http://schemas.openxmlformats.org/drawingml/2006/main">
                  <a:graphicData uri="http://schemas.microsoft.com/office/word/2010/wordprocessingShape">
                    <wps:wsp>
                      <wps:cNvSpPr/>
                      <wps:spPr>
                        <a:xfrm>
                          <a:off x="3933190" y="3742055"/>
                          <a:ext cx="1485265" cy="570865"/>
                        </a:xfrm>
                        <a:prstGeom prst="wedgeRectCallout">
                          <a:avLst>
                            <a:gd name="adj1" fmla="val -103575"/>
                            <a:gd name="adj2" fmla="val 72063"/>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本项目</w:t>
                            </w:r>
                          </w:p>
                          <w:p>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东经</w:t>
                            </w:r>
                            <w:r>
                              <w:rPr>
                                <w:rFonts w:hint="eastAsia" w:ascii="Times New Roman" w:hAnsi="Times New Roman" w:eastAsia="宋体" w:cs="Times New Roman"/>
                                <w:color w:val="000000" w:themeColor="text1"/>
                                <w:sz w:val="18"/>
                                <w:szCs w:val="18"/>
                                <w14:textFill>
                                  <w14:solidFill>
                                    <w14:schemeClr w14:val="tx1"/>
                                  </w14:solidFill>
                                </w14:textFill>
                              </w:rPr>
                              <w:t>E：</w:t>
                            </w:r>
                            <w:r>
                              <w:rPr>
                                <w:rFonts w:ascii="Times New Roman" w:hAnsi="Times New Roman" w:eastAsia="宋体" w:cs="Times New Roman"/>
                                <w:color w:val="000000" w:themeColor="text1"/>
                                <w:sz w:val="18"/>
                                <w:szCs w:val="18"/>
                                <w14:textFill>
                                  <w14:solidFill>
                                    <w14:schemeClr w14:val="tx1"/>
                                  </w14:solidFill>
                                </w14:textFill>
                              </w:rPr>
                              <w:t>119°18′30.194″，</w:t>
                            </w:r>
                            <w:r>
                              <w:rPr>
                                <w:rFonts w:hint="eastAsia" w:ascii="Times New Roman" w:hAnsi="Times New Roman" w:eastAsia="宋体" w:cs="Times New Roman"/>
                                <w:color w:val="000000" w:themeColor="text1"/>
                                <w:sz w:val="18"/>
                                <w:szCs w:val="18"/>
                                <w14:textFill>
                                  <w14:solidFill>
                                    <w14:schemeClr w14:val="tx1"/>
                                  </w14:solidFill>
                                </w14:textFill>
                              </w:rPr>
                              <w:t>N：</w:t>
                            </w:r>
                            <w:r>
                              <w:rPr>
                                <w:rFonts w:ascii="Times New Roman" w:hAnsi="Times New Roman" w:eastAsia="宋体" w:cs="Times New Roman"/>
                                <w:color w:val="000000" w:themeColor="text1"/>
                                <w:sz w:val="18"/>
                                <w:szCs w:val="18"/>
                                <w14:textFill>
                                  <w14:solidFill>
                                    <w14:schemeClr w14:val="tx1"/>
                                  </w14:solidFill>
                                </w14:textFill>
                              </w:rPr>
                              <w:t>25°40′40.421″</w:t>
                            </w:r>
                          </w:p>
                          <w:p>
                            <w:pPr>
                              <w:jc w:val="center"/>
                              <w:rPr>
                                <w:rFonts w:ascii="Times New Roman" w:hAnsi="Times New Roman" w:cs="Times New Roman"/>
                                <w:color w:val="000000" w:themeColor="text1"/>
                                <w:sz w:val="18"/>
                                <w:szCs w:val="18"/>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8.4pt;margin-top:184.25pt;height:44.95pt;width:116.95pt;z-index:251671552;v-text-anchor:middle;mso-width-relative:page;mso-height-relative:page;" fillcolor="#FFFFFF [3212]" filled="t" stroked="t" coordsize="21600,21600" o:gfxdata="UEsDBAoAAAAAAIdO4kAAAAAAAAAAAAAAAAAEAAAAZHJzL1BLAwQUAAAACACHTuJAOMmWuNoAAAAL&#10;AQAADwAAAGRycy9kb3ducmV2LnhtbE2PQU+DQBSE7yb+h80z8WLsggIlyNLEJlpPxrb+gAf7BJR9&#10;S9htwX/vetLjZCYz35SbxQziTJPrLSuIVxEI4sbqnlsF78en2xyE88gaB8uk4JscbKrLixILbWfe&#10;0/ngWxFK2BWooPN+LKR0TUcG3cqOxMH7sJNBH+TUSj3hHMrNIO+iKJMGew4LHY607aj5OpyMgt0b&#10;mvn5ce+zz5d6t4z5a7I93ih1fRVHDyA8Lf4vDL/4AR2qwFTbE2snBgVpnAV0r+A+y1MQIbFOozWI&#10;WkGS5gnIqpT/P1Q/UEsDBBQAAAAIAIdO4kAvjXUFrwIAAFoFAAAOAAAAZHJzL2Uyb0RvYy54bWyt&#10;VM1uEzEQviPxDpbv7e4m2SSNuqmiREFIFa0oiLPj9f4g/2E72ZQX4DFAnODMmcehvAZjr9umpQcO&#10;7ME74xl/M/ONx6dne8HRjhnbKlng7DjFiEmqylbWBX77Zn00xcg6IkvClWQFvmYWn82fPzvt9IwN&#10;VKN4yQwCEGlnnS5w45yeJYmlDRPEHivNJBgrZQRxoJo6KQ3pAF3wZJCm46RTptRGUWYt7K56I46I&#10;5l8AVVW1lK0U3QomXY9qGCcOSrJNqy2eh2yrilF3UVWWOcQLDJW6sEIQkDd+TeanZFYbopuWxhTI&#10;v6TwqCZBWglB76BWxBG0Ne1fUKKlRllVuWOqRNIXEhiBKrL0ETdXDdEs1AJUW31Huv1/sPTV7tKg&#10;tizwdISRJAI6/vvz918/v958+XTz4xuCbeCo03YGrlf60kTNgugL3ldG+D+UgvYFHp4Mh9kJsHsN&#10;8mQ0SPO855jtHaLgkI2m+WCcY0TBI5+kU5ABMrlH0sa6F0wJ5IUCd6ys2Wto5JJwrrYu0Ex259YF&#10;vsuYNCnfZxhVgkP7doSjoywd5pMYvD7wGhx6TQbpeBjjR0zI5DYDH8Aq3pbrlvOgmHqz5AZBgAKv&#10;wxcPP3DjEnUFHg9z4IESmJEK7iaIQgPPVtYYEV7D8FFnQjUPDtvDGGn4norhc1wR2/S5BIToxiXQ&#10;6RvWt8hLbr/Zx75tVHkNHTeqHwWr6boFqHNi3SUxQB7kDK+Du4Cl4grqUFHCqFHm41P73h+uJFgx&#10;6mCWoMgPW2IYRvylhMt6ko1GAOuCMsqBdIzMoWVzaJFbsVTAL7QTsgui93f8VqyMEu/gEVn4qGAi&#10;kkLsns6oLF0/4/AMUbZYBDcYOE3cubzS1IP7fkq12DpVtc7fQE9Uz05UYOTCxYzPg5/pQz143T+J&#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4yZa42gAAAAsBAAAPAAAAAAAAAAEAIAAAACIAAABk&#10;cnMvZG93bnJldi54bWxQSwECFAAUAAAACACHTuJAL411Ba8CAABaBQAADgAAAAAAAAABACAAAAAp&#10;AQAAZHJzL2Uyb0RvYy54bWxQSwUGAAAAAAYABgBZAQAASgYAAAAA&#10;" adj="-11572,26366">
                <v:fill on="t" focussize="0,0"/>
                <v:stroke weight="0.5pt" color="#000000 [3213]" joinstyle="round"/>
                <v:imagedata o:title=""/>
                <o:lock v:ext="edit" aspectratio="f"/>
                <v:textbox>
                  <w:txbxContent>
                    <w:p>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本项目</w:t>
                      </w:r>
                    </w:p>
                    <w:p>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东经</w:t>
                      </w:r>
                      <w:r>
                        <w:rPr>
                          <w:rFonts w:hint="eastAsia" w:ascii="Times New Roman" w:hAnsi="Times New Roman" w:eastAsia="宋体" w:cs="Times New Roman"/>
                          <w:color w:val="000000" w:themeColor="text1"/>
                          <w:sz w:val="18"/>
                          <w:szCs w:val="18"/>
                          <w14:textFill>
                            <w14:solidFill>
                              <w14:schemeClr w14:val="tx1"/>
                            </w14:solidFill>
                          </w14:textFill>
                        </w:rPr>
                        <w:t>E：</w:t>
                      </w:r>
                      <w:r>
                        <w:rPr>
                          <w:rFonts w:ascii="Times New Roman" w:hAnsi="Times New Roman" w:eastAsia="宋体" w:cs="Times New Roman"/>
                          <w:color w:val="000000" w:themeColor="text1"/>
                          <w:sz w:val="18"/>
                          <w:szCs w:val="18"/>
                          <w14:textFill>
                            <w14:solidFill>
                              <w14:schemeClr w14:val="tx1"/>
                            </w14:solidFill>
                          </w14:textFill>
                        </w:rPr>
                        <w:t>119°18′30.194″，</w:t>
                      </w:r>
                      <w:r>
                        <w:rPr>
                          <w:rFonts w:hint="eastAsia" w:ascii="Times New Roman" w:hAnsi="Times New Roman" w:eastAsia="宋体" w:cs="Times New Roman"/>
                          <w:color w:val="000000" w:themeColor="text1"/>
                          <w:sz w:val="18"/>
                          <w:szCs w:val="18"/>
                          <w14:textFill>
                            <w14:solidFill>
                              <w14:schemeClr w14:val="tx1"/>
                            </w14:solidFill>
                          </w14:textFill>
                        </w:rPr>
                        <w:t>N：</w:t>
                      </w:r>
                      <w:r>
                        <w:rPr>
                          <w:rFonts w:ascii="Times New Roman" w:hAnsi="Times New Roman" w:eastAsia="宋体" w:cs="Times New Roman"/>
                          <w:color w:val="000000" w:themeColor="text1"/>
                          <w:sz w:val="18"/>
                          <w:szCs w:val="18"/>
                          <w14:textFill>
                            <w14:solidFill>
                              <w14:schemeClr w14:val="tx1"/>
                            </w14:solidFill>
                          </w14:textFill>
                        </w:rPr>
                        <w:t>25°40′40.421″</w:t>
                      </w:r>
                    </w:p>
                    <w:p>
                      <w:pPr>
                        <w:jc w:val="center"/>
                        <w:rPr>
                          <w:rFonts w:ascii="Times New Roman" w:hAnsi="Times New Roman" w:cs="Times New Roman"/>
                          <w:color w:val="000000" w:themeColor="text1"/>
                          <w:sz w:val="18"/>
                          <w:szCs w:val="18"/>
                          <w14:textFill>
                            <w14:solidFill>
                              <w14:schemeClr w14:val="tx1"/>
                            </w14:solidFill>
                          </w14:textFill>
                        </w:rPr>
                      </w:pPr>
                    </w:p>
                  </w:txbxContent>
                </v:textbox>
              </v:shape>
            </w:pict>
          </mc:Fallback>
        </mc:AlternateContent>
      </w:r>
      <w:r>
        <w:rPr>
          <w:rFonts w:ascii="Times New Roman" w:hAnsi="Times New Roman" w:cs="Times New Roman"/>
          <w:color w:val="000000" w:themeColor="text1"/>
          <w:sz w:val="21"/>
          <w:szCs w:val="21"/>
          <w14:textFill>
            <w14:solidFill>
              <w14:schemeClr w14:val="tx1"/>
            </w14:solidFill>
          </w14:textFill>
        </w:rPr>
        <w:drawing>
          <wp:inline distT="0" distB="0" distL="114300" distR="114300">
            <wp:extent cx="5761990" cy="7732395"/>
            <wp:effectExtent l="0" t="0" r="0" b="1905"/>
            <wp:docPr id="6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IMG_256"/>
                    <pic:cNvPicPr>
                      <a:picLocks noChangeAspect="1"/>
                    </pic:cNvPicPr>
                  </pic:nvPicPr>
                  <pic:blipFill>
                    <a:blip r:embed="rId49"/>
                    <a:stretch>
                      <a:fillRect/>
                    </a:stretch>
                  </pic:blipFill>
                  <pic:spPr>
                    <a:xfrm>
                      <a:off x="0" y="0"/>
                      <a:ext cx="5764012" cy="7734586"/>
                    </a:xfrm>
                    <a:prstGeom prst="rect">
                      <a:avLst/>
                    </a:prstGeom>
                    <a:noFill/>
                    <a:ln w="9525">
                      <a:noFill/>
                    </a:ln>
                  </pic:spPr>
                </pic:pic>
              </a:graphicData>
            </a:graphic>
          </wp:inline>
        </w:drawing>
      </w:r>
    </w:p>
    <w:p>
      <w:pPr>
        <w:spacing w:before="78" w:line="219" w:lineRule="auto"/>
        <w:outlineLvl w:val="0"/>
        <w:rPr>
          <w:rFonts w:hint="eastAsia" w:ascii="宋体" w:hAnsi="宋体" w:eastAsia="宋体" w:cs="宋体"/>
          <w:b/>
          <w:bCs/>
          <w:color w:val="000000" w:themeColor="text1"/>
          <w:spacing w:val="-8"/>
          <w:szCs w:val="24"/>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4879975</wp:posOffset>
                </wp:positionH>
                <wp:positionV relativeFrom="paragraph">
                  <wp:posOffset>323215</wp:posOffset>
                </wp:positionV>
                <wp:extent cx="666750" cy="707390"/>
                <wp:effectExtent l="0" t="0" r="19685" b="17145"/>
                <wp:wrapNone/>
                <wp:docPr id="109" name="任意多边形 109"/>
                <wp:cNvGraphicFramePr/>
                <a:graphic xmlns:a="http://schemas.openxmlformats.org/drawingml/2006/main">
                  <a:graphicData uri="http://schemas.microsoft.com/office/word/2010/wordprocessingShape">
                    <wps:wsp>
                      <wps:cNvSpPr/>
                      <wps:spPr>
                        <a:xfrm>
                          <a:off x="0" y="0"/>
                          <a:ext cx="666642" cy="707367"/>
                        </a:xfrm>
                        <a:custGeom>
                          <a:avLst/>
                          <a:gdLst>
                            <a:gd name="connisteX0" fmla="*/ 178922 w 297767"/>
                            <a:gd name="connsiteY0" fmla="*/ 17640 h 556451"/>
                            <a:gd name="connisteX1" fmla="*/ 36047 w 297767"/>
                            <a:gd name="connsiteY1" fmla="*/ 36690 h 556451"/>
                            <a:gd name="connisteX2" fmla="*/ 7472 w 297767"/>
                            <a:gd name="connsiteY2" fmla="*/ 284340 h 556451"/>
                            <a:gd name="connisteX3" fmla="*/ 16997 w 297767"/>
                            <a:gd name="connsiteY3" fmla="*/ 455790 h 556451"/>
                            <a:gd name="connisteX4" fmla="*/ 150347 w 297767"/>
                            <a:gd name="connsiteY4" fmla="*/ 531990 h 556451"/>
                            <a:gd name="connisteX5" fmla="*/ 245597 w 297767"/>
                            <a:gd name="connsiteY5" fmla="*/ 541515 h 556451"/>
                            <a:gd name="connisteX6" fmla="*/ 264647 w 297767"/>
                            <a:gd name="connsiteY6" fmla="*/ 379590 h 556451"/>
                            <a:gd name="connisteX7" fmla="*/ 293222 w 297767"/>
                            <a:gd name="connsiteY7" fmla="*/ 131940 h 556451"/>
                            <a:gd name="connisteX8" fmla="*/ 178922 w 297767"/>
                            <a:gd name="connsiteY8" fmla="*/ 17640 h 55645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97768" h="556452">
                              <a:moveTo>
                                <a:pt x="178922" y="17640"/>
                              </a:moveTo>
                              <a:cubicBezTo>
                                <a:pt x="127487" y="-1410"/>
                                <a:pt x="70337" y="-16650"/>
                                <a:pt x="36047" y="36690"/>
                              </a:cubicBezTo>
                              <a:cubicBezTo>
                                <a:pt x="1757" y="90030"/>
                                <a:pt x="11282" y="200520"/>
                                <a:pt x="7472" y="284340"/>
                              </a:cubicBezTo>
                              <a:cubicBezTo>
                                <a:pt x="3662" y="368160"/>
                                <a:pt x="-11578" y="406260"/>
                                <a:pt x="16997" y="455790"/>
                              </a:cubicBezTo>
                              <a:cubicBezTo>
                                <a:pt x="45572" y="505320"/>
                                <a:pt x="104627" y="514845"/>
                                <a:pt x="150347" y="531990"/>
                              </a:cubicBezTo>
                              <a:cubicBezTo>
                                <a:pt x="196067" y="549135"/>
                                <a:pt x="222737" y="571995"/>
                                <a:pt x="245597" y="541515"/>
                              </a:cubicBezTo>
                              <a:cubicBezTo>
                                <a:pt x="268457" y="511035"/>
                                <a:pt x="255122" y="461505"/>
                                <a:pt x="264647" y="379590"/>
                              </a:cubicBezTo>
                              <a:cubicBezTo>
                                <a:pt x="274172" y="297675"/>
                                <a:pt x="310367" y="204330"/>
                                <a:pt x="293222" y="131940"/>
                              </a:cubicBezTo>
                              <a:cubicBezTo>
                                <a:pt x="276077" y="59550"/>
                                <a:pt x="230357" y="36690"/>
                                <a:pt x="178922" y="17640"/>
                              </a:cubicBezTo>
                              <a:close/>
                            </a:path>
                          </a:pathLst>
                        </a:custGeom>
                        <a:noFill/>
                        <a:ln w="31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4.25pt;margin-top:25.45pt;height:55.7pt;width:52.5pt;z-index:251676672;mso-width-relative:page;mso-height-relative:page;" filled="f" stroked="t" coordsize="297768,556452" o:gfxdata="UEsDBAoAAAAAAIdO4kAAAAAAAAAAAAAAAAAEAAAAZHJzL1BLAwQUAAAACACHTuJA4OVEw9sAAAAK&#10;AQAADwAAAGRycy9kb3ducmV2LnhtbE2Py07DMBBF90j8gzVI7KjdVklDiFPxEIgKsWhaCZaT2E0i&#10;/Ihitw1/z7CC5cwc3Tm3WE/WsJMeQ++dhPlMANOu8ap3rYT97vkmAxYiOoXGOy3hWwdYl5cXBebK&#10;n91Wn6rYMgpxIUcJXYxDznloOm0xzPygHd0OfrQYaRxbrkY8U7g1fCFEyi32jj50OOjHTjdf1dFK&#10;wE0SPu776vD09oAv76b+nKr9q5TXV3NxByzqKf7B8KtP6lCSU+2PTgVmJKzSLCFUQiJugRGQrZa0&#10;qIlMF0vgZcH/Vyh/AFBLAwQUAAAACACHTuJAq3iMjEsEAAClDQAADgAAAGRycy9lMm9Eb2MueG1s&#10;rVfNjus0FN4j8Q5Wlkhzazu201TTuRKMhg2CK92LBEtP6rSRkjiyPdMZ1uzZs7ziJdAVPA0X8Rgc&#10;20nHGUDNSHTROrW/8/k7Pj/O5euHrkX3ythG99uMvMIZUn2ld02/32bfvru5WGfIOtnvZKt7tc0e&#10;lc1eX336yeVx2CiqD7rdKYPASG83x2GbHZwbNquVrQ6qk/aVHlQPk7U2nXTwaParnZFHsN61K4qx&#10;WB212Q1GV8pa+Pc6TmajRbPEoK7rplLXurrrVO+iVaNa6UCSPTSDza7CbutaVe6burbKoXabgVIX&#10;voEExrf+e3V1KTd7I4dDU41bkEu28ExTJ5seSE+mrqWT6M40/zDVNZXRVtfuVaW7VRQSPAIqCH7m&#10;m7cHOaigBVxth5PT7f9ntvr6/o1BzQ4iAZcZ6mUHR/7Hhw9//vjTx19+/uv3Xz/+9h75KXDUcbAb&#10;WP92eGPGJwtDr/qhNp3/BT3oITj38eRc9eBQBX8K+DCaoQqmClzkovA2V0/g6s66L5UOhuT9V9bF&#10;s9nBKHh2N+6u0n3fWKe+gzOsuxaO67MVIsW6pBQdES2LIpqGw0ghtnHq+zlEMIwOiHPBOBkjIUUE&#10;EpKQ5AKz4izHHCHK8xzglZOQghXnZaQAumb5Ah15wkFEWZ7XkSIY58UCISwl4Thf4K0UwnNSLmDh&#10;CQuFnS3QkkI4I5zwswcvUhbBxAItKSQvSr5AS5GylDldEMMphIDHFhw+lPRTgC3MlDnkeaZA2u6n&#10;xJSHKVerh35MVhgh6RsKDlVx0NbXhTRzoQr4xzErYyUAlM/0M2DIrxQcMhf2swwMmZOC6ViDloEh&#10;I1Jw/iIwBHoKZi8CQ/ymYP4iMIRlChYvAkO0peCpaC9zGARRCl6nzPHIxngx0Kh9i25Di3YZghZt&#10;Qou+9Ri5GaTzYTYN0XGbhUoPDIdtFko4DaHW6Xv1Tod1zsdcDPewD1JAGI9beFpW3d021efqhxmI&#10;FmwdlV8QRsZrwhAMFjjPpykh+GwuNIjAlQso/JPcGcO/8hU8miwxzmcWCaHrGLNwd+J0NudbRSCL&#10;LWAxG+wt4nKxJmJm8oIQXsRTY1jQ+WRoG4EwtoPFhH55ZOSY53MRBDNBo3hO2JqF0IbzjocXekig&#10;jL1hMSUpBYZrgA8/zkqSz8xClS3GM+QFtJz5ZOgoI9J3isWcVMD2JykEP+PknNDoBCYI+MGbnXTS&#10;0F8CZ+wbyzkLRqYoKOHiMzObwyZGJ1DM8nlk0dBtAmfsIi/gFLgYdZZ8ngE0B91x7pQCk8r/SMV5&#10;QlSttiq2A5/z4YZ4Sn5fM5JbYq9vmrYNfmx7XxJyAg5AlYTXkhpeB2DYDXC1tf0+Q7Ldw/tO5Uwo&#10;E1a3zc6j/SFYs7/9ojXoXkIJuoEPnlJ3tmww1l1Le4jrwtTosxb61spfj+OF2I9u9e4x3JPD/3B7&#10;D0rGNw3/epA+B/TT29XV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8GAABbQ29udGVudF9UeXBlc10ueG1sUEsBAhQACgAAAAAAh07iQAAAAAAA&#10;AAAAAAAAAAYAAAAAAAAAAAAQAAAAoQUAAF9yZWxzL1BLAQIUABQAAAAIAIdO4kCKFGY80QAAAJQB&#10;AAALAAAAAAAAAAEAIAAAAMUFAABfcmVscy8ucmVsc1BLAQIUAAoAAAAAAIdO4kAAAAAAAAAAAAAA&#10;AAAEAAAAAAAAAAAAEAAAAAAAAABkcnMvUEsBAhQAFAAAAAgAh07iQODlRMPbAAAACgEAAA8AAAAA&#10;AAAAAQAgAAAAIgAAAGRycy9kb3ducmV2LnhtbFBLAQIUABQAAAAIAIdO4kCreIyMSwQAAKUNAAAO&#10;AAAAAAAAAAEAIAAAACoBAABkcnMvZTJvRG9jLnhtbFBLBQYAAAAABgAGAFkBAADnBwAAAAA=&#10;" path="m178922,17640c127487,-1410,70337,-16650,36047,36690c1757,90030,11282,200520,7472,284340c3662,368160,-11578,406260,16997,455790c45572,505320,104627,514845,150347,531990c196067,549135,222737,571995,245597,541515c268457,511035,255122,461505,264647,379590c274172,297675,310367,204330,293222,131940c276077,59550,230357,36690,178922,17640xe">
                <v:path o:connectlocs="400571,22424;80702,46640;16728,361456;38052,579405;336597,676271;549843,688380;592492,482539;656466,167723;400571,22424" o:connectangles="0,0,0,0,0,0,0,0,0"/>
                <v:fill on="f" focussize="0,0"/>
                <v:stroke weight="0.25pt" color="#FFFF00 [2404]" joinstyle="round"/>
                <v:imagedata o:title=""/>
                <o:lock v:ext="edit" aspectratio="f"/>
              </v:shape>
            </w:pict>
          </mc:Fallback>
        </mc:AlternateContent>
      </w:r>
      <w:r>
        <w:rPr>
          <w:rFonts w:ascii="宋体" w:hAnsi="宋体" w:eastAsia="宋体" w:cs="宋体"/>
          <w:b/>
          <w:bCs/>
          <w:color w:val="000000" w:themeColor="text1"/>
          <w:spacing w:val="-8"/>
          <w:szCs w:val="24"/>
          <w14:textFill>
            <w14:solidFill>
              <w14:schemeClr w14:val="tx1"/>
            </w14:solidFill>
          </w14:textFill>
        </w:rPr>
        <w:t>附图</w:t>
      </w:r>
      <w:r>
        <w:rPr>
          <w:rFonts w:ascii="宋体" w:hAnsi="宋体" w:eastAsia="宋体" w:cs="宋体"/>
          <w:color w:val="000000" w:themeColor="text1"/>
          <w:spacing w:val="-47"/>
          <w:szCs w:val="24"/>
          <w14:textFill>
            <w14:solidFill>
              <w14:schemeClr w14:val="tx1"/>
            </w14:solidFill>
          </w14:textFill>
        </w:rPr>
        <w:t xml:space="preserve"> </w:t>
      </w:r>
      <w:r>
        <w:rPr>
          <w:rFonts w:ascii="Times New Roman" w:hAnsi="Times New Roman" w:eastAsia="Times New Roman" w:cs="Times New Roman"/>
          <w:b/>
          <w:bCs/>
          <w:color w:val="000000" w:themeColor="text1"/>
          <w:spacing w:val="-8"/>
          <w:szCs w:val="24"/>
          <w14:textFill>
            <w14:solidFill>
              <w14:schemeClr w14:val="tx1"/>
            </w14:solidFill>
          </w14:textFill>
        </w:rPr>
        <w:t>2</w:t>
      </w:r>
      <w:r>
        <w:rPr>
          <w:rFonts w:ascii="Times New Roman" w:hAnsi="Times New Roman" w:eastAsia="Times New Roman" w:cs="Times New Roman"/>
          <w:b/>
          <w:bCs/>
          <w:color w:val="000000" w:themeColor="text1"/>
          <w:spacing w:val="-30"/>
          <w:szCs w:val="24"/>
          <w14:textFill>
            <w14:solidFill>
              <w14:schemeClr w14:val="tx1"/>
            </w14:solidFill>
          </w14:textFill>
        </w:rPr>
        <w:t xml:space="preserve"> </w:t>
      </w:r>
      <w:r>
        <w:rPr>
          <w:rFonts w:ascii="宋体" w:hAnsi="宋体" w:eastAsia="宋体" w:cs="宋体"/>
          <w:b/>
          <w:bCs/>
          <w:color w:val="000000" w:themeColor="text1"/>
          <w:spacing w:val="-8"/>
          <w:szCs w:val="24"/>
          <w14:textFill>
            <w14:solidFill>
              <w14:schemeClr w14:val="tx1"/>
            </w14:solidFill>
          </w14:textFill>
        </w:rPr>
        <w:t>：</w:t>
      </w:r>
      <w:r>
        <w:rPr>
          <w:rFonts w:hint="eastAsia" w:ascii="宋体" w:hAnsi="宋体" w:eastAsia="宋体" w:cs="宋体"/>
          <w:b/>
          <w:bCs/>
          <w:color w:val="000000" w:themeColor="text1"/>
          <w:spacing w:val="-8"/>
          <w:szCs w:val="24"/>
          <w14:textFill>
            <w14:solidFill>
              <w14:schemeClr w14:val="tx1"/>
            </w14:solidFill>
          </w14:textFill>
        </w:rPr>
        <w:t>环境保护目标及</w:t>
      </w:r>
      <w:r>
        <w:rPr>
          <w:rFonts w:ascii="宋体" w:hAnsi="宋体" w:eastAsia="宋体" w:cs="宋体"/>
          <w:b/>
          <w:bCs/>
          <w:color w:val="000000" w:themeColor="text1"/>
          <w:spacing w:val="-8"/>
          <w:szCs w:val="24"/>
          <w14:textFill>
            <w14:solidFill>
              <w14:schemeClr w14:val="tx1"/>
            </w14:solidFill>
          </w14:textFill>
        </w:rPr>
        <w:t>周边环境示意图</w:t>
      </w:r>
    </w:p>
    <w:p>
      <w:pPr>
        <w:pStyle w:val="16"/>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671195</wp:posOffset>
                </wp:positionH>
                <wp:positionV relativeFrom="paragraph">
                  <wp:posOffset>4217035</wp:posOffset>
                </wp:positionV>
                <wp:extent cx="333375" cy="209550"/>
                <wp:effectExtent l="0" t="0" r="28575" b="19050"/>
                <wp:wrapNone/>
                <wp:docPr id="189" name="矩形 189"/>
                <wp:cNvGraphicFramePr/>
                <a:graphic xmlns:a="http://schemas.openxmlformats.org/drawingml/2006/main">
                  <a:graphicData uri="http://schemas.microsoft.com/office/word/2010/wordprocessingShape">
                    <wps:wsp>
                      <wps:cNvSpPr/>
                      <wps:spPr>
                        <a:xfrm>
                          <a:off x="0" y="0"/>
                          <a:ext cx="333375" cy="209550"/>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85pt;margin-top:332.05pt;height:16.5pt;width:26.25pt;z-index:251747328;v-text-anchor:middle;mso-width-relative:page;mso-height-relative:page;" filled="f" stroked="t" coordsize="21600,21600" o:gfxdata="UEsDBAoAAAAAAIdO4kAAAAAAAAAAAAAAAAAEAAAAZHJzL1BLAwQUAAAACACHTuJAFs/On9cAAAAL&#10;AQAADwAAAGRycy9kb3ducmV2LnhtbE2PwU7DMAyG70i8Q2QkbixpWbvRNd1hggOcYOMBssa01Rqn&#10;arJ2e3u8Exx/+9Pvz+X24nox4Rg6TxqShQKBVHvbUaPh+/D2tAYRoiFrek+o4YoBttX9XWkK62f6&#10;wmkfG8ElFAqjoY1xKKQMdYvOhIUfkHj340dnIsexkXY0M5e7XqZK5dKZjvhCawbctVif9menwS2z&#10;ydD8jB+f13TXvNbZIe3ftX58SNQGRMRL/IPhps/qULHT0Z/JBtFzVtmKUQ15vkxA3IhsnYI48uRl&#10;lYCsSvn/h+oXUEsDBBQAAAAIAIdO4kDQUTnWYAIAALcEAAAOAAAAZHJzL2Uyb0RvYy54bWytVM1u&#10;EzEQviPxDpbvdJOQtE3UpIoaBSFVtFJBnB2vnbXkP2wnm/IySNx4iD4O4jX47N3+UDj0QA7O2DP+&#10;xvPNN3t2fjCa7EWIytk5HR4NKBGWu1rZ7Zx++rh+c0pJTMzWTDsr5vRWRHq+eP3qrPUzMXKN07UI&#10;BCA2zlo/p01KflZVkTfCsHjkvLBwShcMS9iGbVUH1gLd6Go0GBxXrQu1D46LGHG66py0RwwvAXRS&#10;Ki5Wju+MsKlDDUKzhJJio3yki/JaKQVPV1JGkYieU1SayooksDd5rRZnbLYNzDeK909gL3nCs5oM&#10;UxZJH6BWLDGyC+ovKKN4cNHJdMSdqbpCCiOoYjh4xs1Nw7wotYDq6B9Ij/8Pln/YXweiaijhdEqJ&#10;ZQYt//Xtx8+77ySfgJ/WxxnCbvx16HcRZi72IIPJ/yiDHAqntw+cikMiHIdv8TuZUMLhGg2mk0nh&#10;vHq87ENM74QzJBtzGtCywiTbX8aEhAi9D8m5rFsrrUvbtCUtQCfjAbrJGbQooQGYxqOeaLeUML2F&#10;yHkKBTI6rep8PQPFsN1c6ED2DNJYn0yPx8e5WqT7IyznXrHYdHHF1Ydpi+hMTkdHtjauvgWdwXU6&#10;i56vFe5fspiuWYCw8FCMXrrCIrXD611vUdK48PVf5zke/YaXkhZCRWVfdiwISvR7CyVMh+NxVnbZ&#10;jCcnI2zCU8/mqcfuzIVDwUMMuefFzPFJ35syOPMZE7rMWeFiliN3x2G/uUjdAGHGuVguSxjU7Fm6&#10;tDeeZ/CuU8tdclKVJj6y05MGPRey+9nLA/N0X6Ievze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bPzp/XAAAACwEAAA8AAAAAAAAAAQAgAAAAIgAAAGRycy9kb3ducmV2LnhtbFBLAQIUABQAAAAI&#10;AIdO4kDQUTnWYAIAALcEAAAOAAAAAAAAAAEAIAAAACYBAABkcnMvZTJvRG9jLnhtbFBLBQYAAAAA&#10;BgAGAFkBAAD4BQAAAAA=&#10;">
                <v:fill on="f" focussize="0,0"/>
                <v:stroke weight="2pt" color="#F79646 [3209]"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2776220</wp:posOffset>
                </wp:positionH>
                <wp:positionV relativeFrom="paragraph">
                  <wp:posOffset>3054985</wp:posOffset>
                </wp:positionV>
                <wp:extent cx="1009650" cy="730250"/>
                <wp:effectExtent l="38100" t="0" r="19050" b="50800"/>
                <wp:wrapNone/>
                <wp:docPr id="107" name="直接箭头连接符 107"/>
                <wp:cNvGraphicFramePr/>
                <a:graphic xmlns:a="http://schemas.openxmlformats.org/drawingml/2006/main">
                  <a:graphicData uri="http://schemas.microsoft.com/office/word/2010/wordprocessingShape">
                    <wps:wsp>
                      <wps:cNvCnPr/>
                      <wps:spPr>
                        <a:xfrm flipH="1">
                          <a:off x="0" y="0"/>
                          <a:ext cx="1009650" cy="730250"/>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18.6pt;margin-top:240.55pt;height:57.5pt;width:79.5pt;z-index:251681792;mso-width-relative:page;mso-height-relative:page;" filled="f" stroked="t" coordsize="21600,21600" o:gfxdata="UEsDBAoAAAAAAIdO4kAAAAAAAAAAAAAAAAAEAAAAZHJzL1BLAwQUAAAACACHTuJAwmLIGdkAAAAL&#10;AQAADwAAAGRycy9kb3ducmV2LnhtbE2PMU/DMBCFdyT+g3VIbNRxoW2axulQCXVhIa0Eoxu7cUp8&#10;DrbblH/PwQLbu3tP774r11fXs4sJsfMoQUwyYAYbrztsJex3zw85sJgUatV7NBK+TIR1dXtTqkL7&#10;EV/NpU4toxKMhZJgUxoKzmNjjVNx4geD5B19cCrRGFqugxqp3PV8mmVz7lSHdMGqwWysaT7qs5Nw&#10;svVp/z7DbTMuw2bxts3H3eeLlPd3IlsBS+aa/sLwg0/oUBHTwZ9RR9ZLeHpcTClKIhcCGCVmyzlt&#10;Dr9CAK9K/v+H6htQSwMEFAAAAAgAh07iQGiNAyAFAgAA2gMAAA4AAABkcnMvZTJvRG9jLnhtbK1T&#10;zY7TMBC+I/EOlu80aVd0oWq6h5bCAUEl4AGmjpNY8p/G3qZ9CV4AiRNwAk5752lgeQzGTrfActkD&#10;OUTjGc83830znl/sjWY7iUE5W/HxqORMWuFqZduKv3m9fvCIsxDB1qCdlRU/yMAvFvfvzXs/kxPX&#10;OV1LZARiw6z3Fe9i9LOiCKKTBsLIeWkp2Dg0EOmIbVEj9IRudDEpy2nRO6w9OiFDIO9qCPIjIt4F&#10;0DWNEnLlxKWRNg6oKDVEohQ65QNf5G6bRor4smmCjExXnJjG/KciZG/Tv1jMYdYi+E6JYwtwlxZu&#10;cTKgLBU9Qa0gArtE9Q+UUQJdcE0cCWeKgUhWhFiMy1vavOrAy8yFpA7+JHr4f7DixW6DTNW0CeU5&#10;ZxYMjfz63dWPtx+vv375/uHq57f3yf78iaULJFfvw4yylnaDx1PwG0zc9w0a1mjlnxFaVoP4sX0W&#10;+3ASW+4jE+Qcl+Xj6UOag6DY+Vk5IZsAiwEn4XkM8al0hiWj4iEiqLaLS2ctzdXhUAN2z0McEm8S&#10;UrJ1a6U1+WGmLesrPj3LxYBWtqFVobrGE+1gW85At/QWRMTcdXBa1Sk7JQdst0uNbAe0QWv6yps2&#10;/7qWSq8gdMO9HBp2K4LST2zN4sGTsoDo+iNNbYltUnPQL1lbVx+yrNlPI896HNcz7dSf55z9+0ku&#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YsgZ2QAAAAsBAAAPAAAAAAAAAAEAIAAAACIAAABk&#10;cnMvZG93bnJldi54bWxQSwECFAAUAAAACACHTuJAaI0DIAUCAADaAwAADgAAAAAAAAABACAAAAAo&#10;AQAAZHJzL2Uyb0RvYy54bWxQSwUGAAAAAAYABgBZAQAAnwU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3991610</wp:posOffset>
                </wp:positionH>
                <wp:positionV relativeFrom="paragraph">
                  <wp:posOffset>2319020</wp:posOffset>
                </wp:positionV>
                <wp:extent cx="476885" cy="207010"/>
                <wp:effectExtent l="0" t="0" r="18415" b="21590"/>
                <wp:wrapNone/>
                <wp:docPr id="78" name="矩形 78"/>
                <wp:cNvGraphicFramePr/>
                <a:graphic xmlns:a="http://schemas.openxmlformats.org/drawingml/2006/main">
                  <a:graphicData uri="http://schemas.microsoft.com/office/word/2010/wordprocessingShape">
                    <wps:wsp>
                      <wps:cNvSpPr/>
                      <wps:spPr>
                        <a:xfrm>
                          <a:off x="0" y="0"/>
                          <a:ext cx="476885" cy="207010"/>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3pt;margin-top:182.6pt;height:16.3pt;width:37.55pt;z-index:251663360;v-text-anchor:middle;mso-width-relative:page;mso-height-relative:page;" filled="f" stroked="t" coordsize="21600,21600" o:gfxdata="UEsDBAoAAAAAAIdO4kAAAAAAAAAAAAAAAAAEAAAAZHJzL1BLAwQUAAAACACHTuJAsvgrsdgAAAAL&#10;AQAADwAAAGRycy9kb3ducmV2LnhtbE2Py07DMBBF90j8gzVI7KhThzxI43RRwQJWtOUD3HiaRNjj&#10;KHaT9u8xK1jOzNGdc+vt1Ro24+QHRxLWqwQYUuv0QJ2Er+PbUwnMB0VaGUco4YYets39Xa0q7Rba&#10;43wIHYsh5CsloQ9hrDj3bY9W+ZUbkeLt7CarQhynjutJLTHcGi6SJOdWDRQ/9GrEXY/t9+FiJdjn&#10;bFa0pPjxeRO77rXNjsK8S/n4sE42wAJewx8Mv/pRHZrodHIX0p4ZCbko84hKSPNMAItEkaQFsFPc&#10;vBQl8Kbm/zs0P1BLAwQUAAAACACHTuJAVHcpOF8CAAC1BAAADgAAAGRycy9lMm9Eb2MueG1srVTN&#10;bhMxEL4j8Q6W73STKE3aqJsqahSEVNFKAXF2vN6sJf9hO9mUl0HixkPwOIjX4LN3m4bCoQcumxnP&#10;+Bt/38zk6vqgFdkLH6Q1JR2eDSgRhttKmm1JP35YvbmgJERmKqasESV9EIFez1+/umrdTIxsY1Ul&#10;PAGICbPWlbSJ0c2KIvBGaBbOrBMGwdp6zSJcvy0qz1qga1WMBoNJ0VpfOW+5CAGnyy5Ie0T/EkBb&#10;15KLpeU7LUzsUL1QLIJSaKQLdJ5fW9eCx7u6DiISVVIwjfmLIrA36VvMr9hs65lrJO+fwF7yhGec&#10;NJMGRY9QSxYZ2Xn5F5SW3Ntg63jGrS46IlkRsBgOnmmzbpgTmQukDu4oevh/sPz9/t4TWZV0ir4b&#10;ptHxX1+///zxjeAA6rQuzJC0dve+9wLMRPVQe51+QYIcsqIPR0XFIRKOw/F0cnFxTglHaDSYgmLC&#10;LJ4uOx/iW2E1SUZJPRqWdWT72xC71MeUVMvYlVQK52ymDGkBej4eoJecYRJrTABM7cAmmC0lTG0x&#10;4jz6DBmsklW6nm4Hv93cKE/2DIOxml5OxpP+ZX+kpdpLFpouL4f6NGXAI4nTyZGsja0eIKa33ZQF&#10;x1cS929ZiPfMY6zwUCxevMOnVhavt71FSWP9l3+dp3x0G1FKWowpmH3eMS8oUe8M5uByOB6nuc7O&#10;+Hw6guNPI5vTiNnpGwvCQ6y449lM+VE9mrW3+hP2c5GqIsQMR+1Ow965id36YMO5WCxyGmbZsXhr&#10;1o4n8K5Ti120tcxNfFKnFw3TnMeg37y0Lqd+znr6t5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L4K7HYAAAACwEAAA8AAAAAAAAAAQAgAAAAIgAAAGRycy9kb3ducmV2LnhtbFBLAQIUABQAAAAI&#10;AIdO4kBUdyk4XwIAALUEAAAOAAAAAAAAAAEAIAAAACcBAABkcnMvZTJvRG9jLnhtbFBLBQYAAAAA&#10;BgAGAFkBAAD4BQAAAAA=&#10;">
                <v:fill on="f" focussize="0,0"/>
                <v:stroke weight="2pt" color="#F79646 [3209]"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5452110</wp:posOffset>
                </wp:positionH>
                <wp:positionV relativeFrom="paragraph">
                  <wp:posOffset>2249805</wp:posOffset>
                </wp:positionV>
                <wp:extent cx="683895" cy="389890"/>
                <wp:effectExtent l="0" t="0" r="0" b="0"/>
                <wp:wrapNone/>
                <wp:docPr id="77" name="矩形 77"/>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周店村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9.3pt;margin-top:177.15pt;height:30.7pt;width:53.85pt;z-index:251662336;v-text-anchor:middle;mso-width-relative:page;mso-height-relative:page;" filled="f" stroked="f" coordsize="21600,21600" o:gfxdata="UEsDBAoAAAAAAIdO4kAAAAAAAAAAAAAAAAAEAAAAZHJzL1BLAwQUAAAACACHTuJAdzhDItoAAAAL&#10;AQAADwAAAGRycy9kb3ducmV2LnhtbE2PwU6DQBCG7ya+w2ZMvNkFC4jI0DRGTXq0mBhvC7sCys4S&#10;dkvbt3c86W0m8+Wf7y83JzuKxcx+cIQQryIQhlqnB+oQ3urnmxyED4q0Gh0ZhLPxsKkuL0pVaHek&#10;V7PsQyc4hHyhEPoQpkJK3/bGKr9ykyG+fbrZqsDr3Ek9qyOH21HeRlEmrRqIP/RqMo+9ab/3B4vg&#10;m2VXn6ft+9eHb5vtE9k62b0gXl/F0QOIYE7hD4ZffVaHip0adyDtxYiQp3nGKMI6TdYgmLjPMh4a&#10;hCRO70BWpfzfofoBUEsDBBQAAAAIAIdO4kB/59mWVAIAAJcEAAAOAAAAZHJzL2Uyb0RvYy54bWyt&#10;VM1uEzEQviPxDpbvdJOQtmnUTRU1KkKqaKWCODteO2vJf9hONuVlkLjxEDwO4jX47N22UeHQA5fd&#10;Gc/sN/6+mdnzi73RZCdCVM7WdHw0okRY7hplNzX99PHqzYySmJhtmHZW1PReRHqxeP3qvPNzMXGt&#10;040IBCA2zjtf0zYlP6+qyFthWDxyXlgEpQuGJbhhUzWBdUA3upqMRidV50Ljg+MiRpyu+iAdEMNL&#10;AJ2UiouV41sjbOpRg9AsgVJslY90UW4rpeDpRsooEtE1BdNUnigCe52f1eKczTeB+Vbx4QrsJVd4&#10;xskwZVH0EWrFEiPboP6CMooHF51MR9yZqidSFAGL8eiZNnct86JwgdTRP4oe/x8s/7C7DUQ1NT09&#10;pcQyg47//vbj18/vBAdQp/NxjqQ7fxsGL8LMVPcymPwGCbIvit4/Kir2iXAcnszezs6OKeEIwZqd&#10;FcWrp499iOmdcIZko6YBDSs6st11TCiI1IeUXMu6K6V1aZq2pKvp5Hg6Qi85wyRKTABM48Em2g0l&#10;TG8w4jyFAnnwbYZcsdiSHcNcRKdVk7mimLZ4Zc49y2yl/Xo/UF+75h5yBdfPUfT8SgHqmsV0ywIG&#10;B1fBaqUbPKR2uJ8bLEpaF77+6zzno5+IUtJhEHGfL1sWBCX6vUWnz8bTaZ7c4kyPTydwwmFkfRix&#10;W3PpwGmMJfa8mDk/6QdTBmc+YwOXuSpCzHLU7lUanMvULwh2mIvlsqRhWj1L1/bO8wze92K5TU6q&#10;0qYsVK/OoB/mtQg67FZeiEO/ZD39Tx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Hc4QyLaAAAA&#10;CwEAAA8AAAAAAAAAAQAgAAAAIgAAAGRycy9kb3ducmV2LnhtbFBLAQIUABQAAAAIAIdO4kB/59mW&#10;VAIAAJc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周店村</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4681220</wp:posOffset>
                </wp:positionH>
                <wp:positionV relativeFrom="paragraph">
                  <wp:posOffset>3058160</wp:posOffset>
                </wp:positionV>
                <wp:extent cx="933450" cy="295275"/>
                <wp:effectExtent l="0" t="0" r="0" b="0"/>
                <wp:wrapNone/>
                <wp:docPr id="461236349" name="矩形 461236349"/>
                <wp:cNvGraphicFramePr/>
                <a:graphic xmlns:a="http://schemas.openxmlformats.org/drawingml/2006/main">
                  <a:graphicData uri="http://schemas.microsoft.com/office/word/2010/wordprocessingShape">
                    <wps:wsp>
                      <wps:cNvSpPr/>
                      <wps:spPr>
                        <a:xfrm>
                          <a:off x="0" y="0"/>
                          <a:ext cx="933450" cy="2952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color w:val="FFFF00"/>
                                <w:spacing w:val="6"/>
                                <w:sz w:val="21"/>
                                <w:szCs w:val="21"/>
                              </w:rPr>
                              <w:t>下底铺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6pt;margin-top:240.8pt;height:23.25pt;width:73.5pt;z-index:251743232;v-text-anchor:middle;mso-width-relative:page;mso-height-relative:page;" filled="f" stroked="f" coordsize="21600,21600" o:gfxdata="UEsDBAoAAAAAAIdO4kAAAAAAAAAAAAAAAAAEAAAAZHJzL1BLAwQUAAAACACHTuJANil6Q9oAAAAL&#10;AQAADwAAAGRycy9kb3ducmV2LnhtbE2PwU6DQBCG7ya+w2ZMvNkFxHZDGZrGqEmPFhPjbYEpoOws&#10;Ybe0fXvXUz3OzJd/vj/fnM0gZppcbxkhXkQgiGvb9NwifJSvDwqE85obPVgmhAs52BS3N7nOGnvi&#10;d5r3vhUhhF2mETrvx0xKV3dktFvYkTjcDnYy2odxamUz6VMIN4NMomgpje45fOj0SM8d1T/7o0Fw&#10;1bwrL+P28/vL1dX2hU2Z7t4Q7+/iaA3C09lfYfjTD+pQBKfKHrlxYkBYPa6SgCKkKl6CCIRSadhU&#10;CE+JikEWufzfofgFUEsDBBQAAAAIAIdO4kCN93lMWQIAAKUEAAAOAAAAZHJzL2Uyb0RvYy54bWyt&#10;VM1uEzEQviPxDpbvdPOzaUnUTRU1KkKqaKWCODteO2vJf9hONuVlkLjxEDwO4jX4vLtto8KhBy6b&#10;Gc/483zfzOT84mA02YsQlbMVHZ+MKBGWu1rZbUU/fbx685aSmJitmXZWVPReRHqxfP3qvPULMXGN&#10;07UIBCA2Llpf0SYlvyiKyBthWDxxXlgEpQuGJbhhW9SBtUA3upiMRqdF60Ltg+MiRpyu+yAdEMNL&#10;AJ2Uiou14zsjbOpRg9AsgVJslI902VUrpeDpRsooEtEVBdPUffEI7E3+FstzttgG5hvFhxLYS0p4&#10;xskwZfHoI9SaJUZ2Qf0FZRQPLjqZTrgzRU+kUwQsxqNn2tw1zIuOC6SO/lH0+P9g+Yf9bSCqrmh5&#10;Op5MT6flnBLLDBr/+9uPXz+/k6dzaNX6uMCVO38bBi/CzMQPMpj8C0rk0Ol7/6ivOCTCcTifTssZ&#10;lOcITeazydks6188XfYhpnfCGZKNiga0r1OV7a9j6lMfUvJb1l0prXHOFtqSFqCzcpTxGeZSYh5g&#10;Gg9u0W4pYXqLgecpdJBHdzPkmsWG7BmmJDqt6qEubVFe5tyzzFY6bA4D9Y2r7yFecP1URc+vFKCu&#10;WUy3LGCMUAoWLd3gI7VDfW6wKGlc+Pqv85yP7iJKSYuxRD1fdiwISvR7i77Px2UJ2NQ55exsAicc&#10;RzbHEbszlw6cxlhpzzsz5yf9YMrgzGfs4yq/ihCzHG/3Kg3OZerXBRvNxWrVpWF2PUvX9s7zDN73&#10;YrVLTqquTVmoXp1BP0xv1+hh0/J6HPtd1tO/y/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il6&#10;Q9oAAAALAQAADwAAAAAAAAABACAAAAAiAAAAZHJzL2Rvd25yZXYueG1sUEsBAhQAFAAAAAgAh07i&#10;QI33eUxZAgAApQQAAA4AAAAAAAAAAQAgAAAAKQEAAGRycy9lMm9Eb2MueG1sUEsFBgAAAAAGAAYA&#10;WQEAAPQFAAAAAA==&#10;">
                <v:fill on="f" focussize="0,0"/>
                <v:stroke on="f" weight="2pt"/>
                <v:imagedata o:title=""/>
                <o:lock v:ext="edit" aspectratio="f"/>
                <v:textbox>
                  <w:txbxContent>
                    <w:p>
                      <w:pPr>
                        <w:jc w:val="center"/>
                        <w:rPr>
                          <w:color w:val="FFFF00"/>
                          <w:sz w:val="21"/>
                          <w:szCs w:val="21"/>
                        </w:rPr>
                      </w:pPr>
                      <w:r>
                        <w:rPr>
                          <w:color w:val="FFFF00"/>
                          <w:spacing w:val="6"/>
                          <w:sz w:val="21"/>
                          <w:szCs w:val="21"/>
                        </w:rPr>
                        <w:t>下底铺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3448050</wp:posOffset>
                </wp:positionH>
                <wp:positionV relativeFrom="paragraph">
                  <wp:posOffset>4423410</wp:posOffset>
                </wp:positionV>
                <wp:extent cx="638810" cy="953770"/>
                <wp:effectExtent l="0" t="0" r="27940" b="17780"/>
                <wp:wrapNone/>
                <wp:docPr id="114" name="任意多边形 114"/>
                <wp:cNvGraphicFramePr/>
                <a:graphic xmlns:a="http://schemas.openxmlformats.org/drawingml/2006/main">
                  <a:graphicData uri="http://schemas.microsoft.com/office/word/2010/wordprocessingShape">
                    <wps:wsp>
                      <wps:cNvSpPr/>
                      <wps:spPr>
                        <a:xfrm>
                          <a:off x="0" y="0"/>
                          <a:ext cx="638810" cy="953770"/>
                        </a:xfrm>
                        <a:custGeom>
                          <a:avLst/>
                          <a:gdLst>
                            <a:gd name="connisteX0" fmla="*/ 376 w 638745"/>
                            <a:gd name="connsiteY0" fmla="*/ 447715 h 954024"/>
                            <a:gd name="connisteX1" fmla="*/ 48001 w 638745"/>
                            <a:gd name="connsiteY1" fmla="*/ 152440 h 954024"/>
                            <a:gd name="connisteX2" fmla="*/ 228976 w 638745"/>
                            <a:gd name="connsiteY2" fmla="*/ 40 h 954024"/>
                            <a:gd name="connisteX3" fmla="*/ 352801 w 638745"/>
                            <a:gd name="connsiteY3" fmla="*/ 161965 h 954024"/>
                            <a:gd name="connisteX4" fmla="*/ 552826 w 638745"/>
                            <a:gd name="connsiteY4" fmla="*/ 381040 h 954024"/>
                            <a:gd name="connisteX5" fmla="*/ 638551 w 638745"/>
                            <a:gd name="connsiteY5" fmla="*/ 523915 h 954024"/>
                            <a:gd name="connisteX6" fmla="*/ 571876 w 638745"/>
                            <a:gd name="connsiteY6" fmla="*/ 752515 h 954024"/>
                            <a:gd name="connisteX7" fmla="*/ 552826 w 638745"/>
                            <a:gd name="connsiteY7" fmla="*/ 885865 h 954024"/>
                            <a:gd name="connisteX8" fmla="*/ 390901 w 638745"/>
                            <a:gd name="connsiteY8" fmla="*/ 943015 h 954024"/>
                            <a:gd name="connisteX9" fmla="*/ 171826 w 638745"/>
                            <a:gd name="connsiteY9" fmla="*/ 714415 h 954024"/>
                            <a:gd name="connisteX10" fmla="*/ 57526 w 638745"/>
                            <a:gd name="connsiteY10" fmla="*/ 552490 h 954024"/>
                            <a:gd name="connisteX11" fmla="*/ 376 w 638745"/>
                            <a:gd name="connsiteY11" fmla="*/ 447715 h 954024"/>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638745" h="954025">
                              <a:moveTo>
                                <a:pt x="376" y="447716"/>
                              </a:moveTo>
                              <a:cubicBezTo>
                                <a:pt x="-1529" y="367706"/>
                                <a:pt x="2281" y="241976"/>
                                <a:pt x="48001" y="152441"/>
                              </a:cubicBezTo>
                              <a:cubicBezTo>
                                <a:pt x="93721" y="62906"/>
                                <a:pt x="168016" y="-1864"/>
                                <a:pt x="228976" y="41"/>
                              </a:cubicBezTo>
                              <a:cubicBezTo>
                                <a:pt x="289936" y="1946"/>
                                <a:pt x="288031" y="85766"/>
                                <a:pt x="352801" y="161966"/>
                              </a:cubicBezTo>
                              <a:cubicBezTo>
                                <a:pt x="417571" y="238166"/>
                                <a:pt x="495676" y="308651"/>
                                <a:pt x="552826" y="381041"/>
                              </a:cubicBezTo>
                              <a:cubicBezTo>
                                <a:pt x="609976" y="453431"/>
                                <a:pt x="634741" y="449621"/>
                                <a:pt x="638551" y="523916"/>
                              </a:cubicBezTo>
                              <a:cubicBezTo>
                                <a:pt x="642361" y="598211"/>
                                <a:pt x="589021" y="680126"/>
                                <a:pt x="571876" y="752516"/>
                              </a:cubicBezTo>
                              <a:cubicBezTo>
                                <a:pt x="554731" y="824906"/>
                                <a:pt x="589021" y="847766"/>
                                <a:pt x="552826" y="885866"/>
                              </a:cubicBezTo>
                              <a:cubicBezTo>
                                <a:pt x="516631" y="923966"/>
                                <a:pt x="467101" y="977306"/>
                                <a:pt x="390901" y="943016"/>
                              </a:cubicBezTo>
                              <a:cubicBezTo>
                                <a:pt x="314701" y="908726"/>
                                <a:pt x="238501" y="792521"/>
                                <a:pt x="171826" y="714416"/>
                              </a:cubicBezTo>
                              <a:cubicBezTo>
                                <a:pt x="105151" y="636311"/>
                                <a:pt x="91816" y="605831"/>
                                <a:pt x="57526" y="552491"/>
                              </a:cubicBezTo>
                              <a:cubicBezTo>
                                <a:pt x="23236" y="499151"/>
                                <a:pt x="2281" y="527726"/>
                                <a:pt x="376" y="447716"/>
                              </a:cubicBezTo>
                              <a:close/>
                            </a:path>
                          </a:pathLst>
                        </a:custGeom>
                        <a:noFill/>
                        <a:ln w="31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1.5pt;margin-top:348.3pt;height:75.1pt;width:50.3pt;z-index:251682816;mso-width-relative:page;mso-height-relative:page;" filled="f" stroked="t" coordsize="638745,954025" o:gfxdata="UEsDBAoAAAAAAIdO4kAAAAAAAAAAAAAAAAAEAAAAZHJzL1BLAwQUAAAACACHTuJAhYKYw9YAAAAL&#10;AQAADwAAAGRycy9kb3ducmV2LnhtbE2PwU7DMBBE70j8g7VI3KjdNlghxKkEEirXlH7AOjZJRLyO&#10;bKctf1/3BLdZzWj2Tb27uImdbIijJwXrlQBmqfNmpF7B8evjqQQWE5LByZNV8Gsj7Jr7uxor48/U&#10;2tMh9SyXUKxQwZDSXHEeu8E6jCs/W8retw8OUz5Dz03Acy53E98IIbnDkfKHAWf7Ptju57A4Belz&#10;QbfftG9By/2RUquFQa3U48NavAJL9pL+wnDDz+jQZCbtFzKRTQqei23ekhTIFymB5YQstlloBWUh&#10;S+BNzf9vaK5QSwMEFAAAAAgAh07iQJ82I2HxBAAA5hAAAA4AAABkcnMvZTJvRG9jLnhtbK1Yy27j&#10;NhTdF+g/CFoWSCyKpCQaSQZog3RTtAPMFGiXtCzbAvSCqMRJ19133+WgP1EM2q/pFP2MHl7JDpUG&#10;MA00C0cyee7hfV/66s1jXQUPRW/KtrkO2WUUBkWTt+uy2V6H37+/u8jCwAy6WeuqbYrr8Kkw4Zub&#10;zz+72nfLIm53bbUu+gBCGrPcd9fhbhi65WJh8l1Ra3PZdkWDxU3b13rAa79drHu9h/S6WsRRlCz2&#10;bb/u+jYvjMG3t+NiOEnsfQS2m02ZF7dtfl8XzTBK7YtKD1DJ7MrOhDd02s2myIfvNhtTDEF1HULT&#10;gT5BgueV/VzcXOnlttfdrsynI2ifI7zQqdZlA9KjqFs96OC+L/8jqi7zvjXtZrjM23oxKkIWgRYs&#10;emGbdzvdFaQLTG26o9HN/yc2//bhbR+Ua0QCE2HQ6Bou/+vjx79//uXTb7/+8+fvn/74ENglGGrf&#10;mSX2v+ve9tObwaPV+nHT1/Y/9AkeybhPR+MWj0OQ48uEZxmD2XMsKcnTlIy/eAbn92b4umhJkH74&#10;xgyjb9Z4Isuup9PlbdOUZih+gLBNXcFdXywCnibBPgBHKuTkVHe/KYfiR3e/EGnKZLALlBRRTOrB&#10;eS6EKJhDIbIoYidJXASTsRDRSZLYIYnjTHmo4kI8GLjDwGWceejhQljCVHLaWIifoz8kWOLTLnEh&#10;HOHhoYt0WOBvKU/7xIXImCsPxycOi0xZ5uETF5LKWHqwpC6Ln8VcSJbJzMMvKOhHv3AVKQ/vuxAl&#10;eOShi3JYGCzm4X0XkjIhPFhsBTkqI2Hm0zE2hyAl1emUZG4a+9SWGeCV4oI6tz1UMr07FLf8sZmq&#10;G54CbTtwRG2ka40tpG6pQ9m0r1MlQ22ESKBsaTwBhi4umNn66A1GpXHB8VlgFBEXzM8Coza4YKrR&#10;3sdGyrtg6gneYGSyC07OOjYS1AWnZ4GRdy44OwuMdHLB6iywzRIXjfdzwsTG/ww+i7LR8lOo9xjK&#10;7DhW0Tg2hAHGsZ7GsZWl1MtODzZDDo/BnoYH29iDnZ0d0LAlZUndPhTvW9o32HRBotIpKP8OXnve&#10;lN+vyvzL4icXcoEePdqNJxhJCIQTkDj04lGrWDA05elwtESzAHFRjz8qO2N4jU/xNB6FJrGa07EE&#10;fXlU4IJlyTSTHI9iT2BNLPzJMEsoPqKYEjMF4iyL+HiQTKbJbG2cEEbtbOenRevCk9oJlqJZEjJG&#10;O5+LFUomkw48Qt8iPQ62HucFQtIc4K9kEqmjaSQXUGoMIvJTwkUKg5HdhEpg+tminR5okaYCfz0T&#10;EfNkQqosRvA7YmWmooOP4dF4ZttxliBOmhH8OaUU6cFjtofNxT5zZphs54Z3bEsTwxmccOHEqTA3&#10;zcWKJGXRaASVpnx+oHHOID1pfvDn5EykB7FRls7Nh6iS02KqYjn35zh1jLa104Q/J4swrY2qJBwa&#10;z/ypGCKZpCaRzObxRRMIrcHIQhHOK1NijggioFCYR2eEx7oj4/SF/q9WuBd5WbWmQDjiGLaQHh+o&#10;otLZnq9ZTXtXVhXFbtXYOsuRwLiiadzrN7hP47HucDc0zTYMdLXFDwb50FPtNW1Vri3all/Tb1df&#10;VX3woFHX7/AXHbrHbFvXm+FWm924j5Zs4uBQFeaYhb1fjjdK+7Rq10900aTvcf2ljdNV3d6v3XdC&#10;P/88cfM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YAcAAFtDb250ZW50X1R5cGVzXS54bWxQSwECFAAKAAAAAACHTuJAAAAAAAAAAAAAAAAABgAA&#10;AAAAAAAAABAAAABCBgAAX3JlbHMvUEsBAhQAFAAAAAgAh07iQIoUZjzRAAAAlAEAAAsAAAAAAAAA&#10;AQAgAAAAZgYAAF9yZWxzLy5yZWxzUEsBAhQACgAAAAAAh07iQAAAAAAAAAAAAAAAAAQAAAAAAAAA&#10;AAAQAAAAAAAAAGRycy9QSwECFAAUAAAACACHTuJAhYKYw9YAAAALAQAADwAAAAAAAAABACAAAAAi&#10;AAAAZHJzL2Rvd25yZXYueG1sUEsBAhQAFAAAAAgAh07iQJ82I2HxBAAA5hAAAA4AAAAAAAAAAQAg&#10;AAAAJQEAAGRycy9lMm9Eb2MueG1sUEsFBgAAAAAGAAYAWQEAAIgIAAAAAA==&#10;" path="m376,447716c-1529,367706,2281,241976,48001,152441c93721,62906,168016,-1864,228976,41c289936,1946,288031,85766,352801,161966c417571,238166,495676,308651,552826,381041c609976,453431,634741,449621,638551,523916c642361,598211,589021,680126,571876,752516c554731,824906,589021,847766,552826,885866c516631,923966,467101,977306,390901,943016c314701,908726,238501,792521,171826,714416c105151,636311,91816,605831,57526,552491c23236,499151,2281,527726,376,447716xe">
                <v:path o:connectlocs="376,447595;48005,152399;228999,39;352836,161921;552882,380938;638615,523775;571934,752314;552882,885629;390940,942763;171843,714224;57531,552342;376,447595" o:connectangles="0,0,0,0,0,0,0,0,0,0,0,0"/>
                <v:fill on="f" focussize="0,0"/>
                <v:stroke weight="0.25pt" color="#FFFF00 [24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3419475</wp:posOffset>
                </wp:positionH>
                <wp:positionV relativeFrom="paragraph">
                  <wp:posOffset>4720590</wp:posOffset>
                </wp:positionV>
                <wp:extent cx="683895" cy="389890"/>
                <wp:effectExtent l="0" t="0" r="0" b="0"/>
                <wp:wrapNone/>
                <wp:docPr id="92" name="矩形 92"/>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下曹街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9.25pt;margin-top:371.7pt;height:30.7pt;width:53.85pt;z-index:251741184;v-text-anchor:middle;mso-width-relative:page;mso-height-relative:page;" filled="f" stroked="f" coordsize="21600,21600" o:gfxdata="UEsDBAoAAAAAAIdO4kAAAAAAAAAAAAAAAAAEAAAAZHJzL1BLAwQUAAAACACHTuJAqaqvl9oAAAAL&#10;AQAADwAAAGRycy9kb3ducmV2LnhtbE2PwU7DMBBE70j8g7VI3Kjd1g1RyKaqECD1SIOEuDnJkgTi&#10;dRS7afv3mBMcV/M08zbfnu0gZpp87xhhuVAgiGvX9NwivJXPdykIHww3ZnBMCBfysC2ur3KTNe7E&#10;rzQfQitiCfvMIHQhjJmUvu7IGr9wI3HMPt1kTYjn1MpmMqdYbge5UiqR1vQcFzoz0mNH9ffhaBF8&#10;Ne/Ly7h7//rwdbV7Ylvq/Qvi7c1SPYAIdA5/MPzqR3UoolPljtx4MSBs1ukmogj3eq1BRCLRyQpE&#10;hZAqnYIscvn/h+IHUEsDBBQAAAAIAIdO4kBM8MMUUwIAAJcEAAAOAAAAZHJzL2Uyb0RvYy54bWyt&#10;VM1uEzEQviPxDpbvdJOQliTqpooaFSFVUKkgzo7XzlryH7aTTXkZJG48BI+DeA0+e7dtVDj0wGV3&#10;xjP7jb9vZvb84mA02YsQlbM1HZ+MKBGWu0bZbU0/fbx6NaMkJmYbpp0VNb0TkV4sX7447/xCTFzr&#10;dCMCAYiNi87XtE3JL6oq8lYYFk+cFxZB6YJhCW7YVk1gHdCNriaj0VnVudD44LiIEafrPkgHxPAc&#10;QCel4mLt+M4Im3rUIDRLoBRb5SNdlttKKXj6IGUUieiagmkqTxSBvcnPannOFtvAfKv4cAX2nCs8&#10;4WSYsij6ALVmiZFdUH9BGcWDi06mE+5M1RMpioDFePREm9uWeVG4QOroH0SP/w+Wv9/fBKKams4n&#10;lFhm0PHf3378+vmd4ADqdD4ukHTrb8LgRZiZ6kEGk98gQQ5F0bsHRcUhEY7Ds9nr2fyUEo4QrNm8&#10;KF49fuxDTG+FMyQbNQ1oWNGR7a9jQkGk3qfkWtZdKa1L07QlXU0np9MReskZJlFiAmAaDzbRbilh&#10;eosR5ykUyKNvM+SaxZbsGeYiOq2azBXFtMUrc+5ZZisdNoeB+sY1d5AruH6OoudXClDXLKYbFjA4&#10;uApWK33AQ2qH+7nBoqR14eu/znM++okoJR0GEff5smNBUKLfWXR6Pp5O8+QWZ3r6ZgInHEc2xxG7&#10;M5cOnMZYYs+LmfOTvjdlcOYzNnCVqyLELEftXqXBuUz9gmCHuVitShqm1bN0bW89z+B9L1a75KQq&#10;bcpC9eoM+mFei6DDbuWFOPZL1uP/ZP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qaqvl9oAAAAL&#10;AQAADwAAAAAAAAABACAAAAAiAAAAZHJzL2Rvd25yZXYueG1sUEsBAhQAFAAAAAgAh07iQEzwwxRT&#10;AgAAlwQAAA4AAAAAAAAAAQAgAAAAKQEAAGRycy9lMm9Eb2MueG1sUEsFBgAAAAAGAAYAWQEAAO4F&#10;AAAAAA==&#10;">
                <v:fill on="f" focussize="0,0"/>
                <v:stroke on="f" weight="2pt"/>
                <v:imagedata o:title=""/>
                <o:lock v:ext="edit" aspectratio="f"/>
                <v:textbox>
                  <w:txbxContent>
                    <w:p>
                      <w:pPr>
                        <w:jc w:val="center"/>
                        <w:rPr>
                          <w:color w:val="FFFF00"/>
                          <w:sz w:val="21"/>
                          <w:szCs w:val="21"/>
                        </w:rPr>
                      </w:pPr>
                      <w:r>
                        <w:rPr>
                          <w:rFonts w:hint="eastAsia"/>
                          <w:color w:val="FFFF00"/>
                          <w:sz w:val="21"/>
                          <w:szCs w:val="21"/>
                        </w:rPr>
                        <w:t>下曹街</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3671570</wp:posOffset>
                </wp:positionH>
                <wp:positionV relativeFrom="paragraph">
                  <wp:posOffset>3187700</wp:posOffset>
                </wp:positionV>
                <wp:extent cx="321310" cy="1276350"/>
                <wp:effectExtent l="57150" t="0" r="21590" b="57150"/>
                <wp:wrapNone/>
                <wp:docPr id="115" name="直接箭头连接符 115"/>
                <wp:cNvGraphicFramePr/>
                <a:graphic xmlns:a="http://schemas.openxmlformats.org/drawingml/2006/main">
                  <a:graphicData uri="http://schemas.microsoft.com/office/word/2010/wordprocessingShape">
                    <wps:wsp>
                      <wps:cNvCnPr/>
                      <wps:spPr>
                        <a:xfrm flipH="1">
                          <a:off x="0" y="0"/>
                          <a:ext cx="321310" cy="1276350"/>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89.1pt;margin-top:251pt;height:100.5pt;width:25.3pt;z-index:251687936;mso-width-relative:page;mso-height-relative:page;" filled="f" stroked="t" coordsize="21600,21600" o:gfxdata="UEsDBAoAAAAAAIdO4kAAAAAAAAAAAAAAAAAEAAAAZHJzL1BLAwQUAAAACACHTuJAaVtyFdkAAAAL&#10;AQAADwAAAGRycy9kb3ducmV2LnhtbE2PsU7DMBCGdyTewTokNmo3qE1I43SohLqwkFaC0Y1NnDY+&#10;B9ttyttzTHS703367/ur9dUN7GJC7D1KmM8EMIOt1z12Eva716cCWEwKtRo8Ggk/JsK6vr+rVKn9&#10;hO/m0qSOUQjGUkmwKY0l57G1xqk486NBun354FSiNXRcBzVRuBt4JsSSO9UjfbBqNBtr2lNzdhKO&#10;tjnuPxe4baeXsMk/tsW0+36T8vFhLlbAkrmmfxj+9EkdanI6+DPqyAYJi7zICKVBZFSKiGVWUJmD&#10;hFw8C+B1xW871L9QSwMEFAAAAAgAh07iQCfJZEcGAgAA2gMAAA4AAABkcnMvZTJvRG9jLnhtbK1T&#10;zY7TMBC+I/EOlu80TatdUNV0Dy2FA4JKwAO4jpNY8p9mvE37ErwAEifgBHvaO08Dy2MwdroFlsse&#10;yMEZezzfzPfNeH6xt4btFKD2ruLlaMyZctLX2rUVf/tm/egJZxiFq4XxTlX8oJBfLB4+mPdhpia+&#10;86ZWwAjE4awPFe9iDLOiQNkpK3Dkg3LkbDxYEWkLbVGD6AndmmIyHp8XvYc6gJcKkU5Xg5MfEeE+&#10;gL5ptFQrLy+tcnFABWVEJErY6YB8kattGiXjq6ZBFZmpODGNeaUkZG/TWizmYtaCCJ2WxxLEfUq4&#10;w8kK7SjpCWolomCXoP+BslqCR9/EkfS2GIhkRYhFOb6jzetOBJW5kNQYTqLj/4OVL3cbYLqmSSjP&#10;OHPCUstv3l//ePfp5urr94/XP799SPaXzyxdILn6gDOKWroNHHcYNpC47xuwrDE6PCe0rAbxY/ss&#10;9uEkttpHJulwOimnJbVBkqucPD6fnuVuFANOwguA8ZnyliWj4hhB6LaLS+8c9dXDkEPsXmCkSijw&#10;NiAFO7/WxuT2Gsf6iucETAoa2YZGhRLbQLTRtZwJ09JbkBFy1eiNrlN0wkFot0sDbCdogtb0jW/L&#10;/OtaSr0S2A33smuYrSi0eepqFg+BlBUAvk8OqtY4+iU1B/2StfX1Icuaz6nl+eJxPNNM/bnP0b+f&#10;5OI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VtyFdkAAAALAQAADwAAAAAAAAABACAAAAAiAAAA&#10;ZHJzL2Rvd25yZXYueG1sUEsBAhQAFAAAAAgAh07iQCfJZEcGAgAA2gMAAA4AAAAAAAAAAQAgAAAA&#10;KAEAAGRycy9lMm9Eb2MueG1sUEsFBgAAAAAGAAYAWQEAAKAFA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2828290</wp:posOffset>
                </wp:positionH>
                <wp:positionV relativeFrom="paragraph">
                  <wp:posOffset>3150870</wp:posOffset>
                </wp:positionV>
                <wp:extent cx="683895" cy="389890"/>
                <wp:effectExtent l="0" t="0" r="0" b="0"/>
                <wp:wrapNone/>
                <wp:docPr id="104" name="矩形 104"/>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320m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7pt;margin-top:248.1pt;height:30.7pt;width:53.85pt;z-index:251673600;v-text-anchor:middle;mso-width-relative:page;mso-height-relative:page;" filled="f" stroked="f" coordsize="21600,21600" o:gfxdata="UEsDBAoAAAAAAIdO4kAAAAAAAAAAAAAAAAAEAAAAZHJzL1BLAwQUAAAACACHTuJAET5untkAAAAL&#10;AQAADwAAAGRycy9kb3ducmV2LnhtbE2PwU6DQBCG7018h82YeGsXKqAiS9MYNenRYmK8LewIKDtL&#10;2C1t397pSW//ZL78802xOdlBzDj53pGCeBWBQGqc6alV8F69LO9B+KDJ6MERKjijh015tSh0btyR&#10;3nDeh1ZwCflcK+hCGHMpfdOh1X7lRiTefbnJ6sDj1Eoz6SOX20GuoyiTVvfEFzo94lOHzc/+YBX4&#10;et5V53H78f3pm3r7TLZKdq9K3VzH0SOIgKfwB8NFn9WhZKfaHch4MShIkjRhlMNDtgbBRJrexiDq&#10;S7jLQJaF/P9D+QtQSwMEFAAAAAgAh07iQOnGuqNUAgAAmQQAAA4AAABkcnMvZTJvRG9jLnhtbK1U&#10;zW4TMRC+I/EOlu90k5CWNOqmihoVIVW0UkGcHa+dteQ/bCeb8jJI3HiIPg7iNfjs3bZR4dADl90Z&#10;z+w3/r6Z2bPzvdFkJ0JUztZ0fDSiRFjuGmU3Nf386fLNjJKYmG2YdlbU9E5Eer54/eqs83Mxca3T&#10;jQgEIDbOO1/TNiU/r6rIW2FYPHJeWASlC4YluGFTNYF1QDe6moxGJ1XnQuOD4yJGnK76IB0Qw0sA&#10;nZSKi5XjWyNs6lGD0CyBUmyVj3RRbiul4OlayigS0TUF01SeKAJ7nZ/V4ozNN4H5VvHhCuwlV3jG&#10;yTBlUfQRasUSI9ug/oIyigcXnUxH3JmqJ1IUAYvx6Jk2ty3zonCB1NE/ih7/Hyz/uLsJRDWYhNGU&#10;EssMWv77+89f9z9IPoE+nY9zpN36mzB4EWYmu5fB5DdokH3R9O5RU7FPhOPwZPZ2dnpMCUcI1uy0&#10;aF49fexDTO+FMyQbNQ1oWVGS7a5iQkGkPqTkWtZdKq1L27QlXU0nx9MRuskZZlFiBmAaDz7Rbihh&#10;eoMh5ykUyINvM+SKxZbsGCYjOq2azBXFtMUrc+5ZZivt1/uB+to1dxAsuH6SoueXClBXLKYbFjA6&#10;uAqWK13jIbXD/dxgUdK68O1f5zkfHUWUkg6jiPt83bIgKNEfLHp9Op5O8+wWZ3r8bgInHEbWhxG7&#10;NRcOnMZYY8+LmfOTfjBlcOYLdnCZqyLELEftXqXBuUj9imCLuVguSxrm1bN0ZW89z+B9L5bb5KQq&#10;bcpC9eoM+mFii6DDduWVOPRL1tMfZfE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ET5untkAAAAL&#10;AQAADwAAAAAAAAABACAAAAAiAAAAZHJzL2Rvd25yZXYueG1sUEsBAhQAFAAAAAgAh07iQOnGuqNU&#10;AgAAmQQAAA4AAAAAAAAAAQAgAAAAKAEAAGRycy9lMm9Eb2MueG1sUEsFBgAAAAAGAAYAWQEAAO4F&#10;AAAAAA==&#10;">
                <v:fill on="f" focussize="0,0"/>
                <v:stroke on="f" weight="2pt"/>
                <v:imagedata o:title=""/>
                <o:lock v:ext="edit" aspectratio="f"/>
                <v:textbox>
                  <w:txbxContent>
                    <w:p>
                      <w:pPr>
                        <w:jc w:val="center"/>
                        <w:rPr>
                          <w:color w:val="FFFF00"/>
                          <w:sz w:val="21"/>
                          <w:szCs w:val="21"/>
                        </w:rPr>
                      </w:pPr>
                      <w:r>
                        <w:rPr>
                          <w:rFonts w:hint="eastAsia"/>
                          <w:color w:val="FFFF00"/>
                          <w:sz w:val="21"/>
                          <w:szCs w:val="21"/>
                        </w:rPr>
                        <w:t>320m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5288280</wp:posOffset>
                </wp:positionH>
                <wp:positionV relativeFrom="paragraph">
                  <wp:posOffset>2607945</wp:posOffset>
                </wp:positionV>
                <wp:extent cx="683895" cy="389890"/>
                <wp:effectExtent l="0" t="0" r="0" b="0"/>
                <wp:wrapNone/>
                <wp:docPr id="91" name="矩形 91"/>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220m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6.4pt;margin-top:205.35pt;height:30.7pt;width:53.85pt;z-index:251739136;v-text-anchor:middle;mso-width-relative:page;mso-height-relative:page;" filled="f" stroked="f" coordsize="21600,21600" o:gfxdata="UEsDBAoAAAAAAIdO4kAAAAAAAAAAAAAAAAAEAAAAZHJzL1BLAwQUAAAACACHTuJAKVxnW9oAAAAL&#10;AQAADwAAAGRycy9kb3ducmV2LnhtbE2PwU7DMBBE70j8g7VI3KidEGgJcaoKAVKPbZAQNydekkC8&#10;jmI3bf+e5QTHnR3NvCnWJzeIGafQe9KQLBQIpMbbnloNb9XLzQpEiIasGTyhhjMGWJeXF4XJrT/S&#10;Dud9bAWHUMiNhi7GMZcyNB06ExZ+ROLfp5+ciXxOrbSTOXK4G2Sq1L10pidu6MyITx023/uD0xDq&#10;eVudx83710do6s0zuSrbvmp9fZWoRxART/HPDL/4jA4lM9X+QDaIQcPqNmX0qCFL1BIEOx4ydQei&#10;ZmWZJiDLQv7fUP4AUEsDBBQAAAAIAIdO4kDoHJoiUgIAAJcEAAAOAAAAZHJzL2Uyb0RvYy54bWyt&#10;VM1uEzEQviPxDpbvdJOQliTqpooaFSFVUKkgzo7XzlryH7aTTXkZJG48BI+DeA0+e7dtVDj0wGV3&#10;xjP7zXzfjPf84mA02YsQlbM1HZ+MKBGWu0bZbU0/fbx6NaMkJmYbpp0VNb0TkV4sX7447/xCTFzr&#10;dCMCAYiNi87XtE3JL6oq8lYYFk+cFxZB6YJhCW7YVk1gHdCNriaj0VnVudD44LiIEafrPkgHxPAc&#10;QCel4mLt+M4Im3rUIDRLoBRb5SNdlm6lFDx9kDKKRHRNwTSVJ4rA3uRntTxni21gvlV8aIE9p4Un&#10;nAxTFkUfoNYsMbIL6i8oo3hw0cl0wp2peiJFEbAYj55oc9syLwoXSB39g+jx/8Hy9/ubQFRT0/mY&#10;EssMJv77249fP78THECdzscFkm79TRi8CDNTPchg8hskyKEoevegqDgkwnF4Nns9m59SwhGCNZsX&#10;xavHj32I6a1whmSjpgEDKzqy/XVMKIjU+5Rcy7orpXUZmrakq+nkdDrCLDnDJkpsAEzjwSbaLSVM&#10;b7HiPIUCefRthlyz2JI9w15Ep1WTuaKYtnhlzj3LbKXD5jBQ37jmDnIF1+9R9PxKAeqaxXTDAhYH&#10;reBqpQ94SO3QnxssSloXvv7rPOdjnohS0mER0c+XHQuCEv3OYtLz8XSaN7c409M3EzjhOLI5jtid&#10;uXTghGGiu2Lm/KTvTRmc+YwbuMpVEWKWo3av0uBcpv6C4A5zsVqVNGyrZ+na3nqewftZrHbJSVXG&#10;lIXq1Rn0w74WQYe7lS/EsV+yHv8n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pXGdb2gAAAAsB&#10;AAAPAAAAAAAAAAEAIAAAACIAAABkcnMvZG93bnJldi54bWxQSwECFAAUAAAACACHTuJA6ByaIlIC&#10;AACXBAAADgAAAAAAAAABACAAAAApAQAAZHJzL2Uyb0RvYy54bWxQSwUGAAAAAAYABgBZAQAA7QUA&#10;AAAA&#10;">
                <v:fill on="f" focussize="0,0"/>
                <v:stroke on="f" weight="2pt"/>
                <v:imagedata o:title=""/>
                <o:lock v:ext="edit" aspectratio="f"/>
                <v:textbox>
                  <w:txbxContent>
                    <w:p>
                      <w:pPr>
                        <w:jc w:val="center"/>
                        <w:rPr>
                          <w:color w:val="FFFF00"/>
                          <w:sz w:val="21"/>
                          <w:szCs w:val="21"/>
                        </w:rPr>
                      </w:pPr>
                      <w:r>
                        <w:rPr>
                          <w:rFonts w:hint="eastAsia"/>
                          <w:color w:val="FFFF00"/>
                          <w:sz w:val="21"/>
                          <w:szCs w:val="21"/>
                        </w:rPr>
                        <w:t>220m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5128895</wp:posOffset>
                </wp:positionH>
                <wp:positionV relativeFrom="paragraph">
                  <wp:posOffset>2604770</wp:posOffset>
                </wp:positionV>
                <wp:extent cx="588645" cy="288290"/>
                <wp:effectExtent l="0" t="0" r="59055" b="74295"/>
                <wp:wrapNone/>
                <wp:docPr id="70" name="直接箭头连接符 70"/>
                <wp:cNvGraphicFramePr/>
                <a:graphic xmlns:a="http://schemas.openxmlformats.org/drawingml/2006/main">
                  <a:graphicData uri="http://schemas.microsoft.com/office/word/2010/wordprocessingShape">
                    <wps:wsp>
                      <wps:cNvCnPr/>
                      <wps:spPr>
                        <a:xfrm>
                          <a:off x="0" y="0"/>
                          <a:ext cx="588645" cy="288289"/>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03.85pt;margin-top:205.1pt;height:22.7pt;width:46.35pt;z-index:251738112;mso-width-relative:page;mso-height-relative:page;" filled="f" stroked="t" coordsize="21600,21600" o:gfxdata="UEsDBAoAAAAAAIdO4kAAAAAAAAAAAAAAAAAEAAAAZHJzL1BLAwQUAAAACACHTuJAKARsCtsAAAAL&#10;AQAADwAAAGRycy9kb3ducmV2LnhtbE2Py07DMBBF90j8gzVI7Kidkj4IcSqBhBBIRRDYsHPjaRIa&#10;jyPbffD3DCtYzszRnXPL1ckN4oAh9p40ZBMFAqnxtqdWw8f7w9USREyGrBk8oYZvjLCqzs9KU1h/&#10;pDc81KkVHEKxMBq6lMZCyth06Eyc+BGJb1sfnEk8hlbaYI4c7gY5VWounemJP3RmxPsOm129dxqo&#10;dl/h6W63zpttG5/T6+Pny3Ct9eVFpm5BJDylPxh+9VkdKnba+D3ZKAYNS7VYMKohz9QUBBM3SuUg&#10;NryZzeYgq1L+71D9AFBLAwQUAAAACACHTuJAbOjGX/8BAADNAwAADgAAAGRycy9lMm9Eb2MueG1s&#10;rVPBjtMwEL0j8Q+W7zRtoSVETffQUi4IKgEf4DpOYsmxrRlv0/4EP4DECTgBp73zNbB8BmOndGG5&#10;7IEcnPGM58285/Hi4tAZtleA2tmST0ZjzpSVrtK2Kfmb15sHOWcYhK2EcVaV/KiQXyzv31v0vlBT&#10;1zpTKWAEYrHofcnbEHyRZShb1QkcOa8sBWsHnQi0hSarQPSE3plsOh7Ps95B5cFJhUje9RDkJ0S4&#10;C6Cray3V2snLTtkwoIIyIhAlbLVHvkzd1rWS4WVdowrMlJyYhrRSEbJ3cc2WC1E0IHyr5akFcZcW&#10;bnHqhLZU9Ay1FkGwS9D/QHVagkNXh5F0XTYQSYoQi8n4ljavWuFV4kJSoz+Ljv8PVr7Yb4HpquSP&#10;SRIrOrrx63dXP95+vP765fuHq5/f3kf78ydGcRKr91hQzspu4bRDv4XI/FBDF//EiR2SwMezwOoQ&#10;mCTnLM/nj2acSQpN83yaP4mY2U2yBwzPlOtYNEqOAYRu2rBy1tJVOpgkkcX+OYYh8XdCrGzdRhtD&#10;flEYy/qSzx/OiJQUNKU1TQeZnSemaBvOhGlo/GWAhIjO6Cpmx2SEZrcywPaChmZD3zhRpzb/OhZL&#10;rwW2w7kUGsYpCG2e2oqFoyc1BYDrTzSNJbZRwkG0aO1cdUxaJj/dctLjNJFxjP7cp+ybV7j8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gEbArbAAAACwEAAA8AAAAAAAAAAQAgAAAAIgAAAGRycy9k&#10;b3ducmV2LnhtbFBLAQIUABQAAAAIAIdO4kBs6MZf/wEAAM0DAAAOAAAAAAAAAAEAIAAAACoBAABk&#10;cnMvZTJvRG9jLnhtbFBLBQYAAAAABgAGAFkBAACbBQ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5547995</wp:posOffset>
                </wp:positionH>
                <wp:positionV relativeFrom="paragraph">
                  <wp:posOffset>2854325</wp:posOffset>
                </wp:positionV>
                <wp:extent cx="933450" cy="295275"/>
                <wp:effectExtent l="0" t="0" r="0" b="0"/>
                <wp:wrapNone/>
                <wp:docPr id="66" name="矩形 66"/>
                <wp:cNvGraphicFramePr/>
                <a:graphic xmlns:a="http://schemas.openxmlformats.org/drawingml/2006/main">
                  <a:graphicData uri="http://schemas.microsoft.com/office/word/2010/wordprocessingShape">
                    <wps:wsp>
                      <wps:cNvSpPr/>
                      <wps:spPr>
                        <a:xfrm>
                          <a:off x="0" y="0"/>
                          <a:ext cx="933450" cy="2952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pacing w:val="6"/>
                                <w:sz w:val="21"/>
                                <w:szCs w:val="21"/>
                              </w:rPr>
                              <w:t>周尧小学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6.85pt;margin-top:224.75pt;height:23.25pt;width:73.5pt;z-index:251734016;v-text-anchor:middle;mso-width-relative:page;mso-height-relative:page;" filled="f" stroked="f" coordsize="21600,21600" o:gfxdata="UEsDBAoAAAAAAIdO4kAAAAAAAAAAAAAAAAAEAAAAZHJzL1BLAwQUAAAACACHTuJAgL3WlNoAAAAM&#10;AQAADwAAAGRycy9kb3ducmV2LnhtbE2PTU/DMAyG70j8h8hI3FiyUfZRmk4TAqQdWZHQbmnjtYXG&#10;qZqs2/493gmOfv3o9eNsfXadGHEIrScN04kCgVR521Kt4bN4e1iCCNGQNZ0n1HDBAOv89iYzqfUn&#10;+sBxF2vBJRRSo6GJsU+lDFWDzoSJ75F4d/CDM5HHoZZ2MCcud52cKTWXzrTEFxrT40uD1c/u6DSE&#10;ctwWl37z9b0PVbl5JVck23et7++m6hlExHP8g+Gqz+qQs1Ppj2SD6DQsF48LRjUkyeoJxJVQM8VR&#10;ydFqrkDmmfz/RP4LUEsDBBQAAAAIAIdO4kBPCUgAUgIAAJcEAAAOAAAAZHJzL2Uyb0RvYy54bWyt&#10;VM1uEzEQviPxDpbvdJM0aWnUTRU1KkKqaKWCODteO2vJf9hONuVlkLjxEDwO4jX47N22UeHQAxdn&#10;xjP7eb5vZnJ+sTea7ESIytmajo9GlAjLXaPspqafPl69eUtJTMw2TDsranovIr1YvH513vm5mLjW&#10;6UYEAhAb552vaZuSn1dV5K0wLB45LyyC0gXDEtywqZrAOqAbXU1Go5Oqc6HxwXERI25XfZAOiOEl&#10;gE5KxcXK8a0RNvWoQWiWQCm2yke6KNVKKXi6kTKKRHRNwTSVE4/AXuezWpyz+SYw3yo+lMBeUsIz&#10;ToYpi0cfoVYsMbIN6i8oo3hw0cl0xJ2peiJFEbAYj55pc9cyLwoXSB39o+jx/8HyD7vbQFRT05MT&#10;Siwz6Pjvbz9+/fxOcAF1Oh/nSLrzt2HwIsxMdS+Dyb8gQfZF0ftHRcU+EY7Ls+Pj6Qxac4QmZ7PJ&#10;6SxjVk8f+xDTO+EMyUZNAxpWdGS765j61IeU/JZ1V0pr3LO5tqQD6Gw6yvgMkygxATCNB5toN5Qw&#10;vcGI8xQK5MG3GXLFYkt2DHMRnVbNUJe2KC9z7llmK+3X+4H62jX3kCu4fo6i51cKUNcsplsWMDgo&#10;BauVbnBI7VCfGyxKWhe+/us+56OfiFLSYRBRz5ctC4IS/d6i02fj6RSwqTjT2ekETjiMrA8jdmsu&#10;HTiNscSeFzPnJ/1gyuDMZ2zgMr+KELMcb/cqDc5l6hcEO8zFclnSMK2epWt753kG73ux3CYnVWlT&#10;FqpXZ9AP81oaPexWXohDv2Q9/Z8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AvdaU2gAAAAwB&#10;AAAPAAAAAAAAAAEAIAAAACIAAABkcnMvZG93bnJldi54bWxQSwECFAAUAAAACACHTuJATwlIAFIC&#10;AACXBAAADgAAAAAAAAABACAAAAApAQAAZHJzL2Uyb0RvYy54bWxQSwUGAAAAAAYABgBZAQAA7QUA&#10;AAAA&#10;">
                <v:fill on="f" focussize="0,0"/>
                <v:stroke on="f" weight="2pt"/>
                <v:imagedata o:title=""/>
                <o:lock v:ext="edit" aspectratio="f"/>
                <v:textbox>
                  <w:txbxContent>
                    <w:p>
                      <w:pPr>
                        <w:jc w:val="center"/>
                        <w:rPr>
                          <w:color w:val="FFFF00"/>
                          <w:sz w:val="21"/>
                          <w:szCs w:val="21"/>
                        </w:rPr>
                      </w:pPr>
                      <w:r>
                        <w:rPr>
                          <w:rFonts w:hint="eastAsia"/>
                          <w:color w:val="FFFF00"/>
                          <w:spacing w:val="6"/>
                          <w:sz w:val="21"/>
                          <w:szCs w:val="21"/>
                        </w:rPr>
                        <w:t>周尧小学</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5651500</wp:posOffset>
                </wp:positionH>
                <wp:positionV relativeFrom="paragraph">
                  <wp:posOffset>2870200</wp:posOffset>
                </wp:positionV>
                <wp:extent cx="412115" cy="185420"/>
                <wp:effectExtent l="0" t="0" r="26035" b="24765"/>
                <wp:wrapNone/>
                <wp:docPr id="47" name="任意多边形 47"/>
                <wp:cNvGraphicFramePr/>
                <a:graphic xmlns:a="http://schemas.openxmlformats.org/drawingml/2006/main">
                  <a:graphicData uri="http://schemas.microsoft.com/office/word/2010/wordprocessingShape">
                    <wps:wsp>
                      <wps:cNvSpPr/>
                      <wps:spPr>
                        <a:xfrm>
                          <a:off x="0" y="0"/>
                          <a:ext cx="412290" cy="185174"/>
                        </a:xfrm>
                        <a:custGeom>
                          <a:avLst/>
                          <a:gdLst>
                            <a:gd name="connsiteX0" fmla="*/ 38992 w 412290"/>
                            <a:gd name="connsiteY0" fmla="*/ 13140 h 185174"/>
                            <a:gd name="connsiteX1" fmla="*/ 29467 w 412290"/>
                            <a:gd name="connsiteY1" fmla="*/ 79815 h 185174"/>
                            <a:gd name="connsiteX2" fmla="*/ 10417 w 412290"/>
                            <a:gd name="connsiteY2" fmla="*/ 146490 h 185174"/>
                            <a:gd name="connsiteX3" fmla="*/ 210442 w 412290"/>
                            <a:gd name="connsiteY3" fmla="*/ 184590 h 185174"/>
                            <a:gd name="connsiteX4" fmla="*/ 391417 w 412290"/>
                            <a:gd name="connsiteY4" fmla="*/ 117915 h 185174"/>
                            <a:gd name="connsiteX5" fmla="*/ 391417 w 412290"/>
                            <a:gd name="connsiteY5" fmla="*/ 13140 h 185174"/>
                            <a:gd name="connsiteX6" fmla="*/ 239017 w 412290"/>
                            <a:gd name="connsiteY6" fmla="*/ 3615 h 185174"/>
                            <a:gd name="connsiteX7" fmla="*/ 38992 w 412290"/>
                            <a:gd name="connsiteY7" fmla="*/ 13140 h 185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12290" h="185174">
                              <a:moveTo>
                                <a:pt x="38992" y="13140"/>
                              </a:moveTo>
                              <a:cubicBezTo>
                                <a:pt x="4067" y="25840"/>
                                <a:pt x="34229" y="57590"/>
                                <a:pt x="29467" y="79815"/>
                              </a:cubicBezTo>
                              <a:cubicBezTo>
                                <a:pt x="24704" y="102040"/>
                                <a:pt x="-19745" y="129028"/>
                                <a:pt x="10417" y="146490"/>
                              </a:cubicBezTo>
                              <a:cubicBezTo>
                                <a:pt x="40579" y="163952"/>
                                <a:pt x="146942" y="189352"/>
                                <a:pt x="210442" y="184590"/>
                              </a:cubicBezTo>
                              <a:cubicBezTo>
                                <a:pt x="273942" y="179828"/>
                                <a:pt x="361255" y="146490"/>
                                <a:pt x="391417" y="117915"/>
                              </a:cubicBezTo>
                              <a:cubicBezTo>
                                <a:pt x="421579" y="89340"/>
                                <a:pt x="416817" y="32190"/>
                                <a:pt x="391417" y="13140"/>
                              </a:cubicBezTo>
                              <a:cubicBezTo>
                                <a:pt x="366017" y="-5910"/>
                                <a:pt x="300930" y="440"/>
                                <a:pt x="239017" y="3615"/>
                              </a:cubicBezTo>
                              <a:cubicBezTo>
                                <a:pt x="177104" y="6790"/>
                                <a:pt x="73917" y="440"/>
                                <a:pt x="38992" y="13140"/>
                              </a:cubicBezTo>
                              <a:close/>
                            </a:path>
                          </a:pathLst>
                        </a:cu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45pt;margin-top:226pt;height:14.6pt;width:32.45pt;z-index:251728896;v-text-anchor:middle;mso-width-relative:page;mso-height-relative:page;" filled="f" stroked="t" coordsize="412290,185174" o:gfxdata="UEsDBAoAAAAAAIdO4kAAAAAAAAAAAAAAAAAEAAAAZHJzL1BLAwQUAAAACACHTuJAuTznt9sAAAAL&#10;AQAADwAAAGRycy9kb3ducmV2LnhtbE2PzU7DMBCE70i8g7VI3KidtIUkjdNDVeBMIVV7c2PnR8Tr&#10;KHab8vYsp3Lb3RnNfpOvr7ZnFzP6zqGEaCaAGayc7rCR8PX5+pQA80GhVr1DI+HHeFgX93e5yrSb&#10;8MNcdqFhFII+UxLaEIaMc1+1xio/c4NB0mo3WhVoHRuuRzVRuO15LMQzt6pD+tCqwWxaU33vzlbC&#10;Yb73Bzxuy/JlOE5v23q+qct3KR8fIrECFsw13Mzwh0/oUBDTyZ1Re9ZLSFJBXYKExTKmgRzpcpEC&#10;O9EliWLgRc7/dyh+AVBLAwQUAAAACACHTuJARqP7jIwEAACbDQAADgAAAGRycy9lMm9Eb2MueG1s&#10;rVfNbuM2EL4X6DsQOhZILEqUZBlxFmmCFAWCboBs0fZI05QlQBJVkraTPe+99x6LfYnFon2abtHH&#10;6JCUbSoJYBmoDzbp4cw3/xxevHlsarThUlWinQf4PAwQb5lYVu1qHvz47vZsGiClabuktWj5PHji&#10;Knhz+fVXF9tuxiNRinrJJQIhrZptu3lQat3NJhPFSt5QdS463gKxELKhGrZyNVlKugXpTT2JwjCd&#10;bIVcdlIwrhT8e+OIQS9RjhEoiqJi/EawdcNb7aRKXlMNJqmy6lRwabUtCs7026JQXKN6HoCl2n4D&#10;CKwX5ntyeUFnK0m7smK9CnSMCs9samjVAuhe1A3VFK1l9UJUUzEplCj0ORPNxBliPQJW4PCZbx5K&#10;2nFrC7hadXunq/9PLPthcy9RtZwHJAtQSxuI+N+fP//z4bcvH3//969PX/78AwEF3LTt1AxOP3T3&#10;st8pWBqbHwvZmF+wBj1a1z7tXcsfNWLwJ8FRlIPTGZDwNMEZMTInB2a2Vvo7LqwgurlT2kVmCSvr&#10;12WvHBNtqyrNfwZhRVNDsL6ZoHia5xHaoh6lZ33G8YvPgWNMQlSigy4QuxcY2MOIcpJmRzF8jiyf&#10;4uQoRuRh4JDg4xgDDpKS/LghsQcSAQo57i2fBU9JMgKFeChxjsfY4rNgnOUjHJacjuKzjIt86oFE&#10;cR6OCIvPEqcjDIGCOzGDfY6XdkA1rXb1QstdCbHHtq8hWCFqunxoW1UnlClXv6CgOHdbqBZXoMBl&#10;CvAIM+S9z4xPYoaE9pmjk5ghT33m+CRmSD+fedeUxtkMWeUzJychQ7b4zOlJzJAHPrPtzxB9q7b7&#10;7UMu4QI0V19trz4dILj6pL36FgaQzjqqTabslmh7aNXlvlMbaiM2/J2w57RJG9tyrRo2EXv1D6fY&#10;elGxb/l7n4eEqdM8Sqakv3s7J43A9WClJRl0ml43S7J915JsP935aSD+NbCIZKELLw6jcAh3hvOM&#10;uPBhuJaiqQ9om7CzzDbX0YgkTDJnBE7jPLFpDB62VmCS5sTlOZ7m8ZDoOrKDtJ12NGSUxXux4J6h&#10;IdCEoqS3cm/JTiHXnx2m7bujMUmEd3aCJUPHEpxOsYtxHOFhIH1Ec/uOBozTFPqvVfUsyfEgO+Iw&#10;zGO42KEcyFAV17UtxXTj0Wg4yyADLF+aDS0AZ/d6PMN6vRiGWclqobhrqabo7PCzrz5TtN4A1Irb&#10;qq5tgdatqUnIJggkozBvFzDnwrLpYGZT7SpAtF7BIM+0tF1dibpaGm5TqkquFte1RBsKPeAWPuHO&#10;64NjnVT6hqrSnbOk3l019P6JmfzcrGdWC7F8gpFRCjdLq47dVsB/R5W+pxLmMYgGPC/0W/gqagHK&#10;Q+ewqwCVQr5/7X9zHmZaoAZoC8M4WPbrmkoeoPr7FqZdmCUguEjbDUmyCDbSpyx8SrturgUYDHcS&#10;aGeX5ryud8tCiuYneIVcGVQg0ZYBtvNhv7nW7pEA7xjGr67sMZjYIWB37UPHjHDj4FZcrbUoKjOt&#10;Wj857/QbmNltmPv3hXkU+Ht76vCmuv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AAcAAFtDb250ZW50X1R5cGVzXS54bWxQSwECFAAKAAAAAACH&#10;TuJAAAAAAAAAAAAAAAAABgAAAAAAAAAAABAAAADiBQAAX3JlbHMvUEsBAhQAFAAAAAgAh07iQIoU&#10;ZjzRAAAAlAEAAAsAAAAAAAAAAQAgAAAABgYAAF9yZWxzLy5yZWxzUEsBAhQACgAAAAAAh07iQAAA&#10;AAAAAAAAAAAAAAQAAAAAAAAAAAAQAAAAAAAAAGRycy9QSwECFAAUAAAACACHTuJAuTznt9sAAAAL&#10;AQAADwAAAAAAAAABACAAAAAiAAAAZHJzL2Rvd25yZXYueG1sUEsBAhQAFAAAAAgAh07iQEaj+4yM&#10;BAAAmw0AAA4AAAAAAAAAAQAgAAAAKgEAAGRycy9lMm9Eb2MueG1sUEsFBgAAAAAGAAYAWQEAACgI&#10;AAAAAA==&#10;" path="m38992,13140c4067,25840,34229,57590,29467,79815c24704,102040,-19745,129028,10417,146490c40579,163952,146942,189352,210442,184590c273942,179828,361255,146490,391417,117915c421579,89340,416817,32190,391417,13140c366017,-5910,300930,440,239017,3615c177104,6790,73917,440,38992,13140xe">
                <v:path o:connectlocs="38992,13140;29467,79815;10417,146490;210442,184590;391417,117915;391417,13140;239017,3615;38992,13140" o:connectangles="0,0,0,0,0,0,0,0"/>
                <v:fill on="f" focussize="0,0"/>
                <v:stroke color="#FFFF00 [32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3310890</wp:posOffset>
                </wp:positionH>
                <wp:positionV relativeFrom="paragraph">
                  <wp:posOffset>1642110</wp:posOffset>
                </wp:positionV>
                <wp:extent cx="683895" cy="389890"/>
                <wp:effectExtent l="0" t="0" r="0" b="0"/>
                <wp:wrapNone/>
                <wp:docPr id="118" name="矩形 118"/>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b/>
                                <w:bCs/>
                                <w:color w:val="FF0000"/>
                                <w:sz w:val="21"/>
                                <w:szCs w:val="21"/>
                              </w:rPr>
                              <w:t>30m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0.7pt;margin-top:129.3pt;height:30.7pt;width:53.85pt;z-index:251696128;v-text-anchor:middle;mso-width-relative:page;mso-height-relative:page;" filled="f" stroked="f" coordsize="21600,21600" o:gfxdata="UEsDBAoAAAAAAIdO4kAAAAAAAAAAAAAAAAAEAAAAZHJzL1BLAwQUAAAACACHTuJAf3RFpNkAAAAL&#10;AQAADwAAAGRycy9kb3ducmV2LnhtbE2PQU+DQBCF7yb+h82YeLML2JKKDE1j1KRHi4nxtsAIKDtL&#10;2C1t/73jqR4n78t73+Sbkx3UTJPvHSPEiwgUce2anluE9/Llbg3KB8ONGRwTwpk8bIrrq9xkjTvy&#10;G8370CopYZ8ZhC6EMdPa1x1Z4xduJJbsy03WBDmnVjeTOUq5HXQSRam2pmdZ6MxITx3VP/uDRfDV&#10;vCvP4/bj+9PX1faZbbncvSLe3sTRI6hAp3CB4U9f1KEQp8oduPFqQFgl8VJQhGS1TkEJkSYPMagK&#10;4V6WQRe5/v9D8QtQSwMEFAAAAAgAh07iQJj+uqJUAgAAmQQAAA4AAABkcnMvZTJvRG9jLnhtbK1U&#10;zW4TMRC+I/EOlu90k5CWNOqmihoVIVW0UkGcHa+dteQ/bCeb8jJI3HiIPg7iNfjs3bZR4dADl90Z&#10;z+w3/r6Z2bPzvdFkJ0JUztZ0fDSiRFjuGmU3Nf386fLNjJKYmG2YdlbU9E5Eer54/eqs83Mxca3T&#10;jQgEIDbOO1/TNiU/r6rIW2FYPHJeWASlC4YluGFTNYF1QDe6moxGJ1XnQuOD4yJGnK76IB0Qw0sA&#10;nZSKi5XjWyNs6lGD0CyBUmyVj3RRbiul4OlayigS0TUF01SeKAJ7nZ/V4ozNN4H5VvHhCuwlV3jG&#10;yTBlUfQRasUSI9ug/oIyigcXnUxH3JmqJ1IUAYvx6Jk2ty3zonCB1NE/ih7/Hyz/uLsJRDWYhDEa&#10;b5lBy39///nr/gfJJ9Cn83GOtFt/EwYvwsxk9zKY/AYNsi+a3j1qKvaJcByezN7OTo8p4QjBmp0W&#10;zaunj32I6b1whmSjpgEtK0qy3VVMKIjUh5Rcy7pLpXVpm7akq+nkeDpCNznDLErMAEzjwSfaDSVM&#10;bzDkPIUCefBthlyx2JIdw2REp1WTuaKYtnhlzj3LbKX9ej9QX7vmDoIF109S9PxSAeqKxXTDAkYH&#10;V8FypWs8pHa4nxssSloXvv3rPOejo4hS0mEUcZ+vWxYEJfqDRa9Px9Npnt3iTI/fTeCEw8j6MGK3&#10;5sKB0xhr7Hkxc37SD6YMznzBDi5zVYSY5ajdqzQ4F6lfEWwxF8tlScO8epau7K3nGbzvxXKbnFSl&#10;TVmoXp1BP0xsEXTYrrwSh37JevqjL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f3RFpNkAAAAL&#10;AQAADwAAAAAAAAABACAAAAAiAAAAZHJzL2Rvd25yZXYueG1sUEsBAhQAFAAAAAgAh07iQJj+uqJU&#10;AgAAmQQAAA4AAAAAAAAAAQAgAAAAKAEAAGRycy9lMm9Eb2MueG1sUEsFBgAAAAAGAAYAWQEAAO4F&#10;AAAAAA==&#10;">
                <v:fill on="f" focussize="0,0"/>
                <v:stroke on="f" weight="2pt"/>
                <v:imagedata o:title=""/>
                <o:lock v:ext="edit" aspectratio="f"/>
                <v:textbox>
                  <w:txbxContent>
                    <w:p>
                      <w:pPr>
                        <w:jc w:val="center"/>
                        <w:rPr>
                          <w:color w:val="FFFF00"/>
                          <w:sz w:val="21"/>
                          <w:szCs w:val="21"/>
                        </w:rPr>
                      </w:pPr>
                      <w:r>
                        <w:rPr>
                          <w:rFonts w:hint="eastAsia"/>
                          <w:b/>
                          <w:bCs/>
                          <w:color w:val="FF0000"/>
                          <w:sz w:val="21"/>
                          <w:szCs w:val="21"/>
                        </w:rPr>
                        <w:t>30m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3741420</wp:posOffset>
                </wp:positionH>
                <wp:positionV relativeFrom="paragraph">
                  <wp:posOffset>1643380</wp:posOffset>
                </wp:positionV>
                <wp:extent cx="85725" cy="123825"/>
                <wp:effectExtent l="38100" t="38100" r="28575" b="28575"/>
                <wp:wrapNone/>
                <wp:docPr id="117" name="直接箭头连接符 117"/>
                <wp:cNvGraphicFramePr/>
                <a:graphic xmlns:a="http://schemas.openxmlformats.org/drawingml/2006/main">
                  <a:graphicData uri="http://schemas.microsoft.com/office/word/2010/wordprocessingShape">
                    <wps:wsp>
                      <wps:cNvCnPr/>
                      <wps:spPr>
                        <a:xfrm flipH="1" flipV="1">
                          <a:off x="0" y="0"/>
                          <a:ext cx="85725" cy="1238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94.6pt;margin-top:129.4pt;height:9.75pt;width:6.75pt;z-index:251688960;mso-width-relative:page;mso-height-relative:page;" filled="f" stroked="t" coordsize="21600,21600" o:gfxdata="UEsDBAoAAAAAAIdO4kAAAAAAAAAAAAAAAAAEAAAAZHJzL1BLAwQUAAAACACHTuJA8WB14dkAAAAL&#10;AQAADwAAAGRycy9kb3ducmV2LnhtbE2PwU6EMBCG7ya+QzMmXozbLoaFRcoeSPTiwSyr90K7gNIp&#10;oYVd3t7xpMeZ+fLP9+eHqx3YYibfO5Sw3QhgBhune2wlfJxeHlNgPijUanBoJKzGw6G4vclVpt0F&#10;j2apQssoBH2mJHQhjBnnvumMVX7jRoN0O7vJqkDj1HI9qQuF24FHQuy4VT3Sh06NpuxM813NVsL7&#10;ccZ1rT4fyi+/nOKkfq3fSivl/d1WPAML5hr+YPjVJ3UoyKl2M2rPBglxuo8IlRDFKXUgYieiBFhN&#10;myR9Al7k/H+H4gdQSwMEFAAAAAgAh07iQDEvbnkLAgAA4wMAAA4AAABkcnMvZTJvRG9jLnhtbK1T&#10;zY7TMBC+I/EOlu80aaHsKmq6h5bCAUElfu5Tx0ksObY19jbtS/ACSJyAE3DaO08Dy2MwdkKB5bIH&#10;cojGHn/fzPd5vLg4dJrtJXplTcmnk5wzaYStlGlK/url5t45Zz6AqUBbI0t+lJ5fLO/eWfSukDPb&#10;Wl1JZERifNG7krchuCLLvGhlB35inTSUrC12EGiJTVYh9MTe6WyW5w+z3mLl0ArpPe2uhyQfGfE2&#10;hLaulZBrKy47acLAilJDIEm+Vc7zZeq2rqUIz+vay8B0yUlpSH8qQvEu/rPlAooGwbVKjC3AbVq4&#10;oakDZajoiWoNAdglqn+oOiXQeluHibBdNghJjpCKaX7DmxctOJm0kNXenUz3/49WPNtvkamKJmF6&#10;xpmBjq78+u3V9zcfrr98/vb+6sfXdzH+9JHFA2RX73xBqJXZ4rjybotR+6HGjtVauSfExlP0OkYx&#10;R0rZIdl+PNkuD4EJ2jyfn83mnAnKTGf3zykm4mzgi1iHPjyWtmMxKLkPCKppw8oaQ/drcagA+6c+&#10;DMBfgAg2dqO0pn0otGF9yWfzBzndvgCa3ZpmhsLOkX5vGs5AN/QoRMDUtLdaVREe0R6b3Uoj2wON&#10;0maT0zf2+dexWHsNvh3OpVQ8BkUApR+ZioWjI4sB0fYjXhuSG20djIzRzlbH5G/ap7tPhoxzGofr&#10;z3VC/36by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xYHXh2QAAAAsBAAAPAAAAAAAAAAEAIAAA&#10;ACIAAABkcnMvZG93bnJldi54bWxQSwECFAAUAAAACACHTuJAMS9ueQsCAADjAwAADgAAAAAAAAAB&#10;ACAAAAAoAQAAZHJzL2Uyb0RvYy54bWxQSwUGAAAAAAYABgBZAQAApQUAAAAA&#10;">
                <v:fill on="f" focussize="0,0"/>
                <v:stroke weight="2pt" color="#FF00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3613785</wp:posOffset>
                </wp:positionH>
                <wp:positionV relativeFrom="paragraph">
                  <wp:posOffset>3301365</wp:posOffset>
                </wp:positionV>
                <wp:extent cx="948690" cy="465455"/>
                <wp:effectExtent l="0" t="0" r="0" b="0"/>
                <wp:wrapNone/>
                <wp:docPr id="33" name="矩形 33"/>
                <wp:cNvGraphicFramePr/>
                <a:graphic xmlns:a="http://schemas.openxmlformats.org/drawingml/2006/main">
                  <a:graphicData uri="http://schemas.microsoft.com/office/word/2010/wordprocessingShape">
                    <wps:wsp>
                      <wps:cNvSpPr/>
                      <wps:spPr>
                        <a:xfrm>
                          <a:off x="0" y="0"/>
                          <a:ext cx="948905" cy="465622"/>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color w:val="00B050"/>
                                <w:sz w:val="21"/>
                                <w:szCs w:val="21"/>
                              </w:rPr>
                            </w:pPr>
                            <w:r>
                              <w:rPr>
                                <w:rFonts w:hint="eastAsia"/>
                                <w:b/>
                                <w:color w:val="00B050"/>
                                <w:sz w:val="21"/>
                                <w:szCs w:val="21"/>
                              </w:rPr>
                              <w:t>集美纺织企业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4.55pt;margin-top:259.95pt;height:36.65pt;width:74.7pt;z-index:251723776;v-text-anchor:middle;mso-width-relative:page;mso-height-relative:page;" filled="f" stroked="f" coordsize="21600,21600" o:gfxdata="UEsDBAoAAAAAAIdO4kAAAAAAAAAAAAAAAAAEAAAAZHJzL1BLAwQUAAAACACHTuJAffvUUtoAAAAL&#10;AQAADwAAAGRycy9kb3ducmV2LnhtbE2PTU/DMAyG70j8h8hI3FiawcZamk4TAqQdWZEQt7QxbaFx&#10;qibrtn8/cxo3fzx6/ThfH10vJhxD50mDmiUgkGpvO2o0fJSvdysQIRqypveEGk4YYF1cX+Ums/5A&#10;7zjtYiM4hEJmNLQxDpmUoW7RmTDzAxLvvv3oTOR2bKQdzYHDXS/nSbKUznTEF1oz4HOL9e9u7zSE&#10;atqWp2Hz+fMV6mrzQq582L5pfXujkicQEY/xAsOfPqtDwU6V35MNotewWKaKUS5UmoJg4lGtFiAq&#10;nqT3c5BFLv//UJwBUEsDBBQAAAAIAIdO4kBryEtBVAIAAJcEAAAOAAAAZHJzL2Uyb0RvYy54bWyt&#10;VM1uEzEQviPxDpbvdJM0KW3UTRU1KkKqaKWCODteO2vJf9hONuVlkLjxEDwO4jX47N22UeHQAxdn&#10;xjP7eb5vZnJ+sTea7ESIytmajo9GlAjLXaPspqafPl69OaUkJmYbpp0VNb0XkV4sXr867/xcTFzr&#10;dCMCAYiN887XtE3Jz6sq8lYYFo+cFxZB6YJhCW7YVE1gHdCNriaj0UnVudD44LiIEberPkgHxPAS&#10;QCel4mLl+NYIm3rUIDRLoBRb5SNdlGqlFDzdSBlFIrqmYJrKiUdgr/NZLc7ZfBOYbxUfSmAvKeEZ&#10;J8OUxaOPUCuWGNkG9ReUUTy46GQ64s5UPZGiCFiMR8+0uWuZF4ULpI7+UfT4/2D5h91tIKqp6fEx&#10;JZYZdPz3tx+/fn4nuIA6nY9zJN352zB4EWamupfB5F+QIPui6P2jomKfCMfl2fT0bDSjhCM0PZmd&#10;TCYZs3r62IeY3glnSDZqGtCwoiPbXcfUpz6k5Lesu1Ja457NtSVdTSez6Qi95AyTKDEBMI0Hm2g3&#10;lDC9wYjzFArkwbcZcsViS3YMcxGdVs1Ql7YoL3PuWWYr7df7gfraNfeQK7h+jqLnVwpQ1yymWxYw&#10;OCgFq5VucEjtUJ8bLEpaF77+6z7no5+IUtJhEFHPly0LghL93qLTZ+PpNE9ucaaztxM44TCyPozY&#10;rbl04DTGEntezJyf9IMpgzOfsYHL/CpCzHK83as0OJepXxDsMBfLZUnDtHqWru2d5xm878Vym5xU&#10;pU1ZqF6dQT/Ma2n0sFt5IQ79kvX0f7L4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H371FLaAAAA&#10;CwEAAA8AAAAAAAAAAQAgAAAAIgAAAGRycy9kb3ducmV2LnhtbFBLAQIUABQAAAAIAIdO4kBryEtB&#10;VAIAAJcEAAAOAAAAAAAAAAEAIAAAACkBAABkcnMvZTJvRG9jLnhtbFBLBQYAAAAABgAGAFkBAADv&#10;BQAAAAA=&#10;">
                <v:fill on="f" focussize="0,0"/>
                <v:stroke on="f" weight="2pt"/>
                <v:imagedata o:title=""/>
                <o:lock v:ext="edit" aspectratio="f"/>
                <v:textbox>
                  <w:txbxContent>
                    <w:p>
                      <w:pPr>
                        <w:jc w:val="center"/>
                        <w:rPr>
                          <w:b/>
                          <w:color w:val="00B050"/>
                          <w:sz w:val="21"/>
                          <w:szCs w:val="21"/>
                        </w:rPr>
                      </w:pPr>
                      <w:r>
                        <w:rPr>
                          <w:rFonts w:hint="eastAsia"/>
                          <w:b/>
                          <w:color w:val="00B050"/>
                          <w:sz w:val="21"/>
                          <w:szCs w:val="21"/>
                        </w:rPr>
                        <w:t>集美纺织企业</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4084955</wp:posOffset>
                </wp:positionH>
                <wp:positionV relativeFrom="paragraph">
                  <wp:posOffset>1242695</wp:posOffset>
                </wp:positionV>
                <wp:extent cx="948690" cy="465455"/>
                <wp:effectExtent l="0" t="0" r="0" b="0"/>
                <wp:wrapNone/>
                <wp:docPr id="23" name="矩形 23"/>
                <wp:cNvGraphicFramePr/>
                <a:graphic xmlns:a="http://schemas.openxmlformats.org/drawingml/2006/main">
                  <a:graphicData uri="http://schemas.microsoft.com/office/word/2010/wordprocessingShape">
                    <wps:wsp>
                      <wps:cNvSpPr/>
                      <wps:spPr>
                        <a:xfrm>
                          <a:off x="0" y="0"/>
                          <a:ext cx="948905" cy="465622"/>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color w:val="00B050"/>
                                <w:sz w:val="21"/>
                                <w:szCs w:val="21"/>
                              </w:rPr>
                            </w:pPr>
                            <w:r>
                              <w:rPr>
                                <w:rFonts w:hint="eastAsia"/>
                                <w:b/>
                                <w:color w:val="00B050"/>
                                <w:sz w:val="21"/>
                                <w:szCs w:val="21"/>
                              </w:rPr>
                              <w:t>名味食品有限公司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65pt;margin-top:97.85pt;height:36.65pt;width:74.7pt;z-index:251715584;v-text-anchor:middle;mso-width-relative:page;mso-height-relative:page;" filled="f" stroked="f" coordsize="21600,21600" o:gfxdata="UEsDBAoAAAAAAIdO4kAAAAAAAAAAAAAAAAAEAAAAZHJzL1BLAwQUAAAACACHTuJAsGcpp9oAAAAL&#10;AQAADwAAAGRycy9kb3ducmV2LnhtbE2PwU7DMAyG70i8Q2QkbixdN7q1NJ0mBEg7bkVC3NLGawuN&#10;UzVZt7095gQ3W/+n35/zzcX2YsLRd44UzGcRCKTamY4aBe/l68MahA+ajO4doYIretgUtze5zow7&#10;0x6nQ2gEl5DPtII2hCGT0tctWu1nbkDi7OhGqwOvYyPNqM9cbnsZR1Eire6IL7R6wOcW6+/DySrw&#10;1bQrr8P24+vT19X2hWy53L0pdX83j55ABLyEPxh+9VkdCnaq3ImMF72CZLlYMMpB+rgCwcQqjXmo&#10;FMRJGoEscvn/h+IHUEsDBBQAAAAIAIdO4kBfIOC4UwIAAJcEAAAOAAAAZHJzL2Uyb0RvYy54bWyt&#10;VM1uEzEQviPxDpbvdJOQlDbqpooaFSFVtFJBnB2vnbXkP2wnm/IySNx4iD4O4jX47N22UeHQAxdn&#10;xjP7eb5vZnJ2vjea7ESIytmajo9GlAjLXaPspqafP12+OaEkJmYbpp0VNb0TkZ4vXr866/xcTFzr&#10;dCMCAYiN887XtE3Jz6sq8lYYFo+cFxZB6YJhCW7YVE1gHdCNriaj0XHVudD44LiIEberPkgHxPAS&#10;QCel4mLl+NYIm3rUIDRLoBRb5SNdlGqlFDxdSxlFIrqmYJrKiUdgr/NZLc7YfBOYbxUfSmAvKeEZ&#10;J8OUxaOPUCuWGNkG9ReUUTy46GQ64s5UPZGiCFiMR8+0uW2ZF4ULpI7+UfT4/2D5x91NIKqp6eQt&#10;JZYZdPz395+/7n8QXECdzsc5km79TRi8CDNT3ctg8i9IkH1R9O5RUbFPhOPydHpyOppRwhGaHs+O&#10;J5OMWT197ENM74UzJBs1DWhY0ZHtrmLqUx9S8lvWXSqtcc/m2pIOVc+mI/SSM0yixATANB5sot1Q&#10;wvQGI85TKJAH32bIFYst2THMRXRaNUNd2qK8zLlnma20X+8H6mvX3EGu4Po5ip5fKkBdsZhuWMDg&#10;oBSsVrrGIbVDfW6wKGld+Pav+5yPfiJKSYdBRD1ftywISvQHi06fjqfTPLnFmc7eTeCEw8j6MGK3&#10;5sKB0xhL7Hkxc37SD6YMznzBBi7zqwgxy/F2r9LgXKR+QbDDXCyXJQ3T6lm6sreeZ/C+F8ttclKV&#10;NmWhenUG/TCvpdHDbuWFOPRL1tP/ye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Gcpp9oAAAAL&#10;AQAADwAAAAAAAAABACAAAAAiAAAAZHJzL2Rvd25yZXYueG1sUEsBAhQAFAAAAAgAh07iQF8g4LhT&#10;AgAAlwQAAA4AAAAAAAAAAQAgAAAAKQEAAGRycy9lMm9Eb2MueG1sUEsFBgAAAAAGAAYAWQEAAO4F&#10;AAAAAA==&#10;">
                <v:fill on="f" focussize="0,0"/>
                <v:stroke on="f" weight="2pt"/>
                <v:imagedata o:title=""/>
                <o:lock v:ext="edit" aspectratio="f"/>
                <v:textbox>
                  <w:txbxContent>
                    <w:p>
                      <w:pPr>
                        <w:jc w:val="center"/>
                        <w:rPr>
                          <w:b/>
                          <w:color w:val="00B050"/>
                          <w:sz w:val="21"/>
                          <w:szCs w:val="21"/>
                        </w:rPr>
                      </w:pPr>
                      <w:r>
                        <w:rPr>
                          <w:rFonts w:hint="eastAsia"/>
                          <w:b/>
                          <w:color w:val="00B050"/>
                          <w:sz w:val="21"/>
                          <w:szCs w:val="21"/>
                        </w:rPr>
                        <w:t>名味食品有限公司</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5031105</wp:posOffset>
                </wp:positionH>
                <wp:positionV relativeFrom="paragraph">
                  <wp:posOffset>2322830</wp:posOffset>
                </wp:positionV>
                <wp:extent cx="683895" cy="389890"/>
                <wp:effectExtent l="0" t="0" r="0" b="0"/>
                <wp:wrapNone/>
                <wp:docPr id="5" name="矩形 5"/>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70m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6.15pt;margin-top:182.9pt;height:30.7pt;width:53.85pt;z-index:251710464;v-text-anchor:middle;mso-width-relative:page;mso-height-relative:page;" filled="f" stroked="f" coordsize="21600,21600" o:gfxdata="UEsDBAoAAAAAAIdO4kAAAAAAAAAAAAAAAAAEAAAAZHJzL1BLAwQUAAAACACHTuJA4WLCYNoAAAAL&#10;AQAADwAAAGRycy9kb3ducmV2LnhtbE2Py07DMBBF90j8gzVI7KjdtPQRMqkqBEhdtkFC7JzYTQLx&#10;OIrdtP17hhUsR3N17znZ5uI6MdohtJ4QphMFwlLlTUs1wnvx+rACEaImoztPFuFqA2zy25tMp8af&#10;aW/HQ6wFl1BINUITY59KGarGOh0mvrfEv6MfnI58DrU0gz5zuetkotRCOt0SLzS6t8+Nrb4PJ4cQ&#10;ynFXXPvtx9dnqMrtC7livntDvL+bqicQ0V7iXxh+8RkdcmYq/YlMEB3Ccp3MOIowWzyyAyfWSrFd&#10;iTBPlgnIPJP/HfIfUEsDBBQAAAAIAIdO4kApePLEUQIAAJUEAAAOAAAAZHJzL2Uyb0RvYy54bWyt&#10;VM1uEzEQviPxDpbvdJOQlDTqpooaFSFVUKkgzo7XzlryH7aTTXkZJG48BI+DeA0+e7dtVDj0wMU7&#10;szP7jb9vZvb84mA02YsQlbM1HZ+MKBGWu0bZbU0/fbx6NackJmYbpp0VNb0TkV4sX7447/xCTFzr&#10;dCMCAYiNi87XtE3JL6oq8lYYFk+cFxZB6YJhCW7YVk1gHdCNriaj0WnVudD44LiIEW/XfZAOiOE5&#10;gE5KxcXa8Z0RNvWoQWiWQCm2yke6LLeVUvD0QcooEtE1BdNUThSBvclntTxni21gvlV8uAJ7zhWe&#10;cDJMWRR9gFqzxMguqL+gjOLBRSfTCXem6okURcBiPHqizW3LvChcIHX0D6LH/wfL3+9vAlFNTWeU&#10;WGbQ8N/ffvz6+Z3Msjadjwuk3PqbMHgRZiZ6kMHkJyiQQ9Hz7kFPcUiE4+Xp/PX8DLgcIVjzs6J3&#10;9fixDzG9Fc6QbNQ0oF1FRba/jgkFkXqfkmtZd6W0Li3TlnQ1ncymI3SSM8yhRP9hGg8u0W4pYXqL&#10;AecpFMijbzPkmsWW7BmmIjqtmswVxbTFI3PuWWYrHTaHgfrGNXcQK7h+iqLnVwpQ1yymGxYwNrgK&#10;Fit9wCG1w/3cYFHSuvD1X+9zPrqJKCUdxhD3+bJjQVCi31n0+Ww8nea5Lc509mYCJxxHNscRuzOX&#10;DpzGWGHPi5nzk743ZXDmM/ZvlasixCxH7V6lwblM/Xpgg7lYrUoaZtWzdG1vPc/gfS9Wu+SkKm3K&#10;QvXqDPphWougw2bldTj2S9bj32T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FiwmDaAAAACwEA&#10;AA8AAAAAAAAAAQAgAAAAIgAAAGRycy9kb3ducmV2LnhtbFBLAQIUABQAAAAIAIdO4kApePLEUQIA&#10;AJUEAAAOAAAAAAAAAAEAIAAAACkBAABkcnMvZTJvRG9jLnhtbFBLBQYAAAAABgAGAFkBAADsBQAA&#10;AAA=&#10;">
                <v:fill on="f" focussize="0,0"/>
                <v:stroke on="f" weight="2pt"/>
                <v:imagedata o:title=""/>
                <o:lock v:ext="edit" aspectratio="f"/>
                <v:textbox>
                  <w:txbxContent>
                    <w:p>
                      <w:pPr>
                        <w:jc w:val="center"/>
                        <w:rPr>
                          <w:color w:val="FFFF00"/>
                          <w:sz w:val="21"/>
                          <w:szCs w:val="21"/>
                        </w:rPr>
                      </w:pPr>
                      <w:r>
                        <w:rPr>
                          <w:rFonts w:hint="eastAsia"/>
                          <w:color w:val="FFFF00"/>
                          <w:sz w:val="21"/>
                          <w:szCs w:val="21"/>
                        </w:rPr>
                        <w:t>70m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5207635</wp:posOffset>
                </wp:positionH>
                <wp:positionV relativeFrom="paragraph">
                  <wp:posOffset>2545080</wp:posOffset>
                </wp:positionV>
                <wp:extent cx="243840" cy="69215"/>
                <wp:effectExtent l="0" t="19050" r="41910" b="83820"/>
                <wp:wrapNone/>
                <wp:docPr id="4" name="直接箭头连接符 4"/>
                <wp:cNvGraphicFramePr/>
                <a:graphic xmlns:a="http://schemas.openxmlformats.org/drawingml/2006/main">
                  <a:graphicData uri="http://schemas.microsoft.com/office/word/2010/wordprocessingShape">
                    <wps:wsp>
                      <wps:cNvCnPr/>
                      <wps:spPr>
                        <a:xfrm>
                          <a:off x="0" y="0"/>
                          <a:ext cx="243948" cy="69060"/>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10.05pt;margin-top:200.4pt;height:5.45pt;width:19.2pt;z-index:251702272;mso-width-relative:page;mso-height-relative:page;" filled="f" stroked="t" coordsize="21600,21600" o:gfxdata="UEsDBAoAAAAAAIdO4kAAAAAAAAAAAAAAAAAEAAAAZHJzL1BLAwQUAAAACACHTuJAlerwwNoAAAAL&#10;AQAADwAAAGRycy9kb3ducmV2LnhtbE2PTU/DMAyG70j8h8hI3FiSsUFVmk4CCSGQQFC4cMsary1r&#10;nCrJPvj3mBMcbT96/bzV6uhHsceYhkAG9EyBQGqDG6gz8PF+f1GASNmSs2MgNPCNCVb16UllSxcO&#10;9Ib7JneCQyiV1kCf81RKmdoevU2zMCHxbROit5nH2EkX7YHD/SjnSl1JbwfiD72d8K7HdtvsvAFq&#10;/Fd8vN0+L9pNl57y68Pny3hpzPmZVjcgMh7zHwy/+qwONTutw45cEqOBYq40owYWSnEHJoplsQSx&#10;5o3W1yDrSv7vUP8AUEsDBBQAAAAIAIdO4kBESRyL/QEAAMoDAAAOAAAAZHJzL2Uyb0RvYy54bWyt&#10;U72OEzEQ7pF4B8s92SQXIi7K5oqE0CCIBDyA4/XuWvKfZnzZ5CV4ASQqoIKrrudp4HgMxt5cDo7m&#10;Crawxx7PN/N9Mzu/2FvDdgpQe1fy0WDImXLSV9o1JX/3dv3kGWcYhauE8U6V/KCQXyweP5p3YabG&#10;vvWmUsAIxOGsCyVvYwyzokDZKitw4INy5Kw9WBHpCE1RgegI3ZpiPBxOi85DFcBLhUi3q97Jj4jw&#10;EEBf11qqlZeXVrnYo4IyIhIlbHVAvsjV1rWS8XVdo4rMlJyYxrxSErK3aS0WczFrQIRWy2MJ4iEl&#10;3ONkhXaU9AS1ElGwS9D/QFktwaOv40B6W/REsiLEYjS8p82bVgSVuZDUGE6i4/+Dla92G2C6KvmE&#10;MycsNfzmw/XP959vrr79+HT96/vHZH/9wiZJqi7gjCKWbgPHE4YNJN77GmzaiRHbZ3kPJ3nVPjJJ&#10;l+PJ2fmEpkuSa3o+nGb1i7vYABhfKG9ZMkqOEYRu2rj0zlEfPYyywmL3EiNlp8DbgJTY+bU2JrfT&#10;ONZRhrOn1GQpaERrGg0ybSCa6BrOhGlo9mWEjIje6CpFJxyEZrs0wHaCJmZN3/C2zL+epdQrgW3/&#10;Lrv6WYpCm+euYvEQSEsB4LvkoGqNoy0p2GuWrK2vDlnKfE8tzg+P45hm6M9zjr77BR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Xq8MDaAAAACwEAAA8AAAAAAAAAAQAgAAAAIgAAAGRycy9kb3du&#10;cmV2LnhtbFBLAQIUABQAAAAIAIdO4kBESRyL/QEAAMoDAAAOAAAAAAAAAAEAIAAAACkBAABkcnMv&#10;ZTJvRG9jLnhtbFBLBQYAAAAABgAGAFkBAACYBQ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5026660</wp:posOffset>
                </wp:positionH>
                <wp:positionV relativeFrom="paragraph">
                  <wp:posOffset>2795270</wp:posOffset>
                </wp:positionV>
                <wp:extent cx="51435" cy="95250"/>
                <wp:effectExtent l="38100" t="0" r="62865" b="57785"/>
                <wp:wrapNone/>
                <wp:docPr id="102" name="直接箭头连接符 102"/>
                <wp:cNvGraphicFramePr/>
                <a:graphic xmlns:a="http://schemas.openxmlformats.org/drawingml/2006/main">
                  <a:graphicData uri="http://schemas.microsoft.com/office/word/2010/wordprocessingShape">
                    <wps:wsp>
                      <wps:cNvCnPr/>
                      <wps:spPr>
                        <a:xfrm>
                          <a:off x="0" y="0"/>
                          <a:ext cx="51435" cy="95202"/>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95.8pt;margin-top:220.1pt;height:7.5pt;width:4.05pt;z-index:251668480;mso-width-relative:page;mso-height-relative:page;" filled="f" stroked="t" coordsize="21600,21600" o:gfxdata="UEsDBAoAAAAAAIdO4kAAAAAAAAAAAAAAAAAEAAAAZHJzL1BLAwQUAAAACACHTuJAVH7ItdwAAAAL&#10;AQAADwAAAGRycy9kb3ducmV2LnhtbE2Py07DMBBF90j8gzVI7KiTkDYkxKkEEkIgFdGUDTs3dpNQ&#10;exzZ7oO/Z1jBcmaO7pxbL8/WsKP2YXQoIJ0lwDR2To3YC/jYPN3cAQtRopLGoRbwrQMsm8uLWlbK&#10;nXCtj23sGYVgqKSAIcap4jx0g7YyzNykkW47562MNPqeKy9PFG4Nz5Jkwa0ckT4MctKPg+727cEK&#10;wNZ++ZeH/Srvdn14je/Pn2/mVojrqzS5Bxb1Of7B8KtP6tCQ09YdUAVmBBRluiBUQJ4nGTAiirIs&#10;gG1pM59nwJua/+/Q/ABQSwMEFAAAAAgAh07iQFWhEab+AQAAzQMAAA4AAABkcnMvZTJvRG9jLnht&#10;bK1TzY7TMBC+I/EOlu80aZeuoGq6h5ZyQVAJeADXcRJL/tOMt2lfghdA4gScYE9752lgeQzGTunC&#10;ctkDOSRjj+cbf998mV/srWE7Bai9q/h4VHKmnPS1dm3F375ZP3rCGUbhamG8UxU/KOQXi4cP5n2Y&#10;qYnvvKkVMAJxOOtDxbsYw6woUHbKChz5oBwlGw9WRFpCW9QgekK3ppiU5XnRe6gDeKkQaXc1JPkR&#10;Ee4D6JtGS7Xy8tIqFwdUUEZEooSdDsgX+bZNo2R81TSoIjMVJ6Yxv6kJxdv0LhZzMWtBhE7L4xXE&#10;fa5wh5MV2lHTE9RKRMEuQf8DZbUEj76JI+ltMRDJihCLcXlHm9edCCpzIakxnETH/wcrX+42wHRN&#10;TignnDlhaeQ3769/vPt0c/X1+8frn98+pPjLZ5YOkFx9wBlVLd0GjisMG0jc9w3Y9CVWbJ8lPpwk&#10;VvvIJG1Ox4/PppxJyjydTgbE4rY0AMbnyluWgopjBKHbLi69czRKD+Mssti9wEjNqfB3Qerr/Fob&#10;kydqHOsrfn42pTlLQS5tyB0U2kBM0bWcCdOS/WWEjIje6DpVJxyEdrs0wHaCTLOmp8w+oW5/HUut&#10;VwK74VxODXaKQptnrmbxEEhMAeD7lKB64+iTBBwkS9HW14esZN6nKeeDR0cmG/25ztW3f+Hi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R+yLXcAAAACwEAAA8AAAAAAAAAAQAgAAAAIgAAAGRycy9k&#10;b3ducmV2LnhtbFBLAQIUABQAAAAIAIdO4kBVoRGm/gEAAM0DAAAOAAAAAAAAAAEAIAAAACsBAABk&#10;cnMvZTJvRG9jLnhtbFBLBQYAAAAABgAGAFkBAACbBQ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4770120</wp:posOffset>
                </wp:positionH>
                <wp:positionV relativeFrom="paragraph">
                  <wp:posOffset>2794000</wp:posOffset>
                </wp:positionV>
                <wp:extent cx="683895" cy="389890"/>
                <wp:effectExtent l="0" t="0" r="0" b="0"/>
                <wp:wrapNone/>
                <wp:docPr id="105" name="矩形 105"/>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30m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6pt;margin-top:220pt;height:30.7pt;width:53.85pt;z-index:251675648;v-text-anchor:middle;mso-width-relative:page;mso-height-relative:page;" filled="f" stroked="f" coordsize="21600,21600" o:gfxdata="UEsDBAoAAAAAAIdO4kAAAAAAAAAAAAAAAAAEAAAAZHJzL1BLAwQUAAAACACHTuJAC9rZgtkAAAAL&#10;AQAADwAAAGRycy9kb3ducmV2LnhtbE2PwU7DMBBE70j8g7VI3KidKoEQ4lQVAqQeaZAQNydekkC8&#10;jmI3bf+e5QTH1T7NvCk3JzeKBecweNKQrBQIpNbbgToNb/XzTQ4iREPWjJ5QwxkDbKrLi9IU1h/p&#10;FZd97ASHUCiMhj7GqZAytD06E1Z+QuLfp5+diXzOnbSzOXK4G+VaqVvpzEDc0JsJH3tsv/cHpyE0&#10;y64+T9v3r4/QNtsncnW6e9H6+ipRDyAinuIfDL/6rA4VOzX+QDaIUcNdlqwZ1ZCmikcxkWf5PYhG&#10;Q6aSFGRVyv8bqh9QSwMEFAAAAAgAh07iQPdcB7ZTAgAAmQQAAA4AAABkcnMvZTJvRG9jLnhtbK1U&#10;zW4TMRC+I/EOlu90k5CWNOqmihoVIVW0UkGcHa+dteQ/bCeb8jJI3HiIPg7iNfjs3bZR4dADl90Z&#10;z+w3/r6Z2bPzvdFkJ0JUztZ0fDSiRFjuGmU3Nf386fLNjJKYmG2YdlbU9E5Eer54/eqs83Mxca3T&#10;jQgEIDbOO1/TNiU/r6rIW2FYPHJeWASlC4YluGFTNYF1QDe6moxGJ1XnQuOD4yJGnK76IB0Qw0sA&#10;nZSKi5XjWyNs6lGD0CyBUmyVj3RRbiul4OlayigS0TUF01SeKAJ7nZ/V4ozNN4H5VvHhCuwlV3jG&#10;yTBlUfQRasUSI9ug/oIyigcXnUxH3JmqJ1IUAYvx6Jk2ty3zonCB1NE/ih7/Hyz/uLsJRDWYhNEx&#10;JZYZtPz395+/7n+QfAJ9Oh/nSLv1N2HwIsxMdi+DyW/QIPui6d2jpmKfCMfhyezt7BTIHCFYs9Oi&#10;efX0sQ8xvRfOkGzUNKBlRUm2u4oJBZH6kJJrWXeptC5t05Z0NZ0cT0foJmeYRYkZgGk8+ES7oYTp&#10;DYacp1AgD77NkCsWW7JjmIzotGoyVxTTFq/MuWeZrbRf7wfqa9fcQbDg+kmKnl8qQF2xmG5YwOjg&#10;KliudI2H1A73c4NFSevCt3+d53x0FFFKOowi7vN1y4KgRH+w6PXpeDrNs1uc6fG7CZxwGFkfRuzW&#10;XDhwGmONPS9mzk/6wZTBmS/YwWWuihCzHLV7lQbnIvUrgi3mYrksaZhXz9KVvfU8g/e9WG6Tk6q0&#10;KQvVqzPoh4ktgg7blVfi0C9ZT3+U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L2tmC2QAAAAsB&#10;AAAPAAAAAAAAAAEAIAAAACIAAABkcnMvZG93bnJldi54bWxQSwECFAAUAAAACACHTuJA91wHtlMC&#10;AACZBAAADgAAAAAAAAABACAAAAAoAQAAZHJzL2Uyb0RvYy54bWxQSwUGAAAAAAYABgBZAQAA7QUA&#10;AAAA&#10;">
                <v:fill on="f" focussize="0,0"/>
                <v:stroke on="f" weight="2pt"/>
                <v:imagedata o:title=""/>
                <o:lock v:ext="edit" aspectratio="f"/>
                <v:textbox>
                  <w:txbxContent>
                    <w:p>
                      <w:pPr>
                        <w:jc w:val="center"/>
                        <w:rPr>
                          <w:color w:val="FFFF00"/>
                          <w:sz w:val="21"/>
                          <w:szCs w:val="21"/>
                        </w:rPr>
                      </w:pPr>
                      <w:r>
                        <w:rPr>
                          <w:rFonts w:hint="eastAsia"/>
                          <w:color w:val="FFFF00"/>
                          <w:sz w:val="21"/>
                          <w:szCs w:val="21"/>
                        </w:rPr>
                        <w:t>30m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3232150</wp:posOffset>
                </wp:positionH>
                <wp:positionV relativeFrom="paragraph">
                  <wp:posOffset>2165350</wp:posOffset>
                </wp:positionV>
                <wp:extent cx="520065" cy="227965"/>
                <wp:effectExtent l="38100" t="38100" r="13335" b="19685"/>
                <wp:wrapNone/>
                <wp:docPr id="106" name="直接箭头连接符 106"/>
                <wp:cNvGraphicFramePr/>
                <a:graphic xmlns:a="http://schemas.openxmlformats.org/drawingml/2006/main">
                  <a:graphicData uri="http://schemas.microsoft.com/office/word/2010/wordprocessingShape">
                    <wps:wsp>
                      <wps:cNvCnPr/>
                      <wps:spPr>
                        <a:xfrm flipH="1" flipV="1">
                          <a:off x="0" y="0"/>
                          <a:ext cx="520065" cy="227965"/>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54.5pt;margin-top:170.5pt;height:17.95pt;width:40.95pt;z-index:251678720;mso-width-relative:page;mso-height-relative:page;" filled="f" stroked="t" coordsize="21600,21600" o:gfxdata="UEsDBAoAAAAAAIdO4kAAAAAAAAAAAAAAAAAEAAAAZHJzL1BLAwQUAAAACACHTuJAmenxTdoAAAAL&#10;AQAADwAAAGRycy9kb3ducmV2LnhtbE2PzU7DMBCE70i8g7VI3KgdaJMmxOmhEqrEjRZBj05skoh4&#10;HdluEnh6lhPc9md29ptyt9iBTcaH3qGEZCWAGWyc7rGV8Hp6utsCC1GhVoNDI+HLBNhV11elKrSb&#10;8cVMx9gyMsFQKAldjGPBeWg6Y1VYudEg7T6ctypS61uuvZrJ3A78XoiUW9UjfejUaPadaT6PF0sY&#10;9fo7G9/n5+Xt5Nsp44f9OT1IeXuTiEdg0SzxTwy/+HQDFTHV7oI6sEHCRuSUJUp4WCdUkGKTixxY&#10;TZMszYFXJf+fofoBUEsDBBQAAAAIAIdO4kDUex9lCQIAAOMDAAAOAAAAZHJzL2Uyb0RvYy54bWyt&#10;U72OEzEQ7pF4B8s92b2gBIiyuSIhUCCIxE/veL27lvynGV82eQleAIkKqA6q63kaOB6DsTcEOJor&#10;2GI19ni+me/z5/n53hq2U4Dau4qfjUrOlJO+1q6t+OtX63sPOcMoXC2Md6riB4X8fHH3zrwPMzX2&#10;nTe1AkYgDmd9qHgXY5gVBcpOWYEjH5SjZOPBikhLaIsaRE/o1hTjspwWvYc6gJcKkXZXQ5IfEeE2&#10;gL5ptFQrLy+scnFABWVEJErY6YB8kadtGiXji6ZBFZmpODGN+U9NKN6mf7GYi1kLInRaHkcQtxnh&#10;BicrtKOmJ6iViIJdgP4HymoJHn0TR9LbYiCSFSEWZ+UNbV52IqjMhaTGcBId/x+sfL7bANM1OaGc&#10;cuaEpSu/fnf1/e3H6y+fv324+vH1fYovP7F0gOTqA86oauk2cFxh2EDivm/Assbo8JTQeI7epCjl&#10;iCnbZ9kPJ9nVPjJJm5NkiwlnklLj8YNHFBNyMQCm4gAYnyhvWQoqjhGEbru49M7RBXsYWojdM4xD&#10;4a+CVOz8WhtD+2JmHOsrPr0/oduXgrzbkGcotIH4o2s5E6alRyEj5KHRG12n6lSM0G6XBthOkJXW&#10;9JXZPTTmX8dS65XAbjiXU4PJotDmsatZPASSWAD4/kjTOGKbZB2ETNHW14esb96nu896HH2azPXn&#10;Olf/fpuL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np8U3aAAAACwEAAA8AAAAAAAAAAQAgAAAA&#10;IgAAAGRycy9kb3ducmV2LnhtbFBLAQIUABQAAAAIAIdO4kDUex9lCQIAAOMDAAAOAAAAAAAAAAEA&#10;IAAAACkBAABkcnMvZTJvRG9jLnhtbFBLBQYAAAAABgAGAFkBAACkBQ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4543425</wp:posOffset>
                </wp:positionH>
                <wp:positionV relativeFrom="paragraph">
                  <wp:posOffset>466090</wp:posOffset>
                </wp:positionV>
                <wp:extent cx="335915" cy="1302385"/>
                <wp:effectExtent l="0" t="38100" r="64135" b="12065"/>
                <wp:wrapNone/>
                <wp:docPr id="111" name="直接箭头连接符 111"/>
                <wp:cNvGraphicFramePr/>
                <a:graphic xmlns:a="http://schemas.openxmlformats.org/drawingml/2006/main">
                  <a:graphicData uri="http://schemas.microsoft.com/office/word/2010/wordprocessingShape">
                    <wps:wsp>
                      <wps:cNvCnPr/>
                      <wps:spPr>
                        <a:xfrm flipV="1">
                          <a:off x="0" y="0"/>
                          <a:ext cx="335915" cy="1302385"/>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7.75pt;margin-top:36.7pt;height:102.55pt;width:26.45pt;z-index:251679744;mso-width-relative:page;mso-height-relative:page;" filled="f" stroked="t" coordsize="21600,21600" o:gfxdata="UEsDBAoAAAAAAIdO4kAAAAAAAAAAAAAAAAAEAAAAZHJzL1BLAwQUAAAACACHTuJA/fp1StkAAAAK&#10;AQAADwAAAGRycy9kb3ducmV2LnhtbE2PwU7DMAyG70i8Q2QkbiztoGspTXeYhHbhQjcJjllj2o7G&#10;KUm2jrfHnOD2W/70+3O1vthRnNGHwZGCdJGAQGqdGahTsN893xUgQtRk9OgIFXxjgHV9fVXp0riZ&#10;XvHcxE5wCYVSK+hjnEopQ9uj1WHhJiTefThvdeTRd9J4PXO5HeUySVbS6oH4Qq8n3PTYfjYnq+DY&#10;N8f9e0bbdn70m/xtW8y7rxelbm/S5AlExEv8g+FXn9WhZqeDO5EJYlSQp1nGKIf7BxAM5KuCw0HB&#10;Mi8ykHUl/79Q/wBQSwMEFAAAAAgAh07iQM9TZW0JAgAA2gMAAA4AAABkcnMvZTJvRG9jLnhtbK1T&#10;zY7TMBC+I/EOlu80SauulqjpHraUC4JK/Nxdx04s+U9jb9O+BC+AxAk4wZ72ztPA8hiMnVJgueyB&#10;HKLxjOeb+b4ZLy72RpOdgKCcbWg1KSkRlrtW2a6hr1+tH51TEiKzLdPOioYeRKAXy4cPFoOvxdT1&#10;TrcCCILYUA++oX2Mvi6KwHthWJg4LywGpQPDIh6hK1pgA6IbXUzL8qwYHLQeHBchoHc1BukREe4D&#10;6KRUXKwcvzLCxhEVhGYRKYVe+UCXuVspBY8vpAwiEt1QZBrzH4ugvU3/YrlgdQfM94ofW2D3aeEO&#10;J8OUxaInqBWLjFyB+gfKKA4uOBkn3JliJJIVQRZVeUeblz3zInNBqYM/iR7+Hyx/vtsAUS1uQlVR&#10;YpnBkd++u/n+9uPt9ZdvH25+fH2f7M+fSLqAcg0+1Jh1aTdwPAW/gcR9L8EQqZV/g2hZDeRH9lns&#10;w0lssY+Eo3M2mz+u5pRwDFWzcjo7nyf4YsRJeB5CfCqcIcloaIjAVNfHS2ctztXBWIPtnoU4Jv5K&#10;SMnWrZXW6Ge1tmRo6NlsjkPnDFdW4qqgaTzSDrajhOkO3wKPkLsOTqs2ZafkAN32UgPZMdygNX5l&#10;Xhps869rqfSKhX68l0PjbkWm9BPbknjwqCwDcMORprbINqk56pesrWsPWdbsx5FnPY7rmXbqz3PO&#10;/v0kl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p1StkAAAAKAQAADwAAAAAAAAABACAAAAAi&#10;AAAAZHJzL2Rvd25yZXYueG1sUEsBAhQAFAAAAAgAh07iQM9TZW0JAgAA2gMAAA4AAAAAAAAAAQAg&#10;AAAAKAEAAGRycy9lMm9Eb2MueG1sUEsFBgAAAAAGAAYAWQEAAKMFA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7335520</wp:posOffset>
                </wp:positionH>
                <wp:positionV relativeFrom="paragraph">
                  <wp:posOffset>23495</wp:posOffset>
                </wp:positionV>
                <wp:extent cx="1038225" cy="1276350"/>
                <wp:effectExtent l="0" t="0" r="0" b="0"/>
                <wp:wrapNone/>
                <wp:docPr id="69" name="矩形 69"/>
                <wp:cNvGraphicFramePr/>
                <a:graphic xmlns:a="http://schemas.openxmlformats.org/drawingml/2006/main">
                  <a:graphicData uri="http://schemas.microsoft.com/office/word/2010/wordprocessingShape">
                    <wps:wsp>
                      <wps:cNvSpPr/>
                      <wps:spPr>
                        <a:xfrm>
                          <a:off x="0" y="0"/>
                          <a:ext cx="1038225" cy="12763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r>
                              <w:rPr>
                                <w:position w:val="-23"/>
                              </w:rPr>
                              <w:drawing>
                                <wp:inline distT="0" distB="0" distL="0" distR="0">
                                  <wp:extent cx="751205" cy="1075055"/>
                                  <wp:effectExtent l="0" t="0" r="10795" b="10795"/>
                                  <wp:docPr id="191" name="IM 56"/>
                                  <wp:cNvGraphicFramePr/>
                                  <a:graphic xmlns:a="http://schemas.openxmlformats.org/drawingml/2006/main">
                                    <a:graphicData uri="http://schemas.openxmlformats.org/drawingml/2006/picture">
                                      <pic:pic xmlns:pic="http://schemas.openxmlformats.org/drawingml/2006/picture">
                                        <pic:nvPicPr>
                                          <pic:cNvPr id="191" name="IM 56"/>
                                          <pic:cNvPicPr/>
                                        </pic:nvPicPr>
                                        <pic:blipFill>
                                          <a:blip r:embed="rId50"/>
                                          <a:stretch>
                                            <a:fillRect/>
                                          </a:stretch>
                                        </pic:blipFill>
                                        <pic:spPr>
                                          <a:xfrm>
                                            <a:off x="0" y="0"/>
                                            <a:ext cx="751205" cy="10750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7.6pt;margin-top:1.85pt;height:100.5pt;width:81.75pt;z-index:251660288;v-text-anchor:middle;mso-width-relative:page;mso-height-relative:page;" filled="f" stroked="f" coordsize="21600,21600" o:gfxdata="UEsDBAoAAAAAAIdO4kAAAAAAAAAAAAAAAAAEAAAAZHJzL1BLAwQUAAAACACHTuJAt4nnvNkAAAAL&#10;AQAADwAAAGRycy9kb3ducmV2LnhtbE2PwU7DMAyG70i8Q2Qkbixpt7GpNJ0mBEg7siIhbmlj2kLj&#10;VE3WbW+Pd2I3//Kn35/zzcn1YsIxdJ40JDMFAqn2tqNGw0f5+rAGEaIha3pPqOGMATbF7U1uMuuP&#10;9I7TPjaCSyhkRkMb45BJGeoWnQkzPyDx7tuPzkSOYyPtaI5c7nqZKvUonemIL7RmwOcW69/9wWkI&#10;1bQrz8P28+cr1NX2hVy52L1pfX+XqCcQEU/xH4aLPqtDwU6VP5ANouecLJcpsxrmKxAXYJ6seao0&#10;pGqxAlnk8vqH4g9QSwMEFAAAAAgAh07iQNvnv4lXAgAAmQQAAA4AAABkcnMvZTJvRG9jLnhtbK1U&#10;S27bMBDdF+gdCO4b2YqdjxE5MGKkKBA0Adyia5oiLQH8laQtp5cp0F0PkeMUvUYfKSUx0i6y6Eaa&#10;4Yze8L2Z0cXlXiuyEz601lR0fDSiRBhu69ZsKvr50/W7M0pCZKZmyhpR0XsR6OX87ZuLzs1EaRur&#10;auEJQEyYda6iTYxuVhSBN0KzcGSdMAhK6zWLcP2mqD3rgK5VUY5GJ0Vnfe285SIEnC77IB0Q/WsA&#10;rZQtF0vLt1qY2KN6oVgEpdC0LtB5vq2UgsdbKYOIRFUUTGN+ogjsdXoW8ws223jmmpYPV2CvucIL&#10;Tpq1BkWfoJYsMrL17V9QuuXeBivjEbe66IlkRcBiPHqhzaphTmQukDq4J9HD/4PlH3d3nrR1RU/O&#10;KTFMo+O/v//89fCD4ADqdC7MkLRyd37wAsxEdS+9Tm+QIPus6P2TomIfCcfheHR8VpZTSjhi4/L0&#10;5HiaNS+eP3c+xPfCapKMinq0LCvJdjchoiRSH1NSNWOvW6Vy25QhXUXL6WSEbnKGWZSYAZjagU8w&#10;G0qY2mDIefQZ8uDbBLlkoSE7hskIVrV1YotiyuCVWPc8kxX36/1Afm3rewjmbT9JwfHrFlA3LMQ7&#10;5jE6uAqWK97iIZXF/exgUdJY/+1f5ykfHUWUkg6jiPt83TIvKFEfDHp9Pp5M0uxmZzI9LeH4w8j6&#10;MGK2+sqC0xhr7Hg2U35Uj6b0Vn/BDi5SVYSY4ajdqzQ4V7FfEWwxF4tFTsO8OhZvzMrxBN73YrGN&#10;Vra5TUmoXp1BP0xsFnTYrrQSh37Oev6jz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t4nnvNkA&#10;AAALAQAADwAAAAAAAAABACAAAAAiAAAAZHJzL2Rvd25yZXYueG1sUEsBAhQAFAAAAAgAh07iQNvn&#10;v4lXAgAAmQQAAA4AAAAAAAAAAQAgAAAAKAEAAGRycy9lMm9Eb2MueG1sUEsFBgAAAAAGAAYAWQEA&#10;APEFAAAAAA==&#10;">
                <v:fill on="f" focussize="0,0"/>
                <v:stroke on="f" weight="2pt"/>
                <v:imagedata o:title=""/>
                <o:lock v:ext="edit" aspectratio="f"/>
                <v:textbox>
                  <w:txbxContent>
                    <w:p>
                      <w:pPr>
                        <w:jc w:val="center"/>
                      </w:pPr>
                      <w:r>
                        <w:rPr>
                          <w:position w:val="-23"/>
                        </w:rPr>
                        <w:drawing>
                          <wp:inline distT="0" distB="0" distL="0" distR="0">
                            <wp:extent cx="751205" cy="1075055"/>
                            <wp:effectExtent l="0" t="0" r="10795" b="10795"/>
                            <wp:docPr id="191" name="IM 56"/>
                            <wp:cNvGraphicFramePr/>
                            <a:graphic xmlns:a="http://schemas.openxmlformats.org/drawingml/2006/main">
                              <a:graphicData uri="http://schemas.openxmlformats.org/drawingml/2006/picture">
                                <pic:pic xmlns:pic="http://schemas.openxmlformats.org/drawingml/2006/picture">
                                  <pic:nvPicPr>
                                    <pic:cNvPr id="191" name="IM 56"/>
                                    <pic:cNvPicPr/>
                                  </pic:nvPicPr>
                                  <pic:blipFill>
                                    <a:blip r:embed="rId50"/>
                                    <a:stretch>
                                      <a:fillRect/>
                                    </a:stretch>
                                  </pic:blipFill>
                                  <pic:spPr>
                                    <a:xfrm>
                                      <a:off x="0" y="0"/>
                                      <a:ext cx="751205" cy="1075055"/>
                                    </a:xfrm>
                                    <a:prstGeom prst="rect">
                                      <a:avLst/>
                                    </a:prstGeom>
                                  </pic:spPr>
                                </pic:pic>
                              </a:graphicData>
                            </a:graphic>
                          </wp:inline>
                        </w:drawing>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605155</wp:posOffset>
                </wp:positionH>
                <wp:positionV relativeFrom="paragraph">
                  <wp:posOffset>5470525</wp:posOffset>
                </wp:positionV>
                <wp:extent cx="323850" cy="0"/>
                <wp:effectExtent l="0" t="0" r="19050" b="19050"/>
                <wp:wrapNone/>
                <wp:docPr id="101" name="直接连接符 101"/>
                <wp:cNvGraphicFramePr/>
                <a:graphic xmlns:a="http://schemas.openxmlformats.org/drawingml/2006/main">
                  <a:graphicData uri="http://schemas.microsoft.com/office/word/2010/wordprocessingShape">
                    <wps:wsp>
                      <wps:cNvCnPr/>
                      <wps:spPr>
                        <a:xfrm>
                          <a:off x="0" y="0"/>
                          <a:ext cx="323850" cy="0"/>
                        </a:xfrm>
                        <a:prstGeom prst="line">
                          <a:avLst/>
                        </a:prstGeom>
                        <a:ln>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7.65pt;margin-top:430.75pt;height:0pt;width:25.5pt;z-index:251667456;mso-width-relative:page;mso-height-relative:page;" filled="f" stroked="t" coordsize="21600,21600" o:gfxdata="UEsDBAoAAAAAAIdO4kAAAAAAAAAAAAAAAAAEAAAAZHJzL1BLAwQUAAAACACHTuJAjAn5E9YAAAAK&#10;AQAADwAAAGRycy9kb3ducmV2LnhtbE2PwWrCQBCG74LvsEyhN93EatA0G5FC6UmKtrTXMTtNQndn&#10;Q3Y16dt3hUI9zj8f/3xTbEdrxIV63zpWkM4TEMSV0y3XCt7fnmdrED4gazSOScEPediW00mBuXYD&#10;H+hyDLWIJexzVNCE0OVS+qohi37uOuK4+3K9xRDHvpa6xyGWWyMXSZJJiy3HCw129NRQ9X08WwVu&#10;WHr9sh9fDzvap5sQPsznsFDq/i5NHkEEGsM/DFf9qA5ldDq5M2svjILN6iGSCtZZugJxBZZZTE5/&#10;iSwLeftC+QtQSwMEFAAAAAgAh07iQIVZiQvcAQAAngMAAA4AAABkcnMvZTJvRG9jLnhtbK1TzW4T&#10;MRC+I/EOlu9kNylF1SqbSjQKFwSRgAeYeO1dS/6Tx80mL8ELIHGDE0fuvA3lMRg7aUrbSw9cvOOZ&#10;8Tf+Pn87v9xZw7Yyovau5dNJzZl0wnfa9S3/9HH14oIzTOA6MN7Jlu8l8svF82fzMTRy5gdvOhkZ&#10;gThsxtDyIaXQVBWKQVrAiQ/SUVH5aCHRNvZVF2EkdGuqWV2/qkYfuxC9kIiUXR6K/IgYnwLoldJC&#10;Lr24ttKlA2qUBhJRwkEH5ItyW6WkSO+VQpmYaTkxTWWlIRRv8lot5tD0EcKgxfEK8JQrPOBkQTsa&#10;eoJaQgJ2HfUjKKtF9OhVmghvqwORogixmNYPtPkwQJCFC0mN4SQ6/j9Y8W67jkx35IR6ypkDS09+&#10;8+Xn78/f/vz6SuvNj+8sl0ioMWBD/VduHY87DOuYWe9UtPlLfNiuiLs/iSt3iQlKns3OLs5JdnFb&#10;qu7OhYjpjfSW5aDlRrtMGxrYvsVEs6j1tiWnnV9pY8rTGcfGls/OX9YZGsiPinxAoQ3ECV3PGZie&#10;jC5SLJDoje7y8QyEsd9cmci2kO1Rv65XxRE07l5bnr0EHA59pZT1oDbj6JN1OSiRo43v9kWgkqdn&#10;K41Hi2Vf/Lsvp+9+q8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An5E9YAAAAKAQAADwAAAAAA&#10;AAABACAAAAAiAAAAZHJzL2Rvd25yZXYueG1sUEsBAhQAFAAAAAgAh07iQIVZiQvcAQAAngMAAA4A&#10;AAAAAAAAAQAgAAAAJQEAAGRycy9lMm9Eb2MueG1sUEsFBgAAAAAGAAYAWQEAAHMFAAAAAA==&#10;">
                <v:fill on="f" focussize="0,0"/>
                <v:stroke weight="2pt" color="#00B0F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597535</wp:posOffset>
                </wp:positionH>
                <wp:positionV relativeFrom="paragraph">
                  <wp:posOffset>3887470</wp:posOffset>
                </wp:positionV>
                <wp:extent cx="1669415" cy="1781175"/>
                <wp:effectExtent l="0" t="0" r="26035" b="28575"/>
                <wp:wrapNone/>
                <wp:docPr id="80" name="矩形 80"/>
                <wp:cNvGraphicFramePr/>
                <a:graphic xmlns:a="http://schemas.openxmlformats.org/drawingml/2006/main">
                  <a:graphicData uri="http://schemas.microsoft.com/office/word/2010/wordprocessingShape">
                    <wps:wsp>
                      <wps:cNvSpPr/>
                      <wps:spPr>
                        <a:xfrm>
                          <a:off x="0" y="0"/>
                          <a:ext cx="1669415" cy="1781175"/>
                        </a:xfrm>
                        <a:prstGeom prst="rect">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图例</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本次扩建车间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厂界范围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敏感保护目标</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厂界500米范围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项目附近地表水流域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05pt;margin-top:306.1pt;height:140.25pt;width:131.45pt;z-index:251665408;v-text-anchor:middle;mso-width-relative:page;mso-height-relative:page;" fillcolor="#FFFFFF [3212]" filled="t" stroked="t" coordsize="21600,21600" o:gfxdata="UEsDBAoAAAAAAIdO4kAAAAAAAAAAAAAAAAAEAAAAZHJzL1BLAwQUAAAACACHTuJARz+5ntsAAAAK&#10;AQAADwAAAGRycy9kb3ducmV2LnhtbE2Py07DMBBF90j8gzVIbBC1E6CPEKeqEAhVsCApG3ZuPCQR&#10;8TiK3bT8PcMKlqM5uvfcfH1yvZhwDJ0nDclMgUCqve2o0fC+e7peggjRkDW9J9TwjQHWxflZbjLr&#10;j1TiVMVGcAiFzGhoYxwyKUPdojNh5gck/n360ZnI59hIO5ojh7tepkrNpTMdcUNrBnxosf6qDk7D&#10;h3/1jxuFz0O728bpalO+vFWl1pcXiboHEfEU/2D41Wd1KNhp7w9kg+g1rG4TJjXMkzQFwcDN3YLH&#10;7TUsV+kCZJHL/xOKH1BLAwQUAAAACACHTuJAY9c09GoCAADqBAAADgAAAGRycy9lMm9Eb2MueG1s&#10;rVTNbtswDL4P2DsIuq+Og6RpgzhF0CDDgGIt0A07K7IUC9DfKCVO9jIDdttD7HGGvcYo2U3Troce&#10;5oNNivRH8iOp2dXeaLITEJSzFS3PBpQIy12t7Kainz+t3l1QEiKzNdPOiooeRKBX87dvZq2fiqFr&#10;nK4FEASxYdr6ijYx+mlRBN4Iw8KZ88KiUTowLKIKm6IG1iK60cVwMDgvWge1B8dFCHi67Iy0R4TX&#10;ADopFRdLx7dG2NihgtAsYkmhUT7Qec5WSsHjrZRBRKIripXG/MYgKK/Tu5jP2HQDzDeK9ymw16Tw&#10;rCbDlMWgR6gli4xsQf0DZRQHF5yMZ9yZoiskM4JVlINn3Nw3zItcC1Id/JH08P9g+cfdHRBVV/QC&#10;KbHMYMf/fP/5+9cPggfITuvDFJ3u/R30WkAxlbqXYNIXiyD7zOjhyKjYR8LxsDw/vxyVY0o42srJ&#10;RVlOxgm1ePzdQ4jvhTMkCRUFbFlmku1uQuxcH1xStOC0qldK66zAZn2tgewYtneVnx79iZu2pK3o&#10;5XiYEmE4sxJnBUXjse5gN5QwvcFl4BFy6Cc/h9MYg/y8FCPluGSh6XLJCL2btlhvorEjLklxv973&#10;bK5dfcAOgOtGM3i+Ugh1w0K8Y4CziG3BbY23+JLaYR2ulyhpHHx76Tz544iglZIWZxuL/LplICjR&#10;HywOz2U5GqVlyMpoPBmiAqeW9anFbs21Q35LvBc8z2Lyj/pBlODMF1zqRYqKJmY5xu7o7JXr2O0c&#10;XgtcLBbZDRfAs3hj7z1P4Kmf1i220UmV+56I6tjp+cMVyJPTr2vasVM9ez1eUf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z+5ntsAAAAKAQAADwAAAAAAAAABACAAAAAiAAAAZHJzL2Rvd25yZXYu&#10;eG1sUEsBAhQAFAAAAAgAh07iQGPXNPRqAgAA6gQAAA4AAAAAAAAAAQAgAAAAKgEAAGRycy9lMm9E&#10;b2MueG1sUEsFBgAAAAAGAAYAWQEAAAYGAAAAAA==&#10;">
                <v:fill on="t" focussize="0,0"/>
                <v:stroke color="#000000 [3213]" joinstyle="round"/>
                <v:imagedata o:title=""/>
                <o:lock v:ext="edit" aspectratio="f"/>
                <v:textbox>
                  <w:txbxContent>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图例</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本次扩建车间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厂界范围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敏感保护目标</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厂界500米范围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项目附近地表水流域</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2305050</wp:posOffset>
                </wp:positionH>
                <wp:positionV relativeFrom="paragraph">
                  <wp:posOffset>3977005</wp:posOffset>
                </wp:positionV>
                <wp:extent cx="683895" cy="389890"/>
                <wp:effectExtent l="0" t="0" r="0" b="0"/>
                <wp:wrapNone/>
                <wp:docPr id="76" name="矩形 76"/>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宅角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5pt;margin-top:313.15pt;height:30.7pt;width:53.85pt;z-index:251661312;v-text-anchor:middle;mso-width-relative:page;mso-height-relative:page;" filled="f" stroked="f" coordsize="21600,21600" o:gfxdata="UEsDBAoAAAAAAIdO4kAAAAAAAAAAAAAAAAAEAAAAZHJzL1BLAwQUAAAACACHTuJASOXGKNoAAAAL&#10;AQAADwAAAGRycy9kb3ducmV2LnhtbE2PwU7DMBBE70j8g7VI3KjdpkqqEKeqECD1SIOEuDnxkgTi&#10;dRS7afv3LCd6nJ3R7Jtie3aDmHEKvScNy4UCgdR421Or4b16ediACNGQNYMn1HDBANvy9qYwufUn&#10;esP5EFvBJRRyo6GLccylDE2HzoSFH5HY+/KTM5Hl1Eo7mROXu0GulEqlMz3xh86M+NRh83M4Og2h&#10;nvfVZdx9fH+Gpt49k6vW+1et7++W6hFExHP8D8MfPqNDyUy1P5INYtCQpAlviRrSVZqA4MQ6UxmI&#10;mi+bLANZFvJ6Q/kLUEsDBBQAAAAIAIdO4kDjvO6EVAIAAJcEAAAOAAAAZHJzL2Uyb0RvYy54bWyt&#10;VM1uEzEQviPxDpbvdJOQtmnUTRU1KkKqaKWCODteO2vJf9hONuVlkLjxEDwO4jX47N22UeHQA5fd&#10;Gc/sN/6+mdnzi73RZCdCVM7WdHw0okRY7hplNzX99PHqzYySmJhtmHZW1PReRHqxeP3qvPNzMXGt&#10;040IBCA2zjtf0zYlP6+qyFthWDxyXlgEpQuGJbhhUzWBdUA3upqMRidV50Ljg+MiRpyu+iAdEMNL&#10;AJ2UiouV41sjbOpRg9AsgVJslY90UW4rpeDpRsooEtE1BdNUnigCe52f1eKczTeB+Vbx4QrsJVd4&#10;xskwZVH0EWrFEiPboP6CMooHF51MR9yZqidSFAGL8eiZNnct86JwgdTRP4oe/x8s/7C7DUQ1NT09&#10;ocQyg47//vbj18/vBAdQp/NxjqQ7fxsGL8LMVPcymPwGCbIvit4/Kir2iXAcnszezs6OKeEIwZqd&#10;FcWrp499iOmdcIZko6YBDSs6st11TCiI1IeUXMu6K6V1aZq2pKvp5Hg6Qi85wyRKTABM48Em2g0l&#10;TG8w4jyFAnnwbYZcsdiSHcNcRKdVk7mimLZ4Zc49y2yl/Xo/UF+75h5yBdfPUfT8SgHqmsV0ywIG&#10;B1fBaqUbPKR2uJ8bLEpaF77+6zzno5+IUtJhEHGfL1sWBCX6vUWnz8bTaZ7c4kyPTydwwmFkfRix&#10;W3PpwGmMJfa8mDk/6QdTBmc+YwOXuSpCzHLU7lUanMvULwh2mIvlsqRhWj1L1/bO8wze92K5TU6q&#10;0qYsVK/OoB/mtQg67FZeiEO/ZD39Tx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jlxijaAAAA&#10;CwEAAA8AAAAAAAAAAQAgAAAAIgAAAGRycy9kb3ducmV2LnhtbFBLAQIUABQAAAAIAIdO4kDjvO6E&#10;VAIAAJc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宅角</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2306320</wp:posOffset>
                </wp:positionH>
                <wp:positionV relativeFrom="paragraph">
                  <wp:posOffset>1710055</wp:posOffset>
                </wp:positionV>
                <wp:extent cx="683895" cy="389890"/>
                <wp:effectExtent l="0" t="0" r="0" b="0"/>
                <wp:wrapNone/>
                <wp:docPr id="75" name="矩形 75"/>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金印村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6pt;margin-top:134.65pt;height:30.7pt;width:53.85pt;z-index:251659264;v-text-anchor:middle;mso-width-relative:page;mso-height-relative:page;" filled="f" stroked="f" coordsize="21600,21600" o:gfxdata="UEsDBAoAAAAAAIdO4kAAAAAAAAAAAAAAAAAEAAAAZHJzL1BLAwQUAAAACACHTuJAjoKKu9kAAAAL&#10;AQAADwAAAGRycy9kb3ducmV2LnhtbE2PwU7DMBBE70j8g7VI3KjdpEppiFNVCJB6pEFC3Jx4SQLx&#10;OordtP17lhMcV/M087bYnt0gZpxC70nDcqFAIDXe9tRqeKue7+5BhGjImsETarhggG15fVWY3PoT&#10;veJ8iK3gEgq50dDFOOZShqZDZ8LCj0icffrJmcjn1Eo7mROXu0EmSmXSmZ54oTMjPnbYfB+OTkOo&#10;5311GXfvXx+hqXdP5KrV/kXr25ulegAR8Rz/YPjVZ3Uo2an2R7JBDBrSLE0Y1ZBkmxQEE6u12oCo&#10;OUrVGmRZyP8/lD9QSwMEFAAAAAgAh07iQEdQt7JTAgAAlwQAAA4AAABkcnMvZTJvRG9jLnhtbK1U&#10;zW4TMRC+I/EOlu90k5C2adRNFTUqQqpopYI4O147a8l/2E425WWQuPEQPA7iNfjs3bZR4dADl90Z&#10;z+w3/r6Z2fOLvdFkJ0JUztZ0fDSiRFjuGmU3Nf308erNjJKYmG2YdlbU9F5EerF4/eq883Mxca3T&#10;jQgEIDbOO1/TNiU/r6rIW2FYPHJeWASlC4YluGFTNYF1QDe6moxGJ1XnQuOD4yJGnK76IB0Qw0sA&#10;nZSKi5XjWyNs6lGD0CyBUmyVj3RRbiul4OlGyigS0TUF01SeKAJ7nZ/V4pzNN4H5VvHhCuwlV3jG&#10;yTBlUfQRasUSI9ug/oIyigcXnUxH3JmqJ1IUAYvx6Jk2dy3zonCB1NE/ih7/Hyz/sLsNRDU1PT2m&#10;xDKDjv/+9uPXz+8EB1Cn83GOpDt/GwYvwsxU9zKY/AYJsi+K3j8qKvaJcByezN7OzgDMEYI1OyuK&#10;V08f+xDTO+EMyUZNAxpWdGS765hQEKkPKbmWdVdK69I0bUlX08nxdIRecoZJlJgAmMaDTbQbSpje&#10;YMR5CgXy4NsMuWKxJTuGuYhOqyZzRTFt8cqce5bZSvv1fqC+ds095Aqun6Po+ZUC1DWL6ZYFDA6u&#10;gtVKN3hI7XA/N1iUtC58/dd5zkc/EaWkwyDiPl+2LAhK9HuLTp+Np9M8ucWZHp9O4ITDyPowYrfm&#10;0oHTGEvseTFzftIPpgzOfMYGLnNVhJjlqN2rNDiXqV8Q7DAXy2VJw7R6lq7tnecZvO/FcpucVKVN&#10;WahenUE/zGsRdNitvBCHfsl6+p8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Ogoq72QAAAAsB&#10;AAAPAAAAAAAAAAEAIAAAACIAAABkcnMvZG93bnJldi54bWxQSwECFAAUAAAACACHTuJAR1C3slMC&#10;AACXBAAADgAAAAAAAAABACAAAAAoAQAAZHJzL2Uyb0RvYy54bWxQSwUGAAAAAAYABgBZAQAA7QUA&#10;AAAA&#10;">
                <v:fill on="f" focussize="0,0"/>
                <v:stroke on="f" weight="2pt"/>
                <v:imagedata o:title=""/>
                <o:lock v:ext="edit" aspectratio="f"/>
                <v:textbox>
                  <w:txbxContent>
                    <w:p>
                      <w:pPr>
                        <w:jc w:val="center"/>
                        <w:rPr>
                          <w:color w:val="FFFF00"/>
                          <w:sz w:val="21"/>
                          <w:szCs w:val="21"/>
                        </w:rPr>
                      </w:pPr>
                      <w:r>
                        <w:rPr>
                          <w:rFonts w:hint="eastAsia"/>
                          <w:color w:val="FFFF00"/>
                          <w:sz w:val="21"/>
                          <w:szCs w:val="21"/>
                        </w:rPr>
                        <w:t>金印村</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4453890</wp:posOffset>
                </wp:positionH>
                <wp:positionV relativeFrom="paragraph">
                  <wp:posOffset>702310</wp:posOffset>
                </wp:positionV>
                <wp:extent cx="683895" cy="389890"/>
                <wp:effectExtent l="0" t="0" r="0" b="0"/>
                <wp:wrapNone/>
                <wp:docPr id="112" name="矩形 112"/>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330m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7pt;margin-top:55.3pt;height:30.7pt;width:53.85pt;z-index:251686912;v-text-anchor:middle;mso-width-relative:page;mso-height-relative:page;" filled="f" stroked="f" coordsize="21600,21600" o:gfxdata="UEsDBAoAAAAAAIdO4kAAAAAAAAAAAAAAAAAEAAAAZHJzL1BLAwQUAAAACACHTuJADF18JtgAAAAL&#10;AQAADwAAAGRycy9kb3ducmV2LnhtbE2PTU/DMAyG70j8h8hI3FiSadpH13SaECDtyIqEuKWNaQuN&#10;UzVZt/17zAmO9vvo9eN8d/G9mHCMXSADeqZAINXBddQYeCufH9YgYrLkbB8IDVwxwq64vclt5sKZ&#10;XnE6pkZwCcXMGmhTGjIpY92it3EWBiTOPsPobeJxbKQb7ZnLfS/nSi2ltx3xhdYO+Nhi/X08eQOx&#10;mg7lddi/f33Euto/kS8Xhxdj7u+02oJIeEl/MPzqszoU7FSFE7koegMrpReMcqDVEgQTa7XRICre&#10;rOYKZJHL/z8UP1BLAwQUAAAACACHTuJAVBotJFQCAACZBAAADgAAAGRycy9lMm9Eb2MueG1srVTN&#10;bhMxEL4j8Q6W73STkJY06qaKGhUhVbRSQZwdr5215D9sJ5vyMkjceIg+DuI1+OzdtlHh0AOX3RnP&#10;7Df+vpnZs/O90WQnQlTO1nR8NKJEWO4aZTc1/fzp8s2MkpiYbZh2VtT0TkR6vnj96qzzczFxrdON&#10;CAQgNs47X9M2JT+vqshbYVg8cl5YBKULhiW4YVM1gXVAN7qajEYnVedC44PjIkacrvogHRDDSwCd&#10;lIqLleNbI2zqUYPQLIFSbJWPdFFuK6Xg6VrKKBLRNQXTVJ4oAnudn9XijM03gflW8eEK7CVXeMbJ&#10;MGVR9BFqxRIj26D+gjKKBxedTEfcmaonUhQBi/HomTa3LfOicIHU0T+KHv8fLP+4uwlENZiE8YQS&#10;ywxa/vv7z1/3P0g+gT6dj3Ok3fqbMHgRZia7l8HkN2iQfdH07lFTsU+E4/Bk9nZ2ekwJRwjW7LRo&#10;Xj197ENM74UzJBs1DWhZUZLtrmJCQaQ+pORa1l0qrUvbtCVdTSfH0xG6yRlmUWIGYBoPPtFuKGF6&#10;gyHnKRTIg28z5IrFluwYJiM6rZrMFcW0xStz7llmK+3X+4H62jV3ECy4fpKi55cKUFcsphsWMDq4&#10;CpYrXeMhtcP93GBR0rrw7V/nOR8dRZSSDqOI+3zdsiAo0R8sen06nk7z7BZnevxuAiccRtaHEbs1&#10;Fw6cxlhjz4uZ85N+MGVw5gt2cJmrIsQsR+1epcG5SP2KYIu5WC5LGubVs3Rlbz3P4H0vltvkpCpt&#10;ykL16gz6YWKLoMN25ZU49EvW0x9l8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MXXwm2AAAAAsB&#10;AAAPAAAAAAAAAAEAIAAAACIAAABkcnMvZG93bnJldi54bWxQSwECFAAUAAAACACHTuJAVBotJFQC&#10;AACZBAAADgAAAAAAAAABACAAAAAnAQAAZHJzL2Uyb0RvYy54bWxQSwUGAAAAAAYABgBZAQAA7QUA&#10;AAAA&#10;">
                <v:fill on="f" focussize="0,0"/>
                <v:stroke on="f" weight="2pt"/>
                <v:imagedata o:title=""/>
                <o:lock v:ext="edit" aspectratio="f"/>
                <v:textbox>
                  <w:txbxContent>
                    <w:p>
                      <w:pPr>
                        <w:jc w:val="center"/>
                        <w:rPr>
                          <w:color w:val="FFFF00"/>
                          <w:sz w:val="21"/>
                          <w:szCs w:val="21"/>
                        </w:rPr>
                      </w:pPr>
                      <w:r>
                        <w:rPr>
                          <w:rFonts w:hint="eastAsia"/>
                          <w:color w:val="FFFF00"/>
                          <w:sz w:val="21"/>
                          <w:szCs w:val="21"/>
                        </w:rPr>
                        <w:t>330m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4769485</wp:posOffset>
                </wp:positionH>
                <wp:positionV relativeFrom="paragraph">
                  <wp:posOffset>76200</wp:posOffset>
                </wp:positionV>
                <wp:extent cx="683895" cy="389890"/>
                <wp:effectExtent l="0" t="0" r="0" b="0"/>
                <wp:wrapNone/>
                <wp:docPr id="110" name="矩形 110"/>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洋中厝</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55pt;margin-top:6pt;height:30.7pt;width:53.85pt;z-index:251683840;v-text-anchor:middle;mso-width-relative:page;mso-height-relative:page;" filled="f" stroked="f" coordsize="21600,21600" o:gfxdata="UEsDBAoAAAAAAIdO4kAAAAAAAAAAAAAAAAAEAAAAZHJzL1BLAwQUAAAACACHTuJA4tF3JtYAAAAJ&#10;AQAADwAAAGRycy9kb3ducmV2LnhtbE2PQUvDQBCF74L/YRnBm92kthpiNqWICj3aCOJtkh2TaHY2&#10;ZLdp++8dT3ocvo837xWbkxvUTFPoPRtIFwko4sbbnlsDb9XzTQYqRGSLg2cycKYAm/LyosDc+iO/&#10;0ryPrZIQDjka6GIcc61D05HDsPAjsbBPPzmMck6tthMeJdwNepkkd9phz/Khw5EeO2q+9wdnINTz&#10;rjqP2/evj9DU2yd21Wr3Ysz1VZo8gIp0in8y/NaX6lBKp9of2AY1GLhfp6moApaySYRsncmWWsjt&#10;CnRZ6P8Lyh9QSwMEFAAAAAgAh07iQGguVg9TAgAAmQQAAA4AAABkcnMvZTJvRG9jLnhtbK1UzW4T&#10;MRC+I/EOlu90k5CWNOqmihoVIVW0UkGcHa+dteQ/bCeb8jJI3HiIPg7iNfjs3bZR4dADl92xZ/ab&#10;+b6Z2bPzvdFkJ0JUztZ0fDSiRFjuGmU3Nf386fLNjJKYmG2YdlbU9E5Eer54/eqs83Mxca3TjQgE&#10;IDbOO1/TNiU/r6rIW2FYPHJeWDilC4YlHMOmagLrgG50NRmNTqrOhcYHx0WMuF31TjoghpcAOikV&#10;FyvHt0bY1KMGoVkCpdgqH+miVCul4OlayigS0TUF01SeSAJ7nZ/V4ozNN4H5VvGhBPaSEp5xMkxZ&#10;JH2EWrHEyDaov6CM4sFFJ9MRd6bqiRRFwGI8eqbNbcu8KFwgdfSPosf/B8s/7m4CUQ0mYQxNLDNo&#10;+e/vP3/d/yD5Bvp0Ps4RdutvwnCKMDPZvQwmv0GD7Iumd4+ain0iHJcns7ez02NKOFywZqcFs3r6&#10;2IeY3gtnSDZqGtCyoiTbXcWEhAh9CMm5rLtUWpe2aUu6mk6OpyNUzhlmUWIGYBoPPtFuKGF6gyHn&#10;KRTIg28z5IrFluwYJiM6rZrMFcm0xStz7llmK+3X+4H62jV3ECy4fpKi55cKUFcsphsWMDooBcuV&#10;rvGQ2qE+N1iUtC58+9d9jkdH4aWkwyiinq9bFgQl+oNFr0/H0ylgUzlMj99NcAiHnvWhx27NhQOn&#10;MdbY82Lm+KQfTBmc+YIdXOascDHLkbtXaThcpH5FsMVcLJclDPPqWbqyt55n8L4Xy21yUpU2ZaF6&#10;dQb9MLFF0GG78kocnkvU0x9l8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i0Xcm1gAAAAkBAAAP&#10;AAAAAAAAAAEAIAAAACIAAABkcnMvZG93bnJldi54bWxQSwECFAAUAAAACACHTuJAaC5WD1MCAACZ&#10;BAAADgAAAAAAAAABACAAAAAlAQAAZHJzL2Uyb0RvYy54bWxQSwUGAAAAAAYABgBZAQAA6gUAAAAA&#10;">
                <v:fill on="f" focussize="0,0"/>
                <v:stroke on="f" weight="2pt"/>
                <v:imagedata o:title=""/>
                <o:lock v:ext="edit" aspectratio="f"/>
                <v:textbox>
                  <w:txbxContent>
                    <w:p>
                      <w:pPr>
                        <w:jc w:val="center"/>
                        <w:rPr>
                          <w:color w:val="FFFF00"/>
                          <w:sz w:val="21"/>
                          <w:szCs w:val="21"/>
                        </w:rPr>
                      </w:pPr>
                      <w:r>
                        <w:rPr>
                          <w:rFonts w:hint="eastAsia"/>
                          <w:color w:val="FFFF00"/>
                          <w:sz w:val="21"/>
                          <w:szCs w:val="21"/>
                        </w:rPr>
                        <w:t>洋中厝</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674370</wp:posOffset>
                </wp:positionH>
                <wp:positionV relativeFrom="paragraph">
                  <wp:posOffset>5086350</wp:posOffset>
                </wp:positionV>
                <wp:extent cx="171450" cy="161925"/>
                <wp:effectExtent l="0" t="0" r="19050" b="28575"/>
                <wp:wrapNone/>
                <wp:docPr id="98" name="椭圆 98"/>
                <wp:cNvGraphicFramePr/>
                <a:graphic xmlns:a="http://schemas.openxmlformats.org/drawingml/2006/main">
                  <a:graphicData uri="http://schemas.microsoft.com/office/word/2010/wordprocessingShape">
                    <wps:wsp>
                      <wps:cNvSpPr/>
                      <wps:spPr>
                        <a:xfrm>
                          <a:off x="0" y="0"/>
                          <a:ext cx="171450" cy="161925"/>
                        </a:xfrm>
                        <a:prstGeom prst="ellipse">
                          <a:avLst/>
                        </a:prstGeom>
                        <a:noFill/>
                        <a:ln>
                          <a:gradFill>
                            <a:gsLst>
                              <a:gs pos="100000">
                                <a:srgbClr val="6264F8"/>
                              </a:gs>
                              <a:gs pos="49000">
                                <a:srgbClr val="B584EC"/>
                              </a:gs>
                              <a:gs pos="0">
                                <a:srgbClr val="EE9AE5"/>
                              </a:gs>
                            </a:gsLst>
                            <a:lin ang="2700000" scaled="0"/>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1pt;margin-top:400.5pt;height:12.75pt;width:13.5pt;z-index:251674624;v-text-anchor:middle;mso-width-relative:page;mso-height-relative:page;" filled="f" stroked="t" coordsize="21600,21600" o:gfxdata="UEsDBAoAAAAAAIdO4kAAAAAAAAAAAAAAAAAEAAAAZHJzL1BLAwQUAAAACACHTuJAEKM4b9gAAAAL&#10;AQAADwAAAGRycy9kb3ducmV2LnhtbE2PwU7DMBBE70j9B2srcaN20jaqQpweQEUgJKS0fMA23iYR&#10;sR1ityl/z/YEx5l9mp0ptlfbiwuNofNOQ7JQIMjV3nSu0fB52D1sQISIzmDvHWn4oQDbcnZXYG78&#10;5Cq67GMjOMSFHDW0MQ65lKFuyWJY+IEc305+tBhZjo00I04cbnuZKpVJi53jDy0O9NRS/bU/Ww3T&#10;6fVjVX1XaNZvdnhevb/sDirV+n6eqEcQka7xD4Zbfa4OJXc6+rMzQfSsVZYyqmGjEh51I5ZLdo7s&#10;pNkaZFnI/xvKX1BLAwQUAAAACACHTuJA03CS86YCAABkBQAADgAAAGRycy9lMm9Eb2MueG1srVRL&#10;btswEN0X6B0I7htZhuzERuTA9acoEDQB0qJrmqI+AEWyJP1JD9BTdNltj9Weo4+U4rhpFlnUC3k4&#10;n8eZNzO8vDq0kuyEdY1WOU3PBpQIxXXRqCqnnz6u31xQ4jxTBZNaiZzeC0evZq9fXe7NVAx1rWUh&#10;LAGIctO9yWntvZkmieO1aJk700YoGEttW+ZxtFVSWLYHeiuT4WAwTvbaFsZqLpyDdtkZaY9oXwKo&#10;y7LhYqn5thXKd6hWSOZRkqsb4+gsZluWgvubsnTCE5lTVOrjF5dA3oRvMrtk08oyUze8T4G9JIUn&#10;NbWsUbj0CLVknpGtbf6BahtutdOlP+O6TbpCIiOoIh084eauZkbEWkC1M0fS3f+D5R92t5Y0RU4n&#10;6LtiLTr++8fPX9+/ESjAzt64KZzuzK3tTw5iKPVQ2jb8owhyiIzeHxkVB084lOl5mo3ANYcpHaeT&#10;4ShgJo/Bxjr/TuiWBCGnQkq0L9TMpmx37Xzn/eAV1EqvGymhZ1OpyD6nw1E2CFcwDGOJIYDYGhTk&#10;VEUJkxWmnHv70J0iRIfgygG+E4jRoDQdhF/0c7baLKQlO4axGQ/H2TpygbwrdxqSTZ6NeDu6yFaL&#10;vtK/I57BX60m89UDL8E7XtMnJxtFWNjM4XmXHnGcSYHy4uwGV8uONQWelszVXeJOy6bos5AKuKGX&#10;XfeCtNHFPXpvNXgHf87wdYP4a+b8LbPYAijxTvgbfEqpwbTuJUpqbb8+pw/+GE5YKdljq9CFL1tm&#10;BSXyvQLHkzTLAOvjIRudD3Gwp5bNqUVt24VGB9KYXRSDv5cPYml1+xnPyTzcChNTHHd3/e4PC99t&#10;Ox4kLubz6IbVM8xfqzvDA3joqNLzrddlEwfukZ2eNCxf15buoQjbfXqOXo+P4+w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EKM4b9gAAAALAQAADwAAAAAAAAABACAAAAAiAAAAZHJzL2Rvd25yZXYu&#10;eG1sUEsBAhQAFAAAAAgAh07iQNNwkvOmAgAAZAUAAA4AAAAAAAAAAQAgAAAAJwEAAGRycy9lMm9E&#10;b2MueG1sUEsFBgAAAAAGAAYAWQEAAD8GAAAAAA==&#10;">
                <v:fill on="f" focussize="0,0"/>
                <v:stroke weight="2pt" color="#000000"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670560</wp:posOffset>
                </wp:positionH>
                <wp:positionV relativeFrom="paragraph">
                  <wp:posOffset>4815840</wp:posOffset>
                </wp:positionV>
                <wp:extent cx="323850" cy="171450"/>
                <wp:effectExtent l="0" t="0" r="19050" b="19050"/>
                <wp:wrapNone/>
                <wp:docPr id="90" name="矩形 90"/>
                <wp:cNvGraphicFramePr/>
                <a:graphic xmlns:a="http://schemas.openxmlformats.org/drawingml/2006/main">
                  <a:graphicData uri="http://schemas.microsoft.com/office/word/2010/wordprocessingShape">
                    <wps:wsp>
                      <wps:cNvSpPr/>
                      <wps:spPr>
                        <a:xfrm>
                          <a:off x="0" y="0"/>
                          <a:ext cx="323850" cy="17145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8pt;margin-top:379.2pt;height:13.5pt;width:25.5pt;z-index:251672576;v-text-anchor:middle;mso-width-relative:page;mso-height-relative:page;" filled="f" stroked="t" coordsize="21600,21600" o:gfxdata="UEsDBAoAAAAAAIdO4kAAAAAAAAAAAAAAAAAEAAAAZHJzL1BLAwQUAAAACACHTuJA0Sw+HtgAAAAL&#10;AQAADwAAAGRycy9kb3ducmV2LnhtbE2PzU7DMBCE70i8g7VI3KgdSEIU4lSiUg+VemnhAdx4SaLa&#10;6yh2f+Dp2Z7gOLOfZmea5dU7ccY5joE0ZAsFAqkLdqRew+fH+qkCEZMha1wg1PCNEZbt/V1jahsu&#10;tMPzPvWCQyjWRsOQ0lRLGbsBvYmLMCHx7SvM3iSWcy/tbC4c7p18VqqU3ozEHwYz4WrA7rg/eQ2T&#10;/TmudtttPvuX3GXravOe4Ubrx4dMvYFIeE1/MNzqc3VoudMhnMhG4ViromRUw2tR5SBuRFGyc2Cn&#10;KnKQbSP/b2h/AVBLAwQUAAAACACHTuJAWl3aXlwCAAC1BAAADgAAAGRycy9lMm9Eb2MueG1srVTN&#10;bhMxEL4j8Q6W73STNKVt1E0VNQpCqmilgjg7XjtryX/YTjblZZC48RB9HMRr8Nm7/aFw6IEcnBnP&#10;+Bt/n2f27HxvNNmJEJWzNR0fjCgRlrtG2U1NP31cvTmhJCZmG6adFTW9FZGez1+/Ouv8TExc63Qj&#10;AgGIjbPO17RNyc+qKvJWGBYPnBcWQemCYQlu2FRNYB3Qja4mo9HbqnOh8cFxESN2l32QDojhJYBO&#10;SsXF0vGtETb1qEFolkAptspHOi+3lVLwdCVlFInomoJpKiuKwF7ntZqfsdkmMN8qPlyBveQKzzgZ&#10;piyKPkAtWWJkG9RfUEbx4KKT6YA7U/VEiiJgMR490+amZV4ULpA6+gfR4/+D5R9214GopqankMQy&#10;gxf/9e3Hz7vvBBtQp/NxhqQbfx0GL8LMVPcymPwPEmRfFL19UFTsE+HYPJwcnhwBmCM0Ph5PYQOl&#10;ejzsQ0zvhDMkGzUNeLCiI9tdxtSn3qfkWtatlNbYZzNtSVfTydF0lPEZOlGiA2AaDzbRbihheoMW&#10;5ykUyOi0avLxfDqGzfpCB7JjaIwVfkDpy/2RlmsvWWz7vBIa0rQFjyxOL0e21q65hZjB9V0WPV8p&#10;nL9kMV2zgLbCRTF46QqL1A63d4NFSevC13/t53y8NqKUdGhTMPuyZUFQot9b9MHpeDoFbCrO9Oh4&#10;Aic8jayfRuzWXDgQHmPEPS9mzk/63pTBmc+Yz0WuihCzHLV7DQfnIvXjgwnnYrEoaehlz9KlvfE8&#10;g/cvtdgmJ1V5xEd1BtHQzaUNhsnL4/LUL1mPX5v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Es&#10;Ph7YAAAACwEAAA8AAAAAAAAAAQAgAAAAIgAAAGRycy9kb3ducmV2LnhtbFBLAQIUABQAAAAIAIdO&#10;4kBaXdpeXAIAALUEAAAOAAAAAAAAAAEAIAAAACcBAABkcnMvZTJvRG9jLnhtbFBLBQYAAAAABgAG&#10;AFkBAAD1BQAAAAA=&#10;">
                <v:fill on="f" focussize="0,0"/>
                <v:stroke weight="2pt" color="#FFFF00 [24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679450</wp:posOffset>
                </wp:positionH>
                <wp:positionV relativeFrom="paragraph">
                  <wp:posOffset>4512310</wp:posOffset>
                </wp:positionV>
                <wp:extent cx="323850" cy="171450"/>
                <wp:effectExtent l="0" t="0" r="19050" b="19050"/>
                <wp:wrapNone/>
                <wp:docPr id="88" name="矩形 88"/>
                <wp:cNvGraphicFramePr/>
                <a:graphic xmlns:a="http://schemas.openxmlformats.org/drawingml/2006/main">
                  <a:graphicData uri="http://schemas.microsoft.com/office/word/2010/wordprocessingShape">
                    <wps:wsp>
                      <wps:cNvSpPr/>
                      <wps:spPr>
                        <a:xfrm>
                          <a:off x="0" y="0"/>
                          <a:ext cx="323850" cy="171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5pt;margin-top:355.3pt;height:13.5pt;width:25.5pt;z-index:251670528;v-text-anchor:middle;mso-width-relative:page;mso-height-relative:page;" filled="f" stroked="t" coordsize="21600,21600" o:gfxdata="UEsDBAoAAAAAAIdO4kAAAAAAAAAAAAAAAAAEAAAAZHJzL1BLAwQUAAAACACHTuJAV4ZdQtgAAAAL&#10;AQAADwAAAGRycy9kb3ducmV2LnhtbE2PwU7DMBBE70j8g7VIXBC1Q0USpXEqUYkeOCBRuHBz4m0S&#10;NV5HsdOUv2d7guPMjmbflNuLG8QZp9B70pCsFAikxtueWg1fn6+POYgQDVkzeEINPxhgW93elKaw&#10;fqEPPB9iK7iEQmE0dDGOhZSh6dCZsPIjEt+OfnImspxaaSezcLkb5JNSqXSmJ/7QmRF3HTanw+w0&#10;1PvvaZe/rPdxfki5+tS+4fui9f1dojYgIl7iXxiu+IwOFTPVfiYbxMBaZbwlasgSlYK4Jp5zdmp2&#10;1lkKsirl/w3VL1BLAwQUAAAACACHTuJAtsJ1jl0CAAC1BAAADgAAAGRycy9lMm9Eb2MueG1srVTN&#10;bhMxEL4j8Q6W73STNKUl6qaKGgUhVbRSQZwdr5215D9sJ5vyMkjceAgeB/EafPZu01I49EAOzoxn&#10;/M3MNzN7frE3muxEiMrZmo6PRpQIy12j7KamHz+sXp1REhOzDdPOipreiUgv5i9fnHd+JiaudboR&#10;gQDExlnna9qm5GdVFXkrDItHzgsLo3TBsAQ1bKomsA7oRleT0eh11bnQ+OC4iBG3y95IB8TwHEAn&#10;peJi6fjWCJt61CA0SygptspHOi/ZSil4upYyikR0TVFpKieCQF7ns5qfs9kmMN8qPqTAnpPCk5oM&#10;UxZBD1BLlhjZBvUXlFE8uOhkOuLOVH0hhRFUMR494ea2ZV6UWkB19AfS4/+D5e93N4GopqZn6Ltl&#10;Bh3/9fX7zx/fCC7ATufjDE63/iYMWoSYS93LYPI/iiD7wujdgVGxT4Tj8nhyfHYCrjlM49PxFDJQ&#10;qofHPsT0VjhDslDTgIYVHtnuKqbe9d4lx7JupbTGPZtpS7qaTk6mo4zPMIkSEwDReFQT7YYSpjcY&#10;cZ5CgYxOqyY/z69j2KwvdSA7hsFYrUb4DZn94ZZjL1lse79iGty0RR2ZnJ6OLK1dcwcyg+unLHq+&#10;Unh/xWK6YQFjhUSxeOkah9QO2btBoqR14cu/7rM/ug0rJR3GFJV93rIgKNHvLObgzXg6BWwqyvTk&#10;dAIlPLasH1vs1lw6FDzGintexOyf9L0ogzOfsJ+LHBUmZjli9xwOymXq1wcbzsViUdwwy56lK3vr&#10;eQbvO7XYJidVaeIDOwNpmOYyBsPm5XV5rBevh6/N/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X&#10;hl1C2AAAAAsBAAAPAAAAAAAAAAEAIAAAACIAAABkcnMvZG93bnJldi54bWxQSwECFAAUAAAACACH&#10;TuJAtsJ1jl0CAAC1BAAADgAAAAAAAAABACAAAAAnAQAAZHJzL2Uyb0RvYy54bWxQSwUGAAAAAAYA&#10;BgBZAQAA9gUAAAAA&#10;">
                <v:fill on="f" focussize="0,0"/>
                <v:stroke weight="2pt" color="#FF0000 [24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687070</wp:posOffset>
                </wp:positionH>
                <wp:positionV relativeFrom="paragraph">
                  <wp:posOffset>4228465</wp:posOffset>
                </wp:positionV>
                <wp:extent cx="304165" cy="155575"/>
                <wp:effectExtent l="0" t="0" r="19685" b="15875"/>
                <wp:wrapNone/>
                <wp:docPr id="81" name="矩形 81"/>
                <wp:cNvGraphicFramePr/>
                <a:graphic xmlns:a="http://schemas.openxmlformats.org/drawingml/2006/main">
                  <a:graphicData uri="http://schemas.microsoft.com/office/word/2010/wordprocessingShape">
                    <wps:wsp>
                      <wps:cNvSpPr/>
                      <wps:spPr>
                        <a:xfrm>
                          <a:off x="0" y="0"/>
                          <a:ext cx="304165" cy="155575"/>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1pt;margin-top:332.95pt;height:12.25pt;width:23.95pt;z-index:251664384;v-text-anchor:middle;mso-width-relative:page;mso-height-relative:page;" filled="f" stroked="t" coordsize="21600,21600" o:gfxdata="UEsDBAoAAAAAAIdO4kAAAAAAAAAAAAAAAAAEAAAAZHJzL1BLAwQUAAAACACHTuJAOyIVndcAAAAL&#10;AQAADwAAAGRycy9kb3ducmV2LnhtbE2PwU7DMAyG70i8Q2QkbixpWauta7rDBAc4wbYH8BqvrWic&#10;qsna7e3JTnD87U+/P5fbq+3FRKPvHGtIFgoEce1Mx42G4+H9ZQXCB2SDvWPScCMP2+rxocTCuJm/&#10;adqHRsQS9gVqaEMYCil93ZJFv3ADcdyd3WgxxDg20ow4x3Lby1SpXFrsOF5ocaBdS/XP/mI12GU2&#10;Ic+v9Pl1S3fNW50d0v5D6+enRG1ABLqGPxju+lEdquh0chc2XvQxq1UaUQ15nq1B3IksT0Cc4mSt&#10;liCrUv7/ofoFUEsDBBQAAAAIAIdO4kBvm3B1YQIAALUEAAAOAAAAZHJzL2Uyb0RvYy54bWytVM1u&#10;EzEQviPxDpbvdJOQTduomypqFIRU0UoFcXa8dnYl/2E72ZSXQeLGQ/RxEK/BZ+/2h8KhBy6bGc94&#10;PN833+Ts/KAV2QsfWmsqOj4aUSIMt3VrthX99HH95oSSEJmpmbJGVPRWBHq+eP3qrHNzMbGNVbXw&#10;BEVMmHeuok2Mbl4UgTdCs3BknTAISus1i3D9tqg961Bdq2IyGs2KzvraectFCDhd9UE6VPQvKWil&#10;bLlYWb7TwsS+qheKRUAKTesCXeRupRQ8XkkZRCSqokAa8xePwN6kb7E4Y/OtZ65p+dACe0kLzzBp&#10;1ho8+lBqxSIjO9/+VUq33NtgZTziVhc9kMwIUIxHz7i5aZgTGQuoDu6B9PD/yvIP+2tP2rqiJ2NK&#10;DNOY+K9vP37efSc4ADudC3Mk3bhrP3gBZoJ6kF6nX4Agh8zo7QOj4hAJx+Hb0XQ8KynhCI3Lsjwu&#10;U83i8bLzIb4TVpNkVNRjYJlHtr8MsU+9T0lvGbtulcI5mytDuopOyukIs+QMSpRQAEztgCaYLSVM&#10;bSFxHn0uGaxq63Q93Q5+u7lQnuwZhLE+Pp1NZ0Nnf6Slt1csNH1eDg1pygBHIqenI1kbW9+CTG97&#10;lQXH1y3uX7IQr5mHrNAoFi9e4SOVRfd2sChprP/6r/OUj2kjSkkHmQLZlx3zghL13kAHp+PpNOk6&#10;O9PyeALHP41snkbMTl9YAMao0V02U35U96b0Vn/Gfi7Tqwgxw/F2z+HgXMR+fbDhXCyXOQ1adixe&#10;mhvHU/F+UstdtLLNQ3xkZyANas4yGDYvrctTP2c9/tss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7IhWd1wAAAAsBAAAPAAAAAAAAAAEAIAAAACIAAABkcnMvZG93bnJldi54bWxQSwECFAAUAAAA&#10;CACHTuJAb5twdWECAAC1BAAADgAAAAAAAAABACAAAAAmAQAAZHJzL2Uyb0RvYy54bWxQSwUGAAAA&#10;AAYABgBZAQAA+QUAAAAA&#10;">
                <v:fill on="f" focussize="0,0"/>
                <v:stroke weight="2pt" color="#F79646 [3209]"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3742690</wp:posOffset>
                </wp:positionH>
                <wp:positionV relativeFrom="paragraph">
                  <wp:posOffset>3017520</wp:posOffset>
                </wp:positionV>
                <wp:extent cx="683895" cy="389890"/>
                <wp:effectExtent l="0" t="0" r="0" b="0"/>
                <wp:wrapNone/>
                <wp:docPr id="116" name="矩形 116"/>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470m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7pt;margin-top:237.6pt;height:30.7pt;width:53.85pt;z-index:251689984;v-text-anchor:middle;mso-width-relative:page;mso-height-relative:page;" filled="f" stroked="f" coordsize="21600,21600" o:gfxdata="UEsDBAoAAAAAAIdO4kAAAAAAAAAAAAAAAAAEAAAAZHJzL1BLAwQUAAAACACHTuJA9CEtZNoAAAAL&#10;AQAADwAAAGRycy9kb3ducmV2LnhtbE2PQU+DQBCF7yb+h82YeLMLldIWWZrGqEmPFhPT28JOAWVn&#10;Cbul7b93POlx8r68902+udheTDj6zpGCeBaBQKqd6ahR8FG+PqxA+KDJ6N4RKriih01xe5PrzLgz&#10;veO0D43gEvKZVtCGMGRS+rpFq/3MDUicHd1odeBzbKQZ9ZnLbS/nUZRKqzvihVYP+Nxi/b0/WQW+&#10;mnblddh+fh18XW1fyJbJ7k2p+7s4egIR8BL+YPjVZ3Uo2KlyJzJe9AoWq3XCqIJkuZiDYCJdL2MQ&#10;FUePaQqyyOX/H4ofUEsDBBQAAAAIAIdO4kAscttyVAIAAJkEAAAOAAAAZHJzL2Uyb0RvYy54bWyt&#10;VM1uEzEQviPxDpbvdJOQljTqpooaFSFVtFJBnB2vnbXkP2wnm/IySNx4iD4O4jX47N22UeHQA5fd&#10;Gc/sN/6+mdmz873RZCdCVM7WdHw0okRY7hplNzX9/OnyzYySmJhtmHZW1PRORHq+eP3qrPNzMXGt&#10;040IBCA2zjtf0zYlP6+qyFthWDxyXlgEpQuGJbhhUzWBdUA3upqMRidV50Ljg+MiRpyu+iAdEMNL&#10;AJ2UiouV41sjbOpRg9AsgVJslY90UW4rpeDpWsooEtE1BdNUnigCe52f1eKMzTeB+Vbx4QrsJVd4&#10;xskwZVH0EWrFEiPboP6CMooHF51MR9yZqidSFAGL8eiZNrct86JwgdTRP4oe/x8s/7i7CUQ1mITx&#10;CSWWGbT89/efv+5/kHwCfTof50i79Tdh8CLMTHYvg8lv0CD7oundo6ZinwjH4cns7ez0mBKOEKzZ&#10;adG8evrYh5jeC2dINmoa0LKiJNtdxYSCSH1IybWsu1Ral7ZpS7qaTo6nI3STM8yixAzANB58ot1Q&#10;wvQGQ85TKJAH32bIFYst2TFMRnRaNZkrimmLV+bcs8xW2q/3A/W1a+4gWHD9JEXPLxWgrlhMNyxg&#10;dHAVLFe6xkNqh/u5waKkdeHbv85zPjqKKCUdRhH3+bplQVCiP1j0+nQ8nebZLc70+N0ETjiMrA8j&#10;dmsuHDiNscaeFzPnJ/1gyuDMF+zgMldFiFmO2r1Kg3OR+hXBFnOxXJY0zKtn6creep7B+14st8lJ&#10;VdqUherVGfTDxBZBh+3KK3Hol6ynP8ri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QhLWTaAAAA&#10;CwEAAA8AAAAAAAAAAQAgAAAAIgAAAGRycy9kb3ducmV2LnhtbFBLAQIUABQAAAAIAIdO4kAsctty&#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470m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3228340</wp:posOffset>
                </wp:positionH>
                <wp:positionV relativeFrom="paragraph">
                  <wp:posOffset>2103120</wp:posOffset>
                </wp:positionV>
                <wp:extent cx="683895" cy="389890"/>
                <wp:effectExtent l="0" t="0" r="0" b="0"/>
                <wp:wrapNone/>
                <wp:docPr id="103" name="矩形 103"/>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180m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2pt;margin-top:165.6pt;height:30.7pt;width:53.85pt;z-index:251677696;v-text-anchor:middle;mso-width-relative:page;mso-height-relative:page;" filled="f" stroked="f" coordsize="21600,21600" o:gfxdata="UEsDBAoAAAAAAIdO4kAAAAAAAAAAAAAAAAAEAAAAZHJzL1BLAwQUAAAACACHTuJAPhIp3doAAAAL&#10;AQAADwAAAGRycy9kb3ducmV2LnhtbE2PwU7DMAyG70i8Q2QkbixpN6pRmk4TAqQdWZEQt7QxbaFx&#10;qibrtrfHnMbR9qff319sTm4QM06h96QhWSgQSI23PbUa3quXuzWIEA1ZM3hCDWcMsCmvrwqTW3+k&#10;N5z3sRUcQiE3GroYx1zK0HToTFj4EYlvX35yJvI4tdJO5sjhbpCpUpl0pif+0JkRnzpsfvYHpyHU&#10;8646j9uP78/Q1NtnctVq96r17U2iHkFEPMULDH/6rA4lO9X+QDaIQcO9Wq8Y1bBcJikIJrIkS0DU&#10;vHlIM5BlIf93KH8BUEsDBBQAAAAIAIdO4kCzAIrLVAIAAJkEAAAOAAAAZHJzL2Uyb0RvYy54bWyt&#10;VM1uEzEQviPxDpbvdJM0LWnUTRU1KkKqaKWCODteO2vJf9hONuVlkLjxEDwO4jX47N22UeHQA5fd&#10;Gc/sN/6+mdnzi73RZCdCVM7WdHw0okRY7hplNzX99PHqzYySmJhtmHZW1PReRHqxeP3qvPNzMXGt&#10;040IBCA2zjtf0zYlP6+qyFthWDxyXlgEpQuGJbhhUzWBdUA3upqMRqdV50Ljg+MiRpyu+iAdEMNL&#10;AJ2UiouV41sjbOpRg9AsgVJslY90UW4rpeDpRsooEtE1BdNUnigCe52f1eKczTeB+Vbx4QrsJVd4&#10;xskwZVH0EWrFEiPboP6CMooHF51MR9yZqidSFAGL8eiZNnct86JwgdTRP4oe/x8s/7C7DUQ1mITR&#10;MSWWGbT897cfv35+J/kE+nQ+zpF252/D4EWYmexeBpPfoEH2RdP7R03FPhGOw9PZ8ezshBKOEKzZ&#10;WdG8evrYh5jeCWdINmoa0LKiJNtdx4SCSH1IybWsu1Jal7ZpS7qaTk6mI3STM8yixAzANB58ot1Q&#10;wvQGQ85TKJAH32bIFYst2TFMRnRaNZkrimmLV+bcs8xW2q/3A/W1a+4hWHD9JEXPrxSgrllMtyxg&#10;dHAVLFe6wUNqh/u5waKkdeHrv85zPjqKKCUdRhH3+bJlQVCi31v0+mw8nebZLc705O0ETjiMrA8j&#10;dmsuHTiNscaeFzPnJ/1gyuDMZ+zgMldFiFmO2r1Kg3OZ+hXBFnOxXJY0zKtn6dreeZ7B+14st8lJ&#10;VdqUherVGfTDxBZBh+3KK3Hol6ynP8ri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D4SKd3aAAAA&#10;CwEAAA8AAAAAAAAAAQAgAAAAIgAAAGRycy9kb3ducmV2LnhtbFBLAQIUABQAAAAIAIdO4kCzAIrL&#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180m</w:t>
                      </w:r>
                    </w:p>
                  </w:txbxContent>
                </v:textbox>
              </v:rect>
            </w:pict>
          </mc:Fallback>
        </mc:AlternateContent>
      </w:r>
      <w:r>
        <w:rPr>
          <w:color w:val="000000" w:themeColor="text1"/>
          <w14:textFill>
            <w14:solidFill>
              <w14:schemeClr w14:val="tx1"/>
            </w14:solidFill>
          </w14:textFill>
        </w:rPr>
        <w:drawing>
          <wp:inline distT="0" distB="0" distL="0" distR="0">
            <wp:extent cx="7559675" cy="5600700"/>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1"/>
                    <a:stretch>
                      <a:fillRect/>
                    </a:stretch>
                  </pic:blipFill>
                  <pic:spPr>
                    <a:xfrm>
                      <a:off x="0" y="0"/>
                      <a:ext cx="7569776" cy="5607836"/>
                    </a:xfrm>
                    <a:prstGeom prst="rect">
                      <a:avLst/>
                    </a:prstGeom>
                  </pic:spPr>
                </pic:pic>
              </a:graphicData>
            </a:graphic>
          </wp:inline>
        </w:drawing>
      </w:r>
    </w:p>
    <w:p>
      <w:pPr>
        <w:spacing w:before="78" w:line="219" w:lineRule="auto"/>
        <w:outlineLvl w:val="0"/>
        <w:rPr>
          <w:rFonts w:hint="eastAsia" w:ascii="宋体" w:hAnsi="宋体" w:eastAsia="宋体" w:cs="宋体"/>
          <w:b/>
          <w:bCs/>
          <w:color w:val="000000" w:themeColor="text1"/>
          <w:spacing w:val="-8"/>
          <w:szCs w:val="24"/>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4366260</wp:posOffset>
                </wp:positionH>
                <wp:positionV relativeFrom="paragraph">
                  <wp:posOffset>263525</wp:posOffset>
                </wp:positionV>
                <wp:extent cx="666750" cy="707390"/>
                <wp:effectExtent l="0" t="0" r="19050" b="16510"/>
                <wp:wrapNone/>
                <wp:docPr id="141" name="任意多边形 141"/>
                <wp:cNvGraphicFramePr/>
                <a:graphic xmlns:a="http://schemas.openxmlformats.org/drawingml/2006/main">
                  <a:graphicData uri="http://schemas.microsoft.com/office/word/2010/wordprocessingShape">
                    <wps:wsp>
                      <wps:cNvSpPr/>
                      <wps:spPr>
                        <a:xfrm>
                          <a:off x="0" y="0"/>
                          <a:ext cx="666750" cy="707390"/>
                        </a:xfrm>
                        <a:custGeom>
                          <a:avLst/>
                          <a:gdLst>
                            <a:gd name="connisteX0" fmla="*/ 178922 w 297767"/>
                            <a:gd name="connsiteY0" fmla="*/ 17640 h 556451"/>
                            <a:gd name="connisteX1" fmla="*/ 36047 w 297767"/>
                            <a:gd name="connsiteY1" fmla="*/ 36690 h 556451"/>
                            <a:gd name="connisteX2" fmla="*/ 7472 w 297767"/>
                            <a:gd name="connsiteY2" fmla="*/ 284340 h 556451"/>
                            <a:gd name="connisteX3" fmla="*/ 16997 w 297767"/>
                            <a:gd name="connsiteY3" fmla="*/ 455790 h 556451"/>
                            <a:gd name="connisteX4" fmla="*/ 150347 w 297767"/>
                            <a:gd name="connsiteY4" fmla="*/ 531990 h 556451"/>
                            <a:gd name="connisteX5" fmla="*/ 245597 w 297767"/>
                            <a:gd name="connsiteY5" fmla="*/ 541515 h 556451"/>
                            <a:gd name="connisteX6" fmla="*/ 264647 w 297767"/>
                            <a:gd name="connsiteY6" fmla="*/ 379590 h 556451"/>
                            <a:gd name="connisteX7" fmla="*/ 293222 w 297767"/>
                            <a:gd name="connsiteY7" fmla="*/ 131940 h 556451"/>
                            <a:gd name="connisteX8" fmla="*/ 178922 w 297767"/>
                            <a:gd name="connsiteY8" fmla="*/ 17640 h 55645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97768" h="556452">
                              <a:moveTo>
                                <a:pt x="178922" y="17640"/>
                              </a:moveTo>
                              <a:cubicBezTo>
                                <a:pt x="127487" y="-1410"/>
                                <a:pt x="70337" y="-16650"/>
                                <a:pt x="36047" y="36690"/>
                              </a:cubicBezTo>
                              <a:cubicBezTo>
                                <a:pt x="1757" y="90030"/>
                                <a:pt x="11282" y="200520"/>
                                <a:pt x="7472" y="284340"/>
                              </a:cubicBezTo>
                              <a:cubicBezTo>
                                <a:pt x="3662" y="368160"/>
                                <a:pt x="-11578" y="406260"/>
                                <a:pt x="16997" y="455790"/>
                              </a:cubicBezTo>
                              <a:cubicBezTo>
                                <a:pt x="45572" y="505320"/>
                                <a:pt x="104627" y="514845"/>
                                <a:pt x="150347" y="531990"/>
                              </a:cubicBezTo>
                              <a:cubicBezTo>
                                <a:pt x="196067" y="549135"/>
                                <a:pt x="222737" y="571995"/>
                                <a:pt x="245597" y="541515"/>
                              </a:cubicBezTo>
                              <a:cubicBezTo>
                                <a:pt x="268457" y="511035"/>
                                <a:pt x="255122" y="461505"/>
                                <a:pt x="264647" y="379590"/>
                              </a:cubicBezTo>
                              <a:cubicBezTo>
                                <a:pt x="274172" y="297675"/>
                                <a:pt x="310367" y="204330"/>
                                <a:pt x="293222" y="131940"/>
                              </a:cubicBezTo>
                              <a:cubicBezTo>
                                <a:pt x="276077" y="59550"/>
                                <a:pt x="230357" y="36690"/>
                                <a:pt x="178922" y="17640"/>
                              </a:cubicBezTo>
                              <a:close/>
                            </a:path>
                          </a:pathLst>
                        </a:custGeom>
                        <a:noFill/>
                        <a:ln w="31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3.8pt;margin-top:20.75pt;height:55.7pt;width:52.5pt;z-index:251745280;mso-width-relative:page;mso-height-relative:page;" filled="f" stroked="t" coordsize="297768,556452" o:gfxdata="UEsDBAoAAAAAAIdO4kAAAAAAAAAAAAAAAAAEAAAAZHJzL1BLAwQUAAAACACHTuJALstKhNoAAAAK&#10;AQAADwAAAGRycy9kb3ducmV2LnhtbE2PTU+DQBCG7yb+h82YeLMLRGiLLI0f0dgYD2ITPQ6wBeLu&#10;LGG3Lf57x5MeZ+bJO89bbGZrxFFPfnCkIF5EIDQ1rh2oU7B7f7xagfABqUXjSCv41h425flZgXnr&#10;TvSmj1XoBIeQz1FBH8KYS+mbXlv0Czdq4tveTRYDj1Mn2wlPHG6NTKIokxYH4g89jvq+181XdbAK&#10;cJv6j9uh2j+83OHTq6k/52r3rNTlRRzdgAh6Dn8w/OqzOpTsVLsDtV4YBdlqmTGq4DpOQTCwXCe8&#10;qJlMkzXIspD/K5Q/UEsDBBQAAAAIAIdO4kCKdZKKTwQAAKUNAAAOAAAAZHJzL2Uyb0RvYy54bWyt&#10;V81u4zYQvhfoOxA6FkgsUiJpGXEWaIP0UrQL7C7QHmmZsgVIoiAycdJz7733uOhLFIv2aXaLPkaH&#10;Q9mh0hZWgObgUCK/+fgN54e6evXQNuReD7Y23Tqhl2lCdFeabd3t1sm7t7cXy4RYp7qtakyn18mj&#10;tsmr688/uzr0K83M3jRbPRAw0tnVoV8ne+f61WJhy71ulb00ve5gsjJDqxw8DrvFdlAHsN42C5am&#10;YnEww7YfTKmthbc3YTIZLQ5zDJqqqkt9Y8q7VncuWB10oxxIsvu6t8k17raqdOm+qyqrHWnWCSh1&#10;+AskMN7438X1lVrtBtXv63LcgpqzhWeaWlV3QHoydaOcIndD/Q9TbV0OxprKXZamXQQh6BFQQdNn&#10;vnmzV71GLeBq25+cbv8/s+W3968HUm8hEnKakE61cOQfP3z486efP/36y19//Pbp9/fET4GjDr1d&#10;wfo3/ethfLIw9KofqqH1/0EPeUDnPp6cqx8cKeGlEEJycHsJUzKVWYHOXzyByzvrvtYGDan7b6wL&#10;Z7OFEXp2O+6uNF1XW6e/B2NV28BxfbEgVC4LxsiBsEJKIcdzjSG2dvqHKUTkKdkTzkXOUSAcX4xA&#10;EnDKiSQTaS7PckwRojjPwSIOmcvzMmIAW+bZDB1ZxEFFUZzXESNyzuUMIXlMwtNshrdiCM9oMYOF&#10;RywMdjZDSwzhOeWUnz14EbOIXMzQEkMyWfAZWmTMUmRsRgzHEAoem3H4UNJPQTwzU6aQ55kCabs7&#10;JqbaH3O1fOjGZIURUb6hpFgVe2N9XYgzF6qAfxyzElIdTALKZ/oZMORXDMbMnQ2GzInBzBeK2WDI&#10;iBicvQgMgR6D8xeBIX5jMH8RGMIyBosXgSHaYjBW1tkOgyCKwcuYORgZ42WARu1bdIMt2iUEWvSA&#10;LXrjMWrVK+fD7Dgkh3WClR4Y9usESzjDUGvNvX5rcJ3zMRfCHfdBJYTxuIWnZeXdpi6/1D9OQEzm&#10;y6D8AprfeE3o0aBMs+w4JQR0tLA/nMMGgVyZgMJ/lDth+Fc+yYPJIk2ziUVK2TLELNydOJvM+VaB&#10;ZKEFzGaDvQVcJpZUTExeUMplOLU8FWw6iW0DCUM7mE3olwdGnvJsKoKmuWBBPKf5MsfQhvMOh4c9&#10;BClDb5hNSQuRwjXAhx/PC5pNzEKVleMZcgktZzqJHWVE+k4xm5MJ2P5RCk2fcXJOWXBCLij4wZs9&#10;6mTYX5Az9I35nDKnxygo4OIzMZvBJkYnsDTPppHFsNsgZ+giL+AUqRx1FnyaASwD3WHulAJHlf+R&#10;itOEKBtjNbgGyoPP+dMAk9/XjOiW2JnbumnQj03nS0JGwQGkVPBZUsHnAAzbHq62ttslRDU7+N4p&#10;3YBlwpqm3nq0PwQ77DZfNQO5V1CCbuEvPabuZFk/WHej7D6sw6nRZw30rYW/HocLsR9tzPYR78n4&#10;Hm7vqGT80vCfB/Ezop++rq7/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IGAABbQ29udGVudF9UeXBlc10ueG1sUEsBAhQACgAAAAAAh07iQAAA&#10;AAAAAAAAAAAAAAYAAAAAAAAAAAAQAAAApAUAAF9yZWxzL1BLAQIUABQAAAAIAIdO4kCKFGY80QAA&#10;AJQBAAALAAAAAAAAAAEAIAAAAMgFAABfcmVscy8ucmVsc1BLAQIUAAoAAAAAAIdO4kAAAAAAAAAA&#10;AAAAAAAEAAAAAAAAAAAAEAAAAAAAAABkcnMvUEsBAhQAFAAAAAgAh07iQC7LSoTaAAAACgEAAA8A&#10;AAAAAAAAAQAgAAAAIgAAAGRycy9kb3ducmV2LnhtbFBLAQIUABQAAAAIAIdO4kCKdZKKTwQAAKUN&#10;AAAOAAAAAAAAAAEAIAAAACkBAABkcnMvZTJvRG9jLnhtbFBLBQYAAAAABgAGAFkBAADqBwAAAAA=&#10;" path="m178922,17640c127487,-1410,70337,-16650,36047,36690c1757,90030,11282,200520,7472,284340c3662,368160,-11578,406260,16997,455790c45572,505320,104627,514845,150347,531990c196067,549135,222737,571995,245597,541515c268457,511035,255122,461505,264647,379590c274172,297675,310367,204330,293222,131940c276077,59550,230357,36690,178922,17640xe">
                <v:path o:connectlocs="400636,22424;80715,46642;16731,361468;38059,579424;336652,676293;549932,688402;592588,482554;656572,167729;400636,22424" o:connectangles="0,0,0,0,0,0,0,0,0"/>
                <v:fill on="f" focussize="0,0"/>
                <v:stroke weight="0.25pt" color="#FFFF00 [2404]" joinstyle="round"/>
                <v:imagedata o:title=""/>
                <o:lock v:ext="edit" aspectratio="f"/>
              </v:shape>
            </w:pict>
          </mc:Fallback>
        </mc:AlternateContent>
      </w:r>
      <w:r>
        <w:rPr>
          <w:rFonts w:hint="eastAsia" w:ascii="宋体" w:hAnsi="宋体" w:eastAsia="宋体" w:cs="宋体"/>
          <w:b/>
          <w:bCs/>
          <w:color w:val="000000" w:themeColor="text1"/>
          <w:spacing w:val="-8"/>
          <w:szCs w:val="24"/>
          <w14:textFill>
            <w14:solidFill>
              <w14:schemeClr w14:val="tx1"/>
            </w14:solidFill>
          </w14:textFill>
        </w:rPr>
        <w:t>附图2-1本项目车间与周边敏感点位置图</w:t>
      </w:r>
    </w:p>
    <w:p>
      <w:pPr>
        <w:spacing w:line="219" w:lineRule="auto"/>
        <w:jc w:val="center"/>
        <w:rPr>
          <w:rFonts w:hint="eastAsia" w:ascii="宋体" w:hAnsi="宋体" w:eastAsia="宋体" w:cs="宋体"/>
          <w:color w:val="000000" w:themeColor="text1"/>
          <w:szCs w:val="24"/>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890270</wp:posOffset>
                </wp:positionH>
                <wp:positionV relativeFrom="paragraph">
                  <wp:posOffset>4466590</wp:posOffset>
                </wp:positionV>
                <wp:extent cx="323850" cy="171450"/>
                <wp:effectExtent l="0" t="0" r="19050" b="19050"/>
                <wp:wrapNone/>
                <wp:docPr id="2070515566" name="矩形 2070515566"/>
                <wp:cNvGraphicFramePr/>
                <a:graphic xmlns:a="http://schemas.openxmlformats.org/drawingml/2006/main">
                  <a:graphicData uri="http://schemas.microsoft.com/office/word/2010/wordprocessingShape">
                    <wps:wsp>
                      <wps:cNvSpPr/>
                      <wps:spPr>
                        <a:xfrm>
                          <a:off x="0" y="0"/>
                          <a:ext cx="323850" cy="171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1pt;margin-top:351.7pt;height:13.5pt;width:25.5pt;z-index:251749376;v-text-anchor:middle;mso-width-relative:page;mso-height-relative:page;" filled="f" stroked="t" coordsize="21600,21600" o:gfxdata="UEsDBAoAAAAAAIdO4kAAAAAAAAAAAAAAAAAEAAAAZHJzL1BLAwQUAAAACACHTuJANcNSxdgAAAAL&#10;AQAADwAAAGRycy9kb3ducmV2LnhtbE2PwU7DMBBE70j8g7VIXBC100SlhDiVqEQPHCpRuHBz4iWJ&#10;Gq+j2GnK37M9lePMPs3OFJuz68UJx9B50pAsFAik2tuOGg1fn2+PaxAhGrKm94QafjHApry9KUxu&#10;/UwfeDrERnAIhdxoaGMccilD3aIzYeEHJL79+NGZyHJspB3NzOGul0ulVtKZjvhDawbctlgfD5PT&#10;UO2+x+36Nd3F6WHF0cfmHfez1vd3iXoBEfEcrzBc6nN1KLlT5SeyQfSsM7VkVMOTSjMQF+I5Yadi&#10;J1UZyLKQ/zeUf1BLAwQUAAAACACHTuJAu3fDSmUCAADFBAAADgAAAGRycy9lMm9Eb2MueG1srVRL&#10;btswEN0X6B0I7mtJjp2kRuTAsOGiQNAESIuuaYqyBPBXkracXqZAdz1EjlP0Gn2klMRNu8iiXtAz&#10;nOEbvscZXVwelCR74XxrdEmLUU6J0NxUrd6W9NPH9ZtzSnxgumLSaFHSO+Hp5fz1q4vOzsTYNEZW&#10;whGAaD/rbEmbEOwsyzxvhGJ+ZKzQCNbGKRbgum1WOdYBXclsnOenWWdcZZ3hwnvsrvogHRDdSwBN&#10;XbdcrAzfKaFDj+qEZAGUfNNaT+fptnUteLiuay8CkSUF05BWFIG9iWs2v2CzrWO2aflwBfaSKzzj&#10;pFirUfQRasUCIzvX/gWlWu6MN3UYcaOynkhSBCyK/Jk2tw2zInGB1N4+iu7/Hyz/sL9xpK1KOs7P&#10;8mkxnZ6eUqKZwsv/+vbj5/13chSAWp31Mxy6tTdu8DzMSP1QOxX/QYocksJ3jwqLQyAcmyfjk/Mp&#10;tOcIFWfFBDZQsqfD1vnwThhFolFShwdMurL9lQ996kNKrKXNupUS+2wmNenAYjrJIz5DZ9boCJjK&#10;gp3XW0qY3KLleXAJ0hvZVvF4PO3ddrOUjuwZGmW9zvEbbvZHWqy9Yr7p81JoSJMaPKI4vRzR2pjq&#10;DuI603edt3zd4vwV8+GGObQZLopBDNdYamlwezNYlDTGff3XfszH6yNKSYe2BbMvO+YEJfK9Rl+8&#10;LSYTwIbkTKZnYzjuOLI5juidWhoQLjDylicz5gf5YNbOqM+Y10WsihDTHLV7DQdnGfpxwsRzsVik&#10;NPS2ZeFK31oewfuXWuyCqdv0iE/qDKKhu1MbDJMYx+fYT1lPX5/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XDUsXYAAAACwEAAA8AAAAAAAAAAQAgAAAAIgAAAGRycy9kb3ducmV2LnhtbFBLAQIU&#10;ABQAAAAIAIdO4kC7d8NKZQIAAMUEAAAOAAAAAAAAAAEAIAAAACcBAABkcnMvZTJvRG9jLnhtbFBL&#10;BQYAAAAABgAGAFkBAAD+BQAAAAA=&#10;">
                <v:fill on="f" focussize="0,0"/>
                <v:stroke weight="2pt" color="#FF0000 [24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890270</wp:posOffset>
                </wp:positionH>
                <wp:positionV relativeFrom="paragraph">
                  <wp:posOffset>4171315</wp:posOffset>
                </wp:positionV>
                <wp:extent cx="333375" cy="209550"/>
                <wp:effectExtent l="0" t="0" r="28575" b="19050"/>
                <wp:wrapNone/>
                <wp:docPr id="2085507897" name="矩形 2085507897"/>
                <wp:cNvGraphicFramePr/>
                <a:graphic xmlns:a="http://schemas.openxmlformats.org/drawingml/2006/main">
                  <a:graphicData uri="http://schemas.microsoft.com/office/word/2010/wordprocessingShape">
                    <wps:wsp>
                      <wps:cNvSpPr/>
                      <wps:spPr>
                        <a:xfrm>
                          <a:off x="0" y="0"/>
                          <a:ext cx="333375" cy="209550"/>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1pt;margin-top:328.45pt;height:16.5pt;width:26.25pt;z-index:251748352;v-text-anchor:middle;mso-width-relative:page;mso-height-relative:page;" filled="f" stroked="t" coordsize="21600,21600" o:gfxdata="UEsDBAoAAAAAAIdO4kAAAAAAAAAAAAAAAAAEAAAAZHJzL1BLAwQUAAAACACHTuJAltrhw9cAAAAL&#10;AQAADwAAAGRycy9kb3ducmV2LnhtbE2PQU7DMBBF90jcwRokdtSuaUKTxumiggWsoOUAbjwkUe1x&#10;FLtJe3vcFSz/zNOfN9X24iybcAy9JwXLhQCG1HjTU6vg+/D2tAYWoiajrSdUcMUA2/r+rtKl8TN9&#10;4bSPLUslFEqtoItxKDkPTYdOh4UfkNLux49OxxTHlptRz6ncWS6FyLnTPaULnR5w12Fz2p+dArfK&#10;Jk3zM358XuWufW2yg7TvSj0+LMUGWMRL/IPhpp/UoU5OR38mE5hNeSVkQhXkWV4AuxGFfAF2TJN1&#10;UQCvK/7/h/oXUEsDBBQAAAAIAIdO4kAScIflZgIAAMUEAAAOAAAAZHJzL2Uyb0RvYy54bWytVEtu&#10;2zAQ3RfoHQjuG8muHX9gOTBiuCgQNAHSomuaoiwB/JWkLaeXKdBdD5HjFL1GHyklcdMusqgX9Axn&#10;OJ83b7S4OCpJDsL5xuiCDs5ySoTmpmz0rqCfPm7eTCnxgemSSaNFQe+EpxfL168WrZ2LoamNLIUj&#10;CKL9vLUFrUOw8yzzvBaK+TNjhYaxMk6xANXtstKxFtGVzIZ5fp61xpXWGS68x+26M9I+ontJQFNV&#10;DRdrw/dK6NBFdUKygJZ83VhPl6naqhI8XFeVF4HIgqLTkE4kgbyNZ7ZcsPnOMVs3vC+BvaSEZz0p&#10;1mgkfQy1ZoGRvWv+CqUa7ow3VTjjRmVdIwkRdDHIn2FzWzMrUi+A2ttH0P3/C8s/HG4cacqCDvPp&#10;eJxPprMJJZopTP7Xtx8/77+TEwPQaq2f49GtvXG95iHG1o+VU/EfTZFjQvjuEWFxDITj8i1+kzEl&#10;HKZhPkPCOIHs6bF1PrwTRpEoFNRhgAlXdrjyoXN9cIm5tNk0UuKezaUmLYKORzlmyxmYWYEREJVF&#10;d17vKGFyB8rz4FJIb2RTxufxtXe77aV05MBAlM1kdj467yv7wy3mXjNfd37J1LtJjT4iOB0cUdqa&#10;8g7gOtOxzlu+afD+ivlwwxxohkKxiOEaRyUNqje9RElt3Nd/3Ud/TB9WSlrQFp192TMnKJHvNXgx&#10;G4xGkedJGY0nQyju1LI9tei9ujRoeICVtzyJ0T/IB7FyRn3Gvq5iVpiY5sjdYdgrl6FbJ2w8F6tV&#10;cgO3LQtX+tbyGLyb1GofTNWkIT6h04MGdica9JsY1+dUT15PX5/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ba4cPXAAAACwEAAA8AAAAAAAAAAQAgAAAAIgAAAGRycy9kb3ducmV2LnhtbFBLAQIU&#10;ABQAAAAIAIdO4kAScIflZgIAAMUEAAAOAAAAAAAAAAEAIAAAACYBAABkcnMvZTJvRG9jLnhtbFBL&#10;BQYAAAAABgAGAFkBAAD+BQAAAAA=&#10;">
                <v:fill on="f" focussize="0,0"/>
                <v:stroke weight="2pt" color="#F79646 [3209]"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76000" behindDoc="0" locked="0" layoutInCell="1" allowOverlap="1">
                <wp:simplePos x="0" y="0"/>
                <wp:positionH relativeFrom="column">
                  <wp:posOffset>3568700</wp:posOffset>
                </wp:positionH>
                <wp:positionV relativeFrom="paragraph">
                  <wp:posOffset>2223770</wp:posOffset>
                </wp:positionV>
                <wp:extent cx="509270" cy="250190"/>
                <wp:effectExtent l="0" t="0" r="24765" b="17145"/>
                <wp:wrapNone/>
                <wp:docPr id="744653561" name="矩形 744653561"/>
                <wp:cNvGraphicFramePr/>
                <a:graphic xmlns:a="http://schemas.openxmlformats.org/drawingml/2006/main">
                  <a:graphicData uri="http://schemas.microsoft.com/office/word/2010/wordprocessingShape">
                    <wps:wsp>
                      <wps:cNvSpPr/>
                      <wps:spPr>
                        <a:xfrm>
                          <a:off x="0" y="0"/>
                          <a:ext cx="508958" cy="250166"/>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1pt;margin-top:175.1pt;height:19.7pt;width:40.1pt;z-index:251776000;v-text-anchor:middle;mso-width-relative:page;mso-height-relative:page;" filled="f" stroked="t" coordsize="21600,21600" o:gfxdata="UEsDBAoAAAAAAIdO4kAAAAAAAAAAAAAAAAAEAAAAZHJzL1BLAwQUAAAACACHTuJAfFSUddgAAAAL&#10;AQAADwAAAGRycy9kb3ducmV2LnhtbE2PwU7DMBBE70j8g7VI3KhTt4lKGqeHCg5wgpYPcONtEmGv&#10;o9hN2r9nOcFtd2c0+6baXb0TE46xD6RhuchAIDXB9tRq+Dq+Pm1AxGTIGhcINdwwwq6+v6tMacNM&#10;nzgdUis4hGJpNHQpDaWUsenQm7gIAxJr5zB6k3gdW2lHM3O4d1JlWSG96Yk/dGbAfYfN9+HiNfh1&#10;PhmaV/j+cVP79qXJj8q9af34sMy2IBJe058ZfvEZHWpmOoUL2SichrxQ3CVpWOWZAsGOYq14OPFl&#10;81yArCv5v0P9A1BLAwQUAAAACACHTuJApBmMP2UCAADDBAAADgAAAGRycy9lMm9Eb2MueG1srVTN&#10;bhMxEL4j8Q6W73Q3YZO2UTdV1CgIqaKRCuLseO2sJf8xdrIpL4PEjYfo4yBeg7F325TCoQcumxnP&#10;eGa+bz7n4vJgNNkLCMrZmo5OSkqE5a5RdlvTTx9Xb84oCZHZhmlnRU3vRKCX89evLjo/E2PXOt0I&#10;IFjEhlnna9rG6GdFEXgrDAsnzguLQenAsIgubIsGWIfVjS7GZTktOgeNB8dFCHi67IN0qAgvKeik&#10;VFwsHd8ZYWNfFYRmESGFVvlA53laKQWPN1IGEYmuKSKN+YtN0N6kbzG/YLMtMN8qPozAXjLCM0yG&#10;KYtNH0stWWRkB+qvUkZxcMHJeMKdKXogmRFEMSqfcXPbMi8yFqQ6+EfSw/8ryz/s10BUU9PTqppO&#10;3k6mI0osM7j4X99+/Lz/To7nyFXnwwyv3Po1DF5AMwE/SDDpFyGRQ+b37pFfcYiE4+GkPDufoLw4&#10;hsaTcjSdJv6L42UPIb4TzpBk1BRwfZlVtr8OsU99SEm9rFsprfGczbQlXSpalbhZzlCXEvWApvGI&#10;LdgtJUxvUfA8Qi4ZnFZNup5uB9hurjSQPUOZrE7Pp9XDZH+kpd5LFto+L4cGANoijkROT0eyNq65&#10;Q2rB9ZoLnq8U3r9mIa4ZoMhwUHyG8QY/Ujuc3g0WJa2Dr/86T/m4e4xS0qFoEdmXHQNBiX5vURXn&#10;o6pKKs9ONTkdowNPI5unEbszVw4B48Zxumym/KgfTAnOfMbXukhdMcQsx949h4NzFfvHhO+di8Ui&#10;p6GyPYvX9tbzVLzf1GIXnVR5iUd2BtJQ21kGwztMj+epn7OO/z3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xUlHXYAAAACwEAAA8AAAAAAAAAAQAgAAAAIgAAAGRycy9kb3ducmV2LnhtbFBLAQIU&#10;ABQAAAAIAIdO4kCkGYw/ZQIAAMMEAAAOAAAAAAAAAAEAIAAAACcBAABkcnMvZTJvRG9jLnhtbFBL&#10;BQYAAAAABgAGAFkBAAD+BQAAAAA=&#10;">
                <v:fill on="f" focussize="0,0"/>
                <v:stroke weight="2pt" color="#F79646 [3209]"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890270</wp:posOffset>
                </wp:positionH>
                <wp:positionV relativeFrom="paragraph">
                  <wp:posOffset>4152265</wp:posOffset>
                </wp:positionV>
                <wp:extent cx="333375" cy="209550"/>
                <wp:effectExtent l="0" t="0" r="28575" b="19050"/>
                <wp:wrapNone/>
                <wp:docPr id="190" name="矩形 190"/>
                <wp:cNvGraphicFramePr/>
                <a:graphic xmlns:a="http://schemas.openxmlformats.org/drawingml/2006/main">
                  <a:graphicData uri="http://schemas.microsoft.com/office/word/2010/wordprocessingShape">
                    <wps:wsp>
                      <wps:cNvSpPr/>
                      <wps:spPr>
                        <a:xfrm>
                          <a:off x="0" y="0"/>
                          <a:ext cx="333375" cy="209550"/>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1pt;margin-top:326.95pt;height:16.5pt;width:26.25pt;z-index:251713536;v-text-anchor:middle;mso-width-relative:page;mso-height-relative:page;" filled="f" stroked="t" coordsize="21600,21600" o:gfxdata="UEsDBAoAAAAAAIdO4kAAAAAAAAAAAAAAAAAEAAAAZHJzL1BLAwQUAAAACACHTuJAHqpGadcAAAAL&#10;AQAADwAAAGRycy9kb3ducmV2LnhtbE2PQU7DMBBF90jcwRokdtSu24QmxOmiggWsaMsB3HhIIuxx&#10;FLtJe3vcFSz/zNOfN9X24iybcAy9JwXLhQCG1HjTU6vg6/j2tAEWoiajrSdUcMUA2/r+rtKl8TPt&#10;cTrElqUSCqVW0MU4lJyHpkOnw8IPSGn37UenY4pjy82o51TuLJdC5NzpntKFTg+467D5OZydArfO&#10;Jk3zCj8+r3LXvjbZUdp3pR4fluIFWMRL/IPhpp/UoU5OJ38mE5hNeS1kQhXk2aoAdiMK+QzslCab&#10;vABeV/z/D/UvUEsDBBQAAAAIAIdO4kBhxUL9XwIAALcEAAAOAAAAZHJzL2Uyb0RvYy54bWytVM1u&#10;EzEQviPxDpbvdJOQtCRqUkWNgpAqWikgzo7XzlryH7aTTXkZJG48BI+DeA0+e7c/FA49kIMz4xl/&#10;M/PNzJ5fHI0mBxGicnZOhycDSoTlrlZ2N6cfP6xfvaEkJmZrpp0Vc3orIr1YvHxx3vqZGLnG6VoE&#10;AhAbZ62f0yYlP6uqyBthWDxxXlgYpQuGJahhV9WBtUA3uhoNBqdV60Ltg+MiRtyuOiPtEcNzAJ2U&#10;iouV43sjbOpQg9AsoaTYKB/pomQrpeDpWsooEtFzikpTOREE8jaf1eKczXaB+UbxPgX2nBSe1GSY&#10;sgh6D7ViiZF9UH9BGcWDi06mE+5M1RVSGEEVw8ETbjYN86LUAqqjvyc9/j9Y/v5wE4iqMQlTcGKZ&#10;Qct/ff3+88c3km/AT+vjDG4bfxN6LULMxR5lMPkfZZBj4fT2nlNxTITj8jV+ZxNKOEyjwXQyKZjV&#10;w2MfYnornCFZmNOAlhUm2eEqJgSE651LjmXdWmld2qYtaQE6GQ+QOWeYRYkZgGg86ol2RwnTOww5&#10;T6FARqdVnZ9noBh220sdyIFhNNZn09Pxaa4W4f5wy7FXLDadXzH1btrCO5PT0ZGlratvQWdw3ZxF&#10;z9cK769YTDcsYLCQKFYvXeOQ2iF710uUNC58+dd99ke/YaWkxaCiss97FgQl+p3FJEyH4zFgU1HG&#10;k7MRlPDYsn1ssXtz6VDwEEvueRGzf9J3ogzOfMKGLnNUmJjliN1x2CuXqVsg7DgXy2VxwzR7lq7s&#10;xvMM3nVquU9OqtLEB3Z60jDPhex+9/LCPNaL18P3Zv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HqpGadcAAAALAQAADwAAAAAAAAABACAAAAAiAAAAZHJzL2Rvd25yZXYueG1sUEsBAhQAFAAAAAgA&#10;h07iQGHFQv1fAgAAtwQAAA4AAAAAAAAAAQAgAAAAJgEAAGRycy9lMm9Eb2MueG1sUEsFBgAAAAAG&#10;AAYAWQEAAPcFAAAAAA==&#10;">
                <v:fill on="f" focussize="0,0"/>
                <v:stroke weight="2pt" color="#F79646 [3209]"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869950</wp:posOffset>
                </wp:positionH>
                <wp:positionV relativeFrom="paragraph">
                  <wp:posOffset>4446905</wp:posOffset>
                </wp:positionV>
                <wp:extent cx="323850" cy="171450"/>
                <wp:effectExtent l="0" t="0" r="19050" b="19050"/>
                <wp:wrapNone/>
                <wp:docPr id="187" name="矩形 187"/>
                <wp:cNvGraphicFramePr/>
                <a:graphic xmlns:a="http://schemas.openxmlformats.org/drawingml/2006/main">
                  <a:graphicData uri="http://schemas.microsoft.com/office/word/2010/wordprocessingShape">
                    <wps:wsp>
                      <wps:cNvSpPr/>
                      <wps:spPr>
                        <a:xfrm>
                          <a:off x="0" y="0"/>
                          <a:ext cx="323850" cy="171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5pt;margin-top:350.15pt;height:13.5pt;width:25.5pt;z-index:251693056;v-text-anchor:middle;mso-width-relative:page;mso-height-relative:page;" filled="f" stroked="t" coordsize="21600,21600" o:gfxdata="UEsDBAoAAAAAAIdO4kAAAAAAAAAAAAAAAAAEAAAAZHJzL1BLAwQUAAAACACHTuJAN4Zg8NgAAAAL&#10;AQAADwAAAGRycy9kb3ducmV2LnhtbE2PwU7DMBBE70j8g7VIXBC120hNFOJUohI9cECicOHmxEsS&#10;NV5HttOUv2d7guPMjmbfVLuLG8UZQxw8aVivFAik1tuBOg2fHy+PBYiYDFkzekINPxhhV9/eVKa0&#10;fqF3PB9TJ7iEYmk09ClNpZSx7dGZuPITEt++fXAmsQydtMEsXO5GuVFqK50ZiD/0ZsJ9j+3pODsN&#10;zeEr7Ivn7JDmhy1Xn7pXfFu0vr9bqycQCS/pLwxXfEaHmpkaP5ONYmSd5bwlaciVykBcE0XBTsPO&#10;Js9A1pX8v6H+BVBLAwQUAAAACACHTuJAndwH8V4CAAC3BAAADgAAAGRycy9lMm9Eb2MueG1srVTN&#10;bhMxEL4j8Q6W73STNKUl6qaKGgUhVbRSQZwdr5215D9sJ5vyMkjceAgeB/EafPZu01I49EAOzoxn&#10;/I3n8zd7frE3muxEiMrZmo6PRpQIy12j7KamHz+sXp1REhOzDdPOipreiUgv5i9fnHd+JiaudboR&#10;gQDExlnna9qm5GdVFXkrDItHzguLoHTBsAQ3bKomsA7oRleT0eh11bnQ+OC4iBG7yz5IB8TwHEAn&#10;peJi6fjWCJt61CA0S2gptspHOi+3lVLwdC1lFInomqLTVFYUgb3OazU/Z7NNYL5VfLgCe84VnvRk&#10;mLIoeoBassTINqi/oIziwUUn0xF3puobKYygi/HoCTe3LfOi9AKqoz+QHv8fLH+/uwlENVDC2Skl&#10;lhk8+a+v33/++EbyDvjpfJwh7dbfhMGLMHOzexlM/kcbZF84vTtwKvaJcGweT47PTsA2R2h8Op7C&#10;Bkr1cNiHmN4KZ0g2ahrwZIVJtruKqU+9T8m1rFsprbHPZtqSrqaTk+ko4zNoUUIDMI1HP9FuKGF6&#10;A5HzFApkdFo1+Xg+HcNmfakD2TFIY7Ua4Tfc7I+0XHvJYtvnldCQpi36yOT0dGRr7Zo70Blcr7Po&#10;+Urh/BWL6YYFCAsXxeilayxSO9zeDRYlrQtf/rWf8/HeiFLSQajo7POWBUGJfmehhDfj6RSwqTjT&#10;k9MJnPA4sn4csVtz6dDwGEPueTFzftL3pgzOfMKELnJVhJjlqN1zODiXqR8gzDgXi0VJg5o9S1f2&#10;1vMM3r/UYpucVOURH9gZSIOeiwyG2csD89gvWQ/fm/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4Zg8NgAAAALAQAADwAAAAAAAAABACAAAAAiAAAAZHJzL2Rvd25yZXYueG1sUEsBAhQAFAAAAAgA&#10;h07iQJ3cB/FeAgAAtwQAAA4AAAAAAAAAAQAgAAAAJwEAAGRycy9lMm9Eb2MueG1sUEsFBgAAAAAG&#10;AAYAWQEAAPcFAAAAAA==&#10;">
                <v:fill on="f" focussize="0,0"/>
                <v:stroke weight="2pt" color="#FF0000 [24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851535</wp:posOffset>
                </wp:positionH>
                <wp:positionV relativeFrom="paragraph">
                  <wp:posOffset>4693920</wp:posOffset>
                </wp:positionV>
                <wp:extent cx="323850" cy="171450"/>
                <wp:effectExtent l="0" t="0" r="19050" b="19050"/>
                <wp:wrapNone/>
                <wp:docPr id="185" name="矩形 185"/>
                <wp:cNvGraphicFramePr/>
                <a:graphic xmlns:a="http://schemas.openxmlformats.org/drawingml/2006/main">
                  <a:graphicData uri="http://schemas.microsoft.com/office/word/2010/wordprocessingShape">
                    <wps:wsp>
                      <wps:cNvSpPr/>
                      <wps:spPr>
                        <a:xfrm>
                          <a:off x="0" y="0"/>
                          <a:ext cx="323850" cy="17145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05pt;margin-top:369.6pt;height:13.5pt;width:25.5pt;z-index:251774976;v-text-anchor:middle;mso-width-relative:page;mso-height-relative:page;" filled="f" stroked="t" coordsize="21600,21600" o:gfxdata="UEsDBAoAAAAAAIdO4kAAAAAAAAAAAAAAAAAEAAAAZHJzL1BLAwQUAAAACACHTuJAgsm7ZdgAAAAL&#10;AQAADwAAAGRycy9kb3ducmV2LnhtbE2PzU7DMBCE70i8g7VI3KjjJIQQ4lSiUg+VemnhAdx4SaL6&#10;J7LdH3h6tic4zuyn2Zl2ebWGnTHEyTsJYpEBQ9d7PblBwufH+qkGFpNyWhnvUMI3Rlh293etarS/&#10;uB2e92lgFOJioySMKc0N57Ef0aq48DM6un35YFUiGQaug7pQuDU8z7KKWzU5+jCqGVcj9sf9yUqY&#10;9c9xtdtuy2CL0oh1vXkXuJHy8UFkb8ASXtMfDLf6VB066nTwJ6cjM6SLUhAq4aV4zYHdiPqZnAM5&#10;VZUD71r+f0P3C1BLAwQUAAAACACHTuJAS093lV0CAAC3BAAADgAAAGRycy9lMm9Eb2MueG1srVTN&#10;bhMxEL4j8Q6W73STNKEl6qaKGgUhVbRSQZwdr5215D9sJ5vyMkjceAgeB/EafPZufygceiAHZ8Yz&#10;/sbz+Zs9Oz8YTfYiROVsTcdHI0qE5a5RdlvTjx/Wr04piYnZhmlnRU1vRaTni5cvzjo/FxPXOt2I&#10;QABi47zzNW1T8vOqirwVhsUj54VFULpgWIIbtlUTWAd0o6vJaPS66lxofHBcxIjdVR+kA2J4DqCT&#10;UnGxcnxnhE09ahCaJbQUW+UjXZTbSil4upIyikR0TdFpKiuKwN7ktVqcsfk2MN8qPlyBPecKT3oy&#10;TFkUvYdascTILqi/oIziwUUn0xF3puobKYygi/HoCTc3LfOi9AKqo78nPf4/WP5+fx2IaqCE0xkl&#10;lhk8+a+v33/++EbyDvjpfJwj7cZfh8GLMHOzBxlM/kcb5FA4vb3nVBwS4dg8nhyfzsA2R2h8Mp7C&#10;Bkr1cNiHmN4KZ0g2ahrwZIVJtr+MqU+9S8m1rFsrrbHP5tqSrqaT2XSU8Rm0KKEBmMajn2i3lDC9&#10;hch5CgUyOq2afDyfjmG7udCB7BmkscYPKH25P9Jy7RWLbZ9XQkOatugjk9PTka2Na25BZ3C9zqLn&#10;a4XzlyymaxYgLFwUo5eusEjtcHs3WJS0Lnz5137Ox3sjSkkHoaKzzzsWBCX6nYUS3oynU8Cm4kxn&#10;JxM44XFk8zhid+bCoeExhtzzYub8pO9MGZz5hAld5qoIMctRu+dwcC5SP0CYcS6Wy5IGNXuWLu2N&#10;5xm8f6nlLjmpyiM+sDOQBj0XGQyzlwfmsV+yHr43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C&#10;ybtl2AAAAAsBAAAPAAAAAAAAAAEAIAAAACIAAABkcnMvZG93bnJldi54bWxQSwECFAAUAAAACACH&#10;TuJAS093lV0CAAC3BAAADgAAAAAAAAABACAAAAAnAQAAZHJzL2Uyb0RvYy54bWxQSwUGAAAAAAYA&#10;BgBZAQAA9gUAAAAA&#10;">
                <v:fill on="f" focussize="0,0"/>
                <v:stroke weight="2pt" color="#FFFF00 [24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73952" behindDoc="0" locked="0" layoutInCell="1" allowOverlap="1">
                <wp:simplePos x="0" y="0"/>
                <wp:positionH relativeFrom="column">
                  <wp:posOffset>795020</wp:posOffset>
                </wp:positionH>
                <wp:positionV relativeFrom="paragraph">
                  <wp:posOffset>3837940</wp:posOffset>
                </wp:positionV>
                <wp:extent cx="1669415" cy="1485265"/>
                <wp:effectExtent l="0" t="0" r="26035" b="19685"/>
                <wp:wrapNone/>
                <wp:docPr id="181" name="矩形 181"/>
                <wp:cNvGraphicFramePr/>
                <a:graphic xmlns:a="http://schemas.openxmlformats.org/drawingml/2006/main">
                  <a:graphicData uri="http://schemas.microsoft.com/office/word/2010/wordprocessingShape">
                    <wps:wsp>
                      <wps:cNvSpPr/>
                      <wps:spPr>
                        <a:xfrm>
                          <a:off x="0" y="0"/>
                          <a:ext cx="1669415" cy="1485265"/>
                        </a:xfrm>
                        <a:prstGeom prst="rect">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图例</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本次扩建车间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厂界范围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敏感保护目标</w:t>
                            </w:r>
                          </w:p>
                          <w:p>
                            <w:pPr>
                              <w:rPr>
                                <w:color w:val="000000" w:themeColor="text1"/>
                                <w:sz w:val="21"/>
                                <w:szCs w:val="21"/>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6pt;margin-top:302.2pt;height:116.95pt;width:131.45pt;z-index:251773952;v-text-anchor:middle;mso-width-relative:page;mso-height-relative:page;" fillcolor="#FFFFFF [3212]" filled="t" stroked="t" coordsize="21600,21600" o:gfxdata="UEsDBAoAAAAAAIdO4kAAAAAAAAAAAAAAAAAEAAAAZHJzL1BLAwQUAAAACACHTuJAeD2qX9sAAAAL&#10;AQAADwAAAGRycy9kb3ducmV2LnhtbE2PwU7DMBBE70j8g7VIXBC1k5TKSuNUFQIhRA8k5dKbGy9J&#10;RLyOYjctf485wXG0TzNvi83FDmzGyfeOFCQLAQypcaanVsHH/vleAvNBk9GDI1TwjR425fVVoXPj&#10;zlThXIeWxRLyuVbQhTDmnPumQ6v9wo1I8fbpJqtDjFPLzaTPsdwOPBVixa3uKS50esTHDpuv+mQV&#10;HNzOPW0Fvozd/jXMd9vq7b2ulLq9ScQaWMBL+IPhVz+qQxmdju5ExrMh5vQhjaiClVgugUUikzIB&#10;dlQgM5kBLwv+/4fyB1BLAwQUAAAACACHTuJAxSAdM2sCAADsBAAADgAAAGRycy9lMm9Eb2MueG1s&#10;rVTNbtswDL4P2DsIui+OgyRrgzpFkCDDgGItkA07K7IUC9DfKCVO9zIDdttD7HGKvcYo2W3Troce&#10;5oNMivRH8iPpi8uj0eQgIChnK1oOhpQIy12t7K6iXz6v351REiKzNdPOioreikAv52/fXLR+Jkau&#10;cboWQBDEhlnrK9rE6GdFEXgjDAsD54VFo3RgWEQVdkUNrEV0o4vRcDgtWge1B8dFCHi76oy0R4TX&#10;ADopFRcrx/dG2NihgtAsYkmhUT7Qec5WSsHjtZRBRKIripXGfGIQlLfpLOYXbLYD5hvF+xTYa1J4&#10;VpNhymLQB6gVi4zsQf0DZRQHF5yMA+5M0RWSGcEqyuEzbjYN8yLXglQH/0B6+H+w/NPhBoiqcRLO&#10;SkosM9jyPz9+3f3+SdIN8tP6MEO3jb+BXgsopmKPEkx6YxnkmDm9feBUHCPheFlOp+fjckIJR1s5&#10;PpuMppOEWjx+7iHED8IZkoSKAjYtc8kOVyF2rvcuKVpwWtVrpXVWYLddaiAHhg1e56dHf+KmLWkr&#10;ej4ZpUQYTq3EaUHReKw82B0lTO9wHXiEHPrJx+E0xjA/L8VIOa5YaLpcMkLvpi3Wm2jsiEtSPG6P&#10;PZtbV99iD8B1wxk8XyuEumIh3jDAacRZxX2N13hI7bAO10uUNA6+v3Sf/HFI0EpJi9ONRX7bMxCU&#10;6I8Wx+e8HI/TOmRlPHk/QgVOLdtTi92bpUN+cUAwuywm/6jvRQnOfMW1XqSoaGKWY+yOzl5Zxm7r&#10;8MfAxWKR3XAFPItXduN5Ak/9tG6xj06q3PdEVMdOzx8uQZ6cfmHTlp3q2evxJzX/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g9ql/bAAAACwEAAA8AAAAAAAAAAQAgAAAAIgAAAGRycy9kb3ducmV2&#10;LnhtbFBLAQIUABQAAAAIAIdO4kDFIB0zawIAAOwEAAAOAAAAAAAAAAEAIAAAACoBAABkcnMvZTJv&#10;RG9jLnhtbFBLBQYAAAAABgAGAFkBAAAHBgAAAAA=&#10;">
                <v:fill on="t" focussize="0,0"/>
                <v:stroke color="#000000 [3213]" joinstyle="round"/>
                <v:imagedata o:title=""/>
                <o:lock v:ext="edit" aspectratio="f"/>
                <v:textbox>
                  <w:txbxContent>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图例</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本次扩建车间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厂界范围</w:t>
                      </w:r>
                    </w:p>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敏感保护目标</w:t>
                      </w:r>
                    </w:p>
                    <w:p>
                      <w:pPr>
                        <w:rPr>
                          <w:color w:val="000000" w:themeColor="text1"/>
                          <w:sz w:val="21"/>
                          <w:szCs w:val="21"/>
                          <w14:textFill>
                            <w14:solidFill>
                              <w14:schemeClr w14:val="tx1"/>
                            </w14:solidFill>
                          </w14:textFill>
                        </w:rPr>
                      </w:pP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72928" behindDoc="0" locked="0" layoutInCell="1" allowOverlap="1">
                <wp:simplePos x="0" y="0"/>
                <wp:positionH relativeFrom="column">
                  <wp:posOffset>7049770</wp:posOffset>
                </wp:positionH>
                <wp:positionV relativeFrom="paragraph">
                  <wp:posOffset>15875</wp:posOffset>
                </wp:positionV>
                <wp:extent cx="1038225" cy="1276350"/>
                <wp:effectExtent l="0" t="0" r="0" b="0"/>
                <wp:wrapNone/>
                <wp:docPr id="177" name="矩形 177"/>
                <wp:cNvGraphicFramePr/>
                <a:graphic xmlns:a="http://schemas.openxmlformats.org/drawingml/2006/main">
                  <a:graphicData uri="http://schemas.microsoft.com/office/word/2010/wordprocessingShape">
                    <wps:wsp>
                      <wps:cNvSpPr/>
                      <wps:spPr>
                        <a:xfrm>
                          <a:off x="0" y="0"/>
                          <a:ext cx="1038225" cy="12763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r>
                              <w:rPr>
                                <w:position w:val="-23"/>
                              </w:rPr>
                              <w:drawing>
                                <wp:inline distT="0" distB="0" distL="0" distR="0">
                                  <wp:extent cx="751205" cy="1075055"/>
                                  <wp:effectExtent l="0" t="0" r="10795" b="10795"/>
                                  <wp:docPr id="179" name="IM 56"/>
                                  <wp:cNvGraphicFramePr/>
                                  <a:graphic xmlns:a="http://schemas.openxmlformats.org/drawingml/2006/main">
                                    <a:graphicData uri="http://schemas.openxmlformats.org/drawingml/2006/picture">
                                      <pic:pic xmlns:pic="http://schemas.openxmlformats.org/drawingml/2006/picture">
                                        <pic:nvPicPr>
                                          <pic:cNvPr id="179" name="IM 56"/>
                                          <pic:cNvPicPr/>
                                        </pic:nvPicPr>
                                        <pic:blipFill>
                                          <a:blip r:embed="rId50"/>
                                          <a:stretch>
                                            <a:fillRect/>
                                          </a:stretch>
                                        </pic:blipFill>
                                        <pic:spPr>
                                          <a:xfrm>
                                            <a:off x="0" y="0"/>
                                            <a:ext cx="751205" cy="10750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1pt;margin-top:1.25pt;height:100.5pt;width:81.75pt;z-index:251772928;v-text-anchor:middle;mso-width-relative:page;mso-height-relative:page;" filled="f" stroked="f" coordsize="21600,21600" o:gfxdata="UEsDBAoAAAAAAIdO4kAAAAAAAAAAAAAAAAAEAAAAZHJzL1BLAwQUAAAACACHTuJAnQuEDtgAAAAL&#10;AQAADwAAAGRycy9kb3ducmV2LnhtbE2PwU7DMAyG70i8Q2Qkbixpx9jUNZ0mBEg7siIhbmlj2kLj&#10;VE3WbW+Pd2LH3/70+3O+ObleTDiGzpOGZKZAINXedtRo+ChfH1YgQjRkTe8JNZwxwKa4vclNZv2R&#10;3nHax0ZwCYXMaGhjHDIpQ92iM2HmByTeffvRmchxbKQdzZHLXS9TpZ6kMx3xhdYM+Nxi/bs/OA2h&#10;mnbledh+/nyFutq+kCsfd29a398lag0i4in+w3DRZ3Uo2KnyB7JB9JyTRKXMakgXIC5AupwvQVQ8&#10;UPMFyCKX1z8Uf1BLAwQUAAAACACHTuJAaK0MrVcCAACbBAAADgAAAGRycy9lMm9Eb2MueG1srVRL&#10;btswEN0X6B0I7hvZih2nRuTAiJGiQNAEcIuuaYq0BPBXkracXqZAdz1Ej1P0Gn2klMRIu8iiG2mG&#10;M3rD92ZGF5cHrche+NBaU9HxyYgSYbitW7Ot6KeP12/OKQmRmZopa0RF70Wgl4vXry46Nxelbayq&#10;hScAMWHeuYo2Mbp5UQTeCM3CiXXCICit1yzC9dui9qwDulZFORqdFZ31tfOWixBwuuqDdED0LwG0&#10;UrZcrCzfaWFij+qFYhGUQtO6QBf5tlIKHm+lDCISVVEwjfmJIrA36VksLth865lrWj5cgb3kCs84&#10;adYaFH2EWrHIyM63f0HplnsbrIwn3OqiJ5IVAYvx6Jk264Y5kblA6uAeRQ//D5Z/2N950taYhNmM&#10;EsM0Wv77249fP7+TdAJ9OhfmSFu7Oz94AWYie5BepzdokEPW9P5RU3GIhONwPDo9L8spJRyxcTk7&#10;O51m1Yunz50P8Z2wmiSjoh5Ny1qy/U2IKInUh5RUzdjrVqncOGVIV9FyOhmhn5xhGiWmAKZ2YBTM&#10;lhKmthhzHn2GPPo2Qa5YaMieYTaCVW2d2KKYMngl1j3PZMXD5jCQ39j6HpJ5289ScPy6BdQNC/GO&#10;eQwProL1ird4SGVxPztYlDTWf/3XecpHTxGlpMMw4j5fdswLStR7g26/HU8maXqzM5nOSjj+OLI5&#10;jpidvrLgNMYiO57NlB/Vgym91Z+xhctUFSFmOGr3Kg3OVeyXBHvMxXKZ0zCxjsUbs3Y8gfe9WO6i&#10;lW1uUxKqV2fQDzObBR32Ky3FsZ+znv4pi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dC4QO2AAA&#10;AAsBAAAPAAAAAAAAAAEAIAAAACIAAABkcnMvZG93bnJldi54bWxQSwECFAAUAAAACACHTuJAaK0M&#10;rVcCAACbBAAADgAAAAAAAAABACAAAAAnAQAAZHJzL2Uyb0RvYy54bWxQSwUGAAAAAAYABgBZAQAA&#10;8AUAAAAA&#10;">
                <v:fill on="f" focussize="0,0"/>
                <v:stroke on="f" weight="2pt"/>
                <v:imagedata o:title=""/>
                <o:lock v:ext="edit" aspectratio="f"/>
                <v:textbox>
                  <w:txbxContent>
                    <w:p>
                      <w:pPr>
                        <w:jc w:val="center"/>
                      </w:pPr>
                      <w:r>
                        <w:rPr>
                          <w:position w:val="-23"/>
                        </w:rPr>
                        <w:drawing>
                          <wp:inline distT="0" distB="0" distL="0" distR="0">
                            <wp:extent cx="751205" cy="1075055"/>
                            <wp:effectExtent l="0" t="0" r="10795" b="10795"/>
                            <wp:docPr id="179" name="IM 56"/>
                            <wp:cNvGraphicFramePr/>
                            <a:graphic xmlns:a="http://schemas.openxmlformats.org/drawingml/2006/main">
                              <a:graphicData uri="http://schemas.openxmlformats.org/drawingml/2006/picture">
                                <pic:pic xmlns:pic="http://schemas.openxmlformats.org/drawingml/2006/picture">
                                  <pic:nvPicPr>
                                    <pic:cNvPr id="179" name="IM 56"/>
                                    <pic:cNvPicPr/>
                                  </pic:nvPicPr>
                                  <pic:blipFill>
                                    <a:blip r:embed="rId50"/>
                                    <a:stretch>
                                      <a:fillRect/>
                                    </a:stretch>
                                  </pic:blipFill>
                                  <pic:spPr>
                                    <a:xfrm>
                                      <a:off x="0" y="0"/>
                                      <a:ext cx="751205" cy="1075055"/>
                                    </a:xfrm>
                                    <a:prstGeom prst="rect">
                                      <a:avLst/>
                                    </a:prstGeom>
                                  </pic:spPr>
                                </pic:pic>
                              </a:graphicData>
                            </a:graphic>
                          </wp:inline>
                        </w:drawing>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4282440</wp:posOffset>
                </wp:positionH>
                <wp:positionV relativeFrom="paragraph">
                  <wp:posOffset>2326005</wp:posOffset>
                </wp:positionV>
                <wp:extent cx="683895" cy="389890"/>
                <wp:effectExtent l="0" t="0" r="0" b="0"/>
                <wp:wrapNone/>
                <wp:docPr id="169" name="矩形 169"/>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380m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7.2pt;margin-top:183.15pt;height:30.7pt;width:53.85pt;z-index:251771904;v-text-anchor:middle;mso-width-relative:page;mso-height-relative:page;" filled="f" stroked="f" coordsize="21600,21600" o:gfxdata="UEsDBAoAAAAAAIdO4kAAAAAAAAAAAAAAAAAEAAAAZHJzL1BLAwQUAAAACACHTuJAxcSsB9oAAAAL&#10;AQAADwAAAGRycy9kb3ducmV2LnhtbE2PQU+DQBCF7yb+h82YeLMLlECDDE1j1KRHi4nxtrAjoOws&#10;Ybe0/feuJ3ucvC/vfVNuz2YUC81usIwQryIQxK3VA3cI7/XLwwaE84q1Gi0TwoUcbKvbm1IV2p74&#10;jZaD70QoYVcohN77qZDStT0Z5VZ2Ig7Zl52N8uGcO6lndQrlZpRJFGXSqIHDQq8meuqp/TkcDYJr&#10;ln19mXYf35+ubXbPbOp0/4p4fxdHjyA8nf0/DH/6QR2q4NTYI2snRoQsT9OAIqyzbA0iEPkmiUE0&#10;CGmS5yCrUl7/UP0CUEsDBBQAAAAIAIdO4kCq7NE8VAIAAJkEAAAOAAAAZHJzL2Uyb0RvYy54bWyt&#10;VM1uEzEQviPxDpbvdJOQliTqpooaFSFVUKkgzo7XzlryH7aTTXkZJG48BI+DeA0+e7dtVDj0wGV3&#10;xjP7jb9vZvb84mA02YsQlbM1HZ+MKBGWu0bZbU0/fbx6NaMkJmYbpp0VNb0TkV4sX7447/xCTFzr&#10;dCMCAYiNi87XtE3JL6oq8lYYFk+cFxZB6YJhCW7YVk1gHdCNriaj0VnVudD44LiIEafrPkgHxPAc&#10;QCel4mLt+M4Im3rUIDRLoBRb5SNdlttKKXj6IGUUieiagmkqTxSBvcnPannOFtvAfKv4cAX2nCs8&#10;4WSYsij6ALVmiZFdUH9BGcWDi06mE+5M1RMpioDFePREm9uWeVG4QOroH0SP/w+Wv9/fBKIaTMLZ&#10;nBLLDFr++9uPXz+/k3wCfTofF0i79Tdh8CLMTPYgg8lv0CCHoundg6bikAjH4dns9Wx+SglHCNZs&#10;XjSvHj/2Iaa3whmSjZoGtKwoyfbXMaEgUu9Tci3rrpTWpW3akq6mk9PpCN3kDLMoMQMwjQefaLeU&#10;ML3FkPMUCuTRtxlyzWJL9gyTEZ1WTeaKYtrilTn3LLOVDpvDQH3jmjsIFlw/SdHzKwWoaxbTDQsY&#10;HVwFy5U+4CG1w/3cYFHSuvD1X+c5Hx1FlJIOo4j7fNmxICjR7yx6PR9Pp3l2izM9fTOBE44jm+OI&#10;3ZlLB05jrLHnxcz5Sd+bMjjzGTu4ylURYpajdq/S4FymfkWwxVysViUN8+pZura3nmfwvherXXJS&#10;lTZloXp1Bv0wsUXQYbvyShz7Jevxj7L8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XErAfaAAAA&#10;CwEAAA8AAAAAAAAAAQAgAAAAIgAAAGRycy9kb3ducmV2LnhtbFBLAQIUABQAAAAIAIdO4kCq7NE8&#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380m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9856" behindDoc="0" locked="0" layoutInCell="1" allowOverlap="1">
                <wp:simplePos x="0" y="0"/>
                <wp:positionH relativeFrom="column">
                  <wp:posOffset>3503295</wp:posOffset>
                </wp:positionH>
                <wp:positionV relativeFrom="paragraph">
                  <wp:posOffset>3268980</wp:posOffset>
                </wp:positionV>
                <wp:extent cx="683895" cy="389890"/>
                <wp:effectExtent l="0" t="0" r="0" b="0"/>
                <wp:wrapNone/>
                <wp:docPr id="165" name="矩形 165"/>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700m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5.85pt;margin-top:257.4pt;height:30.7pt;width:53.85pt;z-index:251769856;v-text-anchor:middle;mso-width-relative:page;mso-height-relative:page;" filled="f" stroked="f" coordsize="21600,21600" o:gfxdata="UEsDBAoAAAAAAIdO4kAAAAAAAAAAAAAAAAAEAAAAZHJzL1BLAwQUAAAACACHTuJA37fSttoAAAAL&#10;AQAADwAAAGRycy9kb3ducmV2LnhtbE2PQU+DQBCF7yb+h82YeLMLDVCLLE1j1KRHi4npbWFHQNlZ&#10;wm5p++8dT/U2M+/lzfeKzdkOYsbJ944UxIsIBFLjTE+tgo/q9eERhA+ajB4coYILetiUtzeFzo07&#10;0TvO+9AKDiGfawVdCGMupW86tNov3IjE2pebrA68Tq00kz5xuB3kMooyaXVP/KHTIz532Pzsj1aB&#10;r+dddRm3n98H39TbF7JVsntT6v4ujp5ABDyHqxn+8BkdSmaq3ZGMF4OCNI1XbOUhTrgDO7J0nYCo&#10;+bLKliDLQv7vUP4CUEsDBBQAAAAIAIdO4kAiVMvHUwIAAJkEAAAOAAAAZHJzL2Uyb0RvYy54bWyt&#10;VM1uEzEQviPxDpbvdJOQljTqpooaFSFVtFJBnB2vnbXkP2wnm/IySNx4iD4O4jX47N22UeHQA5fd&#10;Gc/sN/6+mdmz873RZCdCVM7WdHw0okRY7hplNzX9/OnyzYySmJhtmHZW1PRORHq+eP3qrPNzMXGt&#10;040IBCA2zjtf0zYlP6+qyFthWDxyXlgEpQuGJbhhUzWBdUA3upqMRidV50Ljg+MiRpyu+iAdEMNL&#10;AJ2UiouV41sjbOpRg9AsgVJslY90UW4rpeDpWsooEtE1BdNUnigCe52f1eKMzTeB+Vbx4QrsJVd4&#10;xskwZVH0EWrFEiPboP6CMooHF51MR9yZqidSFAGL8eiZNrct86JwgdTRP4oe/x8s/7i7CUQ1mIST&#10;Y0osM2j57+8/f93/IPkE+nQ+zpF262/C4EWYmexeBpPfoEH2RdO7R03FPhGOw5PZ29kpkDlCsGan&#10;RfPq6WMfYnovnCHZqGlAy4qSbHcVEwoi9SEl17LuUmld2qYt6Wo6OZ6O0E3OMIsSMwDTePCJdkMJ&#10;0xsMOU+hQB58myFXLLZkxzAZ0WnVZK4opi1emXPPMltpv94P1NeuuYNgwfWTFD2/VIC6YjHdsIDR&#10;wVWwXOkaD6kd7ucGi5LWhW//Os/56CiilHQYRdzn65YFQYn+YNHr0/F0mme3ONPjdxM44TCyPozY&#10;rblw4DTGGntezJyf9IMpgzNfsIPLXBUhZjlq9yoNzkXqVwRbzMVyWdIwr56lK3vreQbve7HcJidV&#10;aVMWqldn0A8TWwQdtiuvxKFfsp7+KI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37fSttoAAAAL&#10;AQAADwAAAAAAAAABACAAAAAiAAAAZHJzL2Rvd25yZXYueG1sUEsBAhQAFAAAAAgAh07iQCJUy8dT&#10;AgAAmQQAAA4AAAAAAAAAAQAgAAAAKQEAAGRycy9lMm9Eb2MueG1sUEsFBgAAAAAGAAYAWQEAAO4F&#10;AAAAAA==&#10;">
                <v:fill on="f" focussize="0,0"/>
                <v:stroke on="f" weight="2pt"/>
                <v:imagedata o:title=""/>
                <o:lock v:ext="edit" aspectratio="f"/>
                <v:textbox>
                  <w:txbxContent>
                    <w:p>
                      <w:pPr>
                        <w:jc w:val="center"/>
                        <w:rPr>
                          <w:color w:val="FFFF00"/>
                          <w:sz w:val="21"/>
                          <w:szCs w:val="21"/>
                        </w:rPr>
                      </w:pPr>
                      <w:r>
                        <w:rPr>
                          <w:rFonts w:hint="eastAsia"/>
                          <w:color w:val="FFFF00"/>
                          <w:sz w:val="21"/>
                          <w:szCs w:val="21"/>
                        </w:rPr>
                        <w:t>700m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70880" behindDoc="0" locked="0" layoutInCell="1" allowOverlap="1">
                <wp:simplePos x="0" y="0"/>
                <wp:positionH relativeFrom="column">
                  <wp:posOffset>3338195</wp:posOffset>
                </wp:positionH>
                <wp:positionV relativeFrom="paragraph">
                  <wp:posOffset>2447290</wp:posOffset>
                </wp:positionV>
                <wp:extent cx="514350" cy="1981200"/>
                <wp:effectExtent l="57150" t="0" r="19050" b="57150"/>
                <wp:wrapNone/>
                <wp:docPr id="167" name="直接箭头连接符 167"/>
                <wp:cNvGraphicFramePr/>
                <a:graphic xmlns:a="http://schemas.openxmlformats.org/drawingml/2006/main">
                  <a:graphicData uri="http://schemas.microsoft.com/office/word/2010/wordprocessingShape">
                    <wps:wsp>
                      <wps:cNvCnPr/>
                      <wps:spPr>
                        <a:xfrm flipH="1">
                          <a:off x="0" y="0"/>
                          <a:ext cx="514350" cy="1981200"/>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62.85pt;margin-top:192.7pt;height:156pt;width:40.5pt;z-index:251770880;mso-width-relative:page;mso-height-relative:page;" filled="f" stroked="t" coordsize="21600,21600" o:gfxdata="UEsDBAoAAAAAAIdO4kAAAAAAAAAAAAAAAAAEAAAAZHJzL1BLAwQUAAAACACHTuJASt2qH9oAAAAL&#10;AQAADwAAAGRycy9kb3ducmV2LnhtbE2PPU/DMBCGdyT+g3VIbNRuaT6axulQCXVhIa0Eoxu7SUp8&#10;DrbblH/PMcF2H4/ee67c3OzArsaH3qGE+UwAM9g43WMr4bB/ecqBhahQq8GhkfBtAmyq+7tSFdpN&#10;+GaudWwZhWAolIQuxrHgPDSdsSrM3GiQdifnrYrU+pZrryYKtwNfCJFyq3qkC50azbYzzWd9sRLO&#10;XX0+fCS4a6aV32bvu3zaf71K+fgwF2tg0dziHwy/+qQOFTkd3QV1YIOEZJFkhEp4zpMlMCJSkdLk&#10;SMUqWwKvSv7/h+oHUEsDBBQAAAAIAIdO4kCsDyKRBAIAANoDAAAOAAAAZHJzL2Uyb0RvYy54bWyt&#10;U82O0zAQviPxDpbvNO3CliVquoeWwgFBJZYHmDpOYsl/Gnub9iV4ASROwAk47Z2nYZfHYOyUAstl&#10;D+QQjWc838z3zXh2vjOabSUG5WzFJ6MxZ9IKVyvbVvzNxerBGWchgq1BOysrvpeBn8/v35v1vpQn&#10;rnO6lsgIxIay9xXvYvRlUQTRSQNh5Ly0FGwcGoh0xLaoEXpCN7o4GY+nRe+w9uiEDIG8yyHID4h4&#10;F0DXNErIpROXRto4oKLUEIlS6JQPfJ67bRop4qumCTIyXXFiGvOfipC9Sf9iPoOyRfCdEocW4C4t&#10;3OJkQFkqeoRaQgR2ieofKKMEuuCaOBLOFAORrAixmIxvafO6Ay8zF5I6+KPo4f/BipfbNTJV0yZM&#10;H3NmwdDIb95dXb/9ePP1y/cPVz++vU/2508sXSC5eh9KylrYNR5Owa8xcd81aFijlX9OaFkN4sd2&#10;Wez9UWy5i0yQ83Ty6OEpjUFQaPLkbEK7keCLASfheQzxmXSGJaPiISKotosLZy3N1eFQA7YvQhwS&#10;fyWkZOtWSmvyQ6kt6ys+HaoBrWxDq0KFjSfawbacgW7pLYiIuevgtKpTdkoO2G4WGtkWaINW9B3b&#10;/OtaKr2E0A33cmjYrQhKP7U1i3tPygKi6w80tSW2Sc1Bv2RtXL3PsmY/jTzrcVjPtFN/nnP27yc5&#10;/w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K3aof2gAAAAsBAAAPAAAAAAAAAAEAIAAAACIAAABk&#10;cnMvZG93bnJldi54bWxQSwECFAAUAAAACACHTuJArA8ikQQCAADaAwAADgAAAAAAAAABACAAAAAp&#10;AQAAZHJzL2Uyb0RvYy54bWxQSwUGAAAAAAYABgBZAQAAnwU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4265295</wp:posOffset>
                </wp:positionH>
                <wp:positionV relativeFrom="paragraph">
                  <wp:posOffset>2134870</wp:posOffset>
                </wp:positionV>
                <wp:extent cx="683895" cy="389890"/>
                <wp:effectExtent l="0" t="0" r="0" b="0"/>
                <wp:wrapNone/>
                <wp:docPr id="159" name="矩形 159"/>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350m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85pt;margin-top:168.1pt;height:30.7pt;width:53.85pt;z-index:251766784;v-text-anchor:middle;mso-width-relative:page;mso-height-relative:page;" filled="f" stroked="f" coordsize="21600,21600" o:gfxdata="UEsDBAoAAAAAAIdO4kAAAAAAAAAAAAAAAAAEAAAAZHJzL1BLAwQUAAAACACHTuJAgFkD0toAAAAL&#10;AQAADwAAAGRycy9kb3ducmV2LnhtbE2PwU7DMAyG70i8Q2QkbiztNjWsNJ0mBEg7siIhbmlj2kLj&#10;VE3WbW+POcHR9qff319sz24QM06h96QhXSQgkBpve2o1vFXPd/cgQjRkzeAJNVwwwLa8vipMbv2J&#10;XnE+xFZwCIXcaOhiHHMpQ9OhM2HhRyS+ffrJmcjj1Eo7mROHu0EukySTzvTEHzoz4mOHzffh6DSE&#10;et5Xl3H3/vURmnr3RK5a71+0vr1JkwcQEc/xD4ZffVaHkp1qfyQbxKAhU6liVMNqlS1BMKHUZg2i&#10;5s1GZSDLQv7vUP4AUEsDBBQAAAAIAIdO4kDga4/pVAIAAJkEAAAOAAAAZHJzL2Uyb0RvYy54bWyt&#10;VEtu2zAQ3RfoHQjuG9mundqG5cCI4aJA0ARIi65pirQE8FeStpxepkB3PUSOU/QafaSUxEi7yKIb&#10;aYYzesP3ZkaLi6NW5CB8aKwp6fBsQIkw3FaN2ZX086fNmyklITJTMWWNKOmdCPRi+frVonVzMbK1&#10;VZXwBCAmzFtX0jpGNy+KwGuhWTizThgEpfWaRbh+V1SetUDXqhgNBudFa33lvOUiBJyuuyDtEf1L&#10;AK2UDRdry/damNiheqFYBKVQNy7QZb6tlILHaymDiESVFExjfqII7G16FssFm+88c3XD+yuwl1zh&#10;GSfNGoOij1BrFhnZ++YvKN1wb4OV8YxbXXREsiJgMRw80+a2Zk5kLpA6uEfRw/+D5R8PN540FSZh&#10;MqPEMI2W//7+89f9D5JOoE/rwhxpt+7G916AmcgepdfpDRrkmDW9e9RUHCPhODyfvp3OJpRwhGBN&#10;Z1nz4ulj50N8L6wmySipR8uykuxwFSIKIvUhJdUydtMoldumDGlLOpqMB+gmZ5hFiRmAqR34BLOj&#10;hKkdhpxHnyFPvk2QaxZqcmCYjGBVUyWuKKYMXolzxzJZ8bg99tS3trqDYN52kxQc3zSAumIh3jCP&#10;0cFVsFzxGg+pLO5ne4uS2vpv/zpP+egoopS0GEXc5+ueeUGJ+mDQ69lwPE6zm53x5N0Ijj+NbE8j&#10;Zq8vLTgNscaOZzPlR/VgSm/1F+zgKlVFiBmO2p1KvXMZuxXBFnOxWuU0zKtj8crcOp7Au16s9tHK&#10;JrcpCdWp0+uHic2C9tuVVuLUz1lPf5Tl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BZA9LaAAAA&#10;CwEAAA8AAAAAAAAAAQAgAAAAIgAAAGRycy9kb3ducmV2LnhtbFBLAQIUABQAAAAIAIdO4kDga4/p&#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350m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3924300</wp:posOffset>
                </wp:positionH>
                <wp:positionV relativeFrom="paragraph">
                  <wp:posOffset>2449195</wp:posOffset>
                </wp:positionV>
                <wp:extent cx="683895" cy="389890"/>
                <wp:effectExtent l="0" t="0" r="0" b="0"/>
                <wp:wrapNone/>
                <wp:docPr id="163" name="矩形 163"/>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190m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pt;margin-top:192.85pt;height:30.7pt;width:53.85pt;z-index:251768832;v-text-anchor:middle;mso-width-relative:page;mso-height-relative:page;" filled="f" stroked="f" coordsize="21600,21600" o:gfxdata="UEsDBAoAAAAAAIdO4kAAAAAAAAAAAAAAAAAEAAAAZHJzL1BLAwQUAAAACACHTuJArFVLt9oAAAAL&#10;AQAADwAAAGRycy9kb3ducmV2LnhtbE2PQU+DQBCF7yb+h82YeLMLFQuhDE1j1KRHi4npbWFHQNlZ&#10;wm5p++/dnvT2Ju/lzfeKzdkMYqbJ9ZYR4kUEgrixuucW4aN6fchAOK9Yq8EyIVzIwaa8vSlUru2J&#10;32ne+1aEEna5Qui8H3MpXdORUW5hR+LgfdnJKB/OqZV6UqdQbga5jKKVNKrn8KFTIz131PzsjwbB&#10;1fOuuozbz++Da+rtC5sq2b0h3t/F0RqEp7P/C8MVP6BDGZhqe2TtxICwirOwxSM8Zk8piJBIl1dR&#10;IyRJGoMsC/l/Q/kLUEsDBBQAAAAIAIdO4kBmCEa6VAIAAJkEAAAOAAAAZHJzL2Uyb0RvYy54bWyt&#10;VM1uEzEQviPxDpbvdJM0LWnUTRU1KkKqaKWCODteO2vJf9hONuVlkLjxEDwO4jX47N22UeHQA5fd&#10;Gc/sN/6+mdnzi73RZCdCVM7WdHw0okRY7hplNzX99PHqzYySmJhtmHZW1PReRHqxeP3qvPNzMXGt&#10;040IBCA2zjtf0zYlP6+qyFthWDxyXlgEpQuGJbhhUzWBdUA3upqMRqdV50Ljg+MiRpyu+iAdEMNL&#10;AJ2UiouV41sjbOpRg9AsgVJslY90UW4rpeDpRsooEtE1BdNUnigCe52f1eKczTeB+Vbx4QrsJVd4&#10;xskwZVH0EWrFEiPboP6CMooHF51MR9yZqidSFAGL8eiZNnct86JwgdTRP4oe/x8s/7C7DUQ1mITT&#10;Y0osM2j5728/fv38TvIJ9Ol8nCPtzt+GwYswM9m9DCa/QYPsi6b3j5qKfSIch6ez49nZCSUcIViz&#10;s6J59fSxDzG9E86QbNQ0oGVFSba7jgkFkfqQkmtZd6W0Lm3TlnQ1nZxMR+gmZ5hFiRmAaTz4RLuh&#10;hOkNhpynUCAPvs2QKxZbsmOYjOi0ajJXFNMWr8y5Z5mttF/vB+pr19xDsOD6SYqeXylAXbOYblnA&#10;6OAqWK50g4fUDvdzg0VJ68LXf53nfHQUUUo6jCLu82XLgqBEv7fo9dl4Os2zW5zpydsJnHAYWR9G&#10;7NZcOnAaY409L2bOT/rBlMGZz9jBZa6KELMctXuVBucy9SuCLeZiuSxpmFfP0rW98zyD971YbpOT&#10;qrQpC9WrM+iHiS2CDtuVV+LQL1lPf5TF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xVS7faAAAA&#10;CwEAAA8AAAAAAAAAAQAgAAAAIgAAAGRycy9kb3ducmV2LnhtbFBLAQIUABQAAAAIAIdO4kBmCEa6&#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190m</w:t>
                      </w:r>
                    </w:p>
                  </w:txbxContent>
                </v:textbox>
              </v:rect>
            </w:pict>
          </mc:Fallback>
        </mc:AlternateContent>
      </w:r>
      <w:r>
        <w:rPr>
          <w:rFonts w:ascii="宋体" w:hAnsi="宋体" w:eastAsia="宋体" w:cs="宋体"/>
          <w:b/>
          <w:bCs/>
          <w:color w:val="000000" w:themeColor="text1"/>
          <w:spacing w:val="-8"/>
          <w:szCs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3286125</wp:posOffset>
                </wp:positionH>
                <wp:positionV relativeFrom="paragraph">
                  <wp:posOffset>1136650</wp:posOffset>
                </wp:positionV>
                <wp:extent cx="683895" cy="389890"/>
                <wp:effectExtent l="0" t="0" r="0" b="0"/>
                <wp:wrapNone/>
                <wp:docPr id="79" name="矩形 79"/>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B0F0"/>
                                <w:sz w:val="21"/>
                                <w:szCs w:val="21"/>
                              </w:rPr>
                            </w:pPr>
                            <w:r>
                              <w:rPr>
                                <w:rFonts w:hint="eastAsia"/>
                                <w:b/>
                                <w:bCs/>
                                <w:color w:val="00B0F0"/>
                                <w:sz w:val="21"/>
                                <w:szCs w:val="21"/>
                              </w:rPr>
                              <w:t>关溪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8.75pt;margin-top:89.5pt;height:30.7pt;width:53.85pt;z-index:251666432;v-text-anchor:middle;mso-width-relative:page;mso-height-relative:page;" filled="f" stroked="f" coordsize="21600,21600" o:gfxdata="UEsDBAoAAAAAAIdO4kAAAAAAAAAAAAAAAAAEAAAAZHJzL1BLAwQUAAAACACHTuJA3w/MTNkAAAAL&#10;AQAADwAAAGRycy9kb3ducmV2LnhtbE2PQU+DQBCF7yb+h82YeLMLBFqLLE1j1KRHi4npbWFHQNlZ&#10;wm5p++8dT/U4eV/efK/YnO0gZpx870hBvIhAIDXO9NQq+KheHx5B+KDJ6MERKrigh015e1Po3LgT&#10;veO8D63gEvK5VtCFMOZS+qZDq/3CjUicfbnJ6sDn1Eoz6ROX20EmUbSUVvfEHzo94nOHzc/+aBX4&#10;et5Vl3H7+X3wTb19IVuluzel7u/i6AlEwHO4wvCnz+pQslPtjmS8GBRk8SpjlIPVmkcxsUyyBESt&#10;IEmjFGRZyP8byl9QSwMEFAAAAAgAh07iQNfi0GtUAgAAlwQAAA4AAABkcnMvZTJvRG9jLnhtbK1U&#10;S27bMBDdF+gdCO4b2a6d2EbkwIjhokDQBEiLrmmKtATwV5K2nF6mQHc9RI9T9Bp9pBTHSLvIohtp&#10;hjN6w/dmRpdXB63IXvjQWFPS4dmAEmG4rRqzLemnj+s3U0pCZKZiyhpR0gcR6NXi9avL1s3FyNZW&#10;VcITgJgwb11J6xjdvCgCr4Vm4cw6YRCU1msW4fptUXnWAl2rYjQYnBet9ZXzlosQcLrqgrRH9C8B&#10;tFI2XKws32lhYofqhWIRlELduEAX+bZSCh5vpQwiElVSMI35iSKwN+lZLC7ZfOuZqxveX4G95ArP&#10;OGnWGBQ9Qq1YZGTnm7+gdMO9DVbGM2510RHJioDFcPBMm/uaOZG5QOrgjqKH/wfLP+zvPGmqkl7M&#10;KDFMo+O/v/349fM7wQHUaV2YI+ne3fneCzAT1YP0Or1Bghyyog9HRcUhEo7D8+nb6WxCCUcI1nSW&#10;FS+ePnY+xHfCapKMkno0LOvI9jchoiBSH1NSLWPXjVK5acqQtqSjyXiAXnKGSZSYAJjagU0wW0qY&#10;2mLEefQZ8uTbBLlioSZ7hrkIVjVV4opiyuCVOHcskxUPm0NPfWOrB8jlbTdHwfF1A6gbFuId8xgc&#10;XAWrFW/xkMrifra3KKmt//qv85SPfiJKSYtBxH2+7JgXlKj3Bp2eDcfjNLnZGU8uRnD8aWRzGjE7&#10;fW3BaYgldjybKT+qR1N6qz9jA5epKkLMcNTuVOqd69gtCHaYi+Uyp2FaHYs35t7xBN71YrmLVja5&#10;TUmoTp1eP8xrFrTfrbQQp37OevqfL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3w/MTNkAAAAL&#10;AQAADwAAAAAAAAABACAAAAAiAAAAZHJzL2Rvd25yZXYueG1sUEsBAhQAFAAAAAgAh07iQNfi0GtU&#10;AgAAlwQAAA4AAAAAAAAAAQAgAAAAKAEAAGRycy9lMm9Eb2MueG1sUEsFBgAAAAAGAAYAWQEAAO4F&#10;AAAAAA==&#10;">
                <v:fill on="f" focussize="0,0"/>
                <v:stroke on="f" weight="2pt"/>
                <v:imagedata o:title=""/>
                <o:lock v:ext="edit" aspectratio="f"/>
                <v:textbox>
                  <w:txbxContent>
                    <w:p>
                      <w:pPr>
                        <w:jc w:val="center"/>
                        <w:rPr>
                          <w:b/>
                          <w:bCs/>
                          <w:color w:val="00B0F0"/>
                          <w:sz w:val="21"/>
                          <w:szCs w:val="21"/>
                        </w:rPr>
                      </w:pPr>
                      <w:r>
                        <w:rPr>
                          <w:rFonts w:hint="eastAsia"/>
                          <w:b/>
                          <w:bCs/>
                          <w:color w:val="00B0F0"/>
                          <w:sz w:val="21"/>
                          <w:szCs w:val="21"/>
                        </w:rPr>
                        <w:t>关溪</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3789680</wp:posOffset>
                </wp:positionH>
                <wp:positionV relativeFrom="paragraph">
                  <wp:posOffset>1621155</wp:posOffset>
                </wp:positionV>
                <wp:extent cx="683895" cy="389890"/>
                <wp:effectExtent l="0" t="0" r="0" b="0"/>
                <wp:wrapNone/>
                <wp:docPr id="161" name="矩形 161"/>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600m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4pt;margin-top:127.65pt;height:30.7pt;width:53.85pt;z-index:251767808;v-text-anchor:middle;mso-width-relative:page;mso-height-relative:page;" filled="f" stroked="f" coordsize="21600,21600" o:gfxdata="UEsDBAoAAAAAAIdO4kAAAAAAAAAAAAAAAAAEAAAAZHJzL1BLAwQUAAAACACHTuJA1yQzrdsAAAAL&#10;AQAADwAAAGRycy9kb3ducmV2LnhtbE2PQU+DQBSE7yb+h80z8WYX2kJb5NE0Rk16bDEx3hb2CSj7&#10;lrBb2v5715MeJzOZ+SbfXkwvJhpdZxkhnkUgiGurO24Q3sqXhzUI5xVr1VsmhCs52Ba3N7nKtD3z&#10;gaajb0QoYZcphNb7IZPS1S0Z5WZ2IA7epx2N8kGOjdSjOody08t5FKXSqI7DQqsGemqp/j6eDIKr&#10;pn15HXbvXx+urnbPbMrl/hXx/i6OHkF4uvi/MPziB3QoAlNlT6yd6BGSTRrQPcI8SRYgQmIVLRMQ&#10;FcIiTlcgi1z+/1D8AFBLAwQUAAAACACHTuJAWjw9kVQCAACZBAAADgAAAGRycy9lMm9Eb2MueG1s&#10;rVTNbhMxEL4j8Q6W73STkJY06qaKGhUhVbRSQZwdr5215D9sJ5vyMkjceIg+DuI1+OzdtlHh0AOX&#10;3RnP7DfzfTPes/O90WQnQlTO1nR8NKJEWO4aZTc1/fzp8s2MkpiYbZh2VtT0TkR6vnj96qzzczFx&#10;rdONCAQgNs47X9M2JT+vqshbYVg8cl5YBKULhiW4YVM1gXVAN7qajEYnVedC44PjIkacrvogHRDD&#10;SwCdlIqLleNbI2zqUYPQLIFSbJWPdFG6lVLwdC1lFInomoJpKk8Ugb3Oz2pxxuabwHyr+NACe0kL&#10;zzgZpiyKPkKtWGJkG9RfUEbx4KKT6Yg7U/VEiiJgMR490+a2ZV4ULpA6+kfR4/+D5R93N4GoBptw&#10;MqbEMoOR//7+89f9D5JPoE/n4xxpt/4mDF6EmcnuZTD5DRpkXzS9e9RU7BPhODyZvZ2dHlPCEYI1&#10;Oy2aV08f+xDTe+EMyUZNA0ZWlGS7q5hQEKkPKbmWdZdK6zI2bUlX08nxdIRpcoZdlNgBmMaDT7Qb&#10;SpjeYMl5CgXy4NsMuWKxJTuGzYhOqyZzRTFt8cqce5bZSvv1fqC+ds0dBAuu36To+aUC1BWL6YYF&#10;rA5aweVK13hI7dCfGyxKWhe+/es852OiiFLSYRXRz9ctC4IS/cFi1qfj6TTvbnGmx+8mcMJhZH0Y&#10;sVtz4cAJ00R3xcz5ST+YMjjzBXdwmasixCxH7V6lwblI/RXBLeZiuSxp2FfP0pW99TyD97NYbpOT&#10;qowpC9WrM+iHjS2CDrcrX4lDv2Q9/VE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XJDOt2wAA&#10;AAsBAAAPAAAAAAAAAAEAIAAAACIAAABkcnMvZG93bnJldi54bWxQSwECFAAUAAAACACHTuJAWjw9&#10;kVQCAACZBAAADgAAAAAAAAABACAAAAAqAQAAZHJzL2Uyb0RvYy54bWxQSwUGAAAAAAYABgBZAQAA&#10;8AUAAAAA&#10;">
                <v:fill on="f" focussize="0,0"/>
                <v:stroke on="f" weight="2pt"/>
                <v:imagedata o:title=""/>
                <o:lock v:ext="edit" aspectratio="f"/>
                <v:textbox>
                  <w:txbxContent>
                    <w:p>
                      <w:pPr>
                        <w:jc w:val="center"/>
                        <w:rPr>
                          <w:color w:val="FFFF00"/>
                          <w:sz w:val="21"/>
                          <w:szCs w:val="21"/>
                        </w:rPr>
                      </w:pPr>
                      <w:r>
                        <w:rPr>
                          <w:rFonts w:hint="eastAsia"/>
                          <w:color w:val="FFFF00"/>
                          <w:sz w:val="21"/>
                          <w:szCs w:val="21"/>
                        </w:rPr>
                        <w:t>600m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2884170</wp:posOffset>
                </wp:positionH>
                <wp:positionV relativeFrom="paragraph">
                  <wp:posOffset>2763520</wp:posOffset>
                </wp:positionV>
                <wp:extent cx="683895" cy="389890"/>
                <wp:effectExtent l="0" t="0" r="0" b="0"/>
                <wp:wrapNone/>
                <wp:docPr id="157" name="矩形 157"/>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530m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1pt;margin-top:217.6pt;height:30.7pt;width:53.85pt;z-index:251765760;v-text-anchor:middle;mso-width-relative:page;mso-height-relative:page;" filled="f" stroked="f" coordsize="21600,21600" o:gfxdata="UEsDBAoAAAAAAIdO4kAAAAAAAAAAAAAAAAAEAAAAZHJzL1BLAwQUAAAACACHTuJAzusGEtkAAAAL&#10;AQAADwAAAGRycy9kb3ducmV2LnhtbE2PQU+DQBCF7yb+h82YeLMLFYilLE1j1KRHi4npbWFHQNlZ&#10;wm5p++8dT/X2Zt7Lm2+KzdkOYsbJ944UxIsIBFLjTE+tgo/q9eEJhA+ajB4coYILetiUtzeFzo07&#10;0TvO+9AKLiGfawVdCGMupW86tNov3IjE3pebrA48Tq00kz5xuR3kMooyaXVPfKHTIz532Pzsj1aB&#10;r+dddRm3n98H39TbF7JVsntT6v4ujtYgAp7DNQx/+IwOJTPV7kjGi0FBkiZLjrJ4TFlwIs3iFYia&#10;N6ssA1kW8v8P5S9QSwMEFAAAAAgAh07iQFTn7jlUAgAAmQQAAA4AAABkcnMvZTJvRG9jLnhtbK1U&#10;S27bMBDdF+gdCO5r2a6dOEbkwIiRokDQBEiLrmmKtATwV5K27F6mQHc9RI9T9Bp9pBTHSLvIohtp&#10;hjN6w/dmRpdXe63ITvjQWFPS0WBIiTDcVo3ZlPTTx5s3M0pCZKZiyhpR0oMI9Grx+tVl6+ZibGur&#10;KuEJQEyYt66kdYxuXhSB10KzMLBOGASl9ZpFuH5TVJ61QNeqGA+HZ0VrfeW85SIEnK66IO0R/UsA&#10;rZQNFyvLt1qY2KF6oVgEpVA3LtBFvq2Ugsc7KYOIRJUUTGN+ogjsdXoWi0s233jm6ob3V2AvucIz&#10;Tpo1BkWPUCsWGdn65i8o3XBvg5VxwK0uOiJZEbAYDZ9p81AzJzIXSB3cUfTw/2D5h929J02FSZie&#10;U2KYRst/f/vx6+d3kk6gT+vCHGkP7t73XoCZyO6l1+kNGmSfNT0cNRX7SDgOz2ZvZxdTSjhCsGYX&#10;WfPi6WPnQ3wnrCbJKKlHy7KSbHcbIgoi9TEl1TL2plEqt00Z0pZ0PJ0M0U3OMIsSMwBTO/AJZkMJ&#10;UxsMOY8+Q558myBXLNRkxzAZwaqmSlxRTBm8EueOZbLifr3vqa9tdYBg3naTFBy/aQB1y0K8Zx6j&#10;g6tgueIdHlJZ3M/2FiW19V//dZ7y0VFEKWkxirjPly3zghL13qDXF6PJJM1udibT8zEcfxpZn0bM&#10;Vl9bcBphjR3PZsqP6tGU3urP2MFlqooQMxy1O5V65zp2K4It5mK5zGmYV8firXlwPIF3vVhuo5VN&#10;blMSqlOn1w8TmwXttyutxKmfs57+KI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zusGEtkAAAAL&#10;AQAADwAAAAAAAAABACAAAAAiAAAAZHJzL2Rvd25yZXYueG1sUEsBAhQAFAAAAAgAh07iQFTn7jlU&#10;AgAAmQQAAA4AAAAAAAAAAQAgAAAAKAEAAGRycy9lMm9Eb2MueG1sUEsFBgAAAAAGAAYAWQEAAO4F&#10;AAAAAA==&#10;">
                <v:fill on="f" focussize="0,0"/>
                <v:stroke on="f" weight="2pt"/>
                <v:imagedata o:title=""/>
                <o:lock v:ext="edit" aspectratio="f"/>
                <v:textbox>
                  <w:txbxContent>
                    <w:p>
                      <w:pPr>
                        <w:jc w:val="center"/>
                        <w:rPr>
                          <w:color w:val="FFFF00"/>
                          <w:sz w:val="21"/>
                          <w:szCs w:val="21"/>
                        </w:rPr>
                      </w:pPr>
                      <w:r>
                        <w:rPr>
                          <w:rFonts w:hint="eastAsia"/>
                          <w:color w:val="FFFF00"/>
                          <w:sz w:val="21"/>
                          <w:szCs w:val="21"/>
                        </w:rPr>
                        <w:t>530m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2884170</wp:posOffset>
                </wp:positionH>
                <wp:positionV relativeFrom="paragraph">
                  <wp:posOffset>1934845</wp:posOffset>
                </wp:positionV>
                <wp:extent cx="683895" cy="389890"/>
                <wp:effectExtent l="0" t="0" r="0" b="0"/>
                <wp:wrapNone/>
                <wp:docPr id="155" name="矩形 155"/>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280m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1pt;margin-top:152.35pt;height:30.7pt;width:53.85pt;z-index:251764736;v-text-anchor:middle;mso-width-relative:page;mso-height-relative:page;" filled="f" stroked="f" coordsize="21600,21600" o:gfxdata="UEsDBAoAAAAAAIdO4kAAAAAAAAAAAAAAAAAEAAAAZHJzL1BLAwQUAAAACACHTuJABYJ5O9oAAAAL&#10;AQAADwAAAGRycy9kb3ducmV2LnhtbE2PwU7DMAyG70i8Q2Qkbizp6AqUptOEAGnHrUiIW9qYttA4&#10;VZN129tjTnC0/en39xfrkxvEjFPoPWlIFgoEUuNtT62Gt+rl5h5EiIasGTyhhjMGWJeXF4XJrT/S&#10;Dud9bAWHUMiNhi7GMZcyNB06ExZ+ROLbp5+ciTxOrbSTOXK4G+RSqUw60xN/6MyITx023/uD0xDq&#10;eVudx83710do6s0zuSrdvmp9fZWoRxART/EPhl99VoeSnWp/IBvEoCFdpUtGNdyq9A4EE6sseQBR&#10;8ybLEpBlIf93KH8AUEsDBBQAAAAIAIdO4kBo05USUwIAAJkEAAAOAAAAZHJzL2Uyb0RvYy54bWyt&#10;VM1uEzEQviPxDpbvdJOQlDTqpooaFSFVUKkgzo7XzlryH7aTTXkZJG48BI+DeA0+e7dtVDj0wGV3&#10;xjP7jb9vZvb84mA02YsQlbM1HZ+MKBGWu0bZbU0/fbx6NackJmYbpp0VNb0TkV4sX7447/xCTFzr&#10;dCMCAYiNi87XtE3JL6oq8lYYFk+cFxZB6YJhCW7YVk1gHdCNriaj0WnVudD44LiIEafrPkgHxPAc&#10;QCel4mLt+M4Im3rUIDRLoBRb5SNdlttKKXj6IGUUieiagmkqTxSBvcnPannOFtvAfKv4cAX2nCs8&#10;4WSYsij6ALVmiZFdUH9BGcWDi06mE+5M1RMpioDFePREm9uWeVG4QOroH0SP/w+Wv9/fBKIaTMJs&#10;RollBi3//e3Hr5/fST6BPp2PC6Td+psweBFmJnuQweQ3aJBD0fTuQVNxSITj8HT+en4GZI4QrPlZ&#10;0bx6/NiHmN4KZ0g2ahrQsqIk21/HhIJIvU/Jtay7UlqXtmlLuppOZtMRuskZZlFiBmAaDz7Rbilh&#10;eosh5ykUyKNvM+SaxZbsGSYjOq2azBXFtMUrc+5ZZisdNoeB+sY1dxAsuH6SoudXClDXLKYbFjA6&#10;uAqWK33AQ2qH+7nBoqR14eu/znM+OoooJR1GEff5smNBUKLfWfT6bDyd5tktznT2ZgInHEc2xxG7&#10;M5cOnMZYY8+LmfOTvjdlcOYzdnCVqyLELEftXqXBuUz9imCLuVitShrm1bN0bW89z+B9L1a75KQq&#10;bcpC9eoM+mFii6DDduWVOPZL1uMfZf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YJ5O9oAAAAL&#10;AQAADwAAAAAAAAABACAAAAAiAAAAZHJzL2Rvd25yZXYueG1sUEsBAhQAFAAAAAgAh07iQGjTlRJT&#10;AgAAmQQAAA4AAAAAAAAAAQAgAAAAKQEAAGRycy9lMm9Eb2MueG1sUEsFBgAAAAAGAAYAWQEAAO4F&#10;AAAAAA==&#10;">
                <v:fill on="f" focussize="0,0"/>
                <v:stroke on="f" weight="2pt"/>
                <v:imagedata o:title=""/>
                <o:lock v:ext="edit" aspectratio="f"/>
                <v:textbox>
                  <w:txbxContent>
                    <w:p>
                      <w:pPr>
                        <w:jc w:val="center"/>
                        <w:rPr>
                          <w:color w:val="FFFF00"/>
                          <w:sz w:val="21"/>
                          <w:szCs w:val="21"/>
                        </w:rPr>
                      </w:pPr>
                      <w:r>
                        <w:rPr>
                          <w:rFonts w:hint="eastAsia"/>
                          <w:color w:val="FFFF00"/>
                          <w:sz w:val="21"/>
                          <w:szCs w:val="21"/>
                        </w:rPr>
                        <w:t>280m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4090670</wp:posOffset>
                </wp:positionH>
                <wp:positionV relativeFrom="paragraph">
                  <wp:posOffset>2409190</wp:posOffset>
                </wp:positionV>
                <wp:extent cx="1228725" cy="352425"/>
                <wp:effectExtent l="0" t="0" r="47625" b="85725"/>
                <wp:wrapNone/>
                <wp:docPr id="153" name="直接箭头连接符 153"/>
                <wp:cNvGraphicFramePr/>
                <a:graphic xmlns:a="http://schemas.openxmlformats.org/drawingml/2006/main">
                  <a:graphicData uri="http://schemas.microsoft.com/office/word/2010/wordprocessingShape">
                    <wps:wsp>
                      <wps:cNvCnPr/>
                      <wps:spPr>
                        <a:xfrm>
                          <a:off x="0" y="0"/>
                          <a:ext cx="1228725" cy="352425"/>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2.1pt;margin-top:189.7pt;height:27.75pt;width:96.75pt;z-index:251763712;mso-width-relative:page;mso-height-relative:page;" filled="f" stroked="t" coordsize="21600,21600" o:gfxdata="UEsDBAoAAAAAAIdO4kAAAAAAAAAAAAAAAAAEAAAAZHJzL1BLAwQUAAAACACHTuJA1gQBStwAAAAL&#10;AQAADwAAAGRycy9kb3ducmV2LnhtbE2Py07DMBBF90j8gzVI7KjTxmraEKcSSAiBRAWhm+7ceJqE&#10;2uPIdh/8PWYFy9E9uvdMtbpYw07ow+BIwnSSAUNqnR6ok7D5fLpbAAtRkVbGEUr4xgCr+vqqUqV2&#10;Z/rAUxM7lkoolEpCH+NYch7aHq0KEzcipWzvvFUxnb7j2qtzKreGz7Jszq0aKC30asTHHttDc7QS&#10;qLFf/uXh8CbafRde4/vzdm1yKW9vptk9sIiX+AfDr35Shzo57dyRdGBGwlyIWUIl5MVSAEvEIi8K&#10;YDsJIhdL4HXF//9Q/wBQSwMEFAAAAAgAh07iQJrAqsABAgAA0AMAAA4AAABkcnMvZTJvRG9jLnht&#10;bK1TS44TMRDdI3EHy3vS+ZBh1EpnFglhg2Ak4ACO291tyT9VedLJJbgAEitgBaxmz2lgOAZld8jA&#10;sJkFvXCXy65X9V6VFxd7a9hOAWrvKj4ZjTlTTvpau7bib15vHp1zhlG4WhjvVMUPCvnF8uGDRR9K&#10;NfWdN7UCRiAOyz5UvIsxlEWBslNW4MgH5eiw8WBFpC20RQ2iJ3Rriul4fFb0HuoAXipE8q6HQ35E&#10;hPsA+qbRUq29vLLKxQEVlBGRKGGnA/JlrrZplIwvmwZVZKbixDTmlZKQvU1rsVyIsgUROi2PJYj7&#10;lHCHkxXaUdIT1FpEwa5A/wNltQSPvokj6W0xEMmKEIvJ+I42rzoRVOZCUmM4iY7/D1a+2F0C0zVN&#10;wnzGmROWWn7z7vrH2483X798/3D989v7ZH/+xNIFkqsPWFLUyl3CcYfhEhL3fQM2/YkV22eJDyeJ&#10;1T4ySc7JdHr+ZDrnTNLZbD59TDbBFLfRATA+U96yZFQcIwjddnHlnaNuephkncXuOcYh8HdASu38&#10;RhtDflEax/qKn83m1GopaFAbGhAybSCy6FrOhGnpBcgIGRG90XWKTsEI7XZlgO0Ezc2GvnEeFSrz&#10;r2sp9VpgN9zLR8NERaHNU1ezeAikpwDw/ZGmccQ2aTiolqytrw9ZzOynRmc9jkOZJunPfY6+fYjL&#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YEAUrcAAAACwEAAA8AAAAAAAAAAQAgAAAAIgAAAGRy&#10;cy9kb3ducmV2LnhtbFBLAQIUABQAAAAIAIdO4kCawKrAAQIAANADAAAOAAAAAAAAAAEAIAAAACsB&#10;AABkcnMvZTJvRG9jLnhtbFBLBQYAAAAABgAGAFkBAACeBQ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3919220</wp:posOffset>
                </wp:positionH>
                <wp:positionV relativeFrom="paragraph">
                  <wp:posOffset>628015</wp:posOffset>
                </wp:positionV>
                <wp:extent cx="551180" cy="1609725"/>
                <wp:effectExtent l="0" t="38100" r="58420" b="28575"/>
                <wp:wrapNone/>
                <wp:docPr id="151" name="直接箭头连接符 151"/>
                <wp:cNvGraphicFramePr/>
                <a:graphic xmlns:a="http://schemas.openxmlformats.org/drawingml/2006/main">
                  <a:graphicData uri="http://schemas.microsoft.com/office/word/2010/wordprocessingShape">
                    <wps:wsp>
                      <wps:cNvCnPr/>
                      <wps:spPr>
                        <a:xfrm flipV="1">
                          <a:off x="0" y="0"/>
                          <a:ext cx="551180" cy="1609725"/>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8.6pt;margin-top:49.45pt;height:126.75pt;width:43.4pt;z-index:251762688;mso-width-relative:page;mso-height-relative:page;" filled="f" stroked="t" coordsize="21600,21600" o:gfxdata="UEsDBAoAAAAAAIdO4kAAAAAAAAAAAAAAAAAEAAAAZHJzL1BLAwQUAAAACACHTuJAntZ7/NoAAAAK&#10;AQAADwAAAGRycy9kb3ducmV2LnhtbE2Py07DMBBF90j8gzVI7KiT0DYP4nRRCXXDhrQSLN3YxCnx&#10;ONhuU/6eYQXL0Rzde269udqRXbQPg0MB6SIBprFzasBewGH//FAAC1GikqNDLeBbB9g0tze1rJSb&#10;8VVf2tgzCsFQSQEmxqniPHRGWxkWbtJIvw/nrYx0+p4rL2cKtyPPkmTNrRyQGoyc9Nbo7rM9WwEn&#10;054O7yvcdXPpt/nbrpj3Xy9C3N+lyROwqK/xD4ZffVKHhpyO7owqsFHAOs0zQgWURQmMgDxZ0rij&#10;gMdVtgTe1Pz/hOYHUEsDBBQAAAAIAIdO4kAazxa4BwIAANoDAAAOAAAAZHJzL2Uyb0RvYy54bWyt&#10;U82O0zAQviPxDpbvNMmiliVquoeWckFQiZ+769iJJf9p7G3al+AFkDgBJ5bT3nkaWB6DsVMKLJc9&#10;kEM0nvF8M9834/nF3miyExCUsw2tJiUlwnLXKts19PWr9YNzSkJktmXaWdHQgwj0YnH/3nzwtThz&#10;vdOtAIIgNtSDb2gfo6+LIvBeGBYmzguLQenAsIhH6IoW2IDoRhdnZTkrBgetB8dFCOhdjUF6RIS7&#10;ADopFRcrxy+NsHFEBaFZREqhVz7QRe5WSsHjCymDiEQ3FJnG/MciaG/Tv1jMWd0B873ixxbYXVq4&#10;xckwZbHoCWrFIiOXoP6BMoqDC07GCXemGIlkRZBFVd7S5mXPvMhcUOrgT6KH/wfLn+82QFSLmzCt&#10;KLHM4Mhv3l1/f/vx5svVtw/XP76+T/bnTyRdQLkGH2rMWtoNHE/BbyBx30swRGrl3yBaVgP5kX0W&#10;+3ASW+wj4eicTqvqHMfAMVTNysePzqYJvhhxEp6HEJ8KZ0gyGhoiMNX1cemsxbk6GGuw3bMQx8Rf&#10;CSnZurXSGv2s1pYMDZ09nKZqDFdW4qqgaTzSDrajhOkO3wKPkLsOTqs2ZafkAN12qYHsGG7QGr8y&#10;Lw22+de1VHrFQj/ey6FxtyJT+oltSTx4VJYBuOFIU1tkm9Qc9UvW1rWHLGv248izHsf1TDv15zln&#10;/36Si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e1nv82gAAAAoBAAAPAAAAAAAAAAEAIAAAACIA&#10;AABkcnMvZG93bnJldi54bWxQSwECFAAUAAAACACHTuJAGs8WuAcCAADaAwAADgAAAAAAAAABACAA&#10;AAApAQAAZHJzL2Uyb0RvYy54bWxQSwUGAAAAAAYABgBZAQAAogU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4387850</wp:posOffset>
                </wp:positionH>
                <wp:positionV relativeFrom="paragraph">
                  <wp:posOffset>2631440</wp:posOffset>
                </wp:positionV>
                <wp:extent cx="933450" cy="295275"/>
                <wp:effectExtent l="0" t="0" r="0" b="0"/>
                <wp:wrapNone/>
                <wp:docPr id="149" name="矩形 149"/>
                <wp:cNvGraphicFramePr/>
                <a:graphic xmlns:a="http://schemas.openxmlformats.org/drawingml/2006/main">
                  <a:graphicData uri="http://schemas.microsoft.com/office/word/2010/wordprocessingShape">
                    <wps:wsp>
                      <wps:cNvSpPr/>
                      <wps:spPr>
                        <a:xfrm>
                          <a:off x="0" y="0"/>
                          <a:ext cx="933450" cy="2952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color w:val="FFFF00"/>
                                <w:spacing w:val="6"/>
                                <w:sz w:val="21"/>
                                <w:szCs w:val="21"/>
                              </w:rPr>
                              <w:t>下底铺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5pt;margin-top:207.2pt;height:23.25pt;width:73.5pt;z-index:251761664;v-text-anchor:middle;mso-width-relative:page;mso-height-relative:page;" filled="f" stroked="f" coordsize="21600,21600" o:gfxdata="UEsDBAoAAAAAAIdO4kAAAAAAAAAAAAAAAAAEAAAAZHJzL1BLAwQUAAAACACHTuJA7QwVntkAAAAL&#10;AQAADwAAAGRycy9kb3ducmV2LnhtbE2PwU7DMBBE70j8g7VI3KgdiKI0xKkqBEg90iAhbk68JIF4&#10;HcVu2v49y4ked3Y086bcnNwoFpzD4ElDslIgkFpvB+o0vNcvdzmIEA1ZM3pCDWcMsKmur0pTWH+k&#10;N1z2sRMcQqEwGvoYp0LK0PboTFj5CYl/X352JvI5d9LO5sjhbpT3SmXSmYG4oTcTPvXY/uwPTkNo&#10;ll19nrYf35+hbbbP5Op096r17U2iHkFEPMV/M/zhMzpUzNT4A9kgRg3ZOuEtUUOapCkIduQPOSsN&#10;K5lag6xKebmh+gVQSwMEFAAAAAgAh07iQIG2mG5SAgAAmQQAAA4AAABkcnMvZTJvRG9jLnhtbK1U&#10;zW4TMRC+I/EOlu90kzShJGpSRY2KkCpaKSDOjtfOWvIftpNNeRkkbjxEHwfxGnz2btuocOiBizPj&#10;mf083zczOb84GE32IkTl7JwOTwaUCMtdrex2Tj9/unrzjpKYmK2ZdlbM6Z2I9GLx+tV562di5Bqn&#10;axEIQGyctX5Om5T8rKoib4Rh8cR5YRGULhiW4IZtVQfWAt3oajQYvK1aF2ofHBcx4nbVBWmPGF4C&#10;6KRUXKwc3xlhU4cahGYJlGKjfKSLUq2UgqcbKaNIRM8pmKZy4hHYm3xWi3M22wbmG8X7EthLSnjG&#10;yTBl8egj1IolRnZB/QVlFA8uOplOuDNVR6QoAhbDwTNt1g3zonCB1NE/ih7/Hyz/uL8NRNWYhPGU&#10;EssMWv77+89f9z9IvoE+rY8zpK39bei9CDOTPchg8i9okEPR9O5RU3FIhONyeno6nkBtjtBoOhmd&#10;TTJm9fSxDzG9F86QbMxpQMuKkmx/HVOX+pCS37LuSmmNezbTlrQAnYwHGZ9hFiVmAKbx4BPtlhKm&#10;txhynkKBPPo2Q65YbMieYTKi06ru69IW5WXOHctspcPm0FPfuPoOggXXTVL0/EoB6prFdMsCRgel&#10;YLnSDQ6pHepzvUVJ48K3f93nfHQUUUpajCLq+bpjQVCiP1j0ejocjwGbijOenI3ghOPI5jhid+bS&#10;gdMQa+x5MXN+0g+mDM58wQ4u86sIMcvxdqdS71ymbkWwxVwslyUN8+pZurZrzzN414vlLjmpSpuy&#10;UJ06vX6Y2NLofrvyShz7JevpH2Xx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0MFZ7ZAAAACwEA&#10;AA8AAAAAAAAAAQAgAAAAIgAAAGRycy9kb3ducmV2LnhtbFBLAQIUABQAAAAIAIdO4kCBtphuUgIA&#10;AJkEAAAOAAAAAAAAAAEAIAAAACgBAABkcnMvZTJvRG9jLnhtbFBLBQYAAAAABgAGAFkBAADsBQAA&#10;AAA=&#10;">
                <v:fill on="f" focussize="0,0"/>
                <v:stroke on="f" weight="2pt"/>
                <v:imagedata o:title=""/>
                <o:lock v:ext="edit" aspectratio="f"/>
                <v:textbox>
                  <w:txbxContent>
                    <w:p>
                      <w:pPr>
                        <w:jc w:val="center"/>
                        <w:rPr>
                          <w:color w:val="FFFF00"/>
                          <w:sz w:val="21"/>
                          <w:szCs w:val="21"/>
                        </w:rPr>
                      </w:pPr>
                      <w:r>
                        <w:rPr>
                          <w:color w:val="FFFF00"/>
                          <w:spacing w:val="6"/>
                          <w:sz w:val="21"/>
                          <w:szCs w:val="21"/>
                        </w:rPr>
                        <w:t>下底铺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5069840</wp:posOffset>
                </wp:positionH>
                <wp:positionV relativeFrom="paragraph">
                  <wp:posOffset>2627630</wp:posOffset>
                </wp:positionV>
                <wp:extent cx="933450" cy="295275"/>
                <wp:effectExtent l="0" t="0" r="0" b="0"/>
                <wp:wrapNone/>
                <wp:docPr id="147" name="矩形 147"/>
                <wp:cNvGraphicFramePr/>
                <a:graphic xmlns:a="http://schemas.openxmlformats.org/drawingml/2006/main">
                  <a:graphicData uri="http://schemas.microsoft.com/office/word/2010/wordprocessingShape">
                    <wps:wsp>
                      <wps:cNvSpPr/>
                      <wps:spPr>
                        <a:xfrm>
                          <a:off x="0" y="0"/>
                          <a:ext cx="933450" cy="2952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pacing w:val="6"/>
                                <w:sz w:val="21"/>
                                <w:szCs w:val="21"/>
                              </w:rPr>
                              <w:t>周尧小学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9.2pt;margin-top:206.9pt;height:23.25pt;width:73.5pt;z-index:251760640;v-text-anchor:middle;mso-width-relative:page;mso-height-relative:page;" filled="f" stroked="f" coordsize="21600,21600" o:gfxdata="UEsDBAoAAAAAAIdO4kAAAAAAAAAAAAAAAAAEAAAAZHJzL1BLAwQUAAAACACHTuJAb8FWX9kAAAAL&#10;AQAADwAAAGRycy9kb3ducmV2LnhtbE2Py07DMBBF90j8gzVI7KgdmpY2xKkqBEhd0iAhdk48JIF4&#10;HMVu2v49w6os587RfeSbk+vFhGPoPGlIZgoEUu1tR42G9/LlbgUiREPW9J5QwxkDbIrrq9xk1h/p&#10;Dad9bASbUMiMhjbGIZMy1C06E2Z+QOLflx+diXyOjbSjObK56+W9UkvpTEec0JoBn1qsf/YHpyFU&#10;0648D9uP789QV9tncmW6e9X69iZRjyAinuIFhr/6XB0K7lT5A9kgeg0P61XKqIY0mfMGJtbpgpWK&#10;laWagyxy+X9D8QtQSwMEFAAAAAgAh07iQDU6+b5SAgAAmQQAAA4AAABkcnMvZTJvRG9jLnhtbK1U&#10;zW4TMRC+I/EOlu90kzShNEpSRY2CkCpaqSDOjtfOWvIftpNNeRkkbjxEHwfxGnz2btuocOiBizPj&#10;mf083zczmV0cjCZ7EaJydk6HJwNKhOWuVnY7p58/rd+8oyQmZmumnRVzeicivVi8fjVr/VSMXON0&#10;LQIBiI3T1s9pk5KfVlXkjTAsnjgvLILSBcMS3LCt6sBaoBtdjQaDt1XrQu2D4yJG3K66IO0Rw0sA&#10;nZSKi5XjOyNs6lCD0CyBUmyUj3RRqpVS8HQtZRSJ6DkF01ROPAJ7k89qMWPTbWC+Ubwvgb2khGec&#10;DFMWjz5CrVhiZBfUX1BG8eCik+mEO1N1RIoiYDEcPNPmtmFeFC6QOvpH0eP/g+Uf9zeBqBqTMD6j&#10;xDKDlv/+/vPX/Q+Sb6BP6+MUabf+JvRehJnJHmQw+Rc0yKFoeveoqTgkwnF5fno6nkBtjtDofDI6&#10;m2TM6uljH2J6L5wh2ZjTgJYVJdn+KqYu9SElv2XdWmmNezbVlrQAnYwHGZ9hFiVmAKbx4BPtlhKm&#10;txhynkKBPPo2Q65YbMieYTKi06ru69IW5WXOHctspcPm0FPfuPoOggXXTVL0fK0AdcViumEBo4NS&#10;sFzpGofUDvW53qKkceHbv+5zPjqKKCUtRhH1fN2xICjRHyx6fT4cjwGbijOenI3ghOPI5jhid+bS&#10;gdMQa+x5MXN+0g+mDM58wQ4u86sIMcvxdqdS71ymbkWwxVwslyUN8+pZurK3nmfwrhfLXXJSlTZl&#10;oTp1ev0wsaXR/XbllTj2S9bTP8ri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G/BVl/ZAAAACwEA&#10;AA8AAAAAAAAAAQAgAAAAIgAAAGRycy9kb3ducmV2LnhtbFBLAQIUABQAAAAIAIdO4kA1Ovm+UgIA&#10;AJkEAAAOAAAAAAAAAAEAIAAAACgBAABkcnMvZTJvRG9jLnhtbFBLBQYAAAAABgAGAFkBAADsBQAA&#10;AAA=&#10;">
                <v:fill on="f" focussize="0,0"/>
                <v:stroke on="f" weight="2pt"/>
                <v:imagedata o:title=""/>
                <o:lock v:ext="edit" aspectratio="f"/>
                <v:textbox>
                  <w:txbxContent>
                    <w:p>
                      <w:pPr>
                        <w:jc w:val="center"/>
                        <w:rPr>
                          <w:color w:val="FFFF00"/>
                          <w:sz w:val="21"/>
                          <w:szCs w:val="21"/>
                        </w:rPr>
                      </w:pPr>
                      <w:r>
                        <w:rPr>
                          <w:rFonts w:hint="eastAsia"/>
                          <w:color w:val="FFFF00"/>
                          <w:spacing w:val="6"/>
                          <w:sz w:val="21"/>
                          <w:szCs w:val="21"/>
                        </w:rPr>
                        <w:t>周尧小学</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5290185</wp:posOffset>
                </wp:positionH>
                <wp:positionV relativeFrom="paragraph">
                  <wp:posOffset>2023110</wp:posOffset>
                </wp:positionV>
                <wp:extent cx="683895" cy="389890"/>
                <wp:effectExtent l="0" t="0" r="0" b="0"/>
                <wp:wrapNone/>
                <wp:docPr id="145" name="矩形 145"/>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周店村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6.55pt;margin-top:159.3pt;height:30.7pt;width:53.85pt;z-index:251759616;v-text-anchor:middle;mso-width-relative:page;mso-height-relative:page;" filled="f" stroked="f" coordsize="21600,21600" o:gfxdata="UEsDBAoAAAAAAIdO4kAAAAAAAAAAAAAAAAAEAAAAZHJzL1BLAwQUAAAACACHTuJAIKT49tkAAAAL&#10;AQAADwAAAGRycy9kb3ducmV2LnhtbE2PwU7DMAyG70i8Q2QkbiwpnabSNZ0mBEg7siIhbmnjtYXG&#10;qZqs294ec2JH259+f3+xObtBzDiF3pOGZKFAIDXe9tRq+KheHzIQIRqyZvCEGi4YYFPe3hQmt/5E&#10;7zjvYys4hEJuNHQxjrmUoenQmbDwIxLfDn5yJvI4tdJO5sThbpCPSq2kMz3xh86M+Nxh87M/Og2h&#10;nnfVZdx+fn+Fpt6+kKuWuzet7+8StQYR8Rz/YfjTZ3Uo2an2R7JBDBqyNE0Y1ZAm2QoEE09LxWVq&#10;3mRKgSwLed2h/AVQSwMEFAAAAAgAh07iQJFTj+hTAgAAmQQAAA4AAABkcnMvZTJvRG9jLnhtbK1U&#10;zW4TMRC+I/EOlu90k5CWNOqmihoVIVW0UkGcHa+dteQ/bCeb8jJI3HiIPg7iNfjs3bZR4dADl90Z&#10;z+w3/r6Z2bPzvdFkJ0JUztZ0fDSiRFjuGmU3Nf386fLNjJKYmG2YdlbU9E5Eer54/eqs83Mxca3T&#10;jQgEIDbOO1/TNiU/r6rIW2FYPHJeWASlC4YluGFTNYF1QDe6moxGJ1XnQuOD4yJGnK76IB0Qw0sA&#10;nZSKi5XjWyNs6lGD0CyBUmyVj3RRbiul4OlayigS0TUF01SeKAJ7nZ/V4ozNN4H5VvHhCuwlV3jG&#10;yTBlUfQRasUSI9ug/oIyigcXnUxH3JmqJ1IUAYvx6Jk2ty3zonCB1NE/ih7/Hyz/uLsJRDWYhOkx&#10;JZYZtPz395+/7n+QfAJ9Oh/nSLv1N2HwIsxMdi+DyW/QIPui6d2jpmKfCMfhyezt7BTIHCFYs9Oi&#10;efX0sQ8xvRfOkGzUNKBlRUm2u4oJBZH6kJJrWXeptC5t05Z0NZ0cT0foJmeYRYkZgGk8+ES7oYTp&#10;DYacp1AgD77NkCsWW7JjmIzotGoyVxTTFq/MuWeZrbRf7wfqa9fcQbDg+kmKnl8qQF2xmG5YwOjg&#10;KliudI2H1A73c4NFSevCt3+d53x0FFFKOowi7vN1y4KgRH+w6PXpeDrNs1uc6fG7CZxwGFkfRuzW&#10;XDhwGmONPS9mzk/6wZTBmS/YwWWuihCzHLV7lQbnIvUrgi3mYrksaZhXz9KVvfU8g/e9WG6Tk6q0&#10;KQvVqzPoh4ktgg7blVfi0C9ZT3+U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gpPj22QAAAAsB&#10;AAAPAAAAAAAAAAEAIAAAACIAAABkcnMvZG93bnJldi54bWxQSwECFAAUAAAACACHTuJAkVOP6FMC&#10;AACZBAAADgAAAAAAAAABACAAAAAoAQAAZHJzL2Uyb0RvYy54bWxQSwUGAAAAAAYABgBZAQAA7QUA&#10;AAAA&#10;">
                <v:fill on="f" focussize="0,0"/>
                <v:stroke on="f" weight="2pt"/>
                <v:imagedata o:title=""/>
                <o:lock v:ext="edit" aspectratio="f"/>
                <v:textbox>
                  <w:txbxContent>
                    <w:p>
                      <w:pPr>
                        <w:jc w:val="center"/>
                        <w:rPr>
                          <w:color w:val="FFFF00"/>
                          <w:sz w:val="21"/>
                          <w:szCs w:val="21"/>
                        </w:rPr>
                      </w:pPr>
                      <w:r>
                        <w:rPr>
                          <w:rFonts w:hint="eastAsia"/>
                          <w:color w:val="FFFF00"/>
                          <w:sz w:val="21"/>
                          <w:szCs w:val="21"/>
                        </w:rPr>
                        <w:t>周店村</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4390390</wp:posOffset>
                </wp:positionH>
                <wp:positionV relativeFrom="paragraph">
                  <wp:posOffset>125730</wp:posOffset>
                </wp:positionV>
                <wp:extent cx="683895" cy="389890"/>
                <wp:effectExtent l="0" t="0" r="0" b="0"/>
                <wp:wrapNone/>
                <wp:docPr id="143" name="矩形 143"/>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洋中厝</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7pt;margin-top:9.9pt;height:30.7pt;width:53.85pt;z-index:251758592;v-text-anchor:middle;mso-width-relative:page;mso-height-relative:page;" filled="f" stroked="f" coordsize="21600,21600" o:gfxdata="UEsDBAoAAAAAAIdO4kAAAAAAAAAAAAAAAAAEAAAAZHJzL1BLAwQUAAAACACHTuJAZ0pCldgAAAAJ&#10;AQAADwAAAGRycy9kb3ducmV2LnhtbE2PQUvDQBCF70L/wzIFb3azpdQmZlNKqUKPNoJ422THJJqd&#10;Ddlt2v57x5Meh/fx5nv59up6MeEYOk8a1CIBgVR721Gj4a18ftiACNGQNb0n1HDDANtidpebzPoL&#10;veJ0io3gEgqZ0dDGOGRShrpFZ8LCD0icffrRmcjn2Eg7mguXu14uk2QtnemIP7RmwH2L9ffp7DSE&#10;ajqWt2H3/vUR6mp3IFeuji9a389V8gQi4jX+wfCrz+pQsFPlz2SD6DWsU7VilIOUJzDwmKYKRKVh&#10;o5Ygi1z+X1D8AFBLAwQUAAAACACHTuJA1Q8ClVQCAACZBAAADgAAAGRycy9lMm9Eb2MueG1srVTN&#10;bhMxEL4j8Q6W73STNC1p1E0VNSpCqmilgjg7XjtryX/YTjblZZC48RA8DuI1+OzdtlHh0AOX3RnP&#10;7Df+vpnZ84u90WQnQlTO1nR8NKJEWO4aZTc1/fTx6s2MkpiYbZh2VtT0XkR6sXj96rzzczFxrdON&#10;CAQgNs47X9M2JT+vqshbYVg8cl5YBKULhiW4YVM1gXVAN7qajEanVedC44PjIkacrvogHRDDSwCd&#10;lIqLleNbI2zqUYPQLIFSbJWPdFFuK6Xg6UbKKBLRNQXTVJ4oAnudn9XinM03gflW8eEK7CVXeMbJ&#10;MGVR9BFqxRIj26D+gjKKBxedTEfcmaonUhQBi/HomTZ3LfOicIHU0T+KHv8fLP+wuw1ENZiE6TEl&#10;lhm0/Pe3H79+fif5BPp0Ps6Rdudvw+BFmJnsXgaT36BB9kXT+0dNxT4RjsPT2fHs7IQSjhCs2VnR&#10;vHr62IeY3glnSDZqGtCyoiTbXceEgkh9SMm1rLtSWpe2aUu6mk5OpiN0kzPMosQMwDQefKLdUML0&#10;BkPOUyiQB99myBWLLdkxTEZ0WjWZK4ppi1fm3LPMVtqv9wP1tWvuIVhw/SRFz68UoK5ZTLcsYHRw&#10;FSxXusFDaof7ucGipHXh67/Ocz46iiglHUYR9/myZUFQot9b9PpsPJ3m2S3O9OTtBE44jKwPI3Zr&#10;Lh04jbHGnhcz5yf9YMrgzGfs4DJXRYhZjtq9SoNzmfoVwRZzsVyWNMyrZ+na3nmewfteLLfJSVXa&#10;lIXq1Rn0w8QWQYftyitx6Jespz/K4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nSkKV2AAAAAkB&#10;AAAPAAAAAAAAAAEAIAAAACIAAABkcnMvZG93bnJldi54bWxQSwECFAAUAAAACACHTuJA1Q8ClVQC&#10;AACZBAAADgAAAAAAAAABACAAAAAnAQAAZHJzL2Uyb0RvYy54bWxQSwUGAAAAAAYABgBZAQAA7QUA&#10;AAAA&#10;">
                <v:fill on="f" focussize="0,0"/>
                <v:stroke on="f" weight="2pt"/>
                <v:imagedata o:title=""/>
                <o:lock v:ext="edit" aspectratio="f"/>
                <v:textbox>
                  <w:txbxContent>
                    <w:p>
                      <w:pPr>
                        <w:jc w:val="center"/>
                        <w:rPr>
                          <w:color w:val="FFFF00"/>
                          <w:sz w:val="21"/>
                          <w:szCs w:val="21"/>
                        </w:rPr>
                      </w:pPr>
                      <w:r>
                        <w:rPr>
                          <w:rFonts w:hint="eastAsia"/>
                          <w:color w:val="FFFF00"/>
                          <w:sz w:val="21"/>
                          <w:szCs w:val="21"/>
                        </w:rPr>
                        <w:t>洋中厝</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3082925</wp:posOffset>
                </wp:positionH>
                <wp:positionV relativeFrom="paragraph">
                  <wp:posOffset>4425950</wp:posOffset>
                </wp:positionV>
                <wp:extent cx="638810" cy="953770"/>
                <wp:effectExtent l="0" t="0" r="27940" b="17780"/>
                <wp:wrapNone/>
                <wp:docPr id="140" name="任意多边形 140"/>
                <wp:cNvGraphicFramePr/>
                <a:graphic xmlns:a="http://schemas.openxmlformats.org/drawingml/2006/main">
                  <a:graphicData uri="http://schemas.microsoft.com/office/word/2010/wordprocessingShape">
                    <wps:wsp>
                      <wps:cNvSpPr/>
                      <wps:spPr>
                        <a:xfrm>
                          <a:off x="0" y="0"/>
                          <a:ext cx="638810" cy="953770"/>
                        </a:xfrm>
                        <a:custGeom>
                          <a:avLst/>
                          <a:gdLst>
                            <a:gd name="connisteX0" fmla="*/ 376 w 638745"/>
                            <a:gd name="connsiteY0" fmla="*/ 447715 h 954024"/>
                            <a:gd name="connisteX1" fmla="*/ 48001 w 638745"/>
                            <a:gd name="connsiteY1" fmla="*/ 152440 h 954024"/>
                            <a:gd name="connisteX2" fmla="*/ 228976 w 638745"/>
                            <a:gd name="connsiteY2" fmla="*/ 40 h 954024"/>
                            <a:gd name="connisteX3" fmla="*/ 352801 w 638745"/>
                            <a:gd name="connsiteY3" fmla="*/ 161965 h 954024"/>
                            <a:gd name="connisteX4" fmla="*/ 552826 w 638745"/>
                            <a:gd name="connsiteY4" fmla="*/ 381040 h 954024"/>
                            <a:gd name="connisteX5" fmla="*/ 638551 w 638745"/>
                            <a:gd name="connsiteY5" fmla="*/ 523915 h 954024"/>
                            <a:gd name="connisteX6" fmla="*/ 571876 w 638745"/>
                            <a:gd name="connsiteY6" fmla="*/ 752515 h 954024"/>
                            <a:gd name="connisteX7" fmla="*/ 552826 w 638745"/>
                            <a:gd name="connsiteY7" fmla="*/ 885865 h 954024"/>
                            <a:gd name="connisteX8" fmla="*/ 390901 w 638745"/>
                            <a:gd name="connsiteY8" fmla="*/ 943015 h 954024"/>
                            <a:gd name="connisteX9" fmla="*/ 171826 w 638745"/>
                            <a:gd name="connsiteY9" fmla="*/ 714415 h 954024"/>
                            <a:gd name="connisteX10" fmla="*/ 57526 w 638745"/>
                            <a:gd name="connsiteY10" fmla="*/ 552490 h 954024"/>
                            <a:gd name="connisteX11" fmla="*/ 376 w 638745"/>
                            <a:gd name="connsiteY11" fmla="*/ 447715 h 954024"/>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638745" h="954025">
                              <a:moveTo>
                                <a:pt x="376" y="447716"/>
                              </a:moveTo>
                              <a:cubicBezTo>
                                <a:pt x="-1529" y="367706"/>
                                <a:pt x="2281" y="241976"/>
                                <a:pt x="48001" y="152441"/>
                              </a:cubicBezTo>
                              <a:cubicBezTo>
                                <a:pt x="93721" y="62906"/>
                                <a:pt x="168016" y="-1864"/>
                                <a:pt x="228976" y="41"/>
                              </a:cubicBezTo>
                              <a:cubicBezTo>
                                <a:pt x="289936" y="1946"/>
                                <a:pt x="288031" y="85766"/>
                                <a:pt x="352801" y="161966"/>
                              </a:cubicBezTo>
                              <a:cubicBezTo>
                                <a:pt x="417571" y="238166"/>
                                <a:pt x="495676" y="308651"/>
                                <a:pt x="552826" y="381041"/>
                              </a:cubicBezTo>
                              <a:cubicBezTo>
                                <a:pt x="609976" y="453431"/>
                                <a:pt x="634741" y="449621"/>
                                <a:pt x="638551" y="523916"/>
                              </a:cubicBezTo>
                              <a:cubicBezTo>
                                <a:pt x="642361" y="598211"/>
                                <a:pt x="589021" y="680126"/>
                                <a:pt x="571876" y="752516"/>
                              </a:cubicBezTo>
                              <a:cubicBezTo>
                                <a:pt x="554731" y="824906"/>
                                <a:pt x="589021" y="847766"/>
                                <a:pt x="552826" y="885866"/>
                              </a:cubicBezTo>
                              <a:cubicBezTo>
                                <a:pt x="516631" y="923966"/>
                                <a:pt x="467101" y="977306"/>
                                <a:pt x="390901" y="943016"/>
                              </a:cubicBezTo>
                              <a:cubicBezTo>
                                <a:pt x="314701" y="908726"/>
                                <a:pt x="238501" y="792521"/>
                                <a:pt x="171826" y="714416"/>
                              </a:cubicBezTo>
                              <a:cubicBezTo>
                                <a:pt x="105151" y="636311"/>
                                <a:pt x="91816" y="605831"/>
                                <a:pt x="57526" y="552491"/>
                              </a:cubicBezTo>
                              <a:cubicBezTo>
                                <a:pt x="23236" y="499151"/>
                                <a:pt x="2281" y="527726"/>
                                <a:pt x="376" y="447716"/>
                              </a:cubicBezTo>
                              <a:close/>
                            </a:path>
                          </a:pathLst>
                        </a:custGeom>
                        <a:noFill/>
                        <a:ln w="31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2.75pt;margin-top:348.5pt;height:75.1pt;width:50.3pt;z-index:251757568;mso-width-relative:page;mso-height-relative:page;" filled="f" stroked="t" coordsize="638745,954025" o:gfxdata="UEsDBAoAAAAAAIdO4kAAAAAAAAAAAAAAAAAEAAAAZHJzL1BLAwQUAAAACACHTuJAIvCFsNcAAAAL&#10;AQAADwAAAGRycy9kb3ducmV2LnhtbE2PQU7DMBBF90jcwRokdtRO1KQhxKkEEirbtD3AODZJRDyO&#10;bKctt8esYDmap//fb/Y3O7OL8WFyJCHbCGCGeqcnGiScT+9PFbAQkTTOjoyEbxNg397fNVhrd6XO&#10;XI5xYCmEQo0SxhiXmvPQj8Zi2LjFUPp9Om8xptMPXHu8pnA781yIklucKDWMuJi30fRfx9VKiB8r&#10;2kPevXpVHs4UOyU0KikfHzLxAiyaW/yD4Vc/qUObnJRbSQc2S9hWRZFQCeXzLo1KRFGVGTAlodru&#10;cuBtw/9vaH8AUEsDBBQAAAAIAIdO4kBTQz2d7AQAAOYQAAAOAAAAZHJzL2Uyb0RvYy54bWytWMtu&#10;60QY3iPxDpaXSG3sudieqO2RoCobBEc6BwmWU8dJLPkmj9u0rNmzZ3nES6AjeBoO4jH45reTjEul&#10;TCS6SO3MfP/3X+a/TK7ePNVV8Fj0pmyb6zC+jMKgaPJ2VTab6/D793cXWRiYQTcrXbVNcR0+FyZ8&#10;c/P5Z1e7blmwdttWq6IPIKQxy113HW6HoVsuFibfFrU2l21XNFhct32tB7z2m8Wq1ztIr6sFi6Jk&#10;sWv7Vde3eWEMvr0dF8NJYu8jsF2vy7y4bfOHumiGUWpfVHqASWZbdia8IW3X6yIfvluvTTEE1XUI&#10;Swf6BAme7+3n4uZKLze97rZlPqmgfVR4YVOtywakB1G3etDBQ1/+R1Rd5n1r2vVwmbf1YjSEPAIr&#10;4uiFb95tdVeQLXC16Q5ON/+f2Pzbx7d9UK5wEgR80ugaIf/r48e/f/7l02+//vPn75/++BDYJThq&#10;15kl9r/r3vbTm8Gjtfpp3df2P+wJnsi5zwfnFk9DkOPLhGdZDIocS0ryNCWZiyM4fzDD10VLgvTj&#10;N2YYY7PCE3l2NWmXt01TmqH4AcLWdYVwfbEIeJoEuwAcqZBTUN39phyKH939QqRpLINtoKSImHgF&#10;QhSxQyGyKIpPkriIWDIhopMkzCFhLFMeprgQDwbuMHDJMg87XEicxCo57SzhsEiwsNMhcSEcx8PD&#10;FumwIN5Sno6JC5GMK4/AJw6LTOPMIyYuJJVMerCkLoufx1xIlsnMIy4o6Mc8UZHyiL4LUYJHHrYo&#10;hyWGxzyi70LSWAgPFltBDsZIuPn0GZtDkJLqdErGbhr71JYZ4JXigjq32Vcyvd0Xt/ypmaobngJt&#10;O3BEbaRrjS2kbqlD2bSvUyVDbYRIoGxpPAGGLS44tsXOG4xK44LZWWAUERfMzwKjNrhgqtHeaiPl&#10;XTD1BG8wMtkFJ2epjQR1welZYOSdC87OAiOdXLA6C2yzxEXj/ZxjYs//DD47ZaPnp6PeYyiz41hF&#10;49gQBhjHehrH7i2lXnZ6sBmyfwx2NDzYxh5s7eyAhi0pS+r2sXjf0r7BpgsSlbSg/NtH7bgpf7gv&#10;8y+Ln1zIBXr06DeeYCQhEDQgcejFo1VMxGjKk3K0RLMAcVGPPxg7Y3iNT/GUjUITpuZ0cYK+PBpw&#10;EWfJNJMcVLEaWBcLfzLMEoqPqFiJmQEsyyI+KpLJNJmtjRPCaJ3t/LRoQ3jSOhGnaJaEZGjnc7FC&#10;yWSygUfoW2TH3tfjvEBImgP8jUwidXCN5AJGjYeI4pRwkcJh5DehErh+tminB1qkqcDfzkQwnkxI&#10;lTEcfkeszFS0jzEiyma+HWcJ4qQZwZ9TSpHuI2Z72FzskTPDZDt3vONbmhjO4EQIJ06FuWkuViRp&#10;HI1OUGnK5wpxmjPITpof/Dl5LNK92ChL5+7DqZLTYqqYnMdznDpG39ppwp8zjjCtjaYkHBbP4qli&#10;nGSSmkQym58vmkBoDU4WinBemcI4ThABhcI8OiM81B3J0hf2v1rhXuRl1ZoCxxFq2EJ6eKCKSrod&#10;r1lNe1dWFZ3dqrF1liOBcUXTuNevcZ/GY93hbmiaTRjoaoMfDPKhp9pr2qpcWbQtv6bf3H9V9cGj&#10;Rl2/w1+07x6zbV1vhltttuM+WrKJA6UqzDELe78cb5T26b5dPdNFk77H9Zc2Tld1e7923wl9/Hni&#10;5l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c&#10;BwAAW0NvbnRlbnRfVHlwZXNdLnhtbFBLAQIUAAoAAAAAAIdO4kAAAAAAAAAAAAAAAAAGAAAAAAAA&#10;AAAAEAAAAD4GAABfcmVscy9QSwECFAAUAAAACACHTuJAihRmPNEAAACUAQAACwAAAAAAAAABACAA&#10;AABiBgAAX3JlbHMvLnJlbHNQSwECFAAKAAAAAACHTuJAAAAAAAAAAAAAAAAABAAAAAAAAAAAABAA&#10;AAAAAAAAZHJzL1BLAQIUABQAAAAIAIdO4kAi8IWw1wAAAAsBAAAPAAAAAAAAAAEAIAAAACIAAABk&#10;cnMvZG93bnJldi54bWxQSwECFAAUAAAACACHTuJAU0M9newEAADmEAAADgAAAAAAAAABACAAAAAm&#10;AQAAZHJzL2Uyb0RvYy54bWxQSwUGAAAAAAYABgBZAQAAhAgAAAAA&#10;" path="m376,447716c-1529,367706,2281,241976,48001,152441c93721,62906,168016,-1864,228976,41c289936,1946,288031,85766,352801,161966c417571,238166,495676,308651,552826,381041c609976,453431,634741,449621,638551,523916c642361,598211,589021,680126,571876,752516c554731,824906,589021,847766,552826,885866c516631,923966,467101,977306,390901,943016c314701,908726,238501,792521,171826,714416c105151,636311,91816,605831,57526,552491c23236,499151,2281,527726,376,447716xe">
                <v:path o:connectlocs="376,447595;48005,152399;228999,39;352836,161921;552882,380938;638615,523775;571934,752314;552882,885629;390940,942763;171843,714224;57531,552342;376,447595" o:connectangles="0,0,0,0,0,0,0,0,0,0,0,0"/>
                <v:fill on="f" focussize="0,0"/>
                <v:stroke weight="0.25pt" color="#FFFF00 [24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3099435</wp:posOffset>
                </wp:positionH>
                <wp:positionV relativeFrom="paragraph">
                  <wp:posOffset>4932680</wp:posOffset>
                </wp:positionV>
                <wp:extent cx="683895" cy="389890"/>
                <wp:effectExtent l="0" t="0" r="0" b="0"/>
                <wp:wrapNone/>
                <wp:docPr id="139" name="矩形 139"/>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下曹街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05pt;margin-top:388.4pt;height:30.7pt;width:53.85pt;z-index:251756544;v-text-anchor:middle;mso-width-relative:page;mso-height-relative:page;" filled="f" stroked="f" coordsize="21600,21600" o:gfxdata="UEsDBAoAAAAAAIdO4kAAAAAAAAAAAAAAAAAEAAAAZHJzL1BLAwQUAAAACACHTuJAecqWY9oAAAAL&#10;AQAADwAAAGRycy9kb3ducmV2LnhtbE2PTU/DMAyG70j8h8hI3FjasY9Qmk4TAqQdtyIhbmlj2kLj&#10;VE3Wbf8ec4KbLT96/bz55ux6MeEYOk8a0lkCAqn2tqNGw1v5cqdAhGjImt4TarhggE1xfZWbzPoT&#10;7XE6xEZwCIXMaGhjHDIpQ92iM2HmByS+ffrRmcjr2Eg7mhOHu17Ok2QlnemIP7RmwKcW6+/D0WkI&#10;1bQrL8P2/esj1NX2mVy52L1qfXuTJo8gIp7jHwy/+qwOBTtV/kg2iF7DQqmUUQ3r9Yo7MLF8WPJQ&#10;aVD3ag6yyOX/DsUPUEsDBBQAAAAIAIdO4kA1Y0OYVAIAAJkEAAAOAAAAZHJzL2Uyb0RvYy54bWyt&#10;VEtu2zAQ3RfoHQjuG9mOndpG5MCI4aJA0ARIi65pirQE8FeStpxepkB3PUSPU/QafaQUx0i7yKIb&#10;aYYzesP3ZkaXVwetyF740FhT0uHZgBJhuK0asy3pp4/rN1NKQmSmYsoaUdIHEejV4vWry9bNxcjW&#10;VlXCE4CYMG9dSesY3bwoAq+FZuHMOmEQlNZrFuH6bVF51gJdq2I0GFwUrfWV85aLEHC66oK0R/Qv&#10;AbRSNlysLN9pYWKH6oViEZRC3bhAF/m2Ugoeb6UMIhJVUjCN+YkisDfpWSwu2Xzrmasb3l+BveQK&#10;zzhp1hgUPUKtWGRk55u/oHTDvQ1WxjNuddERyYqAxXDwTJv7mjmRuUDq4I6ih/8Hyz/s7zxpKkzC&#10;+YwSwzRa/vvbj18/v5N0An1aF+ZIu3d3vvcCzET2IL1Ob9Agh6zpw1FTcYiE4/Biej6dTSjhCMGa&#10;zrLmxdPHzof4TlhNklFSj5ZlJdn+JkQUROpjSqpl7LpRKrdNGdKWdDQZD9BNzjCLEjMAUzvwCWZL&#10;CVNbDDmPPkOefJsgVyzUZM8wGcGqpkpcUUwZvBLnjmWy4mFz6KlvbPUAwbztJik4vm4AdcNCvGMe&#10;o4OrYLniLR5SWdzP9hYltfVf/3We8tFRRClpMYq4z5cd84IS9d6g17PheJxmNzvjydsRHH8a2ZxG&#10;zE5fW3AaYo0dz2bKj+rRlN7qz9jBZaqKEDMctTuVeuc6diuCLeZiucxpmFfH4o25dzyBd71Y7qKV&#10;TW5TEqpTp9cPE5sF7bcrrcSpn7Oe/ii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HnKlmPaAAAA&#10;CwEAAA8AAAAAAAAAAQAgAAAAIgAAAGRycy9kb3ducmV2LnhtbFBLAQIUABQAAAAIAIdO4kA1Y0OY&#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下曹街</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1457325</wp:posOffset>
                </wp:positionH>
                <wp:positionV relativeFrom="paragraph">
                  <wp:posOffset>4036060</wp:posOffset>
                </wp:positionV>
                <wp:extent cx="683895" cy="389890"/>
                <wp:effectExtent l="0" t="0" r="0" b="0"/>
                <wp:wrapNone/>
                <wp:docPr id="138" name="矩形 138"/>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宅角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75pt;margin-top:317.8pt;height:30.7pt;width:53.85pt;z-index:251755520;v-text-anchor:middle;mso-width-relative:page;mso-height-relative:page;" filled="f" stroked="f" coordsize="21600,21600" o:gfxdata="UEsDBAoAAAAAAIdO4kAAAAAAAAAAAAAAAAAEAAAAZHJzL1BLAwQUAAAACACHTuJArZ8JMdoAAAAL&#10;AQAADwAAAGRycy9kb3ducmV2LnhtbE2PwU7DMAyG70i8Q2Qkbixdy7qtNJ0mBEg7bkVC3NLGawuN&#10;UzVZt7095gRH259+f3++udheTDj6zpGC+SwCgVQ701Gj4L18fViB8EGT0b0jVHBFD5vi9ibXmXFn&#10;2uN0CI3gEPKZVtCGMGRS+rpFq/3MDUh8O7rR6sDj2Egz6jOH217GUZRKqzviD60e8LnF+vtwsgp8&#10;Ne3K67D9+Pr0dbV9IVs+7t6Uur+bR08gAl7CHwy/+qwOBTtV7kTGi15BHK8XjCpIk0UKgokkWcYg&#10;Kt6slxHIIpf/OxQ/UEsDBBQAAAAIAIdO4kAr+f6NVAIAAJkEAAAOAAAAZHJzL2Uyb0RvYy54bWyt&#10;VM1uEzEQviPxDpbvdJM0LWnUTRU1KkKqaKWCODteO2vJf9hONuVlkLjxEDwO4jX47N22UeHQA5fd&#10;Gc/sN/6+mdnzi73RZCdCVM7WdHw0okRY7hplNzX99PHqzYySmJhtmHZW1PReRHqxeP3qvPNzMXGt&#10;040IBCA2zjtf0zYlP6+qyFthWDxyXlgEpQuGJbhhUzWBdUA3upqMRqdV50Ljg+MiRpyu+iAdEMNL&#10;AJ2UiouV41sjbOpRg9AsgVJslY90UW4rpeDpRsooEtE1BdNUnigCe52f1eKczTeB+Vbx4QrsJVd4&#10;xskwZVH0EWrFEiPboP6CMooHF51MR9yZqidSFAGL8eiZNnct86JwgdTRP4oe/x8s/7C7DUQ1mIRj&#10;NN4yg5b//vbj18/vJJ9An87HOdLu/G0YvAgzk93LYPIbNMi+aHr/qKnYJ8JxeDo7np2dUMIRgjU7&#10;K5pXTx/7ENM74QzJRk0DWlaUZLvrmFAQqQ8puZZ1V0rr0jZtSVfTycl0hG5yhlmUmAGYxoNPtBtK&#10;mN5gyHkKBfLg2wy5YrElO4bJiE6rJnNFMW3xypx7ltlK+/V+oL52zT0EC66fpOj5lQLUNYvplgWM&#10;Dq6C5Uo3eEjtcD83WJS0Lnz913nOR0cRpaTDKOI+X7YsCEr0e4ten42n0zy7xZmevJ3ACYeR9WHE&#10;bs2lA6cx1tjzYub8pB9MGZz5jB1c5qoIMctRu1dpcC5TvyLYYi6Wy5KGefUsXds7zzN434vlNjmp&#10;SpuyUL06g36Y2CLosF15JQ79kvX0R1n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2fCTHaAAAA&#10;CwEAAA8AAAAAAAAAAQAgAAAAIgAAAGRycy9kb3ducmV2LnhtbFBLAQIUABQAAAAIAIdO4kAr+f6N&#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宅角</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1965325</wp:posOffset>
                </wp:positionH>
                <wp:positionV relativeFrom="paragraph">
                  <wp:posOffset>1597660</wp:posOffset>
                </wp:positionV>
                <wp:extent cx="683895" cy="389890"/>
                <wp:effectExtent l="0" t="0" r="0" b="0"/>
                <wp:wrapNone/>
                <wp:docPr id="137" name="矩形 137"/>
                <wp:cNvGraphicFramePr/>
                <a:graphic xmlns:a="http://schemas.openxmlformats.org/drawingml/2006/main">
                  <a:graphicData uri="http://schemas.microsoft.com/office/word/2010/wordprocessingShape">
                    <wps:wsp>
                      <wps:cNvSpPr/>
                      <wps:spPr>
                        <a:xfrm>
                          <a:off x="0" y="0"/>
                          <a:ext cx="683895" cy="3898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FFFF00"/>
                                <w:sz w:val="21"/>
                                <w:szCs w:val="21"/>
                              </w:rPr>
                            </w:pPr>
                            <w:r>
                              <w:rPr>
                                <w:rFonts w:hint="eastAsia"/>
                                <w:color w:val="FFFF00"/>
                                <w:sz w:val="21"/>
                                <w:szCs w:val="21"/>
                              </w:rPr>
                              <w:t>金印村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75pt;margin-top:125.8pt;height:30.7pt;width:53.85pt;z-index:251754496;v-text-anchor:middle;mso-width-relative:page;mso-height-relative:page;" filled="f" stroked="f" coordsize="21600,21600" o:gfxdata="UEsDBAoAAAAAAIdO4kAAAAAAAAAAAAAAAAAEAAAAZHJzL1BLAwQUAAAACACHTuJA7aGkQtoAAAAL&#10;AQAADwAAAGRycy9kb3ducmV2LnhtbE2Py07DMBBF95X4B2uQ2LV20gcQ4lQVAqQuaZAQOycekkA8&#10;jmI3bf+eYQXL0T2690y+PbteTDiGzpOGZKFAINXedtRoeCuf53cgQjRkTe8JNVwwwLa4muUms/5E&#10;rzgdYiO4hEJmNLQxDpmUoW7RmbDwAxJnn350JvI5NtKO5sTlrpepUhvpTEe80JoBH1usvw9HpyFU&#10;0768DLv3r49QV7sncuVq/6L1zXWiHkBEPMc/GH71WR0Kdqr8kWwQvYalul8zqiFdJxsQTKyS2xRE&#10;xVGyVCCLXP7/ofgBUEsDBBQAAAAIAIdO4kCB7yJIVAIAAJkEAAAOAAAAZHJzL2Uyb0RvYy54bWyt&#10;VM1uEzEQviPxDpbvdJM0bdOomypqVIRUQaWCODteO2vJf9hONuVlkLjxEDwO4jX47N22UeHQA5fd&#10;Gc/sN/6+mdmLy73RZCdCVM7WdHw0okRY7hplNzX99PH6zYySmJhtmHZW1PReRHq5eP3qovNzMXGt&#10;040IBCA2zjtf0zYlP6+qyFthWDxyXlgEpQuGJbhhUzWBdUA3upqMRqdV50Ljg+MiRpyu+iAdEMNL&#10;AJ2UiouV41sjbOpRg9AsgVJslY90UW4rpeDpg5RRJKJrCqapPFEE9jo/q8UFm28C863iwxXYS67w&#10;jJNhyqLoI9SKJUa2Qf0FZRQPLjqZjrgzVU+kKAIW49Ezbe5a5kXhAqmjfxQ9/j9Y/n53G4hqMAnH&#10;Z5RYZtDy399+/Pr5neQT6NP5OEfanb8NgxdhZrJ7GUx+gwbZF03vHzUV+0Q4Dk9nx7PzE0o4QrBm&#10;50Xz6uljH2J6K5wh2ahpQMuKkmx3ExMKIvUhJdey7lppXdqmLelqOjmZjtBNzjCLEjMA03jwiXZD&#10;CdMbDDlPoUAefJshVyy2ZMcwGdFp1WSuKKYtXplzzzJbab/eD9TXrrmHYMH1kxQ9v1aAumEx3bKA&#10;0cFVsFzpAx5SO9zPDRYlrQtf/3We89FRRCnpMIq4z5ctC4IS/c6i1+fj6TTPbnGmJ2cTOOEwsj6M&#10;2K25cuA0xhp7Xsycn/SDKYMzn7GDy1wVIWY5avcqDc5V6lcEW8zFclnSMK+epRt753kG73ux3CYn&#10;VWlTFqpXZ9APE1sEHbYrr8ShX7Ke/ii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2hpELaAAAA&#10;CwEAAA8AAAAAAAAAAQAgAAAAIgAAAGRycy9kb3ducmV2LnhtbFBLAQIUABQAAAAIAIdO4kCB7yJI&#10;VAIAAJkEAAAOAAAAAAAAAAEAIAAAACkBAABkcnMvZTJvRG9jLnhtbFBLBQYAAAAABgAGAFkBAADv&#10;BQAAAAA=&#10;">
                <v:fill on="f" focussize="0,0"/>
                <v:stroke on="f" weight="2pt"/>
                <v:imagedata o:title=""/>
                <o:lock v:ext="edit" aspectratio="f"/>
                <v:textbox>
                  <w:txbxContent>
                    <w:p>
                      <w:pPr>
                        <w:jc w:val="center"/>
                        <w:rPr>
                          <w:color w:val="FFFF00"/>
                          <w:sz w:val="21"/>
                          <w:szCs w:val="21"/>
                        </w:rPr>
                      </w:pPr>
                      <w:r>
                        <w:rPr>
                          <w:rFonts w:hint="eastAsia"/>
                          <w:color w:val="FFFF00"/>
                          <w:sz w:val="21"/>
                          <w:szCs w:val="21"/>
                        </w:rPr>
                        <w:t>金印村</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4052570</wp:posOffset>
                </wp:positionH>
                <wp:positionV relativeFrom="paragraph">
                  <wp:posOffset>2291080</wp:posOffset>
                </wp:positionV>
                <wp:extent cx="981075" cy="114300"/>
                <wp:effectExtent l="0" t="0" r="85725" b="95250"/>
                <wp:wrapNone/>
                <wp:docPr id="136" name="直接箭头连接符 136"/>
                <wp:cNvGraphicFramePr/>
                <a:graphic xmlns:a="http://schemas.openxmlformats.org/drawingml/2006/main">
                  <a:graphicData uri="http://schemas.microsoft.com/office/word/2010/wordprocessingShape">
                    <wps:wsp>
                      <wps:cNvCnPr/>
                      <wps:spPr>
                        <a:xfrm>
                          <a:off x="0" y="0"/>
                          <a:ext cx="981075" cy="114300"/>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9.1pt;margin-top:180.4pt;height:9pt;width:77.25pt;z-index:251753472;mso-width-relative:page;mso-height-relative:page;" filled="f" stroked="t" coordsize="21600,21600" o:gfxdata="UEsDBAoAAAAAAIdO4kAAAAAAAAAAAAAAAAAEAAAAZHJzL1BLAwQUAAAACACHTuJAsjGc59oAAAAL&#10;AQAADwAAAGRycy9kb3ducmV2LnhtbE2PTUvEMBCG74L/IYzgzU22lbbWpgsKIgouWr14yzbZtm4y&#10;KUn2w3/veNLjzDy887zN6uQsO5gQJ48SlgsBzGDv9YSDhI/3h6sKWEwKtbIejYRvE2HVnp81qtb+&#10;iG/m0KWBUQjGWkkYU5przmM/Gqfiws8G6bb1walEYxi4DupI4c7yTIiCOzUhfRjVbO5H0++6vZOA&#10;nfsKT3e7l+t+O8Tn9Pr4uba5lJcXS3ELLJlT+oPhV5/UoSWnjd+jjsxKKPIqI1RCXgjqQER5k5XA&#10;NrQpqwp42/D/HdofUEsDBBQAAAAIAIdO4kDgEIk3AAIAAM8DAAAOAAAAZHJzL2Uyb0RvYy54bWyt&#10;U81uEzEQviPxDpbvZLMNDSXKpoeEcEFQCXgAx+vdteQ/zbjZ5CV4ASROwIly6p2ngfIYjL0hhXLp&#10;gT14xx7PN/N9M56f76xhWwWovat4ORpzppz0tXZtxd++WT864wyjcLUw3qmK7xXy88XDB/M+zNSJ&#10;77ypFTACcTjrQ8W7GMOsKFB2ygoc+aAcORsPVkTaQlvUIHpCt6Y4GY+nRe+hDuClQqTT1eDkB0S4&#10;D6BvGi3VystLq1wcUEEZEYkSdjogX+Rqm0bJ+KppUEVmKk5MY14pCdmbtBaLuZi1IEKn5aEEcZ8S&#10;7nCyQjtKeoRaiSjYJeh/oKyW4NE3cSS9LQYiWRFiUY7vaPO6E0FlLiQ1hqPo+P9g5cvtBTBd0yRM&#10;ppw5YanlN++vf7z7dPP16vvH65/fPiT7y2eWLpBcfcAZRS3dBRx2GC4gcd81YNOfWLFdlnh/lFjt&#10;IpN0+PSsHD855UySqywfT8a5BcVtcACMz5W3LBkVxwhCt11ceueomR7KLLPYvsBI6Snwd0DK7Pxa&#10;G5N7ahzrKz6dnFKnpaA5bWg+yLSBuKJrOROmpQcgI2RE9EbXKTrhILSbpQG2FTQ2a/qOZf51LaVe&#10;CeyGe9k1DFQU2jxzNYv7QHIKAN8nB1VrHP2ShINoydr4ep+1zOfU53zxMJNpkP7c5+jbd7j4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IxnOfaAAAACwEAAA8AAAAAAAAAAQAgAAAAIgAAAGRycy9k&#10;b3ducmV2LnhtbFBLAQIUABQAAAAIAIdO4kDgEIk3AAIAAM8DAAAOAAAAAAAAAAEAIAAAACkBAABk&#10;cnMvZTJvRG9jLnhtbFBLBQYAAAAABgAGAFkBAACbBQ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4052570</wp:posOffset>
                </wp:positionH>
                <wp:positionV relativeFrom="paragraph">
                  <wp:posOffset>2443480</wp:posOffset>
                </wp:positionV>
                <wp:extent cx="600075" cy="314325"/>
                <wp:effectExtent l="0" t="0" r="66675" b="66675"/>
                <wp:wrapNone/>
                <wp:docPr id="135" name="直接箭头连接符 135"/>
                <wp:cNvGraphicFramePr/>
                <a:graphic xmlns:a="http://schemas.openxmlformats.org/drawingml/2006/main">
                  <a:graphicData uri="http://schemas.microsoft.com/office/word/2010/wordprocessingShape">
                    <wps:wsp>
                      <wps:cNvCnPr/>
                      <wps:spPr>
                        <a:xfrm>
                          <a:off x="0" y="0"/>
                          <a:ext cx="600075" cy="314325"/>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9.1pt;margin-top:192.4pt;height:24.75pt;width:47.25pt;z-index:251752448;mso-width-relative:page;mso-height-relative:page;" filled="f" stroked="t" coordsize="21600,21600" o:gfxdata="UEsDBAoAAAAAAIdO4kAAAAAAAAAAAAAAAAAEAAAAZHJzL1BLAwQUAAAACACHTuJA6ODml9sAAAAL&#10;AQAADwAAAGRycy9kb3ducmV2LnhtbE2Py07DMBBF90j8gzVI7KjTOGqjNJNKICEEEqgENt25sZuE&#10;2uPIdh/8PWYFy9Ec3Xtuvb5Yw07ah9ERwnyWAdPUOTVSj/D58XhXAgtRkpLGkUb41gHWzfVVLSvl&#10;zvSuT23sWQqhUEmEIcap4jx0g7YyzNykKf32zlsZ0+l7rrw8p3BreJ5lC27lSKlhkJN+GHR3aI8W&#10;gVr75Z/vD69Ft+/DS9w8bd+MQLy9mWcrYFFf4h8Mv/pJHZrktHNHUoEZhIUo84QiiLJIGxKxFPkS&#10;2A6hEIUA3tT8/4bmB1BLAwQUAAAACACHTuJAqnp8mQACAADPAwAADgAAAGRycy9lMm9Eb2MueG1s&#10;rVPNjtMwEL4j8Q6W7zRpyy6oarqHlnJBUAl4ANdxEkv+04y3aV+CF0DiBJxgT3vnaWB5DMZO6cJy&#10;2QM5OGPPzDf+vhnPL/bWsJ0C1N5VfDwqOVNO+lq7tuJv36wfPeUMo3C1MN6pih8U8ovFwwfzPszU&#10;xHfe1AoYgTic9aHiXYxhVhQoO2UFjnxQjpyNBysibaEtahA9oVtTTMryvOg91AG8VIh0uhqc/IgI&#10;9wH0TaOlWnl5aZWLAyooIyJRwk4H5It826ZRMr5qGlSRmYoT05hXKkL2Nq3FYi5mLYjQaXm8grjP&#10;Fe5wskI7KnqCWoko2CXof6CsluDRN3EkvS0GIlkRYjEu72jzuhNBZS4kNYaT6Pj/YOXL3QaYrmkS&#10;pmecOWGp5Tfvr3+8+3Rz9fX7x+uf3z4k+8tnlgJIrj7gjLKWbgPHHYYNJO77Bmz6Eyu2zxIfThKr&#10;fWSSDs/LsnxChSS5puPH00nGLG6TA2B8rrxlyag4RhC67eLSO0fN9DDOMovdC4xUnhJ/J6TKzq+1&#10;MbmnxrGeyk3PqNNS0Jw2NB9k2kBc0bWcCdPSA5ARMiJ6o+uUnXAQ2u3SANsJGps1fWWeFKr2V1gq&#10;vRLYDXHZNQxUFNo8czWLh0ByCgDfJwflG0e/JOEgWrK2vj5kLfM59TkHHmcyDdKf+5x9+w4X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o4OaX2wAAAAsBAAAPAAAAAAAAAAEAIAAAACIAAABkcnMv&#10;ZG93bnJldi54bWxQSwECFAAUAAAACACHTuJAqnp8mQACAADPAwAADgAAAAAAAAABACAAAAAqAQAA&#10;ZHJzL2Uyb0RvYy54bWxQSwUGAAAAAAYABgBZAQAAnAU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2385695</wp:posOffset>
                </wp:positionH>
                <wp:positionV relativeFrom="paragraph">
                  <wp:posOffset>2447290</wp:posOffset>
                </wp:positionV>
                <wp:extent cx="1238250" cy="1209675"/>
                <wp:effectExtent l="38100" t="0" r="19050" b="47625"/>
                <wp:wrapNone/>
                <wp:docPr id="134" name="直接箭头连接符 134"/>
                <wp:cNvGraphicFramePr/>
                <a:graphic xmlns:a="http://schemas.openxmlformats.org/drawingml/2006/main">
                  <a:graphicData uri="http://schemas.microsoft.com/office/word/2010/wordprocessingShape">
                    <wps:wsp>
                      <wps:cNvCnPr/>
                      <wps:spPr>
                        <a:xfrm flipH="1">
                          <a:off x="0" y="0"/>
                          <a:ext cx="1238250" cy="1209675"/>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87.85pt;margin-top:192.7pt;height:95.25pt;width:97.5pt;z-index:251751424;mso-width-relative:page;mso-height-relative:page;" filled="f" stroked="t" coordsize="21600,21600" o:gfxdata="UEsDBAoAAAAAAIdO4kAAAAAAAAAAAAAAAAAEAAAAZHJzL1BLAwQUAAAACACHTuJAn2vXYdkAAAAL&#10;AQAADwAAAGRycy9kb3ducmV2LnhtbE2PMU/DMBCFdyT+g3VIbNQuEJKmcTpUQl1YSCvB6MZunBKf&#10;g+025d9znWB7d+/p3XfV6uIGdjYh9h4lzGcCmMHW6x47Cbvt60MBLCaFWg0ejYQfE2FV395UqtR+&#10;wndzblLHqARjqSTYlMaS89ha41Sc+dEgeQcfnEo0ho7roCYqdwN/FOKFO9UjXbBqNGtr2q/m5CQc&#10;bXPcfWa4aadFWOcfm2Lafr9JeX83F0tgyVzSXxiu+IQONTHt/Ql1ZIOEpzzLKUqiyJ6BUSLLBW32&#10;V5EtgNcV//9D/QtQSwMEFAAAAAgAh07iQMA4hY4JAgAA2wMAAA4AAABkcnMvZTJvRG9jLnhtbK1T&#10;zY7TMBC+I/EOlu80acuWJWq6h5bCAUEl4AFcx04s+U9jb9O+BC+AxAk4LZz2ztPA8hiMnVJgueyB&#10;HKLxjOeb+b4Zzy/2RpOdgKCcrel4VFIiLHeNsm1N37xePzinJERmG6adFTU9iEAvFvfvzXtfiYnr&#10;nG4EEASxoep9TbsYfVUUgXfCsDByXlgMSgeGRTxCWzTAekQ3upiU5azoHTQeHBchoHc1BOkREe4C&#10;6KRUXKwcvzTCxgEVhGYRKYVO+UAXuVspBY8vpQwiEl1TZBrzH4ugvU3/YjFnVQvMd4ofW2B3aeEW&#10;J8OUxaInqBWLjFyC+gfKKA4uOBlH3JliIJIVQRbj8pY2rzrmReaCUgd/Ej38P1j+YrcBohrchOlD&#10;SiwzOPKbd9ff3368+fL524frH1/fJ/vqE0kXUK7ehwqzlnYDx1PwG0jc9xIMkVr5Z4iW1UB+ZJ/F&#10;PpzEFvtIODrHk+n55AznwDE2npSPZ4/OEn4xACVADyE+Fc6QZNQ0RGCq7eLSWYuDdTAUYbvnIQ6J&#10;vxJSsnVrpTX6WaUt6Ws6m+ZqDHdW4q5gYeORd7AtJUy3+Bh4hNx2cFo1KTslB2i3Sw1kx3CF1viV&#10;eWuwzb+updIrFrrhXg4NyxWZ0k9sQ+LBo7QMwPVHmtoi2yTnIGCytq45ZF2zH2ee9TjuZ1qqP885&#10;+/ebXPw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2vXYdkAAAALAQAADwAAAAAAAAABACAAAAAi&#10;AAAAZHJzL2Rvd25yZXYueG1sUEsBAhQAFAAAAAgAh07iQMA4hY4JAgAA2wMAAA4AAAAAAAAAAQAg&#10;AAAAKAEAAGRycy9lMm9Eb2MueG1sUEsFBgAAAAAGAAYAWQEAAKMFA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2757170</wp:posOffset>
                </wp:positionH>
                <wp:positionV relativeFrom="paragraph">
                  <wp:posOffset>2190115</wp:posOffset>
                </wp:positionV>
                <wp:extent cx="808990" cy="133350"/>
                <wp:effectExtent l="38100" t="76200" r="29210" b="19050"/>
                <wp:wrapNone/>
                <wp:docPr id="133" name="直接箭头连接符 133"/>
                <wp:cNvGraphicFramePr/>
                <a:graphic xmlns:a="http://schemas.openxmlformats.org/drawingml/2006/main">
                  <a:graphicData uri="http://schemas.microsoft.com/office/word/2010/wordprocessingShape">
                    <wps:wsp>
                      <wps:cNvCnPr/>
                      <wps:spPr>
                        <a:xfrm flipH="1" flipV="1">
                          <a:off x="0" y="0"/>
                          <a:ext cx="808990" cy="133350"/>
                        </a:xfrm>
                        <a:prstGeom prst="straightConnector1">
                          <a:avLst/>
                        </a:prstGeom>
                        <a:ln w="63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7.1pt;margin-top:172.45pt;height:10.5pt;width:63.7pt;z-index:251750400;mso-width-relative:page;mso-height-relative:page;" filled="f" stroked="t" coordsize="21600,21600" o:gfxdata="UEsDBAoAAAAAAIdO4kAAAAAAAAAAAAAAAAAEAAAAZHJzL1BLAwQUAAAACACHTuJA6LLGzNoAAAAL&#10;AQAADwAAAGRycy9kb3ducmV2LnhtbE2PwU7DMAyG70i8Q2QkbiztlmVbabrDJDSJGxuCHdMmtBWN&#10;UzVZW3h6zAmOtj///pzvZ9ex0Q6h9aggXSTALFbetFgreD0/PWyBhajR6M6jVfBlA+yL25tcZ8ZP&#10;+GLHU6wZhWDItIImxj7jPFSNdTosfG+RZh9+cDpSOdTcDHqicNfxZZJI7nSLdKHRvT00tvo8XR1p&#10;lOJ7079Pz/PbeajHDT8eLvKo1P1dmjwCi3aOfzD86tMOFORU+iuawDoFYiWWhCpYCbEDRsRaphJY&#10;SR253gEvcv7/h+IHUEsDBBQAAAAIAIdO4kBYV131CQIAAOMDAAAOAAAAZHJzL2Uyb0RvYy54bWyt&#10;U72OEzEQ7pF4B8s92b2LOOWibK5ICBQIIvHTO17vriX/acaXTV6CF0CiAiqO6nqeBo7HYOzNBTia&#10;K9jCO/Z4vpnvm/HsYmcN2ypA7V3FT0YlZ8pJX2vXVvzN69WjCWcYhauF8U5VfK+QX8wfPpj1YapO&#10;fedNrYARiMNpHyrexRimRYGyU1bgyAflyNl4sCLSFtqiBtETujXFaVmeFb2HOoCXCpFOl4OTHxDh&#10;PoC+abRUSy8vrXJxQAVlRCRK2OmAfJ6rbRol48umQRWZqTgxjXmlJGRv0lrMZ2LaggidlocSxH1K&#10;uMPJCu0o6RFqKaJgl6D/gbJagkffxJH0thiIZEWIxUl5R5tXnQgqcyGpMRxFx/8HK19s18B0TZMw&#10;HnPmhKWW37y//vHu083Xq+8fr39++5DsL59ZukBy9QGnFLVwazjsMKwhcd81YFljdHhGaDxbb5OV&#10;fMSU7bLs+6PsaheZpMNJOTk/p4ZIclGS8ePclmIATMEBMD5V3rJkVBwjCN12ceGdowZ7GFKI7XOM&#10;VBIF3gakYOdX2pjcZ+NYX/GzlIBJQbPb0MyQaQPxR9dyJkxLj0JGyEWjN7pO0QkHod0sDLCtoFFa&#10;0VfelvnXtZR6KbAb7mXXMGRRaPPE1SzuA0ksAHyfHFStcfRLsg5CJmvj633WN59T7/PFw5ym4fpz&#10;n6N/v835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iyxszaAAAACwEAAA8AAAAAAAAAAQAgAAAA&#10;IgAAAGRycy9kb3ducmV2LnhtbFBLAQIUABQAAAAIAIdO4kBYV131CQIAAOMDAAAOAAAAAAAAAAEA&#10;IAAAACkBAABkcnMvZTJvRG9jLnhtbFBLBQYAAAAABgAGAFkBAACkBQAAAAA=&#10;">
                <v:fill on="f" focussize="0,0"/>
                <v:stroke weight="0.5pt" color="#FFFF00 [3204]" joinstyle="round" endarrow="open"/>
                <v:imagedata o:title=""/>
                <o:lock v:ext="edit" aspectratio="f"/>
              </v:shape>
            </w:pict>
          </mc:Fallback>
        </mc:AlternateContent>
      </w:r>
      <w:r>
        <w:rPr>
          <w:color w:val="000000" w:themeColor="text1"/>
          <w14:textFill>
            <w14:solidFill>
              <w14:schemeClr w14:val="tx1"/>
            </w14:solidFill>
          </w14:textFill>
        </w:rPr>
        <w:drawing>
          <wp:inline distT="0" distB="0" distL="0" distR="0">
            <wp:extent cx="7315200" cy="5613400"/>
            <wp:effectExtent l="0" t="0" r="0" b="635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52"/>
                    <a:stretch>
                      <a:fillRect/>
                    </a:stretch>
                  </pic:blipFill>
                  <pic:spPr>
                    <a:xfrm>
                      <a:off x="0" y="0"/>
                      <a:ext cx="7315200" cy="5613400"/>
                    </a:xfrm>
                    <a:prstGeom prst="rect">
                      <a:avLst/>
                    </a:prstGeom>
                  </pic:spPr>
                </pic:pic>
              </a:graphicData>
            </a:graphic>
          </wp:inline>
        </w:drawing>
      </w:r>
    </w:p>
    <w:p>
      <w:pPr>
        <w:spacing w:line="219" w:lineRule="auto"/>
        <w:rPr>
          <w:rFonts w:hint="eastAsia" w:ascii="宋体" w:hAnsi="宋体" w:eastAsia="宋体" w:cs="宋体"/>
          <w:color w:val="000000" w:themeColor="text1"/>
          <w:szCs w:val="24"/>
          <w14:textFill>
            <w14:solidFill>
              <w14:schemeClr w14:val="tx1"/>
            </w14:solidFill>
          </w14:textFill>
        </w:rPr>
        <w:sectPr>
          <w:footerReference r:id="rId13" w:type="default"/>
          <w:pgSz w:w="16839" w:h="11906"/>
          <w:pgMar w:top="1012" w:right="1422" w:bottom="1259" w:left="1403" w:header="0" w:footer="1097" w:gutter="0"/>
          <w:cols w:space="720" w:num="1"/>
        </w:sectPr>
      </w:pPr>
    </w:p>
    <w:p>
      <w:pPr>
        <w:spacing w:before="48" w:line="217" w:lineRule="auto"/>
        <w:ind w:left="139"/>
        <w:outlineLvl w:val="0"/>
        <w:rPr>
          <w:rFonts w:hint="eastAsia" w:ascii="宋体" w:hAnsi="宋体" w:eastAsia="宋体" w:cs="宋体"/>
          <w:color w:val="000000" w:themeColor="text1"/>
          <w:szCs w:val="24"/>
          <w14:textFill>
            <w14:solidFill>
              <w14:schemeClr w14:val="tx1"/>
            </w14:solidFill>
          </w14:textFill>
        </w:rPr>
      </w:pPr>
      <w:r>
        <w:rPr>
          <w:rFonts w:ascii="宋体" w:hAnsi="宋体" w:eastAsia="宋体" w:cs="宋体"/>
          <w:b/>
          <w:bCs/>
          <w:color w:val="000000" w:themeColor="text1"/>
          <w:spacing w:val="-8"/>
          <w:szCs w:val="24"/>
          <w14:textFill>
            <w14:solidFill>
              <w14:schemeClr w14:val="tx1"/>
            </w14:solidFill>
          </w14:textFill>
        </w:rPr>
        <w:t>附图</w:t>
      </w:r>
      <w:r>
        <w:rPr>
          <w:rFonts w:ascii="宋体" w:hAnsi="宋体" w:eastAsia="宋体" w:cs="宋体"/>
          <w:color w:val="000000" w:themeColor="text1"/>
          <w:spacing w:val="-54"/>
          <w:szCs w:val="24"/>
          <w14:textFill>
            <w14:solidFill>
              <w14:schemeClr w14:val="tx1"/>
            </w14:solidFill>
          </w14:textFill>
        </w:rPr>
        <w:t xml:space="preserve"> </w:t>
      </w:r>
      <w:r>
        <w:rPr>
          <w:rFonts w:ascii="Times New Roman" w:hAnsi="Times New Roman" w:eastAsia="Times New Roman" w:cs="Times New Roman"/>
          <w:b/>
          <w:bCs/>
          <w:color w:val="000000" w:themeColor="text1"/>
          <w:spacing w:val="-8"/>
          <w:szCs w:val="24"/>
          <w14:textFill>
            <w14:solidFill>
              <w14:schemeClr w14:val="tx1"/>
            </w14:solidFill>
          </w14:textFill>
        </w:rPr>
        <w:t>3</w:t>
      </w:r>
      <w:r>
        <w:rPr>
          <w:rFonts w:ascii="Times New Roman" w:hAnsi="Times New Roman" w:eastAsia="Times New Roman" w:cs="Times New Roman"/>
          <w:b/>
          <w:bCs/>
          <w:color w:val="000000" w:themeColor="text1"/>
          <w:spacing w:val="-30"/>
          <w:szCs w:val="24"/>
          <w14:textFill>
            <w14:solidFill>
              <w14:schemeClr w14:val="tx1"/>
            </w14:solidFill>
          </w14:textFill>
        </w:rPr>
        <w:t xml:space="preserve"> </w:t>
      </w:r>
      <w:r>
        <w:rPr>
          <w:rFonts w:ascii="宋体" w:hAnsi="宋体" w:eastAsia="宋体" w:cs="宋体"/>
          <w:b/>
          <w:bCs/>
          <w:color w:val="000000" w:themeColor="text1"/>
          <w:spacing w:val="-8"/>
          <w:szCs w:val="24"/>
          <w14:textFill>
            <w14:solidFill>
              <w14:schemeClr w14:val="tx1"/>
            </w14:solidFill>
          </w14:textFill>
        </w:rPr>
        <w:t>：</w:t>
      </w:r>
      <w:r>
        <w:rPr>
          <w:rFonts w:hint="eastAsia" w:ascii="宋体" w:hAnsi="宋体" w:eastAsia="宋体" w:cs="宋体"/>
          <w:b/>
          <w:bCs/>
          <w:color w:val="000000" w:themeColor="text1"/>
          <w:spacing w:val="-8"/>
          <w:szCs w:val="24"/>
          <w14:textFill>
            <w14:solidFill>
              <w14:schemeClr w14:val="tx1"/>
            </w14:solidFill>
          </w14:textFill>
        </w:rPr>
        <w:t>项目厂房及</w:t>
      </w:r>
      <w:r>
        <w:rPr>
          <w:rFonts w:ascii="宋体" w:hAnsi="宋体" w:eastAsia="宋体" w:cs="宋体"/>
          <w:b/>
          <w:bCs/>
          <w:color w:val="000000" w:themeColor="text1"/>
          <w:spacing w:val="-8"/>
          <w:szCs w:val="24"/>
          <w14:textFill>
            <w14:solidFill>
              <w14:schemeClr w14:val="tx1"/>
            </w14:solidFill>
          </w14:textFill>
        </w:rPr>
        <w:t>周边环境现状图</w:t>
      </w:r>
    </w:p>
    <w:tbl>
      <w:tblPr>
        <w:tblStyle w:val="173"/>
        <w:tblW w:w="924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553"/>
        <w:gridCol w:w="172"/>
        <w:gridCol w:w="452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553" w:type="dxa"/>
          </w:tcPr>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2861310" cy="2145665"/>
                  <wp:effectExtent l="0" t="0" r="15240" b="6985"/>
                  <wp:docPr id="82" name="图片 82" descr="c7a737a5833632d31b1f80c5a9490e4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7a737a5833632d31b1f80c5a9490e49_"/>
                          <pic:cNvPicPr>
                            <a:picLocks noChangeAspect="1"/>
                          </pic:cNvPicPr>
                        </pic:nvPicPr>
                        <pic:blipFill>
                          <a:blip r:embed="rId53"/>
                          <a:stretch>
                            <a:fillRect/>
                          </a:stretch>
                        </pic:blipFill>
                        <pic:spPr>
                          <a:xfrm>
                            <a:off x="0" y="0"/>
                            <a:ext cx="2861310" cy="2145665"/>
                          </a:xfrm>
                          <a:prstGeom prst="rect">
                            <a:avLst/>
                          </a:prstGeom>
                        </pic:spPr>
                      </pic:pic>
                    </a:graphicData>
                  </a:graphic>
                </wp:inline>
              </w:drawing>
            </w:r>
          </w:p>
        </w:tc>
        <w:tc>
          <w:tcPr>
            <w:tcW w:w="4694" w:type="dxa"/>
            <w:gridSpan w:val="2"/>
          </w:tcPr>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2942590" cy="2138680"/>
                  <wp:effectExtent l="0" t="0" r="10160" b="13970"/>
                  <wp:docPr id="83" name="图片 83" descr="eb1399367c93754ffe4ee4bdf21e8a7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eb1399367c93754ffe4ee4bdf21e8a7b_"/>
                          <pic:cNvPicPr>
                            <a:picLocks noChangeAspect="1"/>
                          </pic:cNvPicPr>
                        </pic:nvPicPr>
                        <pic:blipFill>
                          <a:blip r:embed="rId54"/>
                          <a:stretch>
                            <a:fillRect/>
                          </a:stretch>
                        </pic:blipFill>
                        <pic:spPr>
                          <a:xfrm>
                            <a:off x="0" y="0"/>
                            <a:ext cx="2942590" cy="2138680"/>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553" w:type="dxa"/>
          </w:tcPr>
          <w:p>
            <w:pPr>
              <w:spacing w:after="0" w:line="240" w:lineRule="auto"/>
              <w:jc w:val="center"/>
              <w:rPr>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r>
              <w:rPr>
                <w:rFonts w:hint="eastAsia" w:ascii="Times New Roman" w:hAnsi="Times New Roman" w:cs="Times New Roman"/>
                <w:color w:val="000000" w:themeColor="text1"/>
                <w:sz w:val="21"/>
                <w:szCs w:val="21"/>
                <w14:textFill>
                  <w14:solidFill>
                    <w14:schemeClr w14:val="tx1"/>
                  </w14:solidFill>
                </w14:textFill>
              </w:rPr>
              <w:t>车间外观</w:t>
            </w:r>
          </w:p>
        </w:tc>
        <w:tc>
          <w:tcPr>
            <w:tcW w:w="4694" w:type="dxa"/>
            <w:gridSpan w:val="2"/>
          </w:tcPr>
          <w:p>
            <w:pPr>
              <w:spacing w:after="0" w:line="240" w:lineRule="auto"/>
              <w:jc w:val="center"/>
              <w:rPr>
                <w:color w:val="000000" w:themeColor="text1"/>
                <w14:textFill>
                  <w14:solidFill>
                    <w14:schemeClr w14:val="tx1"/>
                  </w14:solidFill>
                </w14:textFill>
              </w:rPr>
            </w:pPr>
            <w:r>
              <w:rPr>
                <w:rFonts w:hint="eastAsia"/>
                <w:color w:val="000000" w:themeColor="text1"/>
                <w:sz w:val="21"/>
                <w:szCs w:val="21"/>
                <w14:textFill>
                  <w14:solidFill>
                    <w14:schemeClr w14:val="tx1"/>
                  </w14:solidFill>
                </w14:textFill>
              </w:rPr>
              <w:t>危废暂存间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553" w:type="dxa"/>
          </w:tcPr>
          <w:p>
            <w:pPr>
              <w:spacing w:after="0" w:line="240"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drawing>
                <wp:inline distT="0" distB="0" distL="0" distR="0">
                  <wp:extent cx="2630805" cy="2277110"/>
                  <wp:effectExtent l="0" t="0" r="0" b="8890"/>
                  <wp:docPr id="51" name="图片 51" descr="E:\微信下载文件\WeChat Files\luqin112738\FileStorage\Temp\7ca3510cdf3aec4033532bf19a63e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E:\微信下载文件\WeChat Files\luqin112738\FileStorage\Temp\7ca3510cdf3aec4033532bf19a63edc.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639552" cy="2284726"/>
                          </a:xfrm>
                          <a:prstGeom prst="rect">
                            <a:avLst/>
                          </a:prstGeom>
                          <a:noFill/>
                          <a:ln>
                            <a:noFill/>
                          </a:ln>
                        </pic:spPr>
                      </pic:pic>
                    </a:graphicData>
                  </a:graphic>
                </wp:inline>
              </w:drawing>
            </w:r>
          </w:p>
        </w:tc>
        <w:tc>
          <w:tcPr>
            <w:tcW w:w="4694" w:type="dxa"/>
            <w:gridSpan w:val="2"/>
          </w:tcPr>
          <w:p>
            <w:pPr>
              <w:spacing w:after="0"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0" distR="0">
                  <wp:extent cx="2484120" cy="22733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6"/>
                          <a:stretch>
                            <a:fillRect/>
                          </a:stretch>
                        </pic:blipFill>
                        <pic:spPr>
                          <a:xfrm>
                            <a:off x="0" y="0"/>
                            <a:ext cx="2485311" cy="2274245"/>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扩建项目</w:t>
            </w:r>
            <w:r>
              <w:rPr>
                <w:rFonts w:hint="eastAsia" w:ascii="Times New Roman" w:hAnsi="Times New Roman" w:cs="Times New Roman"/>
                <w:color w:val="000000" w:themeColor="text1"/>
                <w:sz w:val="21"/>
                <w:szCs w:val="21"/>
                <w14:textFill>
                  <w14:solidFill>
                    <w14:schemeClr w14:val="tx1"/>
                  </w14:solidFill>
                </w14:textFill>
              </w:rPr>
              <w:t>1#</w:t>
            </w:r>
            <w:r>
              <w:rPr>
                <w:rFonts w:ascii="Times New Roman" w:hAnsi="Times New Roman" w:cs="Times New Roman"/>
                <w:color w:val="000000" w:themeColor="text1"/>
                <w:sz w:val="21"/>
                <w:szCs w:val="21"/>
                <w14:textFill>
                  <w14:solidFill>
                    <w14:schemeClr w14:val="tx1"/>
                  </w14:solidFill>
                </w14:textFill>
              </w:rPr>
              <w:t>车间内现状图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9"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5824220" cy="2045335"/>
                  <wp:effectExtent l="0" t="0" r="5080" b="12065"/>
                  <wp:docPr id="85" name="图片 85" descr="3a213a24bde29e7a1b50eddb9e3cca9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3a213a24bde29e7a1b50eddb9e3cca90_"/>
                          <pic:cNvPicPr>
                            <a:picLocks noChangeAspect="1"/>
                          </pic:cNvPicPr>
                        </pic:nvPicPr>
                        <pic:blipFill>
                          <a:blip r:embed="rId57"/>
                          <a:stretch>
                            <a:fillRect/>
                          </a:stretch>
                        </pic:blipFill>
                        <pic:spPr>
                          <a:xfrm>
                            <a:off x="0" y="0"/>
                            <a:ext cx="5824220" cy="2045335"/>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扩建</w:t>
            </w:r>
            <w:r>
              <w:rPr>
                <w:color w:val="000000" w:themeColor="text1"/>
                <w:sz w:val="21"/>
                <w:szCs w:val="21"/>
                <w14:textFill>
                  <w14:solidFill>
                    <w14:schemeClr w14:val="tx1"/>
                  </w14:solidFill>
                </w14:textFill>
              </w:rPr>
              <w:t>项目</w:t>
            </w:r>
            <w:r>
              <w:rPr>
                <w:rFonts w:hint="eastAsia"/>
                <w:color w:val="000000" w:themeColor="text1"/>
                <w:sz w:val="21"/>
                <w:szCs w:val="21"/>
                <w14:textFill>
                  <w14:solidFill>
                    <w14:schemeClr w14:val="tx1"/>
                  </w14:solidFill>
                </w14:textFill>
              </w:rPr>
              <w:t>北</w:t>
            </w:r>
            <w:r>
              <w:rPr>
                <w:color w:val="000000" w:themeColor="text1"/>
                <w:sz w:val="21"/>
                <w:szCs w:val="21"/>
                <w14:textFill>
                  <w14:solidFill>
                    <w14:schemeClr w14:val="tx1"/>
                  </w14:solidFill>
                </w14:textFill>
              </w:rPr>
              <w:t>侧</w:t>
            </w:r>
            <w:r>
              <w:rPr>
                <w:rFonts w:hint="eastAsia"/>
                <w:color w:val="000000" w:themeColor="text1"/>
                <w:sz w:val="21"/>
                <w:szCs w:val="21"/>
                <w14:textFill>
                  <w14:solidFill>
                    <w14:schemeClr w14:val="tx1"/>
                  </w14:solidFill>
                </w14:textFill>
              </w:rPr>
              <w:t>3#厂房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5837555" cy="2209165"/>
                  <wp:effectExtent l="0" t="0" r="10795" b="635"/>
                  <wp:docPr id="86" name="图片 86" descr="6bbf621f44271f5151f2a006a27440a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6bbf621f44271f5151f2a006a27440a3_"/>
                          <pic:cNvPicPr>
                            <a:picLocks noChangeAspect="1"/>
                          </pic:cNvPicPr>
                        </pic:nvPicPr>
                        <pic:blipFill>
                          <a:blip r:embed="rId58"/>
                          <a:stretch>
                            <a:fillRect/>
                          </a:stretch>
                        </pic:blipFill>
                        <pic:spPr>
                          <a:xfrm>
                            <a:off x="0" y="0"/>
                            <a:ext cx="5837555" cy="2209165"/>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扩建项目</w:t>
            </w:r>
            <w:r>
              <w:rPr>
                <w:rFonts w:hint="eastAsia"/>
                <w:color w:val="000000" w:themeColor="text1"/>
                <w:sz w:val="21"/>
                <w:szCs w:val="21"/>
                <w14:textFill>
                  <w14:solidFill>
                    <w14:schemeClr w14:val="tx1"/>
                  </w14:solidFill>
                </w14:textFill>
              </w:rPr>
              <w:t>东</w:t>
            </w:r>
            <w:r>
              <w:rPr>
                <w:color w:val="000000" w:themeColor="text1"/>
                <w:sz w:val="21"/>
                <w:szCs w:val="21"/>
                <w14:textFill>
                  <w14:solidFill>
                    <w14:schemeClr w14:val="tx1"/>
                  </w14:solidFill>
                </w14:textFill>
              </w:rPr>
              <w:t>侧钣金车间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5783580" cy="2232660"/>
                  <wp:effectExtent l="0" t="0" r="7620" b="15240"/>
                  <wp:docPr id="87" name="图片 87" descr="012f2a3cf9ef563537fd1dc20698e00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12f2a3cf9ef563537fd1dc20698e008_"/>
                          <pic:cNvPicPr>
                            <a:picLocks noChangeAspect="1"/>
                          </pic:cNvPicPr>
                        </pic:nvPicPr>
                        <pic:blipFill>
                          <a:blip r:embed="rId59"/>
                          <a:stretch>
                            <a:fillRect/>
                          </a:stretch>
                        </pic:blipFill>
                        <pic:spPr>
                          <a:xfrm>
                            <a:off x="0" y="0"/>
                            <a:ext cx="5783580" cy="2232660"/>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扩建项目</w:t>
            </w:r>
            <w:r>
              <w:rPr>
                <w:rFonts w:hint="eastAsia"/>
                <w:color w:val="000000" w:themeColor="text1"/>
                <w:sz w:val="21"/>
                <w:szCs w:val="21"/>
                <w14:textFill>
                  <w14:solidFill>
                    <w14:schemeClr w14:val="tx1"/>
                  </w14:solidFill>
                </w14:textFill>
              </w:rPr>
              <w:t>南</w:t>
            </w:r>
            <w:r>
              <w:rPr>
                <w:color w:val="000000" w:themeColor="text1"/>
                <w:sz w:val="21"/>
                <w:szCs w:val="21"/>
                <w14:textFill>
                  <w14:solidFill>
                    <w14:schemeClr w14:val="tx1"/>
                  </w14:solidFill>
                </w14:textFill>
              </w:rPr>
              <w:t>侧</w:t>
            </w:r>
            <w:r>
              <w:rPr>
                <w:rFonts w:hint="eastAsia"/>
                <w:color w:val="000000" w:themeColor="text1"/>
                <w:sz w:val="21"/>
                <w:szCs w:val="21"/>
                <w14:textFill>
                  <w14:solidFill>
                    <w14:schemeClr w14:val="tx1"/>
                  </w14:solidFill>
                </w14:textFill>
              </w:rPr>
              <w:t>2#厂房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5838190" cy="2043430"/>
                  <wp:effectExtent l="0" t="0" r="10160" b="13970"/>
                  <wp:docPr id="89" name="图片 89" descr="15fcc3f4a9ec4b66cd0e26e13cf5b07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5fcc3f4a9ec4b66cd0e26e13cf5b071_"/>
                          <pic:cNvPicPr>
                            <a:picLocks noChangeAspect="1"/>
                          </pic:cNvPicPr>
                        </pic:nvPicPr>
                        <pic:blipFill>
                          <a:blip r:embed="rId60"/>
                          <a:stretch>
                            <a:fillRect/>
                          </a:stretch>
                        </pic:blipFill>
                        <pic:spPr>
                          <a:xfrm>
                            <a:off x="0" y="0"/>
                            <a:ext cx="5838190" cy="2043430"/>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9247" w:type="dxa"/>
            <w:gridSpan w:val="3"/>
          </w:tcPr>
          <w:p>
            <w:pPr>
              <w:spacing w:after="0"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扩建项目</w:t>
            </w:r>
            <w:r>
              <w:rPr>
                <w:rFonts w:hint="eastAsia"/>
                <w:color w:val="000000" w:themeColor="text1"/>
                <w:sz w:val="21"/>
                <w:szCs w:val="21"/>
                <w14:textFill>
                  <w14:solidFill>
                    <w14:schemeClr w14:val="tx1"/>
                  </w14:solidFill>
                </w14:textFill>
              </w:rPr>
              <w:t>西</w:t>
            </w:r>
            <w:r>
              <w:rPr>
                <w:color w:val="000000" w:themeColor="text1"/>
                <w:sz w:val="21"/>
                <w:szCs w:val="21"/>
                <w14:textFill>
                  <w14:solidFill>
                    <w14:schemeClr w14:val="tx1"/>
                  </w14:solidFill>
                </w14:textFill>
              </w:rPr>
              <w:t>侧食堂及宿舍楼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4725" w:type="dxa"/>
            <w:gridSpan w:val="2"/>
            <w:tcBorders>
              <w:right w:val="single" w:color="auto" w:sz="4" w:space="0"/>
            </w:tcBorders>
            <w:vAlign w:val="center"/>
          </w:tcPr>
          <w:p>
            <w:pPr>
              <w:spacing w:after="0" w:line="240" w:lineRule="auto"/>
              <w:jc w:val="center"/>
              <w:rPr>
                <w:color w:val="000000" w:themeColor="text1"/>
                <w:sz w:val="21"/>
                <w:szCs w:val="21"/>
                <w14:textFill>
                  <w14:solidFill>
                    <w14:schemeClr w14:val="tx1"/>
                  </w14:solidFill>
                </w14:textFill>
              </w:rPr>
            </w:pPr>
            <w:r>
              <w:rPr>
                <w:color w:val="000000" w:themeColor="text1"/>
                <w14:textFill>
                  <w14:solidFill>
                    <w14:schemeClr w14:val="tx1"/>
                  </w14:solidFill>
                </w14:textFill>
              </w:rPr>
              <w:drawing>
                <wp:inline distT="0" distB="0" distL="0" distR="0">
                  <wp:extent cx="2447925" cy="3236595"/>
                  <wp:effectExtent l="0" t="0" r="0" b="1905"/>
                  <wp:docPr id="127" name="IM 60"/>
                  <wp:cNvGraphicFramePr/>
                  <a:graphic xmlns:a="http://schemas.openxmlformats.org/drawingml/2006/main">
                    <a:graphicData uri="http://schemas.openxmlformats.org/drawingml/2006/picture">
                      <pic:pic xmlns:pic="http://schemas.openxmlformats.org/drawingml/2006/picture">
                        <pic:nvPicPr>
                          <pic:cNvPr id="127" name="IM 60"/>
                          <pic:cNvPicPr/>
                        </pic:nvPicPr>
                        <pic:blipFill>
                          <a:blip r:embed="rId61"/>
                          <a:stretch>
                            <a:fillRect/>
                          </a:stretch>
                        </pic:blipFill>
                        <pic:spPr>
                          <a:xfrm>
                            <a:off x="0" y="0"/>
                            <a:ext cx="2447290" cy="3236073"/>
                          </a:xfrm>
                          <a:prstGeom prst="rect">
                            <a:avLst/>
                          </a:prstGeom>
                        </pic:spPr>
                      </pic:pic>
                    </a:graphicData>
                  </a:graphic>
                </wp:inline>
              </w:drawing>
            </w:r>
          </w:p>
        </w:tc>
        <w:tc>
          <w:tcPr>
            <w:tcW w:w="4522" w:type="dxa"/>
            <w:tcBorders>
              <w:left w:val="single" w:color="auto" w:sz="4" w:space="0"/>
            </w:tcBorders>
            <w:vAlign w:val="center"/>
          </w:tcPr>
          <w:p>
            <w:pPr>
              <w:spacing w:after="0" w:line="240" w:lineRule="auto"/>
              <w:jc w:val="center"/>
              <w:rPr>
                <w:color w:val="000000" w:themeColor="text1"/>
                <w:sz w:val="21"/>
                <w:szCs w:val="21"/>
                <w14:textFill>
                  <w14:solidFill>
                    <w14:schemeClr w14:val="tx1"/>
                  </w14:solidFill>
                </w14:textFill>
              </w:rPr>
            </w:pPr>
            <w:r>
              <w:rPr>
                <w:color w:val="000000" w:themeColor="text1"/>
                <w14:textFill>
                  <w14:solidFill>
                    <w14:schemeClr w14:val="tx1"/>
                  </w14:solidFill>
                </w14:textFill>
              </w:rPr>
              <w:drawing>
                <wp:inline distT="0" distB="0" distL="0" distR="0">
                  <wp:extent cx="2932430" cy="2046605"/>
                  <wp:effectExtent l="0" t="0" r="1270" b="0"/>
                  <wp:docPr id="5848285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2856" name="图片 1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932430" cy="2046605"/>
                          </a:xfrm>
                          <a:prstGeom prst="rect">
                            <a:avLst/>
                          </a:prstGeom>
                          <a:noFill/>
                          <a:ln>
                            <a:noFill/>
                          </a:ln>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4725" w:type="dxa"/>
            <w:gridSpan w:val="2"/>
            <w:tcBorders>
              <w:right w:val="single" w:color="auto" w:sz="4" w:space="0"/>
            </w:tcBorders>
            <w:vAlign w:val="center"/>
          </w:tcPr>
          <w:p>
            <w:pPr>
              <w:spacing w:after="0"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厂界西侧国道</w:t>
            </w:r>
          </w:p>
        </w:tc>
        <w:tc>
          <w:tcPr>
            <w:tcW w:w="4522" w:type="dxa"/>
            <w:tcBorders>
              <w:left w:val="single" w:color="auto" w:sz="4" w:space="0"/>
            </w:tcBorders>
            <w:vAlign w:val="center"/>
          </w:tcPr>
          <w:p>
            <w:pPr>
              <w:spacing w:after="0"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厂界东侧下底铺居民区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4725" w:type="dxa"/>
            <w:gridSpan w:val="2"/>
            <w:tcBorders>
              <w:right w:val="single" w:color="auto" w:sz="4" w:space="0"/>
            </w:tcBorders>
            <w:vAlign w:val="center"/>
          </w:tcPr>
          <w:p>
            <w:pPr>
              <w:spacing w:after="0" w:line="240" w:lineRule="auto"/>
              <w:jc w:val="center"/>
              <w:rPr>
                <w:color w:val="000000" w:themeColor="text1"/>
                <w:sz w:val="21"/>
                <w:szCs w:val="21"/>
                <w14:textFill>
                  <w14:solidFill>
                    <w14:schemeClr w14:val="tx1"/>
                  </w14:solidFill>
                </w14:textFill>
              </w:rPr>
            </w:pPr>
            <w:r>
              <w:rPr>
                <w:color w:val="000000" w:themeColor="text1"/>
                <w14:textFill>
                  <w14:solidFill>
                    <w14:schemeClr w14:val="tx1"/>
                  </w14:solidFill>
                </w14:textFill>
              </w:rPr>
              <w:drawing>
                <wp:inline distT="0" distB="0" distL="0" distR="0">
                  <wp:extent cx="2933065" cy="2200910"/>
                  <wp:effectExtent l="0" t="0" r="635" b="8890"/>
                  <wp:docPr id="361251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51276" name="图片 1"/>
                          <pic:cNvPicPr>
                            <a:picLocks noChangeAspect="1"/>
                          </pic:cNvPicPr>
                        </pic:nvPicPr>
                        <pic:blipFill>
                          <a:blip r:embed="rId63"/>
                          <a:stretch>
                            <a:fillRect/>
                          </a:stretch>
                        </pic:blipFill>
                        <pic:spPr>
                          <a:xfrm>
                            <a:off x="0" y="0"/>
                            <a:ext cx="2933065" cy="2200910"/>
                          </a:xfrm>
                          <a:prstGeom prst="rect">
                            <a:avLst/>
                          </a:prstGeom>
                        </pic:spPr>
                      </pic:pic>
                    </a:graphicData>
                  </a:graphic>
                </wp:inline>
              </w:drawing>
            </w:r>
          </w:p>
        </w:tc>
        <w:tc>
          <w:tcPr>
            <w:tcW w:w="4522" w:type="dxa"/>
            <w:tcBorders>
              <w:left w:val="single" w:color="auto" w:sz="4" w:space="0"/>
            </w:tcBorders>
            <w:vAlign w:val="center"/>
          </w:tcPr>
          <w:p>
            <w:pPr>
              <w:spacing w:after="0" w:line="240" w:lineRule="auto"/>
              <w:jc w:val="center"/>
              <w:rPr>
                <w:color w:val="000000" w:themeColor="text1"/>
                <w:sz w:val="21"/>
                <w:szCs w:val="21"/>
                <w14:textFill>
                  <w14:solidFill>
                    <w14:schemeClr w14:val="tx1"/>
                  </w14:solidFill>
                </w14:textFill>
              </w:rPr>
            </w:pPr>
            <w:r>
              <w:rPr>
                <w:color w:val="000000" w:themeColor="text1"/>
                <w14:textFill>
                  <w14:solidFill>
                    <w14:schemeClr w14:val="tx1"/>
                  </w14:solidFill>
                </w14:textFill>
              </w:rPr>
              <w:drawing>
                <wp:inline distT="0" distB="0" distL="0" distR="0">
                  <wp:extent cx="2816225" cy="2112010"/>
                  <wp:effectExtent l="0" t="0" r="3175" b="2540"/>
                  <wp:docPr id="170" name="IM 66"/>
                  <wp:cNvGraphicFramePr/>
                  <a:graphic xmlns:a="http://schemas.openxmlformats.org/drawingml/2006/main">
                    <a:graphicData uri="http://schemas.openxmlformats.org/drawingml/2006/picture">
                      <pic:pic xmlns:pic="http://schemas.openxmlformats.org/drawingml/2006/picture">
                        <pic:nvPicPr>
                          <pic:cNvPr id="170" name="IM 66"/>
                          <pic:cNvPicPr/>
                        </pic:nvPicPr>
                        <pic:blipFill>
                          <a:blip r:embed="rId64"/>
                          <a:stretch>
                            <a:fillRect/>
                          </a:stretch>
                        </pic:blipFill>
                        <pic:spPr>
                          <a:xfrm>
                            <a:off x="0" y="0"/>
                            <a:ext cx="2816225" cy="2112010"/>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trPr>
        <w:tc>
          <w:tcPr>
            <w:tcW w:w="4725" w:type="dxa"/>
            <w:gridSpan w:val="2"/>
            <w:tcBorders>
              <w:right w:val="single" w:color="auto" w:sz="4" w:space="0"/>
            </w:tcBorders>
            <w:vAlign w:val="center"/>
          </w:tcPr>
          <w:p>
            <w:pPr>
              <w:spacing w:after="0"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厂界南侧</w:t>
            </w:r>
            <w:r>
              <w:rPr>
                <w:rFonts w:hint="eastAsia"/>
                <w:color w:val="000000" w:themeColor="text1"/>
                <w:sz w:val="21"/>
                <w:szCs w:val="21"/>
                <w14:textFill>
                  <w14:solidFill>
                    <w14:schemeClr w14:val="tx1"/>
                  </w14:solidFill>
                </w14:textFill>
              </w:rPr>
              <w:t>集美纺织企业</w:t>
            </w:r>
          </w:p>
        </w:tc>
        <w:tc>
          <w:tcPr>
            <w:tcW w:w="4522" w:type="dxa"/>
            <w:tcBorders>
              <w:left w:val="single" w:color="auto" w:sz="4" w:space="0"/>
            </w:tcBorders>
            <w:vAlign w:val="center"/>
          </w:tcPr>
          <w:p>
            <w:pPr>
              <w:spacing w:after="0" w:line="240" w:lineRule="auto"/>
              <w:jc w:val="center"/>
              <w:rPr>
                <w:color w:val="000000" w:themeColor="text1"/>
                <w14:textFill>
                  <w14:solidFill>
                    <w14:schemeClr w14:val="tx1"/>
                  </w14:solidFill>
                </w14:textFill>
              </w:rPr>
            </w:pPr>
            <w:r>
              <w:rPr>
                <w:color w:val="000000" w:themeColor="text1"/>
                <w14:textFill>
                  <w14:solidFill>
                    <w14:schemeClr w14:val="tx1"/>
                  </w14:solidFill>
                </w14:textFill>
              </w:rPr>
              <w:t>厂界北侧福建名味食品有限公司</w:t>
            </w:r>
          </w:p>
        </w:tc>
      </w:tr>
    </w:tbl>
    <w:p>
      <w:pPr>
        <w:pStyle w:val="32"/>
        <w:rPr>
          <w:rFonts w:hint="eastAsia" w:asciiTheme="minorEastAsia" w:hAnsiTheme="minorEastAsia" w:eastAsiaTheme="minorEastAsia" w:cstheme="minorEastAsia"/>
          <w:color w:val="000000" w:themeColor="text1"/>
          <w:szCs w:val="24"/>
          <w14:textFill>
            <w14:solidFill>
              <w14:schemeClr w14:val="tx1"/>
            </w14:solidFill>
          </w14:textFill>
        </w:rPr>
        <w:sectPr>
          <w:pgSz w:w="11906" w:h="16838"/>
          <w:pgMar w:top="1417" w:right="1417" w:bottom="1417" w:left="1417" w:header="992" w:footer="992" w:gutter="0"/>
          <w:cols w:space="720" w:num="1"/>
          <w:docGrid w:linePitch="312" w:charSpace="0"/>
        </w:sectPr>
      </w:pPr>
    </w:p>
    <w:p>
      <w:pPr>
        <w:spacing w:before="48" w:line="217" w:lineRule="auto"/>
        <w:outlineLvl w:val="0"/>
        <w:rPr>
          <w:rFonts w:hint="eastAsia" w:ascii="宋体" w:hAnsi="宋体" w:eastAsia="宋体" w:cs="宋体"/>
          <w:b/>
          <w:bCs/>
          <w:color w:val="000000" w:themeColor="text1"/>
          <w:spacing w:val="-8"/>
          <w:szCs w:val="24"/>
          <w14:textFill>
            <w14:solidFill>
              <w14:schemeClr w14:val="tx1"/>
            </w14:solidFill>
          </w14:textFill>
        </w:rPr>
      </w:pPr>
      <w:r>
        <w:rPr>
          <w:rFonts w:hint="eastAsia" w:ascii="宋体" w:hAnsi="宋体" w:eastAsia="宋体" w:cs="宋体"/>
          <w:b/>
          <w:bCs/>
          <w:color w:val="000000" w:themeColor="text1"/>
          <w:spacing w:val="-8"/>
          <w:szCs w:val="24"/>
          <w14:textFill>
            <w14:solidFill>
              <w14:schemeClr w14:val="tx1"/>
            </w14:solidFill>
          </w14:textFill>
        </w:rPr>
        <w:t>附图4 项目厂区总平面布置图</w:t>
      </w:r>
    </w:p>
    <w:p>
      <w:pPr>
        <w:pStyle w:val="164"/>
        <w:jc w:val="center"/>
        <w:rPr>
          <w:rFonts w:hint="eastAsia" w:ascii="宋体" w:hAnsi="宋体" w:eastAsia="宋体"/>
          <w:b/>
          <w:bCs/>
          <w:color w:val="000000" w:themeColor="text1"/>
          <w:spacing w:val="-8"/>
          <w:szCs w:val="24"/>
          <w14:textFill>
            <w14:solidFill>
              <w14:schemeClr w14:val="tx1"/>
            </w14:solidFill>
          </w14:textFill>
        </w:rPr>
        <w:sectPr>
          <w:pgSz w:w="16838" w:h="11906" w:orient="landscape"/>
          <w:pgMar w:top="1417" w:right="1417" w:bottom="1417" w:left="1417" w:header="992" w:footer="992" w:gutter="0"/>
          <w:cols w:space="720" w:num="1"/>
          <w:docGrid w:linePitch="326" w:charSpace="0"/>
        </w:sectPr>
      </w:pPr>
      <w:bookmarkStart w:id="15" w:name="_MON_1791457283"/>
      <w:bookmarkEnd w:id="15"/>
      <w:r>
        <w:rPr>
          <w:rFonts w:hint="eastAsia" w:ascii="宋体" w:hAnsi="宋体" w:eastAsia="宋体"/>
          <w:b/>
          <w:bCs/>
          <w:color w:val="000000" w:themeColor="text1"/>
          <w:spacing w:val="-8"/>
          <w:szCs w:val="24"/>
          <w14:textFill>
            <w14:solidFill>
              <w14:schemeClr w14:val="tx1"/>
            </w14:solidFill>
          </w14:textFill>
        </w:rPr>
        <w:object>
          <v:shape id="_x0000_i1027" o:spt="75" type="#_x0000_t75" style="height:420.75pt;width:486.9pt;" o:ole="t" filled="f" o:preferrelative="t" stroked="f" coordsize="21600,21600">
            <v:path/>
            <v:fill on="f" focussize="0,0"/>
            <v:stroke on="f" joinstyle="miter"/>
            <v:imagedata r:id="rId66" o:title=""/>
            <o:lock v:ext="edit" aspectratio="t"/>
            <w10:wrap type="none"/>
            <w10:anchorlock/>
          </v:shape>
          <o:OLEObject Type="Embed" ProgID="PowerPoint.Show.12" ShapeID="_x0000_i1027" DrawAspect="Content" ObjectID="_1468075727" r:id="rId65">
            <o:LockedField>false</o:LockedField>
          </o:OLEObject>
        </w:object>
      </w:r>
    </w:p>
    <w:p>
      <w:pPr>
        <w:spacing w:before="48" w:line="217" w:lineRule="auto"/>
        <w:outlineLvl w:val="0"/>
        <w:rPr>
          <w:rFonts w:hint="eastAsia" w:ascii="宋体" w:hAnsi="宋体" w:eastAsia="宋体" w:cs="宋体"/>
          <w:b/>
          <w:bCs/>
          <w:color w:val="000000" w:themeColor="text1"/>
          <w:spacing w:val="-8"/>
          <w:szCs w:val="24"/>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6462395</wp:posOffset>
                </wp:positionH>
                <wp:positionV relativeFrom="paragraph">
                  <wp:posOffset>252730</wp:posOffset>
                </wp:positionV>
                <wp:extent cx="0" cy="228600"/>
                <wp:effectExtent l="0" t="0" r="38100" b="19050"/>
                <wp:wrapNone/>
                <wp:docPr id="1065172544" name="直接连接符 1065172544"/>
                <wp:cNvGraphicFramePr/>
                <a:graphic xmlns:a="http://schemas.openxmlformats.org/drawingml/2006/main">
                  <a:graphicData uri="http://schemas.microsoft.com/office/word/2010/wordprocessingShape">
                    <wps:wsp>
                      <wps:cNvCnPr/>
                      <wps:spPr>
                        <a:xfrm flipH="1">
                          <a:off x="0" y="0"/>
                          <a:ext cx="0" cy="2286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508.85pt;margin-top:19.9pt;height:18pt;width:0pt;z-index:251746304;mso-width-relative:page;mso-height-relative:page;" filled="f" stroked="t" coordsize="21600,21600" o:gfxdata="UEsDBAoAAAAAAIdO4kAAAAAAAAAAAAAAAAAEAAAAZHJzL1BLAwQUAAAACACHTuJATZ16l9gAAAAL&#10;AQAADwAAAGRycy9kb3ducmV2LnhtbE2PwU7DMBBE70j8g7WVuFTUDoimpHF6QOKCxAG3lThuE5NE&#10;jddR7LbJ37MVB3qc2afZmXwzuk6c7RBaTxqShQJhqfRVS7WG3fb9cQUiRKQKO09Ww2QDbIr7uxyz&#10;yl/oy55NrAWHUMhQQxNjn0kZysY6DAvfW+Lbjx8cRpZDLasBLxzuOvmk1FI6bIk/NNjbt8aWR3Ny&#10;GozC6SPZ7adxHufH7bf5NPtl1Pphlqg1iGjH+A/DtT5Xh4I7HfyJqiA61ipJU2Y1PL/yhivx5xw0&#10;pC8rkEUubzcUv1BLAwQUAAAACACHTuJAKjEltuoBAAC1AwAADgAAAGRycy9lMm9Eb2MueG1srVPN&#10;jtMwEL4j8Q6W7zRptC1L1HQPWxUOCCoBD+A6dmLJf/J4m/YleAEkbnDiyJ232eUxGDuhLMtlD+Rg&#10;jcfjb/x982V1dTSaHEQA5WxD57OSEmG5a5XtGvrh/fbZJSUQmW2ZdlY09CSAXq2fPlkNvhaV651u&#10;RSAIYqEefEP7GH1dFMB7YRjMnBcWD6ULhkXchq5oAxsQ3eiiKstlMbjQ+uC4AMDsZjykE2J4DKCT&#10;UnGxcfzGCBtH1CA0i0gJeuWBrvNrpRQ8vpUSRCS6ocg05hWbYLxPa7FesboLzPeKT09gj3nCA06G&#10;KYtNz1AbFhm5CeofKKN4cOBknHFnipFIVgRZzMsH2rzrmReZC0oN/iw6/D9Y/uawC0S16IRyuZg/&#10;rxYXF5RYZnDyd5++33788vPHZ1zvvn0l9ypQtsFDjbev7S5MO/C7kDQ4ymCI1Mq/QtSsCvIkxyz6&#10;6Sy6OEbCxyTHbFVdLss8j2JESEg+QHwpnCEpaKhWNsnBanZ4DRG7YunvkpS2bqu0ziPVlgwNfbGo&#10;FpRwhjaVaA8MjUeqYDtKmO7Q/zyGjAhOqzbdTjgQuv21DuTA0DXbbYlfMgp2+6sstd4w6Me6fDSV&#10;aYvVSaBRkhTtXXvKSuU8TjPjTc5Ldrm/z7f//G3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2d&#10;epfYAAAACwEAAA8AAAAAAAAAAQAgAAAAIgAAAGRycy9kb3ducmV2LnhtbFBLAQIUABQAAAAIAIdO&#10;4kAqMSW26gEAALUDAAAOAAAAAAAAAAEAIAAAACcBAABkcnMvZTJvRG9jLnhtbFBLBQYAAAAABgAG&#10;AFkBAACDBQ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6421755</wp:posOffset>
                </wp:positionH>
                <wp:positionV relativeFrom="paragraph">
                  <wp:posOffset>-86995</wp:posOffset>
                </wp:positionV>
                <wp:extent cx="827405" cy="281305"/>
                <wp:effectExtent l="0" t="0" r="0" b="4445"/>
                <wp:wrapNone/>
                <wp:docPr id="1794769911" name="矩形 1794769911"/>
                <wp:cNvGraphicFramePr/>
                <a:graphic xmlns:a="http://schemas.openxmlformats.org/drawingml/2006/main">
                  <a:graphicData uri="http://schemas.microsoft.com/office/word/2010/wordprocessingShape">
                    <wps:wsp>
                      <wps:cNvSpPr/>
                      <wps:spPr>
                        <a:xfrm>
                          <a:off x="0" y="0"/>
                          <a:ext cx="827405" cy="2813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ascii="Times New Roman" w:hAnsi="Times New Roman" w:cs="Times New Roman"/>
                                <w:b/>
                                <w:color w:val="FFC000"/>
                              </w:rPr>
                            </w:pPr>
                            <w:r>
                              <w:rPr>
                                <w:rFonts w:ascii="Times New Roman" w:hAnsi="Times New Roman" w:cs="Times New Roman"/>
                                <w:b/>
                                <w:color w:val="00B050"/>
                              </w:rPr>
                              <w:t>DA00</w:t>
                            </w:r>
                            <w:r>
                              <w:rPr>
                                <w:rFonts w:hint="eastAsia" w:ascii="Times New Roman" w:hAnsi="Times New Roman" w:cs="Times New Roman"/>
                                <w:b/>
                                <w:color w:val="00B050"/>
                              </w:rPr>
                              <w:t>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65pt;margin-top:-6.85pt;height:22.15pt;width:65.15pt;z-index:251742208;v-text-anchor:middle;mso-width-relative:page;mso-height-relative:page;" filled="f" stroked="f" coordsize="21600,21600" o:gfxdata="UEsDBAoAAAAAAIdO4kAAAAAAAAAAAAAAAAAEAAAAZHJzL1BLAwQUAAAACACHTuJAkl4ictkAAAAM&#10;AQAADwAAAGRycy9kb3ducmV2LnhtbE2PwW7CMBBE70j9B2sr9Qa2CUqrEAch1FbiWFKp6s2JlyRt&#10;vI5iE+Dva070ONqnmbf55mJ7NuHoO0cK5EIAQ6qd6ahR8Fm+zV+A+aDJ6N4RKriih03xMMt1ZtyZ&#10;PnA6hIbFEvKZVtCGMGSc+7pFq/3CDUjxdnSj1SHGseFm1OdYbnu+FCLlVncUF1o94K7F+vdwsgp8&#10;Ne3L67D9+vn2dbV9JVuu9u9KPT1KsQYW8BLuMNz0ozoU0alyJzKe9TELKZPIKpjL5BnYDZErmQKr&#10;FCQiBV7k/P8TxR9QSwMEFAAAAAgAh07iQPsLUx5ZAgAApwQAAA4AAABkcnMvZTJvRG9jLnhtbK1U&#10;zW4TMRC+I/EOlu90k5A2TdSkihoVIVW0UkGcHa+dteQ/bCeb8jJI3HgIHgfxGnz2btOocOiBy2bG&#10;M/483zczubjcG012IkTl7JwOTwaUCMtdrexmTj99vH5zTklMzNZMOyvm9EFEerl4/eqi9TMxco3T&#10;tQgEIDbOWj+nTUp+VlWRN8KweOK8sAhKFwxLcMOmqgNrgW50NRoMzqrWhdoHx0WMOF11QdojhpcA&#10;OikVFyvHt0bY1KEGoVkCpdgoH+miVCul4OlWyigS0XMKpql88Qjsdf5Wiws22wTmG8X7EthLSnjG&#10;yTBl8egBasUSI9ug/oIyigcXnUwn3JmqI1IUAYvh4Jk29w3zonCB1NEfRI//D5Z/2N0FompMwmQ6&#10;npxNp8MhJZYZdP73tx+/fn4nRwGo1fo4w6V7fxd6L8LM1PcymPwLUmRfFH44KCz2iXAcno8m48Ep&#10;JRyh0fnwLWygVE+XfYjpnXCGZGNOAxpYdGW7m5i61MeU/JZ110prnLOZtqQF6Ol4gN5yhsmUmAiY&#10;xoNdtBtKmN5g5HkKBfLoboZcsdiQHcOcRKdV3delLcrLnDuW2Ur79b6nvnb1A+QLrpur6Pm1AtQN&#10;i+mOBQwSSsGqpVt8pHaoz/UWJY0LX/91nvPRX0QpaTGYqOfLlgVBiX5v0fnpcDzOk1yc8elkBCcc&#10;R9bHEbs1Vw6c0FRUV8ycn/SjKYMzn7GRy/wqQsxyvN2p1DtXqVsY7DQXy2VJw/R6lm7svecZvOvF&#10;cpucVKVNWahOnV4/zG9pdL9reUGO/ZL19P+y+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SXiJy&#10;2QAAAAwBAAAPAAAAAAAAAAEAIAAAACIAAABkcnMvZG93bnJldi54bWxQSwECFAAUAAAACACHTuJA&#10;+wtTHlkCAACnBAAADgAAAAAAAAABACAAAAAoAQAAZHJzL2Uyb0RvYy54bWxQSwUGAAAAAAYABgBZ&#10;AQAA8wUAAAAA&#10;">
                <v:fill on="f" focussize="0,0"/>
                <v:stroke on="f" weight="2pt"/>
                <v:imagedata o:title=""/>
                <o:lock v:ext="edit" aspectratio="f"/>
                <v:textbox>
                  <w:txbxContent>
                    <w:p>
                      <w:pPr>
                        <w:jc w:val="center"/>
                        <w:rPr>
                          <w:rFonts w:ascii="Times New Roman" w:hAnsi="Times New Roman" w:cs="Times New Roman"/>
                          <w:b/>
                          <w:color w:val="FFC000"/>
                        </w:rPr>
                      </w:pPr>
                      <w:r>
                        <w:rPr>
                          <w:rFonts w:ascii="Times New Roman" w:hAnsi="Times New Roman" w:cs="Times New Roman"/>
                          <w:b/>
                          <w:color w:val="00B050"/>
                        </w:rPr>
                        <w:t>DA00</w:t>
                      </w:r>
                      <w:r>
                        <w:rPr>
                          <w:rFonts w:hint="eastAsia" w:ascii="Times New Roman" w:hAnsi="Times New Roman" w:cs="Times New Roman"/>
                          <w:b/>
                          <w:color w:val="00B050"/>
                        </w:rPr>
                        <w:t>6</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4606290</wp:posOffset>
                </wp:positionH>
                <wp:positionV relativeFrom="paragraph">
                  <wp:posOffset>-43180</wp:posOffset>
                </wp:positionV>
                <wp:extent cx="827405" cy="281305"/>
                <wp:effectExtent l="0" t="0" r="0" b="4445"/>
                <wp:wrapNone/>
                <wp:docPr id="93" name="矩形 93"/>
                <wp:cNvGraphicFramePr/>
                <a:graphic xmlns:a="http://schemas.openxmlformats.org/drawingml/2006/main">
                  <a:graphicData uri="http://schemas.microsoft.com/office/word/2010/wordprocessingShape">
                    <wps:wsp>
                      <wps:cNvSpPr/>
                      <wps:spPr>
                        <a:xfrm>
                          <a:off x="0" y="0"/>
                          <a:ext cx="827405" cy="2813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ascii="Times New Roman" w:hAnsi="Times New Roman" w:cs="Times New Roman"/>
                                <w:b/>
                                <w:color w:val="FFC000"/>
                              </w:rPr>
                            </w:pPr>
                            <w:r>
                              <w:rPr>
                                <w:rFonts w:ascii="Times New Roman" w:hAnsi="Times New Roman" w:cs="Times New Roman"/>
                                <w:b/>
                                <w:color w:val="00B050"/>
                              </w:rPr>
                              <w:t>DA00</w:t>
                            </w:r>
                            <w:r>
                              <w:rPr>
                                <w:rFonts w:hint="eastAsia" w:ascii="Times New Roman" w:hAnsi="Times New Roman" w:cs="Times New Roman"/>
                                <w:b/>
                                <w:color w:val="00B050"/>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2.7pt;margin-top:-3.4pt;height:22.15pt;width:65.15pt;z-index:251691008;v-text-anchor:middle;mso-width-relative:page;mso-height-relative:page;" filled="f" stroked="f" coordsize="21600,21600" o:gfxdata="UEsDBAoAAAAAAIdO4kAAAAAAAAAAAAAAAAAEAAAAZHJzL1BLAwQUAAAACACHTuJAVWrFNdkAAAAJ&#10;AQAADwAAAGRycy9kb3ducmV2LnhtbE2PQU+DQBCF7yb+h82YeGuX1lIaZGgaoyY9WkyMtwVGQNlZ&#10;wm5p++8dT/U4mS/vfS/bnm2vJhp95xhhMY9AEVeu7rhBeC9eZhtQPhiuTe+YEC7kYZvf3mQmrd2J&#10;32g6hEZJCPvUILQhDKnWvmrJGj93A7H8vtxoTZBzbHQ9mpOE214vo2itrelYGloz0FNL1c/haBF8&#10;Oe2Ly7D7+P70Vbl7Zlus9q+I93eL6BFUoHO4wvCnL+qQi1Ppjlx71SMky3glKMJsLRME2MRxAqpE&#10;eEhi0Hmm/y/IfwFQSwMEFAAAAAgAh07iQPHDoP1SAgAAlwQAAA4AAABkcnMvZTJvRG9jLnhtbK1U&#10;zW4TMRC+I/EOlu90kzSlbdRNFTUqQqpopYI4O147a8l/2E425WWQuPEQPA7iNfjs3aZR4dADF2fG&#10;M/t5vm9mcnG5M5psRYjK2ZqOj0aUCMtdo+y6pp8+Xr85oyQmZhumnRU1fRCRXs5fv7ro/ExMXOt0&#10;IwIBiI2zzte0TcnPqiryVhgWj5wXFkHpgmEJblhXTWAd0I2uJqPR26pzofHBcREjbpd9kA6I4SWA&#10;TkrFxdLxjRE29ahBaJZAKbbKRzov1UopeLqVMopEdE3BNJUTj8Be5bOaX7DZOjDfKj6UwF5SwjNO&#10;himLR/dQS5YY2QT1F5RRPLjoZDrizlQ9kaIIWIxHz7S5b5kXhQukjn4vevx/sPzD9i4Q1dT0/JgS&#10;yww6/vvbj18/vxNcQJ3OxxmS7v1dGLwIM1PdyWDyL0iQXVH0Ya+o2CXCcXk2OZ2OTijhCE3Oxsew&#10;gVI9fexDTO+EMyQbNQ1oWNGRbW9i6lMfU/Jb1l0rrXHPZtqSDqAn0xF6yRkmUWICYBoPNtGuKWF6&#10;jRHnKRTIg28z5JLFlmwZ5iI6rZqhLm1RXubcs8xW2q12A/WVax4gV3D9HEXPrxWgblhMdyxgcFAK&#10;Vivd4pDaoT43WJS0Lnz9133ORz8RpaTDIKKeLxsWBCX6vUWnz8fTaZ7c4kxPTidwwmFkdRixG3Pl&#10;wGmMJfa8mDk/6UdTBmc+YwMX+VWEmOV4u1dpcK5SvyDYYS4Wi5KGafUs3dh7zzN434vFJjmpSpuy&#10;UL06g36Y19LoYbfyQhz6Jevp/2T+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VqxTXZAAAACQEA&#10;AA8AAAAAAAAAAQAgAAAAIgAAAGRycy9kb3ducmV2LnhtbFBLAQIUABQAAAAIAIdO4kDxw6D9UgIA&#10;AJcEAAAOAAAAAAAAAAEAIAAAACgBAABkcnMvZTJvRG9jLnhtbFBLBQYAAAAABgAGAFkBAADsBQAA&#10;AAA=&#10;">
                <v:fill on="f" focussize="0,0"/>
                <v:stroke on="f" weight="2pt"/>
                <v:imagedata o:title=""/>
                <o:lock v:ext="edit" aspectratio="f"/>
                <v:textbox>
                  <w:txbxContent>
                    <w:p>
                      <w:pPr>
                        <w:jc w:val="center"/>
                        <w:rPr>
                          <w:rFonts w:ascii="Times New Roman" w:hAnsi="Times New Roman" w:cs="Times New Roman"/>
                          <w:b/>
                          <w:color w:val="FFC000"/>
                        </w:rPr>
                      </w:pPr>
                      <w:r>
                        <w:rPr>
                          <w:rFonts w:ascii="Times New Roman" w:hAnsi="Times New Roman" w:cs="Times New Roman"/>
                          <w:b/>
                          <w:color w:val="00B050"/>
                        </w:rPr>
                        <w:t>DA00</w:t>
                      </w:r>
                      <w:r>
                        <w:rPr>
                          <w:rFonts w:hint="eastAsia" w:ascii="Times New Roman" w:hAnsi="Times New Roman" w:cs="Times New Roman"/>
                          <w:b/>
                          <w:color w:val="00B050"/>
                        </w:rPr>
                        <w:t>5</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6378575</wp:posOffset>
                </wp:positionH>
                <wp:positionV relativeFrom="paragraph">
                  <wp:posOffset>109855</wp:posOffset>
                </wp:positionV>
                <wp:extent cx="163830" cy="158115"/>
                <wp:effectExtent l="0" t="0" r="26670" b="13335"/>
                <wp:wrapNone/>
                <wp:docPr id="153715453" name="流程图: 汇总连接 153715453"/>
                <wp:cNvGraphicFramePr/>
                <a:graphic xmlns:a="http://schemas.openxmlformats.org/drawingml/2006/main">
                  <a:graphicData uri="http://schemas.microsoft.com/office/word/2010/wordprocessingShape">
                    <wps:wsp>
                      <wps:cNvSpPr/>
                      <wps:spPr>
                        <a:xfrm>
                          <a:off x="0" y="0"/>
                          <a:ext cx="163830" cy="158115"/>
                        </a:xfrm>
                        <a:prstGeom prst="flowChartSummingJunction">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502.25pt;margin-top:8.65pt;height:12.45pt;width:12.9pt;z-index:251740160;v-text-anchor:middle;mso-width-relative:page;mso-height-relative:page;" filled="f" stroked="t" coordsize="21600,21600" o:gfxdata="UEsDBAoAAAAAAIdO4kAAAAAAAAAAAAAAAAAEAAAAZHJzL1BLAwQUAAAACACHTuJAHzrmCdgAAAAL&#10;AQAADwAAAGRycy9kb3ducmV2LnhtbE2PwU7DMBBE70j8g7VI3KjdJBQU4lRA1RsSaovE1Y23sUVs&#10;R7HbJH/P9gS3Ge3T7Ey1nlzHLjhEG7yE5UIAQ98EbX0r4euwfXgGFpPyWnXBo4QZI6zr25tKlTqM&#10;foeXfWoZhfhYKgkmpb7kPDYGnYqL0KOn2ykMTiWyQ8v1oEYKdx3PhFhxp6ynD0b1+G6w+dmfnYQP&#10;u1ntbPE6bef5ezyYt898k05S3t8txQuwhFP6g+Fan6pDTZ2O4ex1ZB15IYpHYkk95cCuhMgFqaOE&#10;IsuA1xX/v6H+BVBLAwQUAAAACACHTuJAqN4/WpICAADoBAAADgAAAGRycy9lMm9Eb2MueG1srVTN&#10;jtMwEL4j8Q6W72ySttldok1XpVURaMWuVBBn13GaSP7DdpouJzhxQOIFkLghceXACQmehsJjMHay&#10;7bJw2AOXZMbz5/nmG5+cbgRHa2ZsrWSOk4MYIyapKmq5yvGzp/N7xxhZR2RBuJIsx5fM4tPx3Tsn&#10;rc7YQFWKF8wgSCJt1uocV87pLIosrZgg9kBpJsFYKiOIA9WsosKQFrILHg3i+DBqlSm0UZRZC6ez&#10;zoj7jOY2CVVZ1pTNFG0Ek67LahgnDlqyVa0tHofbliWj7rwsLXOI5xg6deELRUBe+m80PiHZyhBd&#10;1bS/ArnNFW70JEgtoegu1Yw4ghpT/5VK1NQoq0p3QJWIukYCItBFEt/AZlERzUIvALXVO9Dt/0tL&#10;n6wvDKoLYEI6PErSUTrESBIBg99+ef3z09sf779laPv5zfbV11/fP2zffUR7RwCv1TaDHAt9YXrN&#10;guiR2JRG+D/0iDYB8Msd4GzjEIXD5HB4PIRRUDAl6XGSpH4g0T5YG+seMiWQF3JcctVOK2LcohEC&#10;yPO4kdQPPUBP1mfWdeFXYb6+VPOaczgnGZeozfEgHcW+JgHylkAaEIUGAKxcYUT4CraCOhNSWsXr&#10;wof7aGtWyyk3aE08l+IHcRroA7f9w83XnhFbdX7B1DfFJfTmAesg8tJSFZeAv1EdMa2m8xriz4h1&#10;F8QAE+GisKvuHD6++RyrXsKoUublv869PxAErBi1wGzo7EVDDMOIP5JAnfvJaARpXVBG6dEAFHPd&#10;srxukY2YKmg4gVdB0yB6f8evxNIo8RxWeuKrgolICrU7DHtl6rqNg0eBsskkuAH9NXFncqGpT95N&#10;atI4VdZhiHt0etBgAQI1+mX1G3ZdD177B2r8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865gnY&#10;AAAACwEAAA8AAAAAAAAAAQAgAAAAIgAAAGRycy9kb3ducmV2LnhtbFBLAQIUABQAAAAIAIdO4kCo&#10;3j9akgIAAOgEAAAOAAAAAAAAAAEAIAAAACcBAABkcnMvZTJvRG9jLnhtbFBLBQYAAAAABgAGAFkB&#10;AAArBgAAAAA=&#10;">
                <v:fill on="f" focussize="0,0"/>
                <v:stroke weight="2pt" color="#00B050 [32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4612005</wp:posOffset>
                </wp:positionH>
                <wp:positionV relativeFrom="paragraph">
                  <wp:posOffset>128905</wp:posOffset>
                </wp:positionV>
                <wp:extent cx="163830" cy="158115"/>
                <wp:effectExtent l="0" t="0" r="26670" b="13335"/>
                <wp:wrapNone/>
                <wp:docPr id="2032760228" name="流程图: 汇总连接 2032760228"/>
                <wp:cNvGraphicFramePr/>
                <a:graphic xmlns:a="http://schemas.openxmlformats.org/drawingml/2006/main">
                  <a:graphicData uri="http://schemas.microsoft.com/office/word/2010/wordprocessingShape">
                    <wps:wsp>
                      <wps:cNvSpPr/>
                      <wps:spPr>
                        <a:xfrm>
                          <a:off x="0" y="0"/>
                          <a:ext cx="163830" cy="158115"/>
                        </a:xfrm>
                        <a:prstGeom prst="flowChartSummingJunction">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363.15pt;margin-top:10.15pt;height:12.45pt;width:12.9pt;z-index:251720704;v-text-anchor:middle;mso-width-relative:page;mso-height-relative:page;" filled="f" stroked="t" coordsize="21600,21600" o:gfxdata="UEsDBAoAAAAAAIdO4kAAAAAAAAAAAAAAAAAEAAAAZHJzL1BLAwQUAAAACACHTuJASX3wXNkAAAAJ&#10;AQAADwAAAGRycy9kb3ducmV2LnhtbE2PQW7CMBBF95V6B2sqdVfsGAgoxEFtEbtKFVCpWxOb2Gps&#10;R7Ehye07XZXVaDRPf94vt6NryU330QYvIJsxINrXQVnfCPg67V/WQGKSXsk2eC1g0hG21eNDKQsV&#10;Bn/Qt2NqCIb4WEgBJqWuoDTWRjsZZ6HTHm+X0DuZcO0bqno5YLhrKWcsp05ajx+M7PS70fXP8eoE&#10;fNhdfrCL13E/Td/Dybx9znfpIsTzU8Y2QJIe0z8Mf/qoDhU6ncPVq0haASuezxEVwBlOBFZLngE5&#10;C1gsOdCqpPcNql9QSwMEFAAAAAgAh07iQAcWPG2TAgAA6gQAAA4AAABkcnMvZTJvRG9jLnhtbK1U&#10;zW4TMRC+I/EOlu90f5q0YZVNFRIVgSpaKSDOjtebXcl/2N5syglOHJB4ASRuSFw5cEKCpyHwGIy9&#10;2yYUDj1w2Z3x/Pn7Zsbjk43gaM2MrZXMcXIQY8QkVUUtVzl+9vT03ggj64gsCFeS5fiSWXwyuXtn&#10;3OqMpapSvGAGQRJps1bnuHJOZ1FkacUEsQdKMwnGUhlBHKhmFRWGtJBd8CiN46OoVabQRlFmLZzO&#10;OyPuM5rbJFRlWVM2V7QRTLouq2GcOIBkq1pbPAm3LUtG3XlZWuYQzzEgdeELRUBe+m80GZNsZYiu&#10;atpfgdzmCjcwCVJLKHqdak4cQY2p/0olamqUVaU7oEpEHZDACKBI4hvcLCqiWcACVFt9Tbr9f2np&#10;k/WFQXWR4zQ+TI+P4jSF/ksioPPbL69/fnr74/23DG0/v9m++vrr+4ftu49ozxPoa7XNIMtCX5he&#10;syB6LjalEf4PKNEmUH55TTnbOEThMDk6HB1CMyiYkuEoSYa+JdEuWBvrHjIlkBdyXHLVzipi3KIR&#10;AsbncSOpb3sgn6zPrOvCr8J8falOa87hnGRcohagDgexr0lgfEsYGxCFBgqsXGFE+Ar2gjoTUlrF&#10;68KH+2hrVssZN2hN/DTFD+JhGCC47R9uvvac2KrzC6YeFJeAzRPWUeSlpSouoQNGdaNpNT2tIf6M&#10;WHdBDMwiXBS21Z3Dx4PPseoljCplXv7r3PvDiIAVoxZmG5C9aIhhGPFHEobnfjIYQFoXlMHwOAXF&#10;7FuW+xbZiJkCwAm8C5oG0fs7fiWWRonnsNRTXxVMRFKo3XHYKzPX7Rw8C5RNp8ENFkATdyYXmvrk&#10;XaemjVNlHZq4Y6cnDVYgjEa/rn7H9vXgtXuiJ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SX3w&#10;XNkAAAAJAQAADwAAAAAAAAABACAAAAAiAAAAZHJzL2Rvd25yZXYueG1sUEsBAhQAFAAAAAgAh07i&#10;QAcWPG2TAgAA6gQAAA4AAAAAAAAAAQAgAAAAKAEAAGRycy9lMm9Eb2MueG1sUEsFBgAAAAAGAAYA&#10;WQEAAC0GAAAAAA==&#10;">
                <v:fill on="f" focussize="0,0"/>
                <v:stroke weight="2pt" color="#00B050 [32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5754370</wp:posOffset>
                </wp:positionH>
                <wp:positionV relativeFrom="paragraph">
                  <wp:posOffset>271780</wp:posOffset>
                </wp:positionV>
                <wp:extent cx="0" cy="504825"/>
                <wp:effectExtent l="57150" t="38100" r="57150" b="9525"/>
                <wp:wrapNone/>
                <wp:docPr id="123" name="直接箭头连接符 123"/>
                <wp:cNvGraphicFramePr/>
                <a:graphic xmlns:a="http://schemas.openxmlformats.org/drawingml/2006/main">
                  <a:graphicData uri="http://schemas.microsoft.com/office/word/2010/wordprocessingShape">
                    <wps:wsp>
                      <wps:cNvCnPr/>
                      <wps:spPr>
                        <a:xfrm flipV="1">
                          <a:off x="0" y="0"/>
                          <a:ext cx="0" cy="504825"/>
                        </a:xfrm>
                        <a:prstGeom prst="straightConnector1">
                          <a:avLst/>
                        </a:prstGeom>
                        <a:ln w="28575">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53.1pt;margin-top:21.4pt;height:39.75pt;width:0pt;z-index:251730944;mso-width-relative:page;mso-height-relative:page;" filled="f" stroked="t" coordsize="21600,21600" o:gfxdata="UEsDBAoAAAAAAIdO4kAAAAAAAAAAAAAAAAAEAAAAZHJzL1BLAwQUAAAACACHTuJAUkT9atgAAAAK&#10;AQAADwAAAGRycy9kb3ducmV2LnhtbE2PTUvEMBCG74L/IYzgzU0apay16R4ElSIIrh/oLW3Gtmwz&#10;KU32w3/vyB70ODMP7zxvuTr4UexwjkMgA9lCgUBqgxuoM/D6cnexBBGTJWfHQGjgGyOsqtOT0hYu&#10;7OkZd+vUCQ6hWFgDfUpTIWVse/Q2LsKExLevMHubeJw76Wa753A/Sq1ULr0diD/0dsLbHtvNeusN&#10;DJ+PMlveN++bt/lhqv1TnfuP2pjzs0zdgEh4SH8w/OqzOlTs1IQtuShGA9cq14wauNJcgYHjomFS&#10;60uQVSn/V6h+AFBLAwQUAAAACACHTuJA/yXnWQICAADVAwAADgAAAGRycy9lMm9Eb2MueG1srVNL&#10;jhMxEN0jcQfLe9I9gUAUpTMSCWGDIBKfveN2d1vyT1WedHIJLoDEClgNrGbPaWA4BmV3CDBsZsHG&#10;Kpddr+o9P8/P99awnQLU3lX8bFRyppz0tXZtxV+/Wt+bcoZRuFoY71TFDwr5+eLunXkfZmrsO29q&#10;BYxAHM76UPEuxjArCpSdsgJHPihHh40HKyJtoS1qED2hW1OMy/Jh0XuoA3ipECm7Gg75ERFuA+ib&#10;Rku18vLCKhcHVFBGRKKEnQ7IF3naplEyvmgaVJGZihPTmFdqQvE2rcViLmYtiNBpeRxB3GaEG5ys&#10;0I6anqBWIgp2AfofKKslePRNHElvi4FIVoRYnJU3tHnZiaAyF5Iaw0l0/H+w8vluA0zX5ITxfc6c&#10;sPTk1++uvr/9eP3l87cPVz++vk/x5SeWLpBcfcAZVS3dBo47DBtI3PcNWNYYHd4QWlaD+LF9Fvtw&#10;ElvtI5NDUlJ2Uj6YjicJuBgQElIAjE+VtywFFccIQrddXHrn6EU9DOhi9wzjUPirIBU7v9bGUF7M&#10;jGN9xcfTyaMJZ1KQWxtyCYU2EGN0LWfCtPQNZIQ8MHqj61SeqhHa7dIA24lknvJxuc5+oTn/upZ6&#10;rwR2w718NNgqCm2euJrFQyBRBYDvjzyNI7pJyEG6FG19fciK5jy9dhbk6Mxkpz/3ufr3b1z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JE/WrYAAAACgEAAA8AAAAAAAAAAQAgAAAAIgAAAGRycy9k&#10;b3ducmV2LnhtbFBLAQIUABQAAAAIAIdO4kD/JedZAgIAANUDAAAOAAAAAAAAAAEAIAAAACcBAABk&#10;cnMvZTJvRG9jLnhtbFBLBQYAAAAABgAGAFkBAACbBQAAAAA=&#10;">
                <v:fill on="f" focussize="0,0"/>
                <v:stroke weight="2.25pt" color="#00B0F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5890895</wp:posOffset>
                </wp:positionH>
                <wp:positionV relativeFrom="paragraph">
                  <wp:posOffset>109855</wp:posOffset>
                </wp:positionV>
                <wp:extent cx="275590" cy="142875"/>
                <wp:effectExtent l="0" t="0" r="10160" b="28575"/>
                <wp:wrapNone/>
                <wp:docPr id="94" name="矩形 94"/>
                <wp:cNvGraphicFramePr/>
                <a:graphic xmlns:a="http://schemas.openxmlformats.org/drawingml/2006/main">
                  <a:graphicData uri="http://schemas.microsoft.com/office/word/2010/wordprocessingShape">
                    <wps:wsp>
                      <wps:cNvSpPr/>
                      <wps:spPr>
                        <a:xfrm>
                          <a:off x="0" y="0"/>
                          <a:ext cx="275590" cy="142875"/>
                        </a:xfrm>
                        <a:prstGeom prst="rect">
                          <a:avLst/>
                        </a:prstGeom>
                        <a:blipFill>
                          <a:blip r:embed="rId67"/>
                          <a:tile tx="0" ty="0" sx="100000" sy="100000" flip="none" algn="tl"/>
                        </a:blip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3.85pt;margin-top:8.65pt;height:11.25pt;width:21.7pt;z-index:251695104;v-text-anchor:middle;mso-width-relative:page;mso-height-relative:page;" filled="t" stroked="t" coordsize="21600,21600" o:gfxdata="UEsDBAoAAAAAAIdO4kAAAAAAAAAAAAAAAAAEAAAAZHJzL1BLAwQUAAAACACHTuJAz5HsnNYAAAAJ&#10;AQAADwAAAGRycy9kb3ducmV2LnhtbE2Pu07EMBBFeyT+wRokOtbOvrIJcbYA0dGQ3YJyEk8eSvxQ&#10;7Ozj7zEVlKN7dO+Z4njTE7vQ7AdrJCQrAYxMY9VgOgnn08fLAZgPaBRO1pCEO3k4lo8PBebKXs0X&#10;XarQsVhifI4S+hBczrlvetLoV9aRiVlrZ40hnnPH1YzXWK4nvhZizzUOJi706Oitp2asFi2hfRef&#10;7n6ulnHcId+57bbd199SPj8l4hVYoFv4g+FXP6pDGZ1quxjl2SQhW6dpRGOQboBFIEuTBFgtYZMd&#10;gJcF//9B+QNQSwMEFAAAAAgAh07iQErI4mGSAgAAbgUAAA4AAABkcnMvZTJvRG9jLnhtbK1UzW4T&#10;MRC+I/EOlu90N1FC26ibKjQKqlTRSAVxdrzerCX/YTs/5WWQuPEQPA7iNfjs3bShcOihOWxmPOOZ&#10;+b6Z8cXlXiuyFT5Iayo6OCkpEYbbWpp1RT99XLw5oyREZmqmrBEVvReBXk5fv7rYuYkY2taqWniC&#10;ICZMdq6ibYxuUhSBt0KzcGKdMDA21msWofp1UXu2Q3StimFZvi121tfOWy5CwOm8M9I+on9OQNs0&#10;kou55RstTOyieqFYBKTQShfoNFfbNILH26YJIhJVUSCN+YskkFfpW0wv2GTtmWsl70tgzynhCSbN&#10;pEHSh1BzFhnZePlPKC25t8E28YRbXXRAMiNAMSifcHPXMicyFlAd3APp4eXC8g/bpSeyruj5iBLD&#10;NDr++9uPXz+/ExyAnZ0LEzjduaXvtQAxQd03Xqd/gCD7zOj9A6NiHwnH4fB0PD4H1xymwWh4djpO&#10;MYvHy86H+F5YTZJQUY+GZR7Z9ibEzvXgknKtlHQLqdRBftmpIX4i9EqADH9dD7rZiFIJEjt8MQMk&#10;AdqgTD9sSgLWyw2Kq6jB1lDC1BrbFVUP97huZcgOzIxH6T5nuNJgdCFqh8zBrA+3efSZi2CVrA+o&#10;g1+vrpQnW5YmunxXLvIQg9K/3BJpcxbazi+b+lKUQQNSV7s+Jmll63tMgbfoQMLk+ELi/g0Lcck8&#10;9gGHeDHiLT6Nsqje9hIlrfVf/3ee/DGmsFKyw34B2ZcN86BGXRsM8PlgNELYmJXR+HQIxR9bVscW&#10;s9FXFoAHubosJv+oDmLjrf6Mh2WWssLEDEfuiiYOe+UqdnuPp4mL2Sy7YQkdizfmzvEUPI2VsbNN&#10;tI3M0/fITk8a1jDPb/9kpD0/1rPX4zM5/QNQSwMECgAAAAAAh07iQAAAAAAAAAAAAAAAAAoAAABk&#10;cnMvbWVkaWEvUEsDBBQAAAAIAIdO4kAN8PnP3w0AAE8OAAAVAAAAZHJzL21lZGlhL2ltYWdlMS5q&#10;cGVnlZN5PFT7/8fPGGMdMaK4lTsyUUiWULSMFKOUbZJudb9DCFFarkJp0EbCtLhoMVdykcRtd7s1&#10;ylYRxlgaM2OYMfuYfTG27+n7z+/3/fP7Oc/H+/E+73PO+3Me79frszi6yAQsdgeFBAEQCATYA17A&#10;IgtqujcqDBkem5pw9mwC8mtX9xCZ/H1kmEYdZdDHJsbpExMM9iSTzZ7gcFg8DovPm+LzOQIhVyTk&#10;icV88bRgWiKUSkUymVgmF8sVEoVSolRJVWqZSiPXaBXaGaVWp5yZU8/NaxYWdR9a/+78+OlLZ2dP&#10;9+feL1/6enoGenvJfd/I/X2U/n4KeYAySB4mk4eHBkco5JHhoVEKZXSYMjo69H14iDo8TB0dpn4f&#10;oVJHxkZHxqijY2OjtO+jtDEqjUalU7/Tx74zxqgMGpXBGGMwaOO0sXHG2Pg4jUmnMRk0JpiM05lM&#10;EAZzgjExTpuYHJ8cp08y6ZMTjEkwZ42zxhmsCRAma3KcxWay2BPsiXE2i8lmTbDZ4BBYUyzmFHti&#10;agqENcVhccCxsFmcqUkOZ5LDZXG4bC57kssBYXPBnDvF5bG5fDaPy+LxQNg8HofHn+Jz2Xwehw8m&#10;fC5fMMUXcvkiroA3JeBPCQQsgYAtEHAFAp5ACM6ZJxDxhDyuUMAWCqaEQo5QyBWCFZFAKOYJp/ki&#10;ASgEVyTiicRckRiMArGQKxbxxCK+WMwVT/PFEoFYKpgW8adBpaaF0xJQL9E0WJEKp6WiaZlIIuZL&#10;JDyJRCCRCCVSgUQqkoBFuVj6Q1YQsVQmksrAOC1ViGVSoUwKCi2SKaZlColcJpaDosun5QpQeqlc&#10;KZGrQAPIFGBUy5QKiVIhVapkSrVUCd6q5UqNXKWUqFQgMpVaotJIVVq5akahVsnUaqlaDUaFWiNX&#10;a2VqrUKtVap1So1arlErND+8BKLUzMg1oKM0oK8UWp1CO6vSzqlmZhQzM6oZ0GY61cwsiFqnU+lm&#10;QbS6OYVuTqOb18zOqWfnNXOzoA+1cwuauUXt/MLM/CLI7OLi3OLi/CK4xoBAwNTIyMTI0NTE2MQM&#10;bmqGWGmJMDdHrLb9yWrlOpSL81qUk9N6T7Tvevet7k5Om0I3bw3chQnBuPiE7d8XhEUHY3b9aAKB&#10;m5khzBH2lpb2u9yc3Hb9z2uRBCCMADyAh0JWA3oICBQBWWwHbH6cW/Dk/t/SgwBQQ/CJhwWgB4FC&#10;oRBDGAD9zxsQPQRgaQ/1CFgdEStd6nkq94+Wth2EgQmZQ2Scvhf4ifV/d/rR88ceVoj/3/8/Oy1S&#10;ATgUAv4GFAFsB5TC6XS8acGqiOvSZC9rZyZ+RZZ9s8H9X3ZuWIhrfhCQ3sPM87V7P6SXFlA7eCPo&#10;xOTbB+7UhGikJbyipMqgtb7jpsSoavtPDm7Uo2twae1p6P27+SH4A4DPILVawCgKCoZdzmKsO1Qb&#10;+AoTpW9nntVhbF/Qdq8JkS/lpphM/+OXZusefGHvkvolvS28I7nzC6qYFXca8oKs3/684VB0sl9d&#10;E7zT85xKQ/xjvrbhCspVFHTow2Sd82At/DOn7kokalnPN8Y7LJZkRkH3yI/OEov6ufbloWXtl7zv&#10;Y8J7GuFBq7P7Bwdz/Wqy/+pFbO9wtK+cJF21ITRLVMTrRldc14vHTwoe7XDm0wlvHWMWkktHrgbm&#10;lt0Ojlwavmx/HubhTrOFF6b0wUiT9u64DBnW4vXSG2cM3f21xKmbcqs8j5WXXjS+Dn/ZXp7vb0s8&#10;3vVcb9DTuBr4p+JPwiQR4r2qonLs1OaiNCwjPZte9exrlhFuGe7qgUz8oZRrEfFt3XkOp801qyvz&#10;/rUmr6FzjFv1GPrXm3sFNInV8rgi4DMtJ6mhLCj65IUQL7wjMgpYEY2mEWhnpE1Zsd777+QB9sHP&#10;nsLMNqSgkSRCAfTk07P4/csCkAU9sj1Rxga7CRbblOHfk14BlqcMOyCUqIvtDUBi2KZFwGUZorb3&#10;9Bv/4lMRobfIB9EWjshvg3u9XXcYlbakKl4C53/CJ9xING5bSGHsaSTutzydUdiIiQtdsZOl2kf5&#10;RS5Fr1tqeMrKmqtsvx/zSR9LiZROGeMy/TNrVjX+zj81nuLz+rnm8eiKGs7qvOSnlZ0YaLkX4uUa&#10;48w4TM4J74APJrC30Y7V1dxQSMpkby4n34jCT1gDULPtjntV8xm26IRVwSh1JVFPnPIVjRK/j0v6&#10;294Xcqv5hJ0PMcatLr2FESKOqNhnmuBp9Nmm5OXJZHvsVf17IdolzpvcIj7ePvGV1h9xFbfsfIlu&#10;ZobScuzqUd2doJzDQ4KME8zsTx/q6i7fvfKlGWVbUWn6uHZq43w9rN/Yoepa4dPzW7t/beri/mKz&#10;x6Hubz0faGVnX9bgWr8zLyQB5ev80lajgPUEbFDD7fSyraj4kohw51c3Gych+Vv/ScN+yb2xsyvs&#10;YRJsuN45EEP1DMv6g9IMiRdvyWxMRT4PRfpPpwDeoWND3bqctUu/Jjd0b2bjiimHs3el3qsmv8uc&#10;Hdi7whty6ySSRLqp1t4fCYD1rOzkIsNSloT2d+Rd94CE6uZGjjbkvvqmnaVQ0q/H1LT4iB1d9Pc8&#10;o2vwR9svrPVsCUdZ2EhkROafB99vNvErSc2hjOIt4vGZ4sraUbdRxH0FNZ9QlVS2IZQaDGR5D0a0&#10;hrh3ZBHtnC79k3j3+MB1H04QPPyVcQs2xbN85W1uLyzpPMwGOoiUWcV4LgKKkkQYE71CL6OhjeL9&#10;DNZByu9LeQ7Zi9+MIoyeURGJMbBqK2aFrbUdBPLoCbQI3m+cri6Cvihad+OaQestbBne2PNMXwq0&#10;bqRs0M00BBl08dQRBBp22fv7z69VO03j13mW7/dHRGJXDG1nb0KMyQIwbl+wpK3Bi8Cva7v92g+T&#10;isy9NN63w30eXwfaBIr7F7ZXPvuz9hEdiGdJ0Oxt9wxI11EZxEbZqUPR7lui4YeN9RFIu3HEHnuM&#10;I6tly6UY4ubTbem1WX/yD1plex9xX07qhmb1zyeE0738MWJlY7jewSCo2XxWIdx8rvBfZ26g2ynn&#10;vMyQ9QbozrkD6F0fIQRJDp3n7/ZofS32fmfitgF0GdkKXotGDeOgTzCdgy2Nj1MtAkxtt2TWXyab&#10;ucaEQLlaYrk64wn3TVfT8ZTOSj169EMDTnbOwCFcYwKadibUqwVBoE0bZi3JOnJ8uYslCvFGlNxw&#10;9qtH67E3VfLCJzQbz7vucLOuS4yXn8YN+v1SU8PqiT1Q/+TGG8BqL+/dXa2BG1rLOv2HNtuXBroa&#10;bBUsO+IPQYaUGhh+w19JCL/cPVqeL5Udwq6sx1lXD8ibKhOZNm5LFG1NYadvteJIsDtF3NezAaV5&#10;SMtG/dJgaFwO9qVN9VUc3MjZ1ytm42+7yzxaGIQM098evfcPDz4faZVHNipObHFtJNpGuhOz6U/u&#10;ez13MFpp99Gl9tFYzatQ5tqfzersEwy+xm4lB2FSKtRNhXqKbf4lD/ai/T4StfkFN3vPUnyBmHab&#10;4km8UeRHOMbzkWa7+eHB5BB7tHOz+UOKddjzb4BtEYS5METZ12NseGaLlgh/tPfOlTVNjuaEqsd6&#10;fwWg2jLxmGKjyqjz6X47SW/jWTKsh+/G4ttkX9pJFbGwv2NnrhcKZx4REfS44UjB7apNJRIu9nbC&#10;7zZ2Kpa6pjVe4B6HnvRP+5BlVPAx70l5OK6LlfXHzY4DrOOr5qIP+KyLiy/qg/6DQXY71+vfOn2O&#10;mm8F6SDvQYU5bdumROMc1xNsmeZWuybmyzWk5YE4k16yQXm6AbNkkFS4pPwA4HbslY8k5v6nhIzU&#10;/W+s33kQdDvjWu6Edzz9WT0R/C3PnVCRkHTQFsHtCA+03dQZfGK88toBH+dbPTX499upZfvqL5Fj&#10;d5fnc3IDDZbhITijmfC1QRWusQFHXyyoBhKjzy2FyoJi8wnwj6hj88S1TnuP6NIqrpZeKAzA+DCM&#10;XmT0peCrQwx4rFyWMCbQ0uRygXQTMeo3slFyQUHxkEEVJi/AKZFxMYcSFVEVmaYHKd13rlH34PQv&#10;S231jm20etzwyuOF7Xb6jh7T5fpUr5XFn9Q1tWrgup6Nuf9FMxyzxuPT2VvZ/cnRu4636Z+A7/Mp&#10;fHV5aXJZ8cOBQktImm/kPhukzedZir7nXdQ4QIOHXkzyW2anfVH6Xt2lo96wGopzSPrM/eaysc0t&#10;dT0twtflV8D5QILdczQeHk1aj8rXi48qfe0Oy895oJA2uaYl8r+K0BUq6wGLUkwy3AAH1xTqHahZ&#10;mxi+xOGk4Ck1HX/FbrDGYLNDV5Y9uy7K5CKvAEh1OXvNMjQXaEYEBFoybfHu5v6TLSdKbSyAnotP&#10;YD897Ceg7Aq87/z+LsD1HDyHgjg7hIX9TvAn9T177NTqi4JbOGwsMzXVd25cxzhDUFr3HUyIxQDs&#10;3DfFFCNXq2hSNz7dGdb3DrPJcfuqBrroLnrHYI9iLiIJeO5urtsDbZagy0eBfdVv+mwWnlS1+PIf&#10;uGc4bLHh9n1pNVwElBcqAPxY2t4TcKfbm3oN1mDptqZvenTeXzBpm/e8tClP+/B5LjLqgl8zAlWa&#10;UdhxcGdBdCt8FSfP0/LLsEdCqnG5Tt10DEs9BMFz4lxaDmaaPiiSIF6e3vF5Oe4tMhjARpqdhoV/&#10;ailoIGV7du825iZzuRG20WifK1cQuVsuPD9iezIuFh4bxmXth331JOHgoVWHokmtHGRI3BLZwrDp&#10;cr2RDSsDI01u1NaIgBJO/uL3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BOFAAAW0NvbnRlbnRfVHlwZXNdLnht&#10;bFBLAQIUAAoAAAAAAIdO4kAAAAAAAAAAAAAAAAAGAAAAAAAAAAAAEAAAAB0SAABfcmVscy9QSwEC&#10;FAAUAAAACACHTuJAihRmPNEAAACUAQAACwAAAAAAAAABACAAAABBEgAAX3JlbHMvLnJlbHNQSwEC&#10;FAAKAAAAAACHTuJAAAAAAAAAAAAAAAAABAAAAAAAAAAAABAAAAAAAAAAZHJzL1BLAQIUAAoAAAAA&#10;AIdO4kAAAAAAAAAAAAAAAAAKAAAAAAAAAAAAEAAAADsTAABkcnMvX3JlbHMvUEsBAhQAFAAAAAgA&#10;h07iQFhgsxu0AAAAIgEAABkAAAAAAAAAAQAgAAAAYxMAAGRycy9fcmVscy9lMm9Eb2MueG1sLnJl&#10;bHNQSwECFAAUAAAACACHTuJAz5HsnNYAAAAJAQAADwAAAAAAAAABACAAAAAiAAAAZHJzL2Rvd25y&#10;ZXYueG1sUEsBAhQAFAAAAAgAh07iQErI4mGSAgAAbgUAAA4AAAAAAAAAAQAgAAAAJQEAAGRycy9l&#10;Mm9Eb2MueG1sUEsBAhQACgAAAAAAh07iQAAAAAAAAAAAAAAAAAoAAAAAAAAAAAAQAAAA4wMAAGRy&#10;cy9tZWRpYS9QSwECFAAUAAAACACHTuJADfD5z98NAABPDgAAFQAAAAAAAAABACAAAAALBAAAZHJz&#10;L21lZGlhL2ltYWdlMS5qcGVnUEsFBgAAAAAKAAoAUwIAAJIVAAAAAA==&#10;">
                <v:fill type="tile" on="t" focussize="0,0" recolor="t" rotate="t" r:id="rId67"/>
                <v:stroke weight="2pt" color="#00B0F0 [24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24130</wp:posOffset>
                </wp:positionH>
                <wp:positionV relativeFrom="paragraph">
                  <wp:posOffset>271780</wp:posOffset>
                </wp:positionV>
                <wp:extent cx="0" cy="4371975"/>
                <wp:effectExtent l="95250" t="38100" r="57150" b="10160"/>
                <wp:wrapNone/>
                <wp:docPr id="95" name="直接箭头连接符 95"/>
                <wp:cNvGraphicFramePr/>
                <a:graphic xmlns:a="http://schemas.openxmlformats.org/drawingml/2006/main">
                  <a:graphicData uri="http://schemas.microsoft.com/office/word/2010/wordprocessingShape">
                    <wps:wsp>
                      <wps:cNvCnPr/>
                      <wps:spPr>
                        <a:xfrm flipV="1">
                          <a:off x="0" y="0"/>
                          <a:ext cx="0" cy="4371974"/>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9pt;margin-top:21.4pt;height:344.25pt;width:0pt;z-index:251724800;mso-width-relative:page;mso-height-relative:page;" filled="f" stroked="t" coordsize="21600,21600" o:gfxdata="UEsDBAoAAAAAAIdO4kAAAAAAAAAAAAAAAAAEAAAAZHJzL1BLAwQUAAAACACHTuJA8VPki9IAAAAG&#10;AQAADwAAAGRycy9kb3ducmV2LnhtbE2OwU7DMBBE70j8g7VI3KidpoIoxOmhAsG1pR+wjbdJhL0O&#10;ttMWvh73BKfRaEYzr1lfnBUnCnH0rKFYKBDEnTcj9xr2H68PFYiYkA1az6ThmyKs29ubBmvjz7yl&#10;0y71Io9wrFHDkNJUSxm7gRzGhZ+Ic3b0wWHKNvTSBDzncWflUqlH6XDk/DDgRJuBus/d7DTM1dv2&#10;iC8/MUTl7X71Vb1vZNT6/q5QzyASXdJfGa74GR3azHTwM5sorIYygycNq2XWHF/tQcNTWZQg20b+&#10;x29/AVBLAwQUAAAACACHTuJA98wr7gECAADUAwAADgAAAGRycy9lMm9Eb2MueG1srVPNbhMxEL4j&#10;8Q6W72Q3paVklU0lEsoFQSV+7hOvd9eS/zR2s8lL8AJInIATcOqdp4HyGIy9IUC59MDFGs94vpnv&#10;m/H8bGs020gMytmaTyclZ9IK1yjb1fzVy/N7DzkLEWwD2llZ850M/Gxx98588JU8cr3TjURGIDZU&#10;g695H6OviiKIXhoIE+elpWDr0ECkK3ZFgzAQutHFUVk+KAaHjUcnZAjkXY1BvkfE2wC6tlVCrpy4&#10;NNLGERWlhkiUQq984IvcbdtKEZ+3bZCR6ZoT05hPKkL2Op3FYg5Vh+B7JfYtwG1auMHJgLJU9AC1&#10;ggjsEtU/UEYJdMG1cSKcKUYiWRFiMS1vaPOiBy8zF5I6+IPo4f/BimebC2SqqfnshDMLhiZ+/fbq&#10;+5sP118+f3t/9ePru2R/+sgoTmINPlSUs7QXuL8Ff4GJ+bZFw1qt/GvaqqwFsWPbLPXuILXcRiZG&#10;pyDv8f3T6ez0OCEXI0SC8hjiE+kMS0bNQ0RQXR+XzloaqMMRHjZPQxwTfyWkZOvOldbkh0pbNlAz&#10;s/KExi2AlrWlJSHTeCIcbMcZ6I5+gYiYOw5Oqyalp+yA3XqpkW0g7U75KKGM5f56lmqvIPTjuxxK&#10;z6CKoPRj27C48yQqILphn68t0U1Kjtola+2aXZY0+2nYWZD9YqZt+vOes39/xs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8VPki9IAAAAGAQAADwAAAAAAAAABACAAAAAiAAAAZHJzL2Rvd25yZXYu&#10;eG1sUEsBAhQAFAAAAAgAh07iQPfMK+4BAgAA1AMAAA4AAAAAAAAAAQAgAAAAIQEAAGRycy9lMm9E&#10;b2MueG1sUEsFBgAAAAAGAAYAWQEAAJQFAAAAAA==&#10;">
                <v:fill on="f" focussize="0,0"/>
                <v:stroke weight="1.5pt" color="#00B05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-584835</wp:posOffset>
                </wp:positionH>
                <wp:positionV relativeFrom="paragraph">
                  <wp:posOffset>271780</wp:posOffset>
                </wp:positionV>
                <wp:extent cx="8609965" cy="0"/>
                <wp:effectExtent l="38100" t="76200" r="0" b="114300"/>
                <wp:wrapNone/>
                <wp:docPr id="120" name="直接箭头连接符 120"/>
                <wp:cNvGraphicFramePr/>
                <a:graphic xmlns:a="http://schemas.openxmlformats.org/drawingml/2006/main">
                  <a:graphicData uri="http://schemas.microsoft.com/office/word/2010/wordprocessingShape">
                    <wps:wsp>
                      <wps:cNvCnPr/>
                      <wps:spPr>
                        <a:xfrm flipH="1">
                          <a:off x="0" y="0"/>
                          <a:ext cx="8609965" cy="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6.05pt;margin-top:21.4pt;height:0pt;width:677.95pt;z-index:251727872;mso-width-relative:page;mso-height-relative:page;" filled="f" stroked="t" coordsize="21600,21600" o:gfxdata="UEsDBAoAAAAAAIdO4kAAAAAAAAAAAAAAAAAEAAAAZHJzL1BLAwQUAAAACACHTuJA6Io85dUAAAAK&#10;AQAADwAAAGRycy9kb3ducmV2LnhtbE2PwU7DMBBE70j8g7WVuLV2QlWFEKeHCgTXln7ANnaTqPY6&#10;xE5b+Hq24gC33Z3R7JtqffVOnO0Y+0AasoUCYakJpqdWw/7jdV6AiAnJoAtkNXzZCOv6/q7C0oQL&#10;be15l1rBIRRL1NClNJRSxqazHuMiDJZYO4bRY+J1bKUZ8cLh3slcqZX02BN/6HCwm842p93kNUzF&#10;2/aIL99xjCq4/fKzeN/IqPXDLFPPIJK9pj8z3PAZHWpmOoSJTBROw/wpz9iqYZlzhZshXz3ydPi9&#10;yLqS/yvUP1BLAwQUAAAACACHTuJAOiUMXAECAADWAwAADgAAAGRycy9lMm9Eb2MueG1srVPNbhMx&#10;EL4j8Q6W72S3kRo1UTaVSCgcEESCPoDj9e5a8p9m3GzyErwAEifgBJx652loeQzG3jRAufTAxRrP&#10;eL6Z75vx/HxnDdsqQO1dxU9GJWfKSV9r11b88u3FkzPOMApXC+OdqvheIT9fPH4078NMjX3nTa2A&#10;EYjDWR8q3sUYZkWBslNW4MgH5SjYeLAi0hXaogbRE7o1xbgsJ0XvoQ7gpUIk72oI8gMiPATQN42W&#10;auXllVUuDqigjIhECTsdkC9yt02jZHzdNKgiMxUnpjGfVITsTTqLxVzMWhCh0/LQgnhIC/c4WaEd&#10;FT1CrUQU7Ar0P1BWS/DomziS3hYDkawIsTgp72nzphNBZS4kNYaj6Pj/YOWr7RqYrmkTxqSJE5ZG&#10;fvv++ubdp9tvX398vP75/UOyv3xm6QHJ1QecUdbSreFww7CGxH3XgGWN0eEFoWU1iB/bZbH3R7HV&#10;LjJJzrNJOZ1OTjmTd7FigEhQATA+V96yZFQcIwjddnHpnaORehjgxfYlRmqCEu8SUrLzF9qYPFnj&#10;WE/NTMtTIicFrWtDa0KmDUQZXcuZMC39Axkhd4ze6DqlJyCEdrM0wLYibU/5NKEM5f56lmqvBHbD&#10;uxwa9ioKbZ65msV9IFUFgO8P+cZR10nJQbtkbXy9z5JmP4078zqsZtqnP+85+/d3XPw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6Io85dUAAAAKAQAADwAAAAAAAAABACAAAAAiAAAAZHJzL2Rvd25y&#10;ZXYueG1sUEsBAhQAFAAAAAgAh07iQDolDFwBAgAA1gMAAA4AAAAAAAAAAQAgAAAAJAEAAGRycy9l&#10;Mm9Eb2MueG1sUEsFBgAAAAAGAAYAWQEAAJcFAAAAAA==&#10;">
                <v:fill on="f" focussize="0,0"/>
                <v:stroke weight="1.5pt" color="#00B050 [3204]" joinstyle="round" endarrow="open"/>
                <v:imagedata o:title=""/>
                <o:lock v:ext="edit" aspectratio="f"/>
              </v:shape>
            </w:pict>
          </mc:Fallback>
        </mc:AlternateContent>
      </w:r>
      <w:r>
        <w:rPr>
          <w:rFonts w:hint="eastAsia" w:ascii="宋体" w:hAnsi="宋体" w:eastAsia="宋体" w:cs="宋体"/>
          <w:b/>
          <w:bCs/>
          <w:color w:val="000000" w:themeColor="text1"/>
          <w:spacing w:val="-8"/>
          <w:szCs w:val="24"/>
          <w14:textFill>
            <w14:solidFill>
              <w14:schemeClr w14:val="tx1"/>
            </w14:solidFill>
          </w14:textFill>
        </w:rPr>
        <w:t>附图4-1 1#车间平面图</w:t>
      </w:r>
    </w:p>
    <w:p>
      <w:pPr>
        <w:rPr>
          <w:color w:val="000000" w:themeColor="text1"/>
          <w14:textFill>
            <w14:solidFill>
              <w14:schemeClr w14:val="tx1"/>
            </w14:solidFill>
          </w14:textFill>
        </w:rPr>
        <w:sectPr>
          <w:pgSz w:w="16839" w:h="11907" w:orient="landscape"/>
          <w:pgMar w:top="1417" w:right="1417" w:bottom="1417" w:left="1417" w:header="992" w:footer="992" w:gutter="0"/>
          <w:cols w:space="720" w:num="1"/>
          <w:docGrid w:linePitch="326" w:charSpace="0"/>
        </w:sectPr>
      </w:pPr>
      <w:r>
        <w:rPr>
          <w:color w:val="000000" w:themeColor="text1"/>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4694555</wp:posOffset>
                </wp:positionH>
                <wp:positionV relativeFrom="paragraph">
                  <wp:posOffset>6985</wp:posOffset>
                </wp:positionV>
                <wp:extent cx="0" cy="228600"/>
                <wp:effectExtent l="0" t="0" r="38100" b="19050"/>
                <wp:wrapNone/>
                <wp:docPr id="1286354082" name="直接连接符 1286354082"/>
                <wp:cNvGraphicFramePr/>
                <a:graphic xmlns:a="http://schemas.openxmlformats.org/drawingml/2006/main">
                  <a:graphicData uri="http://schemas.microsoft.com/office/word/2010/wordprocessingShape">
                    <wps:wsp>
                      <wps:cNvCnPr/>
                      <wps:spPr>
                        <a:xfrm flipH="1">
                          <a:off x="0" y="0"/>
                          <a:ext cx="0" cy="2286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69.65pt;margin-top:0.55pt;height:18pt;width:0pt;z-index:251744256;mso-width-relative:page;mso-height-relative:page;" filled="f" stroked="t" coordsize="21600,21600" o:gfxdata="UEsDBAoAAAAAAIdO4kAAAAAAAAAAAAAAAAAEAAAAZHJzL1BLAwQUAAAACACHTuJAVcHtSdYAAAAI&#10;AQAADwAAAGRycy9kb3ducmV2LnhtbE2PMU/DMBCFdyT+g3VILBW1Q6QWQpwOSCxIDLit1PEaH0nU&#10;+BzFbpv8e4wYYHz6nt59V24m14sLjaHzrCFbKhDEtbcdNxp227eHJxAhIlvsPZOGmQJsqtubEgvr&#10;r/xJFxMbkUY4FKihjXEopAx1Sw7D0g/EiX350WFMcWykHfGaxl0vH5VaSYcdpwstDvTaUn0yZ6fB&#10;KJzfs91+nhZxcdoezIfZr6LW93eZegERaYp/ZfjRT+pQJaejP7MNotewzp/zVE0gA5H4bz5qyNcZ&#10;yKqU/x+ovgFQSwMEFAAAAAgAh07iQNSGXBPqAQAAtQMAAA4AAABkcnMvZTJvRG9jLnhtbK1TzY7T&#10;MBC+I/EOlu802bBdlajpHrbqckBQCXgA17ETS/6Tx9u0L8ELIHGDE0fuvA3LYzB2st1lueyBHKzx&#10;ePyNv2++LC8PRpO9CKCcbejZrKREWO5aZbuGfvywebGgBCKzLdPOioYeBdDL1fNny8HXonK9060I&#10;BEEs1INvaB+jr4sCeC8Mg5nzwuKhdMGwiNvQFW1gA6IbXVRleVEMLrQ+OC4AMLseD+mEGJ4C6KRU&#10;XKwdvzHCxhE1CM0iUoJeeaCr/FopBY/vpAQRiW4oMo15xSYY79JarJas7gLzveLTE9hTnvCIk2HK&#10;YtMT1JpFRm6C+gfKKB4cOBln3JliJJIVQRZn5SNt3vfMi8wFpQZ/Eh3+Hyx/u98Golp0QrW4eDk/&#10;LxcVJZYZnPzt5x+/Pn39/fMLrrffv5EHFSjb4KHG21d2G6Yd+G1IGhxkMERq5V8jalYFeZJDFv14&#10;El0cIuFjkmO2wvZlnkcxIiQkHyBeC2dIChqqlU1ysJrt30DErlh6V5LS1m2U1nmk2pKhoa/m1ZwS&#10;ztCmEu2BofFIFWxHCdMd+p/HkBHBadWm2wkHQre70oHsGbpmsynxS0bBbn+VpdZrBv1Yl4+mMm2x&#10;Ogk0SpKinWuPWamcx2lmvMl5yS4P9/n2/d+2+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Vwe1J&#10;1gAAAAgBAAAPAAAAAAAAAAEAIAAAACIAAABkcnMvZG93bnJldi54bWxQSwECFAAUAAAACACHTuJA&#10;1IZcE+oBAAC1AwAADgAAAAAAAAABACAAAAAlAQAAZHJzL2Uyb0RvYy54bWxQSwUGAAAAAAYABgBZ&#10;AQAAgQU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2872105</wp:posOffset>
                </wp:positionH>
                <wp:positionV relativeFrom="paragraph">
                  <wp:posOffset>1210945</wp:posOffset>
                </wp:positionV>
                <wp:extent cx="4637405" cy="0"/>
                <wp:effectExtent l="0" t="0" r="10795" b="19050"/>
                <wp:wrapNone/>
                <wp:docPr id="131" name="直接连接符 131"/>
                <wp:cNvGraphicFramePr/>
                <a:graphic xmlns:a="http://schemas.openxmlformats.org/drawingml/2006/main">
                  <a:graphicData uri="http://schemas.microsoft.com/office/word/2010/wordprocessingShape">
                    <wps:wsp>
                      <wps:cNvCnPr/>
                      <wps:spPr>
                        <a:xfrm>
                          <a:off x="0" y="0"/>
                          <a:ext cx="463740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6.15pt;margin-top:95.35pt;height:0pt;width:365.15pt;z-index:251737088;mso-width-relative:page;mso-height-relative:page;" filled="f" stroked="t" coordsize="21600,21600" o:gfxdata="UEsDBAoAAAAAAIdO4kAAAAAAAAAAAAAAAAAEAAAAZHJzL1BLAwQUAAAACACHTuJAHDkq+dgAAAAM&#10;AQAADwAAAGRycy9kb3ducmV2LnhtbE2PwU7DMAyG70i8Q2QkbixpgbKVphNCcIETY5q0W9aYtrRx&#10;SuN14+3JJCQ42v+n35+L5dH1YsIxtJ40JDMFAqnytqVaw/r9+WoOIrAha3pPqOEbAyzL87PC5NYf&#10;6A2nFdcillDIjYaGecilDFWDzoSZH5Bi9uFHZziOYy3taA6x3PUyVSqTzrQULzRmwMcGq261dxo4&#10;++SNzb5eumTdbbbqVU3q4Unry4tE3YNgPPIfDCf9qA5ldNr5Pdkgeg03t+l1RGOwUHcgTkQyTzMQ&#10;u9+VLAv5/4nyB1BLAwQUAAAACACHTuJAjK/jC9wBAACeAwAADgAAAGRycy9lMm9Eb2MueG1srVNL&#10;jhMxEN0jcQfLe9KdzAdopTOLicIGQSTgABW3u9uSf3J50skluAASO1ixZM9tGI5B2d2TgWEzC7Jw&#10;ylXlV37Pr5dXB6PZXgZUztZ8Pis5k1a4Rtmu5h/eb5694Awj2Aa0s7LmR4n8avX0yXLwlVy43ulG&#10;BkYgFqvB17yP0VdFgaKXBnDmvLRUbF0wEGkbuqIJMBC60cWiLC+LwYXGByckImXXY5FPiOExgK5t&#10;lZBrJ26MtHFEDVJDJErYK498lW/btlLEt22LMjJdc2Ia80pDKN6ltVgtoeoC+F6J6QrwmCs84GRA&#10;WRp6glpDBHYT1D9QRong0LVxJpwpRiJZEWIxLx9o864HLzMXkhr9SXT8f7DizX4bmGrICWdzziwY&#10;evLbT99/fvzy68dnWm+/fWWpREINHivqv7bbMO3Qb0NifWiDSf/Ehx2yuMeTuPIQmaDk+eXZ8/Py&#10;gjNxVyvuD/qA8ZV0hqWg5lrZxBsq2L/GSMOo9a4lpa3bKK3z22nLhpq/vFgkZCA/tuQDCo0nTmg7&#10;zkB3ZHQRQ0ZEp1WTTiccDN3uWge2B7LHZlPSLxGlaX+1pdFrwH7sy6WpTVvqTrqMSqRo55pjFijn&#10;6dky3mSx5Is/9/n0/We1+g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cOSr52AAAAAwBAAAPAAAA&#10;AAAAAAEAIAAAACIAAABkcnMvZG93bnJldi54bWxQSwECFAAUAAAACACHTuJAjK/jC9wBAACeAwAA&#10;DgAAAAAAAAABACAAAAAnAQAAZHJzL2Uyb0RvYy54bWxQSwUGAAAAAAYABgBZAQAAdQU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7501255</wp:posOffset>
                </wp:positionH>
                <wp:positionV relativeFrom="paragraph">
                  <wp:posOffset>1210945</wp:posOffset>
                </wp:positionV>
                <wp:extent cx="8255" cy="523875"/>
                <wp:effectExtent l="0" t="0" r="29845" b="28575"/>
                <wp:wrapNone/>
                <wp:docPr id="130" name="直接连接符 130"/>
                <wp:cNvGraphicFramePr/>
                <a:graphic xmlns:a="http://schemas.openxmlformats.org/drawingml/2006/main">
                  <a:graphicData uri="http://schemas.microsoft.com/office/word/2010/wordprocessingShape">
                    <wps:wsp>
                      <wps:cNvCnPr/>
                      <wps:spPr>
                        <a:xfrm>
                          <a:off x="0" y="0"/>
                          <a:ext cx="8255" cy="5238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0.65pt;margin-top:95.35pt;height:41.25pt;width:0.65pt;z-index:251735040;mso-width-relative:page;mso-height-relative:page;" filled="f" stroked="t" coordsize="21600,21600" o:gfxdata="UEsDBAoAAAAAAIdO4kAAAAAAAAAAAAAAAAAEAAAAZHJzL1BLAwQUAAAACACHTuJAL7Zw3NsAAAAN&#10;AQAADwAAAGRycy9kb3ducmV2LnhtbE2PwU7DMAyG70h7h8iTuLEkndSV0nSaJrjAiTFN4pY1pi1t&#10;ktJk3Xh7vBO7+Zc//f5crC+2ZxOOofVOgVwIYOgqb1pXK9h/vDxkwELUzujeO1TwiwHW5eyu0Lnx&#10;Z/eO0y7WjEpcyLWCJsYh5zxUDVodFn5AR7svP1odKY41N6M+U7nteSJEyq1uHV1o9IDbBqtud7IK&#10;YvodDyb9ee3kvjt8ijcxic2zUvdzKZ6ARbzEfxiu+qQOJTkd/cmZwHrKMpNLYml6FCtgV0RmSQrs&#10;qCBZLRPgZcFvvyj/AFBLAwQUAAAACACHTuJAySwYu90BAACgAwAADgAAAGRycy9lMm9Eb2MueG1s&#10;rVPNjtMwEL4j8Q6W7zTZrgolarqHrcoFQSXgAaaOk1jynzzepn0JXgCJG5w4cudt2H0Mxk7ownLZ&#10;Azk44/n5PN/n8erqaDQ7yIDK2ZpfzErOpBWuUbar+Yf322dLzjCCbUA7K2t+ksiv1k+frAZfybnr&#10;nW5kYARisRp8zfsYfVUUKHppAGfOS0vB1gUDkbahK5oAA6EbXczL8nkxuND44IREJO9mDPIJMTwG&#10;0LWtEnLjxI2RNo6oQWqIRAl75ZGvc7dtK0V827YoI9M1J6Yxr3QI2fu0FusVVF0A3ysxtQCPaeEB&#10;JwPK0qFnqA1EYDdB/QNllAgOXRtnwpliJJIVIRYX5QNt3vXgZeZCUqM/i47/D1a8OewCUw1NwiVp&#10;YsHQld9++v7z45e7H59pvf32laUQCTV4rCj/2u7CtEO/C4n1sQ0m/YkPO2ZxT2dx5TEyQc7lfLHg&#10;TFBgMb9cvlgkxOK+1AeMr6QzLBk118om5lDB4TXGMfV3SnJbt1Vakx8qbdlQ85eLeYIHmsiWJoFM&#10;44kV2o4z0B2NuoghI6LTqknVqRhDt7/WgR2ABmS7LembGvsrLR29AezHvBya0rQlGkmZUYtk7V1z&#10;yhJlP11cJjoNWZqMP/e5+v5hrX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L7Zw3NsAAAANAQAA&#10;DwAAAAAAAAABACAAAAAiAAAAZHJzL2Rvd25yZXYueG1sUEsBAhQAFAAAAAgAh07iQMksGLvdAQAA&#10;oAMAAA4AAAAAAAAAAQAgAAAAKgEAAGRycy9lMm9Eb2MueG1sUEsFBgAAAAAGAAYAWQEAAHkFAAAA&#10;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5833745</wp:posOffset>
                </wp:positionH>
                <wp:positionV relativeFrom="paragraph">
                  <wp:posOffset>229870</wp:posOffset>
                </wp:positionV>
                <wp:extent cx="8255" cy="828675"/>
                <wp:effectExtent l="0" t="0" r="29845" b="28575"/>
                <wp:wrapNone/>
                <wp:docPr id="128" name="直接连接符 128"/>
                <wp:cNvGraphicFramePr/>
                <a:graphic xmlns:a="http://schemas.openxmlformats.org/drawingml/2006/main">
                  <a:graphicData uri="http://schemas.microsoft.com/office/word/2010/wordprocessingShape">
                    <wps:wsp>
                      <wps:cNvCnPr/>
                      <wps:spPr>
                        <a:xfrm>
                          <a:off x="0" y="0"/>
                          <a:ext cx="8255" cy="8286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59.35pt;margin-top:18.1pt;height:65.25pt;width:0.65pt;z-index:251732992;mso-width-relative:page;mso-height-relative:page;" filled="f" stroked="t" coordsize="21600,21600" o:gfxdata="UEsDBAoAAAAAAIdO4kAAAAAAAAAAAAAAAAAEAAAAZHJzL1BLAwQUAAAACACHTuJAu81Py9gAAAAK&#10;AQAADwAAAGRycy9kb3ducmV2LnhtbE2PwU7DMBBE70j8g7VI3KidIrltiFMhBBc4UapK3Nx4SULi&#10;dYjdtPw921M5ruZp5m2xPvleTDjGNpCBbKZAIFXBtVQb2H683C1BxGTJ2T4QGvjFCOvy+qqwuQtH&#10;esdpk2rBJRRza6BJaciljFWD3sZZGJA4+wqjt4nPsZZutEcu972cK6Wlty3xQmMHfGqw6jYHbyDp&#10;77Rz+ue1y7bd7lO9qUk9Phtze5OpBxAJT+kCw1mf1aFkp304kIuiN7DKlgtGDdzrOQgGVrwHYs+k&#10;1guQZSH/v1D+AVBLAwQUAAAACACHTuJA1mErD90BAACgAwAADgAAAGRycy9lMm9Eb2MueG1srVPN&#10;jtMwEL4j8Q6W7zTdSF1K1HQPW5ULgkrAA0wdJ7HkP3m8TfsSvAASNzhx5M7bsDwGYyd02d3LHsjB&#10;Gc/P5/k+j1dXR6PZQQZUztb8YjbnTFrhGmW7mn/8sH2x5Awj2Aa0s7LmJ4n8av382WrwlSxd73Qj&#10;AyMQi9Xga97H6KuiQNFLAzhzXloKti4YiLQNXdEEGAjd6KKczy+LwYXGByckInk3Y5BPiOEpgK5t&#10;lZAbJ26MtHFEDVJDJErYK498nbttWyniu7ZFGZmuOTGNeaVDyN6ntVivoOoC+F6JqQV4SgsPOBlQ&#10;lg49Q20gArsJ6hGUUSI4dG2cCWeKkUhWhFhczB9o874HLzMXkhr9WXT8f7Di7WEXmGpoEkq6eAuG&#10;rvz2849fn77+/vmF1tvv31gKkVCDx4ryr+0uTDv0u5BYH9tg0p/4sGMW93QWVx4jE+RclosFZ4IC&#10;y3J5+XKREIu7Uh8wvpbOsGTUXCubmEMFhzcYx9S/Kclt3VZpTX6otGVDzV8tygQPNJEtTQKZxhMr&#10;tB1noDsadRFDRkSnVZOqUzGGbn+tAzsADch2O6dvauxeWjp6A9iPeTk0pWlLNJIyoxbJ2rvmlCXK&#10;frq4THQasjQZ/+5z9d3DWv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u81Py9gAAAAKAQAADwAA&#10;AAAAAAABACAAAAAiAAAAZHJzL2Rvd25yZXYueG1sUEsBAhQAFAAAAAgAh07iQNZhKw/dAQAAoAMA&#10;AA4AAAAAAAAAAQAgAAAAJwEAAGRycy9lMm9Eb2MueG1sUEsFBgAAAAAGAAYAWQEAAHYFA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7920355</wp:posOffset>
                </wp:positionH>
                <wp:positionV relativeFrom="paragraph">
                  <wp:posOffset>229870</wp:posOffset>
                </wp:positionV>
                <wp:extent cx="0" cy="828675"/>
                <wp:effectExtent l="0" t="0" r="19050" b="9525"/>
                <wp:wrapNone/>
                <wp:docPr id="2032760217" name="直接连接符 2032760217"/>
                <wp:cNvGraphicFramePr/>
                <a:graphic xmlns:a="http://schemas.openxmlformats.org/drawingml/2006/main">
                  <a:graphicData uri="http://schemas.microsoft.com/office/word/2010/wordprocessingShape">
                    <wps:wsp>
                      <wps:cNvCnPr/>
                      <wps:spPr>
                        <a:xfrm>
                          <a:off x="0" y="0"/>
                          <a:ext cx="0" cy="8286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23.65pt;margin-top:18.1pt;height:65.25pt;width:0pt;z-index:251703296;mso-width-relative:page;mso-height-relative:page;" filled="f" stroked="t" coordsize="21600,21600" o:gfxdata="UEsDBAoAAAAAAIdO4kAAAAAAAAAAAAAAAAAEAAAAZHJzL1BLAwQUAAAACACHTuJAnIxop9gAAAAM&#10;AQAADwAAAGRycy9kb3ducmV2LnhtbE2PQU/DMAyF70j8h8hI3FjSDmWoNJ0Qgguc2KZJ3LLGtKWN&#10;M5qsG/8eTxzg5mc/PX+vXJ78ICYcYxfIQDZTIJDq4DpqDGzWzzd3IGKy5OwQCA18Y4RldXlR2sKF&#10;I73htEqN4BCKhTXQprQvpIx1i97GWdgj8e0jjN4mlmMj3WiPHO4HmSulpbcd8YfW7vGxxbpfHbyB&#10;pD/T1umvlz7b9Nt39aom9fBkzPVVpu5BJDylPzOc8RkdKmbahQO5KAbW+e1izl4Dc52DODt+Nzue&#10;tF6ArEr5v0T1A1BLAwQUAAAACACHTuJAETXeHuMBAACrAwAADgAAAGRycy9lMm9Eb2MueG1srVNL&#10;btswEN0XyB0I7mPJKvypYDmLGM4maA20PQBNURIB/sBhLPsSvUCB7tpVl933Nk2O0SGlOmm6yaJa&#10;jIbDmcd5j8PV1VErchAepDUVnU5ySoThtpamrejHD9vLJSUQmKmZskZU9CSAXq0vXq16V4rCdlbV&#10;whMEMVD2rqJdCK7MMuCd0Awm1gmDm431mgVc+jarPesRXausyPN51ltfO2+5AMDoZtikI6J/CaBt&#10;GsnFxvI7LUwYUL1QLCAl6KQDuk7dNo3g4V3TgAhEVRSZhmTxEPT30WbrFStbz1wn+dgCe0kLzzhp&#10;Jg0eeobasMDInZf/QGnJvQXbhAm3OhuIJEWQxTR/ps37jjmRuKDU4M6iw/+D5W8PO09kXdEif10s&#10;5nkxXVBimMabv//849enrw8/v6C9//6NPMlA2XoHJVZfm50fV+B2PmpwbLyOf2RHjknq01lqcQyE&#10;D0GO0WWxnC9m8RayxzrnIdwIq0l0KqqkiSKwkh1uIQypf1Ji2NitVArjrFSG9BV9MytmlHCGw9ng&#10;UKCrHRIE01LCVItTz4NPiGCVrGN1LAbf7q+VJweGs7Ld5viNjf2VFo/eMOiGvLQ1pimDNKIsgxDR&#10;29v6lPRJcbzDRHSctzgkT9ep+vGNr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nIxop9gAAAAM&#10;AQAADwAAAAAAAAABACAAAAAiAAAAZHJzL2Rvd25yZXYueG1sUEsBAhQAFAAAAAgAh07iQBE13h7j&#10;AQAAqwMAAA4AAAAAAAAAAQAgAAAAJwEAAGRycy9lMm9Eb2MueG1sUEsFBgAAAAAGAAYAWQEAAHwF&#10;A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5843905</wp:posOffset>
                </wp:positionH>
                <wp:positionV relativeFrom="paragraph">
                  <wp:posOffset>1068070</wp:posOffset>
                </wp:positionV>
                <wp:extent cx="2085975" cy="0"/>
                <wp:effectExtent l="0" t="0" r="9525" b="19050"/>
                <wp:wrapNone/>
                <wp:docPr id="2032760216" name="直接连接符 2032760216"/>
                <wp:cNvGraphicFramePr/>
                <a:graphic xmlns:a="http://schemas.openxmlformats.org/drawingml/2006/main">
                  <a:graphicData uri="http://schemas.microsoft.com/office/word/2010/wordprocessingShape">
                    <wps:wsp>
                      <wps:cNvCnPr/>
                      <wps:spPr>
                        <a:xfrm>
                          <a:off x="0" y="0"/>
                          <a:ext cx="208597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60.15pt;margin-top:84.1pt;height:0pt;width:164.25pt;z-index:251701248;mso-width-relative:page;mso-height-relative:page;" filled="f" stroked="t" coordsize="21600,21600" o:gfxdata="UEsDBAoAAAAAAIdO4kAAAAAAAAAAAAAAAAAEAAAAZHJzL1BLAwQUAAAACACHTuJAFUQfgdgAAAAM&#10;AQAADwAAAGRycy9kb3ducmV2LnhtbE2PwU7DMBBE70j8g7VI3KidgKIQ4lQIwQVOlKoSNzdekpB4&#10;HWI3LX/frVQJjjvzNDtTLg9uEDNOofOkIVkoEEi1tx01GtYfLzc5iBANWTN4Qg2/GGBZXV6UprB+&#10;T+84r2IjOIRCYTS0MY6FlKFu0Zmw8CMSe19+cibyOTXSTmbP4W6QqVKZdKYj/tCaEZ9arPvVzmmI&#10;2Xfc2OzntU/W/eZTvalZPT5rfX2VqAcQEQ/xD4ZTfa4OFXfa+h3ZIAYN96m6ZZSNLE9BnIj0Luc1&#10;27Mkq1L+H1EdAVBLAwQUAAAACACHTuJA9ds/zeMBAACsAwAADgAAAGRycy9lMm9Eb2MueG1srVM7&#10;jtswEO0D5A4E+1iyAnt3BctbrOE0QWIgyQFoipQI8AcO17IvkQsESJdUKdPnNtk9RoaU1/trtogK&#10;ajifN3yPw8Xl3miyEwGUsw2dTkpKhOWuVbZr6JfP6zfnlEBktmXaWdHQgwB6uXz9ajH4WlSud7oV&#10;gSCIhXrwDe1j9HVRAO+FYTBxXlgMShcMi7gNXdEGNiC60UVVlvNicKH1wXEBgN7VGKRHxPASQCel&#10;4mLl+LURNo6oQWgWkRL0ygNd5tNKKXj8KCWISHRDkWnMKzZBe5vWYrlgdReY7xU/HoG95AhPOBmm&#10;LDY9Qa1YZOQ6qGdQRvHgwMk44c4UI5GsCLKYlk+0+dQzLzIXlBr8SXT4f7D8w24TiGobWpVvq7N5&#10;WU3nlFhm8OZvvv3++/XH7Z/vuN78+kkeZKBsg4caq6/sJhx34DchabCXwaQ/siP7LPXhJLXYR8LR&#10;WZXns4uzGSX8LlbcF/oA8Z1whiSjoVrZpAKr2e49RGyGqXcpyW3dWmmdb1JbMjT0YlYlZIbTKXEq&#10;0DQeGYLtKGG6w7HnMWREcFq1qTrhQOi2VzqQHcNhWa9L/NJ8YLdHaan1ikE/5uXQMU1bzE66jEok&#10;a+vaQxYo+/ESM95x4NKUPNzn6vtHtvw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FUQfgdgAAAAM&#10;AQAADwAAAAAAAAABACAAAAAiAAAAZHJzL2Rvd25yZXYueG1sUEsBAhQAFAAAAAgAh07iQPXbP83j&#10;AQAArAMAAA4AAAAAAAAAAQAgAAAAJwEAAGRycy9lMm9Eb2MueG1sUEsFBgAAAAAGAAYAWQEAAHwF&#10;A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4739005</wp:posOffset>
                </wp:positionH>
                <wp:positionV relativeFrom="paragraph">
                  <wp:posOffset>1734820</wp:posOffset>
                </wp:positionV>
                <wp:extent cx="3209290" cy="0"/>
                <wp:effectExtent l="0" t="0" r="10160" b="19050"/>
                <wp:wrapNone/>
                <wp:docPr id="2032760220" name="直接连接符 2032760220"/>
                <wp:cNvGraphicFramePr/>
                <a:graphic xmlns:a="http://schemas.openxmlformats.org/drawingml/2006/main">
                  <a:graphicData uri="http://schemas.microsoft.com/office/word/2010/wordprocessingShape">
                    <wps:wsp>
                      <wps:cNvCnPr/>
                      <wps:spPr>
                        <a:xfrm flipH="1">
                          <a:off x="0" y="0"/>
                          <a:ext cx="320929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73.15pt;margin-top:136.6pt;height:0pt;width:252.7pt;z-index:251709440;mso-width-relative:page;mso-height-relative:page;" filled="f" stroked="t" coordsize="21600,21600" o:gfxdata="UEsDBAoAAAAAAIdO4kAAAAAAAAAAAAAAAAAEAAAAZHJzL1BLAwQUAAAACACHTuJAxh0IatoAAAAM&#10;AQAADwAAAGRycy9kb3ducmV2LnhtbE2PwWrDMAyG74O9g9Fgl7LaSbekZHF6GOwy2GFuCzuqsZuE&#10;xnKI3TZ5+7kw2I6SPn59f7mZbM8uZvSdIwnJUgAzVDvdUSNht31/WgPzAUlj78hImI2HTXV/V2Kh&#10;3ZW+zEWFhsUQ8gVKaEMYCs593RqLfukGQ/F2dKPFEMex4XrEawy3PU+FyLjFjuKHFgfz1pr6pM5W&#10;ghI4fyS7/TwtwuK0/Vafap8FKR8fEvEKLJgp/MFw04/qUEWngzuT9qyXkD9nq4hKSPNVCuxGpC9J&#10;Duzwu+JVyf+XqH4AUEsDBBQAAAAIAIdO4kBSalLr7AEAALYDAAAOAAAAZHJzL2Uyb0RvYy54bWyt&#10;U81u1DAQviP1HSzf2aSpWthosz10teWAYCXgAbyOnVjynzzuZvcl+gKVuMGJI3fehvIYjJ10KeXS&#10;AzlY45nP3/j7PFlc7o0mOxFAOdvQ01lJibDctcp2Df30cf3yNSUQmW2ZdlY09CCAXi5PXiwGX4vK&#10;9U63IhAksVAPvqF9jL4uCuC9MAxmzguLRemCYRG3oSvawAZkN7qoyvKiGFxofXBcAGB2NRbpxBie&#10;Q+ikVFysHL8xwsaRNQjNIkqCXnmgy3xbKQWP76UEEYluKCqNecUmGG/TWiwXrO4C873i0xXYc67w&#10;RJNhymLTI9WKRUZugvqHyigeHDgZZ9yZYhSSHUEVp+UTbz70zIusBa0GfzQd/h8tf7fbBKLahlbl&#10;WfXqoqwqtMYygy9/f/f95+2XXz8+43r/7St5hEDbBg81nr6ymzDtwG9C8mAvgyFSK/8G5yu7gjrJ&#10;Ppt+OJou9pFwTJ5V5byaY1P+UCtGikTlA8Rr4QxJQUO1sskPVrPdW4jYFqEPkJS2bq20zm+qLRka&#10;Oj+vzpGZ4ZxKnA8MjUetYDtKmO7wB+AxZEZwWrXpdOKB0G2vdCA7hmOzXpf4pUnBbn/BUusVg37E&#10;5dIE0xbRyaHRkxRtXXvIVuU8Pmfmm0YvzcvjfT7953db/g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GHQhq2gAAAAwBAAAPAAAAAAAAAAEAIAAAACIAAABkcnMvZG93bnJldi54bWxQSwECFAAUAAAA&#10;CACHTuJAUmpS6+wBAAC2AwAADgAAAAAAAAABACAAAAApAQAAZHJzL2Uyb0RvYy54bWxQSwUGAAAA&#10;AAYABgBZAQAAhwU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7948930</wp:posOffset>
                </wp:positionH>
                <wp:positionV relativeFrom="paragraph">
                  <wp:posOffset>1734820</wp:posOffset>
                </wp:positionV>
                <wp:extent cx="24130" cy="695325"/>
                <wp:effectExtent l="0" t="0" r="33020" b="28575"/>
                <wp:wrapNone/>
                <wp:docPr id="2032760219" name="直接连接符 2032760219"/>
                <wp:cNvGraphicFramePr/>
                <a:graphic xmlns:a="http://schemas.openxmlformats.org/drawingml/2006/main">
                  <a:graphicData uri="http://schemas.microsoft.com/office/word/2010/wordprocessingShape">
                    <wps:wsp>
                      <wps:cNvCnPr/>
                      <wps:spPr>
                        <a:xfrm>
                          <a:off x="0" y="0"/>
                          <a:ext cx="24130" cy="6953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25.9pt;margin-top:136.6pt;height:54.75pt;width:1.9pt;z-index:251707392;mso-width-relative:page;mso-height-relative:page;" filled="f" stroked="t" coordsize="21600,21600" o:gfxdata="UEsDBAoAAAAAAIdO4kAAAAAAAAAAAAAAAAAEAAAAZHJzL1BLAwQUAAAACACHTuJAEHNUbtsAAAAN&#10;AQAADwAAAGRycy9kb3ducmV2LnhtbE2PMU/DMBSEd6T+B+tVYqN2XCWtQpyqqmCBiVJVYnPjRxIS&#10;2yF+Tcu/x51gPN3p7rtic7U9m3AMrXcKkoUAhq7ypnW1gsP788MaWCDtjO69QwU/GGBTzu4KnRt/&#10;cW847almscSFXCtoiIac81A1aHVY+AFd9D79aDVFOdbcjPoSy23PpRAZt7p1caHRA+4arLr92Sqg&#10;7IuOJvt+6ZJDd/wQr2IS2yel7ueJeARGeKW/MNzwIzqUkenkz84E1kct0ySykwK5Wkpgt4hM0wzY&#10;ScFyLVfAy4L/f1H+AlBLAwQUAAAACACHTuJAjrhgkOcBAACvAwAADgAAAGRycy9lMm9Eb2MueG1s&#10;rVPNjtMwEL4j8Q6W7zRpui00arqHrboXBJWAB3AdJ7HkP3m8TfsSvAASNzhx5M7bsPsYO3ZCd1ku&#10;e6AHdzw/n+f7ZrK6PGpFDsKDtKai00lOiTDc1tK0Ff30cfvqDSUQmKmZskZU9CSAXq5fvlj1rhSF&#10;7ayqhScIYqDsXUW7EFyZZcA7oRlMrBMGg431mgW8+jarPesRXausyPNF1ltfO2+5AEDvZgjSEdE/&#10;B9A2jeRiY/mNFiYMqF4oFpASdNIBXadum0bw8L5pQASiKopMQzrxEbT38czWK1a2nrlO8rEF9pwW&#10;nnDSTBp89Ay1YYGRGy//gdKSewu2CRNudTYQSYogi2n+RJsPHXMicUGpwZ1Fh/8Hy98ddp7IuqJF&#10;PiteL/JiuqTEMI2Tv/3y8/fnb3e/vuJ5++M7eZSBsvUOSqy+Mjs/3sDtfNTg2Hgd/5EdOSapT2ep&#10;xTEQjs7iYjrDGXCMLJbzWTGPk8geap2HcC2sJtGoqJImCsFKdngLYUj9kxLdxm6lUuhnpTKkr+hy&#10;jpCEM1zQBhcDTe2QJJiWEqZa3HwefEIEq2Qdq2Mx+HZ/pTw5MNyX7TbH39jYX2nx6Q2DbshLoTFN&#10;GaQRpRnEiNbe1qekUfLjHBPRcefiojy+p+qH72x9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Bz&#10;VG7bAAAADQEAAA8AAAAAAAAAAQAgAAAAIgAAAGRycy9kb3ducmV2LnhtbFBLAQIUABQAAAAIAIdO&#10;4kCOuGCQ5wEAAK8DAAAOAAAAAAAAAAEAIAAAACoBAABkcnMvZTJvRG9jLnhtbFBLBQYAAAAABgAG&#10;AFkBAACDBQ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4700905</wp:posOffset>
                </wp:positionH>
                <wp:positionV relativeFrom="paragraph">
                  <wp:posOffset>2430145</wp:posOffset>
                </wp:positionV>
                <wp:extent cx="3272155" cy="0"/>
                <wp:effectExtent l="0" t="0" r="23495" b="19050"/>
                <wp:wrapNone/>
                <wp:docPr id="2032760221" name="直接连接符 2032760221"/>
                <wp:cNvGraphicFramePr/>
                <a:graphic xmlns:a="http://schemas.openxmlformats.org/drawingml/2006/main">
                  <a:graphicData uri="http://schemas.microsoft.com/office/word/2010/wordprocessingShape">
                    <wps:wsp>
                      <wps:cNvCnPr/>
                      <wps:spPr>
                        <a:xfrm>
                          <a:off x="0" y="0"/>
                          <a:ext cx="327215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70.15pt;margin-top:191.35pt;height:0pt;width:257.65pt;z-index:251711488;mso-width-relative:page;mso-height-relative:page;" filled="f" stroked="t" coordsize="21600,21600" o:gfxdata="UEsDBAoAAAAAAIdO4kAAAAAAAAAAAAAAAAAEAAAAZHJzL1BLAwQUAAAACACHTuJAhjykDNkAAAAM&#10;AQAADwAAAGRycy9kb3ducmV2LnhtbE2PwU7DMAyG70i8Q2Qkbixpx7qpNJ0QggucGNMkbllj2tLG&#10;KY3Xjbcnk5DgaPvT7+8v1ifXiwnH0HrSkMwUCKTK25ZqDdu3p5sViMCGrOk9oYZvDLAuLy8Kk1t/&#10;pFecNlyLGEIhNxoa5iGXMlQNOhNmfkCKtw8/OsNxHGtpR3OM4a6XqVKZdKal+KExAz40WHWbg9PA&#10;2SfvbPb13CXbbveuXtSk7h+1vr5K1B0IxhP/wXDWj+pQRqe9P5ANotewvFXziGqYr9IliDORLhYZ&#10;iP3vSpaF/F+i/AFQSwMEFAAAAAgAh07iQOdSqTLhAQAArAMAAA4AAABkcnMvZTJvRG9jLnhtbK1T&#10;zY7TMBC+I/EOlu80aVAXiJruYatyQVAJeICp4ySW/CePt2lfghdA4gYnjtx5G5bHYOxmu8ty2QM5&#10;OOP5+cbf5/Hy8mA028uAytmGz2clZ9IK1yrbN/zjh82zl5xhBNuCdlY2/CiRX66ePlmOvpaVG5xu&#10;ZWAEYrEefcOHGH1dFCgGaQBnzktLwc4FA5G2oS/aACOhG11UZXlRjC60PjghEcm7PgX5hBgeA+i6&#10;Tgm5duLaSBtPqEFqiEQJB+WRr/Jpu06K+K7rUEamG05MY16pCdm7tBarJdR9AD8oMR0BHnOEB5wM&#10;KEtNz1BriMCug/oHyigRHLouzoQzxYlIVoRYzMsH2rwfwMvMhaRGfxYd/x+seLvfBqbahlfl8+rF&#10;RVlVc84sGLr5m88/fn36+vvnF1pvvn9j9zJIttFjTdVXdhumHfptSBocumDSn9ixQ5b6eJZaHiIT&#10;5KRe1Xyx4Ezcxoq7Qh8wvpbOsGQ0XCubVIAa9m8wUjNKvU1Jbus2Sut8k9qyseGvFlVCBprOjqaC&#10;TOOJIdqeM9A9jb2IISOi06pN1QkHQ7+70oHtgYZlsynpS/NB3f5KS63XgMMpL4emNG0pO+lyUiJZ&#10;O9ces0DZT5eY8aaBS1Nyf5+r7x7Z6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GPKQM2QAAAAwB&#10;AAAPAAAAAAAAAAEAIAAAACIAAABkcnMvZG93bnJldi54bWxQSwECFAAUAAAACACHTuJA51KpMuEB&#10;AACsAwAADgAAAAAAAAABACAAAAAoAQAAZHJzL2Uyb0RvYy54bWxQSwUGAAAAAAYABgBZAQAAewUA&#10;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2862580</wp:posOffset>
                </wp:positionH>
                <wp:positionV relativeFrom="paragraph">
                  <wp:posOffset>1058545</wp:posOffset>
                </wp:positionV>
                <wp:extent cx="1838325" cy="7620"/>
                <wp:effectExtent l="0" t="0" r="28575" b="30480"/>
                <wp:wrapNone/>
                <wp:docPr id="2032760218" name="直接连接符 2032760218"/>
                <wp:cNvGraphicFramePr/>
                <a:graphic xmlns:a="http://schemas.openxmlformats.org/drawingml/2006/main">
                  <a:graphicData uri="http://schemas.microsoft.com/office/word/2010/wordprocessingShape">
                    <wps:wsp>
                      <wps:cNvCnPr/>
                      <wps:spPr>
                        <a:xfrm flipV="1">
                          <a:off x="0" y="0"/>
                          <a:ext cx="1838325" cy="7621"/>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25.4pt;margin-top:83.35pt;height:0.6pt;width:144.75pt;z-index:251705344;mso-width-relative:page;mso-height-relative:page;" filled="f" stroked="t" coordsize="21600,21600" o:gfxdata="UEsDBAoAAAAAAIdO4kAAAAAAAAAAAAAAAAAEAAAAZHJzL1BLAwQUAAAACACHTuJAvfVS39oAAAAL&#10;AQAADwAAAGRycy9kb3ducmV2LnhtbE2PwU7DMBBE70j8g7VIXCpqB0oCIU4PSFyQOJC2Ekc3XpKo&#10;8TqK3Tb5e7Ynepyd0czbYj25XpxwDJ0nDclSgUCqve2o0bDdfDy8gAjRkDW9J9QwY4B1eXtTmNz6&#10;M33jqYqN4BIKudHQxjjkUoa6RWfC0g9I7P360ZnIcmykHc2Zy10vH5VKpTMd8UJrBnxvsT5UR6eh&#10;Umb+TLa7eVrExWHzU31VuzRqfX+XqDcQEaf4H4YLPqNDyUx7fyQbRK9h9awYPbKRphkITmQr9QRi&#10;f7lkryDLQl7/UP4BUEsDBBQAAAAIAIdO4kCEzrhE7QEAALkDAAAOAAAAZHJzL2Uyb0RvYy54bWyt&#10;U82O0zAQviPxDpbvNGmq7S5R0z1sVS4IKvFzdx07seQ/ebxN+xK8ABI3OHHkztuwPAZjJ5RlueyB&#10;HCx7fr6Z75vJ6vpoNDmIAMrZhs5nJSXCctcq2zX03dvtsytKIDLbMu2saOhJAL1eP32yGnwtKtc7&#10;3YpAEMRCPfiG9jH6uiiA98IwmDkvLDqlC4ZFfIauaAMbEN3ooirLZTG40PrguABA62Z00gkxPAbQ&#10;Sam42Dh+a4SNI2oQmkWkBL3yQNe5WykFj6+lBBGJbigyjfnEInjfp7NYr1jdBeZ7xacW2GNaeMDJ&#10;MGWx6BlqwyIjt0H9A2UUDw6cjDPuTDESyYogi3n5QJs3PfMic0GpwZ9Fh/8Hy18ddoGotqFVuagu&#10;l2U1x/lbZnDydx+//fjw+ef3T3jeff1C7kWgbIOHGrNv7C5ML/C7kDQ4ymCI1Mq/x/3KqiBPcsyi&#10;n86ii2MkHI3zq8XVorqghKPvclnN00yKESWh+QDxhXCGpEtDtbJJElazw0uIY+jvkGS2bqu0Rjur&#10;tSVDQ59fZHCGqypxRbCO8UgXbEcJ0x3+AzyGjAhOqzZlp2QI3f5GB3JguDnbbYnf1NhfYan0hkE/&#10;xmXXFKYt0kgijbKk2961p6xWtuNEM9Fp+9LK3H/n7D9/3P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vfVS39oAAAALAQAADwAAAAAAAAABACAAAAAiAAAAZHJzL2Rvd25yZXYueG1sUEsBAhQAFAAA&#10;AAgAh07iQITOuETtAQAAuQMAAA4AAAAAAAAAAQAgAAAAKQEAAGRycy9lMm9Eb2MueG1sUEsFBgAA&#10;AAAGAAYAWQEAAIgFA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4700905</wp:posOffset>
                </wp:positionH>
                <wp:positionV relativeFrom="paragraph">
                  <wp:posOffset>229870</wp:posOffset>
                </wp:positionV>
                <wp:extent cx="8255" cy="828675"/>
                <wp:effectExtent l="0" t="0" r="29845" b="28575"/>
                <wp:wrapNone/>
                <wp:docPr id="2032760215" name="直接连接符 2032760215"/>
                <wp:cNvGraphicFramePr/>
                <a:graphic xmlns:a="http://schemas.openxmlformats.org/drawingml/2006/main">
                  <a:graphicData uri="http://schemas.microsoft.com/office/word/2010/wordprocessingShape">
                    <wps:wsp>
                      <wps:cNvCnPr/>
                      <wps:spPr>
                        <a:xfrm>
                          <a:off x="0" y="0"/>
                          <a:ext cx="8255" cy="8286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70.15pt;margin-top:18.1pt;height:65.25pt;width:0.65pt;z-index:251699200;mso-width-relative:page;mso-height-relative:page;" filled="f" stroked="t" coordsize="21600,21600" o:gfxdata="UEsDBAoAAAAAAIdO4kAAAAAAAAAAAAAAAAAEAAAAZHJzL1BLAwQUAAAACACHTuJAvzUKctgAAAAK&#10;AQAADwAAAGRycy9kb3ducmV2LnhtbE2PwU7DMBBE70j8g7VI3KidtnJQiFMhBBc4UapK3Nx4SULi&#10;dYjdtPw9ywmOq3maeVtuzn4QM06xC2QgWygQSHVwHTUGdm9PN7cgYrLk7BAIDXxjhE11eVHawoUT&#10;veK8TY3gEoqFNdCmNBZSxrpFb+MijEicfYTJ28Tn1Eg32ROX+0EuldLS2454obUjPrRY99ujN5D0&#10;Z9o7/fXcZ7t+/65e1KzuH425vsrUHYiE5/QHw68+q0PFTodwJBfFYCBfqxWjBlZ6CYKBfJ1pEAcm&#10;tc5BVqX8/0L1A1BLAwQUAAAACACHTuJAvMgzfOUBAACuAwAADgAAAGRycy9lMm9Eb2MueG1srVPN&#10;jtMwEL4j8Q6W7zRpULslarqHrcoFQSXgAVzHTiz5Tx5v074EL4DEDU4cufM27D4GYyfsLstlD/Tg&#10;jufnm/k+T9aXJ6PJUQRQzjZ0PispEZa7VtmuoR8/7F6sKIHIbMu0s6KhZwH0cvP82Xrwtahc73Qr&#10;AkEQC/XgG9rH6OuiAN4Lw2DmvLAYlC4YFvEauqINbEB0o4uqLJfF4ELrg+MCAL3bMUgnxPAUQCel&#10;4mLr+LURNo6oQWgWkRL0ygPd5GmlFDy+kxJEJLqhyDTmE5ugfUhnsVmzugvM94pPI7CnjPCIk2HK&#10;YtM7qC2LjFwH9Q+UUTw4cDLOuDPFSCQrgizm5SNt3vfMi8wFpQZ/Jzr8P1j+9rgPRLUNrcqX1cWy&#10;rOYLSiwz+PI3n3/8+vT19ucXPG++fyMPMlC2wUON1Vd2H6Yb+H1IGpxkMOkf2ZFTlvp8J7U4RcLR&#10;uaoW2IdjYFWtlheL9BDFfakPEF8LZ0gyGqqVTTqwmh3fQBxT/6Qkt3U7pTX6Wa0tGRr6alEleIb7&#10;KXEv0DQeOYLtKGG6w8XnMWREcFq1qToVQ+gOVzqQI8N12e1K/E2D/ZWWWm8Z9GNeDk1p2iKNpMyo&#10;RbIOrj1nibIfnzETnVYu7cnDe66+/8w2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NQpy2AAA&#10;AAoBAAAPAAAAAAAAAAEAIAAAACIAAABkcnMvZG93bnJldi54bWxQSwECFAAUAAAACACHTuJAvMgz&#10;fOUBAACuAwAADgAAAAAAAAABACAAAAAnAQAAZHJzL2Uyb0RvYy54bWxQSwUGAAAAAAYABgBZAQAA&#10;fgU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2862580</wp:posOffset>
                </wp:positionH>
                <wp:positionV relativeFrom="paragraph">
                  <wp:posOffset>229870</wp:posOffset>
                </wp:positionV>
                <wp:extent cx="5086350" cy="0"/>
                <wp:effectExtent l="0" t="0" r="19685" b="19050"/>
                <wp:wrapNone/>
                <wp:docPr id="2032760198" name="直接连接符 2032760198"/>
                <wp:cNvGraphicFramePr/>
                <a:graphic xmlns:a="http://schemas.openxmlformats.org/drawingml/2006/main">
                  <a:graphicData uri="http://schemas.microsoft.com/office/word/2010/wordprocessingShape">
                    <wps:wsp>
                      <wps:cNvCnPr/>
                      <wps:spPr>
                        <a:xfrm flipH="1">
                          <a:off x="0" y="0"/>
                          <a:ext cx="508634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25.4pt;margin-top:18.1pt;height:0pt;width:400.5pt;z-index:251697152;mso-width-relative:page;mso-height-relative:page;" filled="f" stroked="t" coordsize="21600,21600" o:gfxdata="UEsDBAoAAAAAAIdO4kAAAAAAAAAAAAAAAAAEAAAAZHJzL1BLAwQUAAAACACHTuJAKXnaodcAAAAK&#10;AQAADwAAAGRycy9kb3ducmV2LnhtbE2PPWvDMBCG90L/g7hAl9BIdhtTHMsZCl0KHeok0PFiXW0T&#10;62QsJbH/fRU6tOP7wXvPFdvJ9uJCo+8ca0hWCgRx7UzHjYb97u3xBYQPyAZ7x6RhJg/b8v6uwNy4&#10;K3/SpQqNiCPsc9TQhjDkUvq6JYt+5QbimH270WKIcmykGfEax20vU6UyabHjeKHFgV5bqk/V2Wqo&#10;FM7vyf4wT8uwPO2+qo/qkAWtHxaJ2oAINIW/MtzwIzqUkenozmy86DU8r1VEDxqeshTErZCuk+gc&#10;fx1ZFvL/C+UPUEsDBBQAAAAIAIdO4kA6CXyI7QEAALYDAAAOAAAAZHJzL2Uyb0RvYy54bWytU72O&#10;EzEQ7pF4B8s92U2OhMsqmysuChQIIgEP4HjtXUv+k8eXTV6CF0Cig4qSnrfheAzG3r1wHM0VuLDG&#10;M+Nv/H0zXl0djSYHEUA5W9PppKREWO4aZduafni/fXZJCURmG6adFTU9CaBX66dPVr2vxMx1Tjci&#10;EASxUPW+pl2MvioK4J0wDCbOC4tB6YJhEY+hLZrAekQ3upiV5aLoXWh8cFwAoHczBOmIGB4D6KRU&#10;XGwcvzHCxgE1CM0iUoJOeaDr/FopBY9vpQQRia4pMo15xyJo79NerFesagPzneLjE9hjnvCAk2HK&#10;YtEz1IZFRm6C+gfKKB4cOBkn3JliIJIVQRbT8oE27zrmReaCUoM/iw7/D5a/OewCUU1NZ+XF7MWi&#10;nC6x/5YZ7Pztp+8/P3759eMz7rffvpJ7GShb76HC29d2F8YT+F1IGhxlMERq5V/hfGVVkCc5ZtFP&#10;Z9HFMRKOznl5ubh4vqSE38WKASJB+QDxpXCGJKOmWtmkB6vY4TVELIupdynJbd1WaZ17qi3pa7qc&#10;z+aIzHBOJc4HmsYjV7AtJUy3+AF4DBkRnFZNup1wILT7ax3IgeHYbLclrjQpWO2vtFR6w6Ab8nJo&#10;TNMWs5NCgybJ2rvmlKXKfmxnxhtHL83L/XO+/ee7rX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XnaodcAAAAKAQAADwAAAAAAAAABACAAAAAiAAAAZHJzL2Rvd25yZXYueG1sUEsBAhQAFAAAAAgA&#10;h07iQDoJfIjtAQAAtgMAAA4AAAAAAAAAAQAgAAAAJgEAAGRycy9lMm9Eb2MueG1sUEsFBgAAAAAG&#10;AAYAWQEAAIUFA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4700270</wp:posOffset>
                </wp:positionH>
                <wp:positionV relativeFrom="paragraph">
                  <wp:posOffset>1734820</wp:posOffset>
                </wp:positionV>
                <wp:extent cx="3810" cy="695325"/>
                <wp:effectExtent l="0" t="0" r="34290" b="28575"/>
                <wp:wrapNone/>
                <wp:docPr id="2032760222" name="直接连接符 2032760222"/>
                <wp:cNvGraphicFramePr/>
                <a:graphic xmlns:a="http://schemas.openxmlformats.org/drawingml/2006/main">
                  <a:graphicData uri="http://schemas.microsoft.com/office/word/2010/wordprocessingShape">
                    <wps:wsp>
                      <wps:cNvCnPr/>
                      <wps:spPr>
                        <a:xfrm>
                          <a:off x="0" y="0"/>
                          <a:ext cx="3810" cy="6953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70.1pt;margin-top:136.6pt;height:54.75pt;width:0.3pt;z-index:251692032;mso-width-relative:page;mso-height-relative:page;" filled="f" stroked="t" coordsize="21600,21600" o:gfxdata="UEsDBAoAAAAAAIdO4kAAAAAAAAAAAAAAAAAEAAAAZHJzL1BLAwQUAAAACACHTuJAF5jxV9kAAAAL&#10;AQAADwAAAGRycy9kb3ducmV2LnhtbE2PQU/DMAyF70j8h8hI3FjSDrVTaTohBBc4bUyTuGWNaUsb&#10;pzRZN/79zAlutt/T8/fK9dkNYsYpdJ40JAsFAqn2tqNGw+795W4FIkRD1gyeUMMPBlhX11elKaw/&#10;0QbnbWwEh1AojIY2xrGQMtQtOhMWfkRi7dNPzkRep0bayZw43A0yVSqTznTEH1oz4lOLdb89Og0x&#10;+4p7m32/9smu33+oNzWrx2etb28S9QAi4jn+meEXn9GhYqaDP5INYtCQ36uUrRrSfMkDO/jCZQ4a&#10;lqs0B1mV8n+H6gJQSwMEFAAAAAgAh07iQC/ATrPlAQAArgMAAA4AAABkcnMvZTJvRG9jLnhtbK1T&#10;zY7TMBC+I/EOlu80aaqW3ajpHrYqFwQrAQ/gOnZiyX/yeJv2JXgBJG5w4sidt2F5DMZO6C7LZQ/0&#10;4I7n5/N830zWV0ejyUEEUM42dD4rKRGWu1bZrqEf3u9eXFACkdmWaWdFQ08C6NXm+bP14GtRud7p&#10;VgSCIBbqwTe0j9HXRQG8F4bBzHlhMShdMCziNXRFG9iA6EYXVVmuisGF1gfHBQB6t2OQTojhKYBO&#10;SsXF1vFbI2wcUYPQLCIl6JUHusndSil4fCsliEh0Q5FpzCc+gvY+ncVmzeouMN8rPrXAntLCI06G&#10;KYuPnqG2LDJyG9Q/UEbx4MDJOOPOFCORrAiymJePtHnXMy8yF5Qa/Fl0+H+w/M3hJhDVNrQqF9XL&#10;VVlVFSWWGZz83afvPz9++fXjM553376SBxko2+ChxuprexOmG/ibkDQ4ymDSP7Ijxyz16Sy1OEbC&#10;0bm4mOMIOAZWl8tFtUyDKO5LfYD4SjhDktFQrWzSgdXs8BrimPonJbmt2ymt0c9qbcnQ0MslQhLO&#10;cD8l7gWaxiNHsB0lTHe4+DyGjAhOqzZVp2II3f5aB3JguC67XYm/qbG/0tLTWwb9mJdDU5q2SCMp&#10;M2qRrL1rT1mi7McxZqLTyqU9eXjP1fef2eY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F5jxV9kA&#10;AAALAQAADwAAAAAAAAABACAAAAAiAAAAZHJzL2Rvd25yZXYueG1sUEsBAhQAFAAAAAgAh07iQC/A&#10;TrPlAQAArgMAAA4AAAAAAAAAAQAgAAAAKAEAAGRycy9lMm9Eb2MueG1sUEsFBgAAAAAGAAYAWQEA&#10;AH8FA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2862580</wp:posOffset>
                </wp:positionH>
                <wp:positionV relativeFrom="paragraph">
                  <wp:posOffset>2296795</wp:posOffset>
                </wp:positionV>
                <wp:extent cx="1837690" cy="0"/>
                <wp:effectExtent l="0" t="0" r="10160" b="19050"/>
                <wp:wrapNone/>
                <wp:docPr id="119" name="直接连接符 119"/>
                <wp:cNvGraphicFramePr/>
                <a:graphic xmlns:a="http://schemas.openxmlformats.org/drawingml/2006/main">
                  <a:graphicData uri="http://schemas.microsoft.com/office/word/2010/wordprocessingShape">
                    <wps:wsp>
                      <wps:cNvCnPr/>
                      <wps:spPr>
                        <a:xfrm flipH="1">
                          <a:off x="0" y="0"/>
                          <a:ext cx="183769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25.4pt;margin-top:180.85pt;height:0pt;width:144.7pt;z-index:251685888;mso-width-relative:page;mso-height-relative:page;" filled="f" stroked="t" coordsize="21600,21600" o:gfxdata="UEsDBAoAAAAAAIdO4kAAAAAAAAAAAAAAAAAEAAAAZHJzL1BLAwQUAAAACACHTuJAgJVJc9kAAAAL&#10;AQAADwAAAGRycy9kb3ducmV2LnhtbE2PwWrDMBBE74X+g9hCL6GRnKZOcSznUOil0EOdBHrcWIpt&#10;Yq2MtUnsv68Khea4s8PMm3wzuk5c7BBaTxqSuQJhqfKmpVrDbvv+9AoiMJLBzpPVMNkAm+L+LsfM&#10;+Ct92UvJtYghFDLU0DD3mZShaqzDMPe9pfg7+sEhx3OopRnwGsNdJxdKpdJhS7Ghwd6+NbY6lWen&#10;oVQ4fSS7/TTOeHbafpef5T5lrR8fErUGwXbkfzP84kd0KCLTwZ/JBNFpWL6oiM4antNkBSI6Vku1&#10;AHH4U2SRy9sNxQ9QSwMEFAAAAAgAh07iQEX+3hXkAQAAqAMAAA4AAABkcnMvZTJvRG9jLnhtbK1T&#10;zW4TMRC+I/EOlu9kk6CWZpVND40CBwSRgAeYeO1dS/6Tx80mL8ELIHGDE0fuvE3LYzD2pgXKpQf2&#10;MBrPjL/x983s8vJgDdvLiNq7hs8mU86kE77Vrmv4h/ebZxecYQLXgvFONvwokV+unj5ZDqGWc997&#10;08rICMRhPYSG9ymFuqpQ9NICTnyQjpLKRwuJjrGr2ggDoVtTzafT82rwsQ3RC4lI0fWY5CfE+BhA&#10;r5QWcu3FtZUujahRGkhECXsdkK/Ka5WSIr1VCmVipuHENBVLTcjfZVutllB3EUKvxekJ8JgnPOBk&#10;QTtqeg+1hgTsOup/oKwW0aNXaSK8rUYiRRFiMZs+0OZdD0EWLiQ1hnvR8f/Bijf7bWS6pU2YLThz&#10;YGnkt5++33z88vPHZ7K3376ynCKhhoA11V+5bTydMGxjZn1Q0TJldHhFOEUHYsYORebjvczykJig&#10;4Ozi+YvzBU1A3OWqESJDhYjppfSWZafhRrusANSwf42J2lLpXUkOO7/RxpQpGseGhi/O5meEDLSZ&#10;ijaCXBuIHbqOMzAdrbxIsSCiN7rNtzMOxm53ZSLbAy3KZjOlL1Ombn+V5dZrwH6sK6lTmXFUnRUa&#10;NcnezrfHIlWJ0wAL3mnZ8ob8eS63f/9gq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AlUlz2QAA&#10;AAsBAAAPAAAAAAAAAAEAIAAAACIAAABkcnMvZG93bnJldi54bWxQSwECFAAUAAAACACHTuJARf7e&#10;FeQBAACoAwAADgAAAAAAAAABACAAAAAoAQAAZHJzL2Uyb0RvYy54bWxQSwUGAAAAAAYABgBZAQAA&#10;fgU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2862580</wp:posOffset>
                </wp:positionH>
                <wp:positionV relativeFrom="paragraph">
                  <wp:posOffset>229870</wp:posOffset>
                </wp:positionV>
                <wp:extent cx="8255" cy="2066925"/>
                <wp:effectExtent l="0" t="0" r="29845" b="28575"/>
                <wp:wrapNone/>
                <wp:docPr id="96" name="直接连接符 96"/>
                <wp:cNvGraphicFramePr/>
                <a:graphic xmlns:a="http://schemas.openxmlformats.org/drawingml/2006/main">
                  <a:graphicData uri="http://schemas.microsoft.com/office/word/2010/wordprocessingShape">
                    <wps:wsp>
                      <wps:cNvCnPr/>
                      <wps:spPr>
                        <a:xfrm>
                          <a:off x="0" y="0"/>
                          <a:ext cx="8255" cy="20669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5.4pt;margin-top:18.1pt;height:162.75pt;width:0.65pt;z-index:251684864;mso-width-relative:page;mso-height-relative:page;" filled="f" stroked="t" coordsize="21600,21600" o:gfxdata="UEsDBAoAAAAAAIdO4kAAAAAAAAAAAAAAAAAEAAAAZHJzL1BLAwQUAAAACACHTuJA2wnRP9kAAAAK&#10;AQAADwAAAGRycy9kb3ducmV2LnhtbE2PwU7DMBBE70j8g7VI3Kid0IYqjVMhBBc4UapK3Nx4SULi&#10;dYi3afl73FM57uxo5k2xPrleTDiG1pOGZKZAIFXetlRr2H683C1BBDZkTe8JNfxigHV5fVWY3Poj&#10;veO04VrEEAq50dAwD7mUoWrQmTDzA1L8ffnRGY7nWEs7mmMMd71MlcqkMy3FhsYM+NRg1W0OTgNn&#10;37yz2c9rl2y73ad6U5N6fNb69iZRKxCMJ76Y4Ywf0aGMTHt/IBtEr2G+UBGdNdxnKYhomC/SBMT+&#10;LCQPIMtC/p9Q/gFQSwMEFAAAAAgAh07iQHJ4LpfdAQAAnwMAAA4AAABkcnMvZTJvRG9jLnhtbK1T&#10;zY7TMBC+I/EOlu802UqtdqOme9iqXBBUAh5g6jiJJf/J423al+AFkLjBiSN33oblMRg7oQu7lz1s&#10;Ds54fj7P93m8uj4azQ4yoHK25hezkjNphWuU7Wr+8cP21SVnGME2oJ2VNT9J5Nfrly9Wg6/k3PVO&#10;NzIwArFYDb7mfYy+KgoUvTSAM+elpWDrgoFI29AVTYCB0I0u5mW5LAYXGh+ckIjk3YxBPiGGpwC6&#10;tlVCbpy4NdLGETVIDZEoYa888nXutm2liO/aFmVkuubENOaVDiF7n9ZivYKqC+B7JaYW4CktPOBk&#10;QFk69Ay1gQjsNqhHUEaJ4NC1cSacKUYiWRFicVE+0OZ9D15mLiQ1+rPo+Hyw4u1hF5hqan615MyC&#10;oRu/+/zj16evv39+ofXu+zdGEZJp8FhR9o3dhWmHfhcS52MbTPoTG3bM0p7O0spjZIKcl/PFgjNB&#10;gXm5XF7NFwmyuK/1AeNr6QxLRs21sok4VHB4g3FM/ZuS3NZtldbkh0pbNlD3C4JkAmggWxoEMo0n&#10;Umg7zkB3NOkihoyITqsmVadiDN3+Rgd2AJqP7bakb2rsv7R09AawH/NyaErTlmgkaUYxkrV3zSlr&#10;lP10b5noNGNpMP7d5+r7d7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sJ0T/ZAAAACgEAAA8A&#10;AAAAAAAAAQAgAAAAIgAAAGRycy9kb3ducmV2LnhtbFBLAQIUABQAAAAIAIdO4kByeC6X3QEAAJ8D&#10;AAAOAAAAAAAAAAEAIAAAACgBAABkcnMvZTJvRG9jLnhtbFBLBQYAAAAABgAGAFkBAAB3BQAAAAA=&#10;">
                <v:fill on="f" focussize="0,0"/>
                <v:stroke color="#FF0000 [3204]"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2059305</wp:posOffset>
                </wp:positionH>
                <wp:positionV relativeFrom="paragraph">
                  <wp:posOffset>368935</wp:posOffset>
                </wp:positionV>
                <wp:extent cx="896620" cy="516890"/>
                <wp:effectExtent l="0" t="0" r="113030" b="359410"/>
                <wp:wrapNone/>
                <wp:docPr id="125" name="圆角矩形标注 125"/>
                <wp:cNvGraphicFramePr/>
                <a:graphic xmlns:a="http://schemas.openxmlformats.org/drawingml/2006/main">
                  <a:graphicData uri="http://schemas.microsoft.com/office/word/2010/wordprocessingShape">
                    <wps:wsp>
                      <wps:cNvSpPr/>
                      <wps:spPr>
                        <a:xfrm>
                          <a:off x="0" y="0"/>
                          <a:ext cx="896620" cy="516890"/>
                        </a:xfrm>
                        <a:prstGeom prst="wedgeRoundRectCallout">
                          <a:avLst>
                            <a:gd name="adj1" fmla="val 59241"/>
                            <a:gd name="adj2" fmla="val 113624"/>
                            <a:gd name="adj3" fmla="val 16667"/>
                          </a:avLst>
                        </a:prstGeom>
                        <a:noFill/>
                        <a:ln w="31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after="0" w:line="240" w:lineRule="auto"/>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4个小车间负压收集管道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62.15pt;margin-top:29.05pt;height:40.7pt;width:70.6pt;z-index:251680768;v-text-anchor:middle;mso-width-relative:page;mso-height-relative:page;" filled="f" stroked="t" coordsize="21600,21600" o:gfxdata="UEsDBAoAAAAAAIdO4kAAAAAAAAAAAAAAAAAEAAAAZHJzL1BLAwQUAAAACACHTuJAialIGNYAAAAK&#10;AQAADwAAAGRycy9kb3ducmV2LnhtbE2Py07DMBBF90j8gzVI7Kgduy4lxKl4iD0UxHoSD0lEbEex&#10;05a/x6zocnSP7j1T7U5uZAea4xC8gWIlgJFvgx18Z+Dj/eVmCywm9BbH4MnAD0XY1ZcXFZY2HP0b&#10;HfapY7nExxIN9ClNJeex7clhXIWJfM6+wuww5XPuuJ3xmMvdyKUQG+5w8Hmhx4meemq/94sz8KAK&#10;RfLxcxHaNlMzvcrbZ5TGXF8V4h5YolP6h+FPP6tDnZ2asHgb2WhAybXKqAG9LYBlYL3RGliTSXWn&#10;gdcVP3+h/gVQSwMEFAAAAAgAh07iQNvo6KW1AgAAVAUAAA4AAABkcnMvZTJvRG9jLnhtbK1Uy24T&#10;MRTdI/EPlvd0MtNk2kSdVFGiIKSKVi2ItePxPJBf2J5MygfQPWskEBtgzZrPaeEzuPZM27Rl0QVZ&#10;ONdzj+/jHF8fHG4ER2tmbK1khuOdAUZMUpXXsszw61fLZ/sYWUdkTriSLMPnzOLD6dMnB62esERV&#10;iufMIAgi7aTVGa6c05MosrRigtgdpZkEZ6GMIA62poxyQ1qILniUDAZp1CqTa6Mosxa+Ljon7iOa&#10;xwRURVFTtlC0EUy6LqphnDhoyVa1tngaqi0KRt1xUVjmEM8wdOrCCknAXvk1mh6QSWmIrmral0Ae&#10;U8K9ngSpJSS9CbUgjqDG1A9CiZoaZVXhdqgSUddIYAS6iAf3uDmriGahF6Da6hvS7f8LS1+uTwyq&#10;c7gJyQgjSQRIfvnpw59vH39//nH56+vVl4urn9+R9wJXrbYTOHKmT0y/s2D6xjeFEf4fWkKbwO/5&#10;Db9s4xCFj/vjNE2AeQquUZzujwP/0e1hbax7zpRA3shwy/KSnapG5qcg5JxwrhoXaCbrI+sC33lf&#10;M8nfxhgVgoN8a8LRaJwM417eLUyyjYnj3TQZPgTt3gGlabrnMVBnnxas60p9DVIta87DTeIStRne&#10;jfeAS0pgOgq4lWAKDQxbWWJEeAljR50JfVjF69yf9nGsKVdzbhCUn+HlcgC/Pu8dmE+9ILbqcMHV&#10;w7iEKr1EnSjecpvVpldqpfJz0NqobgispssaQh0R606IAdpAGXgX3DEsBVfQh+otjCpl3v/ru8fD&#10;ZQQvRi1METT5riGGYcRfSLim43g49GMXNsPRnlffbHtW2x7ZiLmC3kFIqC6YHu/4tVkYJd7A8zHz&#10;WcFFJIXcHZ39Zu666YYHiLLZLMBg1DRxR/JMUx+802zWOFXUzgvrierY6TcwbEHv/mHw07y9D6jb&#10;x3D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ImpSBjWAAAACgEAAA8AAAAAAAAAAQAgAAAAIgAA&#10;AGRycy9kb3ducmV2LnhtbFBLAQIUABQAAAAIAIdO4kDb6OiltQIAAFQFAAAOAAAAAAAAAAEAIAAA&#10;ACUBAABkcnMvZTJvRG9jLnhtbFBLBQYAAAAABgAGAFkBAABMBgAAAAA=&#10;" adj="23596,35343,14400">
                <v:fill on="f" focussize="0,0"/>
                <v:stroke weight="0.25pt" color="#FF0000 [2404]" joinstyle="round"/>
                <v:imagedata o:title=""/>
                <o:lock v:ext="edit" aspectratio="f"/>
                <v:textbox>
                  <w:txbxContent>
                    <w:p>
                      <w:pPr>
                        <w:spacing w:after="0" w:line="240" w:lineRule="auto"/>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4个小车间负压收集管道</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5633720</wp:posOffset>
                </wp:positionH>
                <wp:positionV relativeFrom="paragraph">
                  <wp:posOffset>-3175</wp:posOffset>
                </wp:positionV>
                <wp:extent cx="533400" cy="4445"/>
                <wp:effectExtent l="0" t="133350" r="0" b="128905"/>
                <wp:wrapNone/>
                <wp:docPr id="124" name="直接箭头连接符 124"/>
                <wp:cNvGraphicFramePr/>
                <a:graphic xmlns:a="http://schemas.openxmlformats.org/drawingml/2006/main">
                  <a:graphicData uri="http://schemas.microsoft.com/office/word/2010/wordprocessingShape">
                    <wps:wsp>
                      <wps:cNvCnPr/>
                      <wps:spPr>
                        <a:xfrm flipV="1">
                          <a:off x="0" y="0"/>
                          <a:ext cx="533400" cy="4445"/>
                        </a:xfrm>
                        <a:prstGeom prst="straightConnector1">
                          <a:avLst/>
                        </a:prstGeom>
                        <a:ln w="28575">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43.6pt;margin-top:-0.25pt;height:0.35pt;width:42pt;z-index:251731968;mso-width-relative:page;mso-height-relative:page;" filled="f" stroked="t" coordsize="21600,21600" o:gfxdata="UEsDBAoAAAAAAIdO4kAAAAAAAAAAAAAAAAAEAAAAZHJzL1BLAwQUAAAACACHTuJAGJe4+tYAAAAG&#10;AQAADwAAAGRycy9kb3ducmV2LnhtbE2Oy0rEQBBF94L/0JTgbqaTgDMxpjILQSUIguMD3XXSZRIm&#10;XR3SPQ//3nKly8u9nHvKzcmN6kBzGDwjpMsEFHHr7cAdwuvL3SIHFaJha0bPhPBNATbV+VlpCuuP&#10;/EyHbeyUQDgUBqGPcSq0Dm1PzoSln4il+/KzM1Hi3Gk7m6PA3aizJFlpZwaWh95MdNtTu9vuHcLw&#10;+ajT/L55373ND1PtnuqV+6gRLy/S5AZUpFP8G8OvvqhDJU6N37MNakTI83UmU4TFFSjpr9ep5AYh&#10;A12V+r9+9QNQSwMEFAAAAAgAh07iQF7JL0MHAgAA2AMAAA4AAABkcnMvZTJvRG9jLnhtbK1TvY4T&#10;MRDukXgHyz3ZvVwCpyibk0gIDYKT+OknXu+uJf9p7MsmL8ELIFEB1UF1PU8Dx2Mw9oYAR3MFjTWe&#10;8Xwz3zfj+fnOaLaVGJSzFT8ZlZxJK1ytbFvx16/WD844CxFsDdpZWfG9DPx8cf/evPczOXad07VE&#10;RiA2zHpf8S5GPyuKIDppIIycl5aCjUMDka7YFjVCT+hGF+OyfFj0DmuPTsgQyLsagvyAiHcBdE2j&#10;hFw5cWmkjQMqSg2RKIVO+cAXudumkSK+aJogI9MVJ6Yxn1SE7E06i8UcZi2C75Q4tAB3aeEWJwPK&#10;UtEj1AoisEtU/0AZJdAF18SRcKYYiGRFiMVJeUublx14mbmQ1MEfRQ//D1Y8314gUzVtwnjCmQVD&#10;I795d/397cebL5+/fbj+8fV9sq8+sfSA5Op9mFHW0l7g4Rb8BSbuuwYNa7Tybwgtq0H82C6LvT+K&#10;LXeRCXJOT08nJY1BUGgymUwTdjGAJDCPIT6VzrBkVDxEBNV2cemspaE6HArA9lmIQ+KvhJRs3Vpp&#10;TX6Yacv6io/Ppo+mVAtoYRtaFDKNJ9LBtpyBbukniIi55+C0qlN6yg7YbpYa2RbS/pSPy3VeGerz&#10;r2ep9gpCN7zLoWGzIij9xNYs7j3pCoiuP/DUlugmLQf1krVx9T6Lmv008CzIYTnTRv15z9m/P+Ti&#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iXuPrWAAAABgEAAA8AAAAAAAAAAQAgAAAAIgAAAGRy&#10;cy9kb3ducmV2LnhtbFBLAQIUABQAAAAIAIdO4kBeyS9DBwIAANgDAAAOAAAAAAAAAAEAIAAAACUB&#10;AABkcnMvZTJvRG9jLnhtbFBLBQYAAAAABgAGAFkBAACeBQAAAAA=&#10;">
                <v:fill on="f" focussize="0,0"/>
                <v:stroke weight="2.25pt" color="#00B0F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8024495</wp:posOffset>
                </wp:positionH>
                <wp:positionV relativeFrom="paragraph">
                  <wp:posOffset>1270</wp:posOffset>
                </wp:positionV>
                <wp:extent cx="38735" cy="4400550"/>
                <wp:effectExtent l="95250" t="38100" r="75565" b="19050"/>
                <wp:wrapNone/>
                <wp:docPr id="113" name="直接箭头连接符 113"/>
                <wp:cNvGraphicFramePr/>
                <a:graphic xmlns:a="http://schemas.openxmlformats.org/drawingml/2006/main">
                  <a:graphicData uri="http://schemas.microsoft.com/office/word/2010/wordprocessingShape">
                    <wps:wsp>
                      <wps:cNvCnPr/>
                      <wps:spPr>
                        <a:xfrm flipH="1" flipV="1">
                          <a:off x="0" y="0"/>
                          <a:ext cx="38735" cy="440055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631.85pt;margin-top:0.1pt;height:346.5pt;width:3.05pt;z-index:251726848;mso-width-relative:page;mso-height-relative:page;" filled="f" stroked="t" coordsize="21600,21600" o:gfxdata="UEsDBAoAAAAAAIdO4kAAAAAAAAAAAAAAAAAEAAAAZHJzL1BLAwQUAAAACACHTuJAe9hAw9gAAAAK&#10;AQAADwAAAGRycy9kb3ducmV2LnhtbE2PwU7DMBBE70j8g7VI3KgTFwUa4lSAxIlIVQPivIm3SURs&#10;p7ablL/HPcFxNKOZN8X2rEc2k/ODNRLSVQKMTGvVYDoJnx9vd4/AfECjcLSGJPyQh215fVVgruxi&#10;9jTXoWOxxPgcJfQhTDnnvu1Jo1/ZiUz0DtZpDFG6jiuHSyzXIxdJknGNg4kLPU702lP7XZ+0hN2M&#10;77uqPrx8VUuVPh9Fc7yvnJS3N2nyBCzQOfyF4YIf0aGMTI09GeXZGLXI1g8xK0EAu/gi28QvjYRs&#10;sxbAy4L/v1D+AlBLAwQUAAAACACHTuJA70PYdgsCAADkAwAADgAAAGRycy9lMm9Eb2MueG1srVPN&#10;bhMxEL4j8Q6W73Q3TQMlyqYSCYUDgkj83B2vd9eS/zTjZpOX4AWQOFFOwKl3ngbKYzD2hgDl0gOX&#10;1djj75v5vpmdnW2tYRsFqL2r+Oio5Ew56Wvt2oq/fnV+75QzjMLVwninKr5TyM/md+/M+jBVx77z&#10;plbAiMThtA8V72IM06JA2Skr8MgH5SjZeLAi0hHaogbRE7s1xXFZ3i96D3UALxUi3S6HJN8zwm0I&#10;fdNoqZZeXljl4sAKyohIkrDTAfk8d9s0SsYXTYMqMlNxUhrzl4pQvE7fYj4T0xZE6LTctyBu08IN&#10;TVZoR0UPVEsRBbsA/Q+V1RI8+iYeSW+LQUh2hFSMyhvevOxEUFkLWY3hYDr+P1r5fLMCpmvahNGY&#10;Mycsjfz63dX3t5fXXz5/+3D14+v7FH/6yNIDsqsPOCXUwq1gf8KwgqR924BljdHhKbHxHL1JUcqR&#10;UrbNtu8OtqttZJIux6cPxhPOJGVOTspyMsljKQbCBA6A8YnylqWg4hhB6LaLC+8cDdjDUEJsnmGk&#10;lgj4C5DAzp9rY/KcjWM9NfSwpApMClrehpaGQhvIAHQtZ8K09FfICLlr9EbXCZ6IENr1wgDbiLRL&#10;5aPEMpT761mqvRTYDe9yatiyKLR57GoWd4E8FgC+3+ONo66Tr4OTKVr7epcNzvc0/Kxrv6hpu/48&#10;Z/Tvn3P+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vYQMPYAAAACgEAAA8AAAAAAAAAAQAgAAAA&#10;IgAAAGRycy9kb3ducmV2LnhtbFBLAQIUABQAAAAIAIdO4kDvQ9h2CwIAAOQDAAAOAAAAAAAAAAEA&#10;IAAAACcBAABkcnMvZTJvRG9jLnhtbFBLBQYAAAAABgAGAFkBAACkBQAAAAA=&#10;">
                <v:fill on="f" focussize="0,0"/>
                <v:stroke weight="1.5pt" color="#00B05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-4445</wp:posOffset>
                </wp:positionH>
                <wp:positionV relativeFrom="paragraph">
                  <wp:posOffset>4353560</wp:posOffset>
                </wp:positionV>
                <wp:extent cx="8039100" cy="47625"/>
                <wp:effectExtent l="38100" t="38100" r="19050" b="104775"/>
                <wp:wrapNone/>
                <wp:docPr id="108" name="直接箭头连接符 108"/>
                <wp:cNvGraphicFramePr/>
                <a:graphic xmlns:a="http://schemas.openxmlformats.org/drawingml/2006/main">
                  <a:graphicData uri="http://schemas.microsoft.com/office/word/2010/wordprocessingShape">
                    <wps:wsp>
                      <wps:cNvCnPr/>
                      <wps:spPr>
                        <a:xfrm flipH="1">
                          <a:off x="0" y="0"/>
                          <a:ext cx="8039100" cy="4762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0.35pt;margin-top:342.8pt;height:3.75pt;width:633pt;z-index:251725824;mso-width-relative:page;mso-height-relative:page;" filled="f" stroked="t" coordsize="21600,21600" o:gfxdata="UEsDBAoAAAAAAIdO4kAAAAAAAAAAAAAAAAAEAAAAZHJzL1BLAwQUAAAACACHTuJAnaf4mNcAAAAK&#10;AQAADwAAAGRycy9kb3ducmV2LnhtbE2PwU7DMBBE70j8g7VI3Fo7LQ0hxOmhAsG1pR+wjbdJRLwO&#10;ttMWvh73BMfZGc28rdYXO4gT+dA71pDNFQjixpmeWw37j9dZASJEZIODY9LwTQHW9e1NhaVxZ97S&#10;aRdbkUo4lKihi3EspQxNRxbD3I3EyTs6bzEm6VtpPJ5TuR3kQqlcWuw5LXQ40qaj5nM3WQ1T8bY9&#10;4stP8EG5Yf/wVbxvZND6/i5TzyAiXeJfGK74CR3qxHRwE5sgBg2zxxTUkBerHMTVX+SrJYhDOj0t&#10;M5B1Jf+/UP8CUEsDBBQAAAAIAIdO4kAVN1EZBgIAANoDAAAOAAAAZHJzL2Uyb0RvYy54bWytU81u&#10;EzEQviPxDpbvZDeFlnaVTSUSCgcEkYAHmHi9u5b8p7GbTV6CF0DiBJyAU+88DZTHYOwNAcqlBy7W&#10;eMbzzXzfjGfnW6PZRmJQztZ8Oik5k1a4Rtmu5q9fXdw75SxEsA1oZ2XNdzLw8/ndO7PBV/LI9U43&#10;EhmB2FANvuZ9jL4qiiB6aSBMnJeWgq1DA5Gu2BUNwkDoRhdHZXlSDA4bj07IEMi7HIN8j4i3AXRt&#10;q4RcOnFppI0jKkoNkSiFXvnA57nbtpUivmjbICPTNSemMZ9UhOx1Oov5DKoOwfdK7FuA27Rwg5MB&#10;ZanoAWoJEdglqn+gjBLogmvjRDhTjESyIsRiWt7Q5mUPXmYuJHXwB9HD/4MVzzcrZKqhTShp8BYM&#10;jfz67dX3Nx+uv3z+9v7qx9d3yf70kaUHJNfgQ0VZC7vC/S34FSbu2xYNa7XyTwktq0H82DaLvTuI&#10;LbeRCXKelvfPpiXNQVDswcOTo+OEXowwCc5jiE+kMywZNQ8RQXV9XDhraawOxxKweRbimPgrISVb&#10;d6G0Jj9U2rKBGjorj1MxoJVtaVXINJ5oB9txBrqjvyAi5q6D06pJ6Sk7YLdeaGQbSBtUPkooY7m/&#10;nqXaSwj9+C6H0jOoIij92DYs7jwpC4hu2OdrS3STmqN+yVq7ZpdlzX4aeRZkv55pp/685+zfX3L+&#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2n+JjXAAAACgEAAA8AAAAAAAAAAQAgAAAAIgAAAGRy&#10;cy9kb3ducmV2LnhtbFBLAQIUABQAAAAIAIdO4kAVN1EZBgIAANoDAAAOAAAAAAAAAAEAIAAAACYB&#10;AABkcnMvZTJvRG9jLnhtbFBLBQYAAAAABgAGAFkBAACeBQAAAAA=&#10;">
                <v:fill on="f" focussize="0,0"/>
                <v:stroke weight="1.5pt" color="#00B05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2338705</wp:posOffset>
                </wp:positionH>
                <wp:positionV relativeFrom="paragraph">
                  <wp:posOffset>4478020</wp:posOffset>
                </wp:positionV>
                <wp:extent cx="6457950" cy="481330"/>
                <wp:effectExtent l="0" t="0" r="19050" b="13970"/>
                <wp:wrapNone/>
                <wp:docPr id="2032760229" name="矩形 2032760229"/>
                <wp:cNvGraphicFramePr/>
                <a:graphic xmlns:a="http://schemas.openxmlformats.org/drawingml/2006/main">
                  <a:graphicData uri="http://schemas.microsoft.com/office/word/2010/wordprocessingShape">
                    <wps:wsp>
                      <wps:cNvSpPr/>
                      <wps:spPr>
                        <a:xfrm>
                          <a:off x="0" y="0"/>
                          <a:ext cx="6457950" cy="48133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after="0" w:line="240" w:lineRule="auto"/>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图例</w:t>
                            </w:r>
                          </w:p>
                          <w:p>
                            <w:pPr>
                              <w:spacing w:after="0" w:line="240" w:lineRule="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4个负压收集小车间区域     排气筒（DA005）    污水处理站    雨水管网走向      清洗水流向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4.15pt;margin-top:352.6pt;height:37.9pt;width:508.5pt;z-index:251712512;v-text-anchor:middle;mso-width-relative:page;mso-height-relative:page;" filled="f" stroked="t" coordsize="21600,21600" o:gfxdata="UEsDBAoAAAAAAIdO4kAAAAAAAAAAAAAAAAAEAAAAZHJzL1BLAwQUAAAACACHTuJALVpLM9kAAAAM&#10;AQAADwAAAGRycy9kb3ducmV2LnhtbE2PsU7DMBCGdyTewTokNmqnISVK43QIYkAgIQpLNzc+kkB8&#10;jmwnKW+PO9Hx/vv033fl7mQGNqPzvSUJyUoAQ2qs7qmV8PnxdJcD80GRVoMllPCLHnbV9VWpCm0X&#10;esd5H1oWS8gXSkIXwlhw7psOjfIrOyLF3Zd1RoU4upZrp5ZYbga+FmLDjeopXujUiHWHzc9+MhIO&#10;2Td/6+tFTa/Pjy/Z7Kyo762UtzeJ2AILeAr/MJz1ozpU0eloJ9KeDRLSTZ5GVMKDyNbAzkSaZzE6&#10;xihPBPCq5JdPVH9QSwMEFAAAAAgAh07iQFnLr7drAgAA0QQAAA4AAABkcnMvZTJvRG9jLnhtbK1U&#10;S27bMBDdF+gdCO4byYrzMyIHRowUBYImQFp0TVOURYC/krTl9DIFuushepyi1+gjpSRu2kUW9YKe&#10;4QzfcB7f6PxipxXZCh+kNTWdHJSUCMNtI826ph8/XL05pSREZhqmrBE1vReBXsxfvzrv3UxUtrOq&#10;EZ4AxIRZ72raxehmRRF4JzQLB9YJg2BrvWYRrl8XjWc90LUqqrI8LnrrG+ctFyFgdzkE6YjoXwJo&#10;21ZysbR8o4WJA6oXikW0FDrpAp3n27at4PGmbYOIRNUUnca8ogjsVVqL+TmbrT1zneTjFdhLrvCs&#10;J82kQdFHqCWLjGy8/AtKS+5tsG084FYXQyOZEXQxKZ9xc9cxJ3IvoDq4R9LD/4Pl77e3nsimplV5&#10;WJ0cl1V1RolhGi//6+v3nz++kb0A2OpdmOHQnbv1oxdgptZ3rdfpH02RXWb4/pFhsYuEY/N4enRy&#10;dgTyOWLT08nhYX6C4um08yG+FVaTZNTU4wUzsWx7HSIqIvUhJRUz9koqlV9RGdJD0NVJmfAZpNlC&#10;EjC1Q3vBrClhag3N8+gzZLBKNul4Agp+vbpUnmxZUkr+JXGg3B9pqfaShW7Iy6ExTRlkJ3YGPpIV&#10;d6vdSNLKNvcg2ttBgcHxKwmoaxbiLfOQHO6MoYw3WFpl0YgdLUo667/8az/lQwmIUtJDwmjy84Z5&#10;QYl6Z6CRs8l0CtiYHRBfwfH7kdV+xGz0pUXvE4y/49lM+VE9mK23+hNmd5GqIsQMR+2BztG5jMNo&#10;Yfq5WCxyGnTuWLw2d44n8OHRFptoW5nfMxE1sDPyB6Vn3sepTKO07+espy/R/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tWksz2QAAAAwBAAAPAAAAAAAAAAEAIAAAACIAAABkcnMvZG93bnJldi54&#10;bWxQSwECFAAUAAAACACHTuJAWcuvt2sCAADRBAAADgAAAAAAAAABACAAAAAoAQAAZHJzL2Uyb0Rv&#10;Yy54bWxQSwUGAAAAAAYABgBZAQAABQYAAAAA&#10;">
                <v:fill on="f" focussize="0,0"/>
                <v:stroke weight="1pt" color="#000000 [3213]" joinstyle="round"/>
                <v:imagedata o:title=""/>
                <o:lock v:ext="edit" aspectratio="f"/>
                <v:textbox>
                  <w:txbxContent>
                    <w:p>
                      <w:pPr>
                        <w:spacing w:after="0" w:line="240" w:lineRule="auto"/>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图例</w:t>
                      </w:r>
                    </w:p>
                    <w:p>
                      <w:pPr>
                        <w:spacing w:after="0" w:line="240" w:lineRule="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     4个负压收集小车间区域     排气筒（DA005）    污水处理站    雨水管网走向      清洗水流向</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7577455</wp:posOffset>
                </wp:positionH>
                <wp:positionV relativeFrom="paragraph">
                  <wp:posOffset>4782820</wp:posOffset>
                </wp:positionV>
                <wp:extent cx="371475" cy="4445"/>
                <wp:effectExtent l="0" t="133350" r="0" b="128905"/>
                <wp:wrapNone/>
                <wp:docPr id="126" name="直接箭头连接符 126"/>
                <wp:cNvGraphicFramePr/>
                <a:graphic xmlns:a="http://schemas.openxmlformats.org/drawingml/2006/main">
                  <a:graphicData uri="http://schemas.microsoft.com/office/word/2010/wordprocessingShape">
                    <wps:wsp>
                      <wps:cNvCnPr/>
                      <wps:spPr>
                        <a:xfrm flipV="1">
                          <a:off x="0" y="0"/>
                          <a:ext cx="371475" cy="4446"/>
                        </a:xfrm>
                        <a:prstGeom prst="straightConnector1">
                          <a:avLst/>
                        </a:prstGeom>
                        <a:ln w="28575">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596.65pt;margin-top:376.6pt;height:0.35pt;width:29.25pt;z-index:251736064;mso-width-relative:page;mso-height-relative:page;" filled="f" stroked="t" coordsize="21600,21600" o:gfxdata="UEsDBAoAAAAAAIdO4kAAAAAAAAAAAAAAAAAEAAAAZHJzL1BLAwQUAAAACACHTuJA/LSM8twAAAAN&#10;AQAADwAAAGRycy9kb3ducmV2LnhtbE2PS0/DMBCE70j8B2uRuFHHiVraEKcHJEAREhLlIbg58ZJE&#10;jddR7D7492y5wHFmP83OFOujG8Qep9B70qBmCQikxtueWg2vL3dXSxAhGrJm8IQavjHAujw/K0xu&#10;/YGecb+JreAQCrnR0MU45lKGpkNnwsyPSHz78pMzkeXUSjuZA4e7QaZJspDO9MQfOjPibYfNdrNz&#10;GvrPR6mW9/X79m16GCv3VC3cR6X15YVKbkBEPMY/GE71uTqU3Kn2O7JBDKzVKsuY1XA9z1IQJySd&#10;K55T/1orkGUh/68ofwBQSwMEFAAAAAgAh07iQDWzkF8HAgAA2AMAAA4AAABkcnMvZTJvRG9jLnht&#10;bK1TS44TMRDdI3EHy3vSnZD5KEpnJBLCBsFIfPaO291tyT9VedLJJbgAEitgBaxmz2lgOAZldwgw&#10;bGbBprvsqnpV71V5frGzhm0VoPau4uNRyZly0tfatRV/9XL94JwzjMLVwninKr5XyC8W9+/N+zBT&#10;E995UytgBOJw1oeKdzGGWVGg7JQVOPJBOXI2HqyIdIS2qEH0hG5NMSnL06L3UAfwUiHS7Wpw8gMi&#10;3AXQN42WauXllVUuDqigjIhECTsdkC9yt02jZHzeNKgiMxUnpjF/qQjZm/QtFnMxa0GETstDC+Iu&#10;LdziZIV2VPQItRJRsCvQ/0BZLcGjb+JIelsMRLIixGJc3tLmRSeCylxIagxH0fH/wcpn20tguqZN&#10;mJxy5oSlkd+8vf7+5sPNl8/f3l//+Pou2Z8+shRAcvUBZ5S1dJdwOGG4hMR914BljdHhNaFlNYgf&#10;22Wx90ex1S4ySZcPz8bTsxPOJLmm02nGLgaQBBYA4xPlLUtGxTGC0G0Xl945GqqHoYDYPsVIbVDi&#10;r4SU7PxaG5NnaxzrKz45P8m1BC1sQ4tCZW0g0uhazoRp6SXICLln9EbXKT0BIbSbpQG2FWl/ykfl&#10;Oq8MlfsrLNVeCeyGuOwaNisKbR67msV9IF0FgO+Tg/KNo1/SclAvWRtf77Oo+Z4GngMPy5k26s9z&#10;zv79IBc/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y0jPLcAAAADQEAAA8AAAAAAAAAAQAgAAAA&#10;IgAAAGRycy9kb3ducmV2LnhtbFBLAQIUABQAAAAIAIdO4kA1s5BfBwIAANgDAAAOAAAAAAAAAAEA&#10;IAAAACsBAABkcnMvZTJvRG9jLnhtbFBLBQYAAAAABgAGAFkBAACkBQAAAAA=&#10;">
                <v:fill on="f" focussize="0,0"/>
                <v:stroke weight="2.25pt" color="#00B0F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6544310</wp:posOffset>
                </wp:positionH>
                <wp:positionV relativeFrom="paragraph">
                  <wp:posOffset>4859020</wp:posOffset>
                </wp:positionV>
                <wp:extent cx="166370" cy="0"/>
                <wp:effectExtent l="0" t="76200" r="24130" b="114300"/>
                <wp:wrapNone/>
                <wp:docPr id="121" name="直接箭头连接符 121"/>
                <wp:cNvGraphicFramePr/>
                <a:graphic xmlns:a="http://schemas.openxmlformats.org/drawingml/2006/main">
                  <a:graphicData uri="http://schemas.microsoft.com/office/word/2010/wordprocessingShape">
                    <wps:wsp>
                      <wps:cNvCnPr/>
                      <wps:spPr>
                        <a:xfrm>
                          <a:off x="0" y="0"/>
                          <a:ext cx="166371" cy="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15.3pt;margin-top:382.6pt;height:0pt;width:13.1pt;z-index:251729920;mso-width-relative:page;mso-height-relative:page;" filled="f" stroked="t" coordsize="21600,21600" o:gfxdata="UEsDBAoAAAAAAIdO4kAAAAAAAAAAAAAAAAAEAAAAZHJzL1BLAwQUAAAACACHTuJAG7oID9kAAAAN&#10;AQAADwAAAGRycy9kb3ducmV2LnhtbE2PS2vDMBCE74X+B7GF3hopKXZT13IOhVJaCOQFvSrWxjax&#10;VkZSXv++Gyikx5n9mJ0pZ2fXiyOG2HnSMB4pEEi1tx01Gjbrj6cpiJgMWdN7Qg0XjDCr7u9KU1h/&#10;oiUeV6kRHEKxMBralIZCyli36Ewc+QGJbzsfnEksQyNtMCcOd72cKJVLZzriD60Z8L3Fer86OA3Z&#10;evoZFl9p8b3cz3dh89rNLz+d1o8PY/UGIuE53WC41ufqUHGnrT+QjaJnrZ5VzqyGlzybgLgiKst5&#10;zvbPklUp/6+ofgFQSwMEFAAAAAgAh07iQJOwsf/5AQAAywMAAA4AAABkcnMvZTJvRG9jLnhtbK1T&#10;S44TMRDdI3EHy3vSnSACE6UzEgnDBkEk4ACO291tyT9VedLJJbgAEitgxbCaPacZhmNQdmcyMGxm&#10;wcZd/tR79V5Vz0931rCtAtTeVXw8KjlTTvpau7bi79+dPXrGGUbhamG8UxXfK+Sni4cP5n2YqYnv&#10;vKkVMAJxOOtDxbsYw6woUHbKChz5oBxdNh6siLSFtqhB9IRuTTEpy2nRe6gDeKkQ6XQ1XPIDItwH&#10;0DeNlmrl5blVLg6ooIyIJAk7HZAvcrVNo2R80zSoIjMVJ6Uxr0RC8SatxWIuZi2I0Gl5KEHcp4Q7&#10;mqzQjkiPUCsRBTsH/Q+U1RI8+iaOpLfFICQ7QirG5R1v3nYiqKyFrMZwNB3/H6x8vV0D0zVNwmTM&#10;mROWWn798fLnhy/X3y+uPl/++vEpxd++svSA7OoDzihr6dZw2GFYQ9K+a8CmL6liu2zx/mix2kUm&#10;6XA8nT5+SkTy5qq4zQuA8aXylqWg4hhB6LaLS+8c9dHDODsstq8wEjMl3iQkUufPtDG5ncaxnphO&#10;yifUZSloRhuaDQptIJ3oWs6EaWn4ZYQMid7oOqUnIIR2szTAtiKNTPk8oQx0fz1L3CuB3fAuXw3D&#10;FIU2L1zN4j6QlQLA94d846jqZN9gWIo2vt5nH/M59TjrOsxjGqI/9zn79h9c/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buggP2QAAAA0BAAAPAAAAAAAAAAEAIAAAACIAAABkcnMvZG93bnJldi54&#10;bWxQSwECFAAUAAAACACHTuJAk7Cx//kBAADLAwAADgAAAAAAAAABACAAAAAoAQAAZHJzL2Uyb0Rv&#10;Yy54bWxQSwUGAAAAAAYABgBZAQAAkwUAAAAA&#10;">
                <v:fill on="f" focussize="0,0"/>
                <v:stroke weight="1.5pt" color="#00B050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5570855</wp:posOffset>
                </wp:positionH>
                <wp:positionV relativeFrom="paragraph">
                  <wp:posOffset>4751705</wp:posOffset>
                </wp:positionV>
                <wp:extent cx="275590" cy="142875"/>
                <wp:effectExtent l="0" t="0" r="10160" b="28575"/>
                <wp:wrapNone/>
                <wp:docPr id="2032760233" name="矩形 2032760233"/>
                <wp:cNvGraphicFramePr/>
                <a:graphic xmlns:a="http://schemas.openxmlformats.org/drawingml/2006/main">
                  <a:graphicData uri="http://schemas.microsoft.com/office/word/2010/wordprocessingShape">
                    <wps:wsp>
                      <wps:cNvSpPr/>
                      <wps:spPr>
                        <a:xfrm>
                          <a:off x="0" y="0"/>
                          <a:ext cx="275590" cy="14287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8.65pt;margin-top:374.15pt;height:11.25pt;width:21.7pt;z-index:251722752;v-text-anchor:middle;mso-width-relative:page;mso-height-relative:page;" filled="f" stroked="t" coordsize="21600,21600" o:gfxdata="UEsDBAoAAAAAAIdO4kAAAAAAAAAAAAAAAAAEAAAAZHJzL1BLAwQUAAAACACHTuJAalxHC9gAAAAL&#10;AQAADwAAAGRycy9kb3ducmV2LnhtbE2Py07DMBBF90j8gzVI7KjdBmE3jdMFEhKLIkHbD3DjaRIR&#10;j6PYff09wwp28zi6c6ZaX8MgzjilPpKF+UyBQGqi76m1sN+9PRkQKTvyboiEFm6YYF3f31Wu9PFC&#10;X3je5lZwCKXSWehyHkspU9NhcGkWRyTeHeMUXOZ2aqWf3IXDwyAXSr3I4HriC50b8bXD5nt7ChbC&#10;pllO+b0t9p+FuW36XZbH8GHt48NcrUBkvOY/GH71WR1qdjrEE/kkBgtG64JRC/rZcMHEcqE0iANP&#10;tDIg60r+/6H+AVBLAwQUAAAACACHTuJA1nxMkGgCAADFBAAADgAAAGRycy9lMm9Eb2MueG1srVTN&#10;bhMxEL4j8Q6W73Q326Rpo26q0CgIqaKVCuLseO2sJf8xdrIpL4PErQ/B4yBeg7F324bCoQcumxnP&#10;eGa+z9/k/GJvNNkJCMrZmo6OSkqE5a5RdlPTTx9Xb04pCZHZhmlnRU3vRKAX89evzjs/E5VrnW4E&#10;ECxiw6zzNW1j9LOiCLwVhoUj54XFoHRgWEQXNkUDrMPqRhdVWZ4UnYPGg+MiBDxd9kE6VISXFHRS&#10;Ki6Wjm+NsLGvCkKziJBCq3yg8zytlILHaymDiETXFJHG/MUmaK/Tt5ifs9kGmG8VH0ZgLxnhGSbD&#10;lMWmj6WWLDKyBfVXKaM4uOBkPOLOFD2QzAiiGJXPuLltmRcZC1Id/CPp4f+V5R92N0BUU9OqPK6m&#10;J2V1fEyJZQZf/te3+58/vpODALLV+TDDS7f+BgYvoJmg7yWY9IugyD4zfPfIsNhHwvGwmk4mZ8g9&#10;x9BoXJ1OJ+kFiqfLHkJ8J5whyagp4ANmXtnuKsQ+9SEl9bJupbTGczbTlnTYYDIuU32GypSoCDSN&#10;R3TBbihheoOS5xFyyeC0atL1dDvAZn2pgexYEkr5tlxlbeBkf6Sl3ksW2j4vhwYA2iKORE5PR7LW&#10;rrlDcsH1qguerxTev2Ih3jBAmeGguIjxGj9SO5zeDRYlrYOv/zpP+fj6GKWkQ9kisi9bBoIS/d6i&#10;Ls5G4zGWjdkZT6YVOnAYWR9G7NZcOgQ8wpX3PJspP+oHU4Izn3FfF6krhpjl2LvncHAuY79OuPFc&#10;LBY5DbXtWbyyt56n4v1LLbbRSZUf8YmdgTRUd5bBsIlpfQ79nPX07zP/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pcRwvYAAAACwEAAA8AAAAAAAAAAQAgAAAAIgAAAGRycy9kb3ducmV2LnhtbFBL&#10;AQIUABQAAAAIAIdO4kDWfEyQaAIAAMUEAAAOAAAAAAAAAAEAIAAAACcBAABkcnMvZTJvRG9jLnht&#10;bFBLBQYAAAAABgAGAFkBAAABBgAAAAA=&#10;">
                <v:fill on="f" focussize="0,0"/>
                <v:stroke weight="2pt" color="#00B0F0 [24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4371340</wp:posOffset>
                </wp:positionH>
                <wp:positionV relativeFrom="paragraph">
                  <wp:posOffset>4733290</wp:posOffset>
                </wp:positionV>
                <wp:extent cx="163830" cy="158115"/>
                <wp:effectExtent l="0" t="0" r="26670" b="13335"/>
                <wp:wrapNone/>
                <wp:docPr id="2032760231" name="流程图: 汇总连接 2032760231"/>
                <wp:cNvGraphicFramePr/>
                <a:graphic xmlns:a="http://schemas.openxmlformats.org/drawingml/2006/main">
                  <a:graphicData uri="http://schemas.microsoft.com/office/word/2010/wordprocessingShape">
                    <wps:wsp>
                      <wps:cNvSpPr/>
                      <wps:spPr>
                        <a:xfrm>
                          <a:off x="0" y="0"/>
                          <a:ext cx="163830" cy="158115"/>
                        </a:xfrm>
                        <a:prstGeom prst="flowChartSummingJunction">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344.2pt;margin-top:372.7pt;height:12.45pt;width:12.9pt;z-index:251718656;v-text-anchor:middle;mso-width-relative:page;mso-height-relative:page;" filled="f" stroked="t" coordsize="21600,21600" o:gfxdata="UEsDBAoAAAAAAIdO4kAAAAAAAAAAAAAAAAAEAAAAZHJzL1BLAwQUAAAACACHTuJAJ5zm29oAAAAL&#10;AQAADwAAAGRycy9kb3ducmV2LnhtbE2PQWrDMBBF94XeQUyhu0Zy4trGsRzahuwKJUmhW8VSLBFL&#10;MpYS27fvdNXs/jCPP2+qzWQ7clNDMN5xSBYMiHKNl8a1HL6Pu5cCSIjCSdF5pzjMKsCmfnyoRCn9&#10;6PbqdogtwRIXSsFBx9iXlIZGKyvCwvfK4e7sBysijkNL5SBGLLcdXTKWUSuMwwta9OpDq+ZyuFoO&#10;n2ab7U36Nu3m+Wc86vev1TaeOX9+StgaSFRT/IfhTx/VoUank786GUjHISuKFFEOefqKAYk8SZdA&#10;ThhytgJaV/T+h/oXUEsDBBQAAAAIAIdO4kComPcrkgIAAOoEAAAOAAAAZHJzL2Uyb0RvYy54bWyt&#10;VM1u1DAQviPxDpbvNMn+tCVqtlp2VQSqaKUFcfY69iaS/7CdzZYTnDgg8QJI3JC4cuCEBE/DwmMw&#10;dtJ2KRx64OLMeP78fTOTo+ONFGjNrKu1KnC2l2LEFNVlrVYFfvb05N4hRs4TVRKhFSvwBXP4eHL3&#10;zlFrcjbQlRYlswiSKJe3psCV9yZPEkcrJonb04YpMHJtJfGg2lVSWtJCdimSQZruJ622pbGaMufg&#10;dt4ZcZ/R3iah5rymbK5pI5nyXVbLBPEAyVW1cXgSX8s5o/6Mc8c8EgUGpD6eUATkZTiTyRHJV5aY&#10;qqb9E8htnnADkyS1gqJXqebEE9TY+q9UsqZWO839HtUy6YBERgBFlt7gZlERwyIWoNqZK9Ld/0tL&#10;n6zPLarLAg/S4eBgPx0MM4wUkdD57ZfXPz+9/fH+W462n99sX3399f3D9t1HtOMJ9LXG5ZBlYc5t&#10;rzkQAxcbbmX4Akq0iZRfXFHONh5RuMz2h4dDaAYFUzY+zLJxaElyHWys8w+ZligIBeZCt7OKWL9o&#10;pITxedwoGtoeySfrU+e78MuwUF/pk1oIuCe5UKgFqONRGmoSGF8OYwOiNECBUyuMiFjBXlBvY0qn&#10;RV2G8BDt7Go5ExatSZim9EE6jgMEr/3DLdSeE1d1ftHUgxIKsAXCOoqCtNTlBXTA6m40naEnNcSf&#10;EufPiYVZhIfCtvozOAL4AutewqjS9uW/7oM/jAhYMWphtgHZi4ZYhpF4pGB47mejEaT1URmNDwag&#10;2F3LcteiGjnTABjmAl4XxeDvxaXIrZbPYamnoSqYiKJQu+OwV2a+2zn4LVA2nUY3WABD/KlaGBqS&#10;d52aNl7zOjbxmp2eNFiBOBr9uoYd29Wj1/UvavI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J5zm&#10;29oAAAALAQAADwAAAAAAAAABACAAAAAiAAAAZHJzL2Rvd25yZXYueG1sUEsBAhQAFAAAAAgAh07i&#10;QKiY9yuSAgAA6gQAAA4AAAAAAAAAAQAgAAAAKQEAAGRycy9lMm9Eb2MueG1sUEsFBgAAAAAGAAYA&#10;WQEAAC0GAAAAAA==&#10;">
                <v:fill on="f" focussize="0,0"/>
                <v:stroke weight="2pt" color="#00B050 [32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2519680</wp:posOffset>
                </wp:positionH>
                <wp:positionV relativeFrom="paragraph">
                  <wp:posOffset>4759325</wp:posOffset>
                </wp:positionV>
                <wp:extent cx="189230" cy="128270"/>
                <wp:effectExtent l="0" t="0" r="20320" b="24130"/>
                <wp:wrapNone/>
                <wp:docPr id="2032760230" name="矩形 2032760230"/>
                <wp:cNvGraphicFramePr/>
                <a:graphic xmlns:a="http://schemas.openxmlformats.org/drawingml/2006/main">
                  <a:graphicData uri="http://schemas.microsoft.com/office/word/2010/wordprocessingShape">
                    <wps:wsp>
                      <wps:cNvSpPr/>
                      <wps:spPr>
                        <a:xfrm>
                          <a:off x="0" y="0"/>
                          <a:ext cx="189230" cy="1282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4pt;margin-top:374.75pt;height:10.1pt;width:14.9pt;z-index:251714560;v-text-anchor:middle;mso-width-relative:page;mso-height-relative:page;" filled="f" stroked="t" coordsize="21600,21600" o:gfxdata="UEsDBAoAAAAAAIdO4kAAAAAAAAAAAAAAAAAEAAAAZHJzL1BLAwQUAAAACACHTuJAqCcym9sAAAAL&#10;AQAADwAAAGRycy9kb3ducmV2LnhtbE2PTU/DMAyG70j8h8hIXNCW7oNsLU0nMYkdOCAxduGWNqat&#10;1jhVk67j32NOcLT96vHz5rur68QFh9B60rCYJyCQKm9bqjWcPl5mWxAhGrKm84QavjHArri9yU1m&#10;/UTveDnGWjCEQmY0NDH2mZShatCZMPc9Et++/OBM5HGopR3MxHDXyWWSKOlMS/yhMT3uG6zOx9Fp&#10;KA+fw377vDrE8UEx+ly/4tuk9f3dInkCEfEa/8Lwq8/qULBT6UeyQXQaVqli9ahhs04fQXBivVQK&#10;RMkblW5AFrn836H4AVBLAwQUAAAACACHTuJAUrTGgGUCAADFBAAADgAAAGRycy9lMm9Eb2MueG1s&#10;rVRLbtswEN0X6B0I7hvJivMzLAeGDRcFgiZAWnRNU5QlgL+StOX0MgW66yF6nKLX6COlOG7aRRb1&#10;gh5yhm/43sxoer1XkuyE863RJR2d5JQIzU3V6k1JP35YvbmkxAemKyaNFiV9EJ5ez16/mnZ2IgrT&#10;GFkJRwCi/aSzJW1CsJMs87wRivkTY4WGszZOsYCt22SVYx3QlcyKPD/POuMq6wwX3uN02TvpgOhe&#10;AmjquuViafhWCR16VCckC6Dkm9Z6OkuvrWvBw21dexGILCmYhrQiCex1XLPZlE02jtmm5cMT2Eue&#10;8IyTYq1G0gPUkgVGtq79C0q13Blv6nDCjcp6IkkRsBjlz7S5b5gViQuk9vYguv9/sPz97s6Rtipp&#10;kZ8WF+d5cQppNFOo/K+v33/++EaOHFCrs36CS/f2zg07DzNS39dOxX+QIvuk8MNBYbEPhONwdHmV&#10;EnC4RsVlcZEqkD1dts6Ht8IoEo2SOhQw6cp2Nz4gIUIfQ2IubVatlKmIUpMOLM7GOQhwhs6s0REw&#10;lQU7rzeUMLlBy/PgEqQ3sq3i9Qjk3Wa9kI7sGBpltcrxi72BdH+ExdxL5ps+LrmGMKkRHcXp5YjW&#10;2lQPENeZvuu85asW92+YD3fMoc3wUAxiuMVSS4PXm8GipDHuy7/OYzyqDy8lHdoWzD5vmROUyHca&#10;fXE1Go8BG9JmfHZRYOOOPetjj96qhQHhEUbe8mTG+CAfzdoZ9QnzOo9Z4WKaI3ev4bBZhH6cMPFc&#10;zOcpDL1tWbjR95ZH8L5S820wdZuK+KTOIBq6O4k9TGIcn+N9inr6+s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gnMpvbAAAACwEAAA8AAAAAAAAAAQAgAAAAIgAAAGRycy9kb3ducmV2LnhtbFBL&#10;AQIUABQAAAAIAIdO4kBStMaAZQIAAMUEAAAOAAAAAAAAAAEAIAAAACoBAABkcnMvZTJvRG9jLnht&#10;bFBLBQYAAAAABgAGAFkBAAABBgAAAAA=&#10;">
                <v:fill on="f" focussize="0,0"/>
                <v:stroke weight="2pt" color="#FF0000 [32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523240</wp:posOffset>
                </wp:positionH>
                <wp:positionV relativeFrom="paragraph">
                  <wp:posOffset>5013325</wp:posOffset>
                </wp:positionV>
                <wp:extent cx="542925" cy="0"/>
                <wp:effectExtent l="0" t="0" r="9525" b="19050"/>
                <wp:wrapNone/>
                <wp:docPr id="2032760214" name="直接连接符 2032760214"/>
                <wp:cNvGraphicFramePr/>
                <a:graphic xmlns:a="http://schemas.openxmlformats.org/drawingml/2006/main">
                  <a:graphicData uri="http://schemas.microsoft.com/office/word/2010/wordprocessingShape">
                    <wps:wsp>
                      <wps:cNvCnPr/>
                      <wps:spPr>
                        <a:xfrm>
                          <a:off x="0" y="0"/>
                          <a:ext cx="5429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1.2pt;margin-top:394.75pt;height:0pt;width:42.75pt;z-index:251700224;mso-width-relative:page;mso-height-relative:page;" filled="f" stroked="t" coordsize="21600,21600" o:gfxdata="UEsDBAoAAAAAAIdO4kAAAAAAAAAAAAAAAAAEAAAAZHJzL1BLAwQUAAAACACHTuJAnkEil9cAAAAK&#10;AQAADwAAAGRycy9kb3ducmV2LnhtbE2PTU/DMAyG70j8h8hIXCaWrLCtK013AHrjwgbi6jWmrWic&#10;rsk+4NcvkybB0faj18+bL4+2E3safOtYw2SsQBBXzrRca3hfl3cpCB+QDXaOScMPeVgW11c5ZsYd&#10;+I32q1CLGMI+Qw1NCH0mpa8asujHrieOty83WAxxHGppBjzEcNvJRKmZtNhy/NBgT08NVd+rndXg&#10;yw/alr+jaqQ+72tHyfb59QW1vr2ZqEcQgY7hD4azflSHIjpt3I6NF52GNHmIpIZ5upiCOAOz+QLE&#10;5rKRRS7/VyhOUEsDBBQAAAAIAIdO4kBVSWmF4AEAAKsDAAAOAAAAZHJzL2Uyb0RvYy54bWytU8tu&#10;EzEU3SPxD5b3ZCZDU9pRJl00KhsEkYAPcDz2jCW/5Otmkp/gB5DYwYole/6m5TO49kzTB5suyMKx&#10;7+Ncn+Mzy4u90WQnAihnGzqflZQIy12rbNfQz5+uXp1RApHZlmlnRUMPAujF6uWL5eBrUbne6VYE&#10;giAW6sE3tI/R10UBvBeGwcx5YTEpXTAs4jF0RRvYgOhGF1VZnhaDC60PjgsAjK7HJJ0Qw3MAnZSK&#10;i7Xj10bYOKIGoVlEStArD3SVbyul4PGDlCAi0Q1FpjGvOAT327QWqyWru8B8r/h0BfacKzzhZJiy&#10;OPQItWaRkeug/oEyigcHTsYZd6YYiWRFkMW8fKLNx555kbmg1OCPosP/g+Xvd5tAVNvQqnxdvTkt&#10;q/kJJZYZfPnbr79uvnz/8/sbrrc/f5AHFSjb4KHG7ku7CdMJ/CYkDfYymPSP7Mg+S304Si32kXAM&#10;Lk6q82pBCb9LFfd9PkB8K5whadNQrWwSgdVs9w4izsLSu5IUtu5KaZ0fUlsyNPR8kZEZmlOiKXCI&#10;8UgQbEcJ0x26nseQEcFp1abuhAOh217qQHYseSX/kj1w2qOyNHrNoB/rcmoq0xarkyyjEGm3de0h&#10;65Pj+IYZb/JbMsnDc+6+/8ZW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eQSKX1wAAAAoBAAAP&#10;AAAAAAAAAAEAIAAAACIAAABkcnMvZG93bnJldi54bWxQSwECFAAUAAAACACHTuJAVUlpheABAACr&#10;AwAADgAAAAAAAAABACAAAAAmAQAAZHJzL2Uyb0RvYy54bWxQSwUGAAAAAAYABgBZAQAAeAUAA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519430</wp:posOffset>
                </wp:positionH>
                <wp:positionV relativeFrom="paragraph">
                  <wp:posOffset>4759960</wp:posOffset>
                </wp:positionV>
                <wp:extent cx="647065" cy="327660"/>
                <wp:effectExtent l="0" t="0" r="0" b="0"/>
                <wp:wrapNone/>
                <wp:docPr id="2032760227" name="矩形 2032760227"/>
                <wp:cNvGraphicFramePr/>
                <a:graphic xmlns:a="http://schemas.openxmlformats.org/drawingml/2006/main">
                  <a:graphicData uri="http://schemas.microsoft.com/office/word/2010/wordprocessingShape">
                    <wps:wsp>
                      <wps:cNvSpPr/>
                      <wps:spPr>
                        <a:xfrm>
                          <a:off x="0" y="0"/>
                          <a:ext cx="646981" cy="327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9pt;margin-top:374.8pt;height:25.8pt;width:50.95pt;z-index:251708416;v-text-anchor:middle;mso-width-relative:page;mso-height-relative:page;" filled="f" stroked="f" coordsize="21600,21600" o:gfxdata="UEsDBAoAAAAAAIdO4kAAAAAAAAAAAAAAAAAEAAAAZHJzL1BLAwQUAAAACACHTuJAc3PVGdkAAAAK&#10;AQAADwAAAGRycy9kb3ducmV2LnhtbE2PwU7DMBBE70j8g7VI3KidUrVpiFNVCJB6pEFCvTnxkgTi&#10;dZR10/bvcU9wHM1o5k2+ObteTDhy50lDMlMgkGpvO2o0fJSvDykIDoas6T2hhgsybIrbm9xk1p/o&#10;Had9aEQsIc6MhjaEIZOS6xad4ZkfkKL35UdnQpRjI+1oTrHc9XKu1FI601FcaM2Azy3WP/uj08DV&#10;tCsvw/bz+8B1tX0hVy52b1rf3yXqCUTAc/gLwxU/okMRmSp/JMui15AmkTxoWC3WSxDXQPq4AlFF&#10;RyVzkEUu/18ofgFQSwMEFAAAAAgAh07iQLGfwo9ZAgAApwQAAA4AAABkcnMvZTJvRG9jLnhtbK1U&#10;zW7bMAy+D9g7CLqvdrw0bYM6RdCgw4BiLdANOyuyFBvQ3yQlTvcyA3bbQ+xxhr3GPsluG3Q79LCL&#10;TIoUye8j6fOLvVZkJ3zorKnp5KikRBhum85savrp49WbU0pCZKZhyhpR03sR6MXi9avz3s1FZVur&#10;GuEJgpgw711N2xjdvCgCb4Vm4cg6YWCU1msWofpN0XjWI7pWRVWWs6K3vnHechECbleDkY4R/UsC&#10;Wik7LlaWb7UwcYjqhWIRkELbuUAXuVopBY83UgYRiaopkMZ8IgnkdTqLxTmbbzxzbcfHEthLSniG&#10;SbPOIOljqBWLjGx991co3XFvg5XxiFtdDEAyI0AxKZ9xc9cyJzIWUB3cI+nh/4XlH3a3nnRNTavy&#10;bXUyK6vqhBLDNDr/+9uPXz+/kwMD2OpdmOPRnbv1oxYgJuh76XX6AhTZZ4bvHxkW+0g4LmfT2dnp&#10;hBIOU06XO1A8PXY+xHfCapKEmno0MPPKdtchIiFcH1xSLmOvOqVyE5UhPVAcT0v0ljNMpsREQNQO&#10;6ILZUMLUBiPPo88hD96mkCsWWrJjmJNgVdekyUAyZfBJmAeUSYr79X6EvrbNPejzdpir4PhVh1DX&#10;LMRb5jFIKAWrFm9wSGVRnx0lSlrrv/7rPvmjv7BS0mMwUc+XLfOCEvXeoPNnk+k0TXJWpscnFRR/&#10;aFkfWsxWX1pgAueoLovJP6oHUXqrP2MjlykrTMxw5B5YGpXLOCwMdpqL5TK7YXodi9fmzvEUfOjF&#10;chut7HKbElEDOyN/mN9M6LhraUEO9ez19H9Z/A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zc9UZ&#10;2QAAAAoBAAAPAAAAAAAAAAEAIAAAACIAAABkcnMvZG93bnJldi54bWxQSwECFAAUAAAACACHTuJA&#10;sZ/Cj1kCAACnBAAADgAAAAAAAAABACAAAAAoAQAAZHJzL2Uyb0RvYy54bWxQSwUGAAAAAAYABgBZ&#10;AQAA8wUAAAAA&#10;">
                <v:fill on="f" focussize="0,0"/>
                <v:stroke on="f" weight="2pt"/>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523240</wp:posOffset>
                </wp:positionH>
                <wp:positionV relativeFrom="paragraph">
                  <wp:posOffset>4858385</wp:posOffset>
                </wp:positionV>
                <wp:extent cx="0" cy="154305"/>
                <wp:effectExtent l="0" t="0" r="19050" b="17145"/>
                <wp:wrapNone/>
                <wp:docPr id="2032760225" name="直接连接符 2032760225"/>
                <wp:cNvGraphicFramePr/>
                <a:graphic xmlns:a="http://schemas.openxmlformats.org/drawingml/2006/main">
                  <a:graphicData uri="http://schemas.microsoft.com/office/word/2010/wordprocessingShape">
                    <wps:wsp>
                      <wps:cNvCnPr/>
                      <wps:spPr>
                        <a:xfrm flipV="1">
                          <a:off x="0" y="0"/>
                          <a:ext cx="0" cy="1543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41.2pt;margin-top:382.55pt;height:12.15pt;width:0pt;z-index:251704320;mso-width-relative:page;mso-height-relative:page;" filled="f" stroked="t" coordsize="21600,21600" o:gfxdata="UEsDBAoAAAAAAIdO4kAAAAAAAAAAAAAAAAAEAAAAZHJzL1BLAwQUAAAACACHTuJA9Bs399YAAAAJ&#10;AQAADwAAAGRycy9kb3ducmV2LnhtbE2PwU7DMAyG70i8Q2QkbixpGaPrmk4IARckJEbZOW1MW9E4&#10;VZN14+0xXODo359+fy62JzeIGafQe9KQLBQIpMbbnloN1dvjVQYiREPWDJ5QwxcG2JbnZ4XJrT/S&#10;K8672AouoZAbDV2MYy5laDp0Jiz8iMS7Dz85E3mcWmknc+RyN8hUqZV0pie+0JkR7ztsPncHp+Fu&#10;//xw/TLXzg923Vbv1lXqKdX68iJRGxART/EPhh99VoeSnWp/IBvEoCFLl0xquF3dJCAY+A1qDrL1&#10;EmRZyP8flN9QSwMEFAAAAAgAh07iQApng+rnAQAAtQMAAA4AAABkcnMvZTJvRG9jLnhtbK1TzW7U&#10;MBC+I/EOlu9ssilbaLTZHroqFwQrUXr3OnZiyX/yuJvdl+AFkLjBiSP3vk3LYzB2wlLKpQdysMbj&#10;mc/zff6yPN8bTXYigHK2ofNZSYmw3LXKdg39eHX54jUlEJltmXZWNPQggJ6vnj9bDr4WleudbkUg&#10;CGKhHnxD+xh9XRTAe2EYzJwXFg+lC4ZF3IauaAMbEN3ooirL02JwofXBcQGA2fV4SCfE8BRAJ6Xi&#10;Yu34jRE2jqhBaBaREvTKA13laaUUPL6XEkQkuqHINOYVL8F4m9ZitWR1F5jvFZ9GYE8Z4REnw5TF&#10;S49QaxYZuQnqHyijeHDgZJxxZ4qRSFYEWczLR9p86JkXmQtKDf4oOvw/WP5utwlEtQ2typPq1WlZ&#10;VQtKLDP48veff9x9+vrz9guu99+/kQcVKNvgocbuC7sJ0w78JiQN9jIYIrXy1+ivrAryJPss+uEo&#10;uthHwsckx+x88fKkXKT3KEaEhOQDxDfCGZKChmplkxysZru3EMfS3yUpbd2l0hrzrNaWDA09WyQ2&#10;nKFNJdoDQ+ORKtiOEqY79D+PISOC06pN3akZQre90IHsWHJN/qbB/ipLV68Z9GNdPprKtEUaSaBR&#10;khRtXXvISuU8vmYmOjkv2eXhPnf/+dtW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0Gzf31gAA&#10;AAkBAAAPAAAAAAAAAAEAIAAAACIAAABkcnMvZG93bnJldi54bWxQSwECFAAUAAAACACHTuJACmeD&#10;6ucBAAC1AwAADgAAAAAAAAABACAAAAAlAQAAZHJzL2Uyb0RvYy54bWxQSwUGAAAAAAYABgBZAQAA&#10;fgUAA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1066800</wp:posOffset>
                </wp:positionH>
                <wp:positionV relativeFrom="paragraph">
                  <wp:posOffset>4858385</wp:posOffset>
                </wp:positionV>
                <wp:extent cx="0" cy="154305"/>
                <wp:effectExtent l="0" t="0" r="19050" b="17145"/>
                <wp:wrapNone/>
                <wp:docPr id="2032760226" name="直接连接符 2032760226"/>
                <wp:cNvGraphicFramePr/>
                <a:graphic xmlns:a="http://schemas.openxmlformats.org/drawingml/2006/main">
                  <a:graphicData uri="http://schemas.microsoft.com/office/word/2010/wordprocessingShape">
                    <wps:wsp>
                      <wps:cNvCnPr/>
                      <wps:spPr>
                        <a:xfrm flipV="1">
                          <a:off x="0" y="0"/>
                          <a:ext cx="0" cy="15430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84pt;margin-top:382.55pt;height:12.15pt;width:0pt;z-index:251706368;mso-width-relative:page;mso-height-relative:page;" filled="f" stroked="t" coordsize="21600,21600" o:gfxdata="UEsDBAoAAAAAAIdO4kAAAAAAAAAAAAAAAAAEAAAAZHJzL1BLAwQUAAAACACHTuJAIKJFxtcAAAAL&#10;AQAADwAAAGRycy9kb3ducmV2LnhtbE2PwU7DMBBE70j8g7VI3KidAiFN41QIARckJEro2YmXJCJe&#10;R7Gblr9nywWOMzuafVNsjm4QM06h96QhWSgQSI23PbUaqvenqwxEiIasGTyhhm8MsCnPzwqTW3+g&#10;N5y3sRVcQiE3GroYx1zK0HToTFj4EYlvn35yJrKcWmknc+ByN8ilUql0pif+0JkRHzpsvrZ7p+F+&#10;9/J4/TrXzg921VYf1lXqean15UWi1iAiHuNfGE74jA4lM9V+TzaIgXWa8Zao4S69TUCcEr9OzU62&#10;ugFZFvL/hvIHUEsDBBQAAAAIAIdO4kCuGF2e6AEAALUDAAAOAAAAZHJzL2Uyb0RvYy54bWytU82O&#10;0zAQviPxDpbvNGmWliVquoetlguCSvzcXcdOLPlPHm/TvgQvgMQNThy579uwPMaOnVCW5bIHcrDG&#10;45nP833+sro4GE32IoBytqHzWUmJsNy1ynYN/fD+6tk5JRCZbZl2VjT0KIBerJ8+WQ2+FpXrnW5F&#10;IAhioR58Q/sYfV0UwHthGMycFxYPpQuGRdyGrmgDGxDd6KIqy2UxuND64LgAwOxmPKQTYngMoJNS&#10;cbFx/NoIG0fUIDSLSAl65YGu87RSCh7fSgkiEt1QZBrzipdgvEtrsV6xugvM94pPI7DHjPCAk2HK&#10;4qUnqA2LjFwH9Q+UUTw4cDLOuDPFSCQrgizm5QNt3vXMi8wFpQZ/Eh3+Hyx/s98GotqGVuVZ9WJZ&#10;VtWSEssMvvzt5x8/P339dfMF19vv38i9CpRt8FBj96XdhmkHfhuSBgcZDJFa+Y/or6wK8iSHLPrx&#10;JLo4RMLHJMfsfPH8rFym9yhGhITkA8RXwhmSgoZqZZMcrGb71xDH0t8lKW3dldIa86zWlgwNfbmo&#10;FpRwhjaVaA8MjUeqYDtKmO7Q/zyGjAhOqzZ1p2YI3e5SB7JnyTX5mwb7qyxdvWHQj3X5aCrTFmkk&#10;gUZJUrRz7TErlfP4mpno5Lxkl/v73P3nb1v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CiRcbX&#10;AAAACwEAAA8AAAAAAAAAAQAgAAAAIgAAAGRycy9kb3ducmV2LnhtbFBLAQIUABQAAAAIAIdO4kCu&#10;GF2e6AEAALUDAAAOAAAAAAAAAAEAIAAAACYBAABkcnMvZTJvRG9jLnhtbFBLBQYAAAAABgAGAFkB&#10;AACABQAA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8382000</wp:posOffset>
                </wp:positionH>
                <wp:positionV relativeFrom="paragraph">
                  <wp:posOffset>317500</wp:posOffset>
                </wp:positionV>
                <wp:extent cx="0" cy="302260"/>
                <wp:effectExtent l="57150" t="38100" r="57150" b="3175"/>
                <wp:wrapNone/>
                <wp:docPr id="122" name="直接箭头连接符 122"/>
                <wp:cNvGraphicFramePr/>
                <a:graphic xmlns:a="http://schemas.openxmlformats.org/drawingml/2006/main">
                  <a:graphicData uri="http://schemas.microsoft.com/office/word/2010/wordprocessingShape">
                    <wps:wsp>
                      <wps:cNvCnPr/>
                      <wps:spPr>
                        <a:xfrm flipV="1">
                          <a:off x="0" y="0"/>
                          <a:ext cx="0" cy="30214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660pt;margin-top:25pt;height:23.8pt;width:0pt;z-index:251698176;mso-width-relative:page;mso-height-relative:page;" filled="f" stroked="t" coordsize="21600,21600" o:gfxdata="UEsDBAoAAAAAAIdO4kAAAAAAAAAAAAAAAAAEAAAAZHJzL1BLAwQUAAAACACHTuJAmtMZ+tcAAAAL&#10;AQAADwAAAGRycy9kb3ducmV2LnhtbE2PQUvDQBCF74L/YRnBm93UYqsxmyIF0UNbaBTP0+yYBLOz&#10;IbttWn+9EzzoaXgzjzffy5Yn16oj9aHxbGA6SUARl942XBl4f3u+uQcVIrLF1jMZOFOAZX55kWFq&#10;/cA7OhaxUhLCIUUDdYxdqnUoa3IYJr4jltun7x1GkX2lbY+DhLtW3ybJXDtsWD7U2NGqpvKrODgD&#10;2++PwncLPq92T5v1OmxeBnydGXN9NU0eQUU6xT8zjPiCDrkw7f2BbVCt6Jnki9fA3ThHx+9mb+Bh&#10;MQedZ/p/h/wHUEsDBBQAAAAIAIdO4kAcGTL3/wEAANUDAAAOAAAAZHJzL2Uyb0RvYy54bWytU72O&#10;EzEQ7pF4B8s92WTh4BRlc0XC0SA4iZ/e8dq7lvynGV82eQleAIkKqIDqep4Gjsdg7A0BjuYKXFjj&#10;seeb+b4ZL852zrKtAjTBN3w2mXKmvAyt8V3DX708v3fKGSbhW2GDVw3fK+Rny7t3FkOcqzr0wbYK&#10;GIF4nA+x4X1KcV5VKHvlBE5CVJ4udQAnEh2hq1oQA6E7W9XT6cNqCNBGCFIhknc9XvIDItwGMGht&#10;pFoHeemUTyMqKCsSUcLeROTLUq3WSqbnWqNKzDacmKayUxKyN3mvlgsx70DE3shDCeI2Jdzg5ITx&#10;lPQItRZJsEsw/0A5IyFg0Gkig6tGIkURYjGb3tDmRS+iKlxIaoxH0fH/wcpn2wtgpqVJqGvOvHDU&#10;8uu3V9/ffLj+8vnb+6sfX99l+9NHlh+QXEPEOUWt/AUcThgvIHPfaXBMWxNfE1pRg/ixXRF7fxRb&#10;7RKTo1OS9/60nj0ofahGhIwUAdMTFRzLRsMxgTBdn1bBe+pogBFdbJ9iohoo8FdADvbh3FhbGms9&#10;Gxpen548OuFMCppWTVNCpovEGH3HmbAdfQOZoBSMwZo2h2cghG6zssC2Ig9PWVkASvfXs5x7LbAf&#10;35WrcaySMPaxb1naRxJVAIThEG89wWQhR+mytQntviha/NTtkugwmXmc/jyX6N+/cfk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mtMZ+tcAAAALAQAADwAAAAAAAAABACAAAAAiAAAAZHJzL2Rvd25y&#10;ZXYueG1sUEsBAhQAFAAAAAgAh07iQBwZMvf/AQAA1QMAAA4AAAAAAAAAAQAgAAAAJgEAAGRycy9l&#10;Mm9Eb2MueG1sUEsFBgAAAAAGAAYAWQEAAJcFAAAAAA==&#10;">
                <v:fill on="f" focussize="0,0"/>
                <v:stroke weight="2.25pt" color="#000000 [3213]"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8226425</wp:posOffset>
                </wp:positionH>
                <wp:positionV relativeFrom="paragraph">
                  <wp:posOffset>96520</wp:posOffset>
                </wp:positionV>
                <wp:extent cx="250190" cy="483235"/>
                <wp:effectExtent l="0" t="0" r="0" b="0"/>
                <wp:wrapNone/>
                <wp:docPr id="54" name="矩形 54"/>
                <wp:cNvGraphicFramePr/>
                <a:graphic xmlns:a="http://schemas.openxmlformats.org/drawingml/2006/main">
                  <a:graphicData uri="http://schemas.microsoft.com/office/word/2010/wordprocessingShape">
                    <wps:wsp>
                      <wps:cNvSpPr/>
                      <wps:spPr>
                        <a:xfrm>
                          <a:off x="0" y="0"/>
                          <a:ext cx="250394" cy="483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7.75pt;margin-top:7.6pt;height:38.05pt;width:19.7pt;z-index:251694080;v-text-anchor:middle;mso-width-relative:page;mso-height-relative:page;" filled="f" stroked="f" coordsize="21600,21600" o:gfxdata="UEsDBAoAAAAAAIdO4kAAAAAAAAAAAAAAAAAEAAAAZHJzL1BLAwQUAAAACACHTuJAeuhwktkAAAAL&#10;AQAADwAAAGRycy9kb3ducmV2LnhtbE2PTU/DMAyG70j8h8hI3Fj6sSJamk4TAqQdWZEQt7QxbaFx&#10;qibrtn+Pd4KbX/nR68fl5mRHseDsB0cK4lUEAql1ZqBOwXv9cvcAwgdNRo+OUMEZPWyq66tSF8Yd&#10;6Q2XfegEl5AvtII+hKmQ0rc9Wu1XbkLi3ZebrQ4c506aWR+53I4yiaJ7afVAfKHXEz712P7sD1aB&#10;b5ZdfZ62H9+fvm22z2Tr9e5VqdubOHoEEfAU/mC46LM6VOzUuAMZL0bOSZ5lzPKUJSAuRJqucxCN&#10;gjxOQVal/P9D9QtQSwMEFAAAAAgAh07iQHrNshBSAgAAlwQAAA4AAABkcnMvZTJvRG9jLnhtbK1U&#10;zW4TMRC+I/EOlu90N2kKbdRNFTUqQqqgUkGcHa+dteQ/bCeb8jJI3HgIHgfxGnz2btuocOiBy+6M&#10;Z/Ybf9/M7PnF3miyEyEqZxs6OaopEZa7VtlNQz99vHp1SklMzLZMOysaeicivVi8fHHe+7mYus7p&#10;VgQCEBvnvW9ol5KfV1XknTAsHjkvLILSBcMS3LCp2sB6oBtdTev6ddW70PrguIgRp6shSEfE8BxA&#10;J6XiYuX41gibBtQgNEugFDvlI12U20opePogZRSJ6IaCaSpPFIG9zs9qcc7mm8B8p/h4BfacKzzh&#10;ZJiyKPoAtWKJkW1Qf0EZxYOLTqYj7kw1ECmKgMWkfqLNbce8KFwgdfQPosf/B8vf724CUW1DT2aU&#10;WGbQ8d/ffvz6+Z3gAOr0Ps6RdOtvwuhFmJnqXgaT3yBB9kXRuwdFxT4RjsPpSX18BmCO0Oz0uD4t&#10;ilePH/sQ01vhDMlGQwMaVnRku+uYUBCp9ym5lnVXSuvSNG1JnwvMavSSM0yixATANB5sot1QwvQG&#10;I85TKJAH32bIFYsd2THMRXRatZkrimmLV+Y8sMxW2q/3I/W1a+8gV3DDHEXPrxSgrllMNyxgcHAV&#10;rFb6gIfUDvdzo0VJ58LXf53nfPQTUUp6DCLu82XLgqBEv7Po9NlkNsuTW5zZyZspnHAYWR9G7NZc&#10;OnCaYIk9L2bOT/relMGZz9jAZa6KELMctQeVRucyDQuCHeZiuSxpmFbP0rW99TyDD71YbpOTqrQp&#10;CzWoM+qHeS2CjruVF+LQL1mP/5PF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rocJLZAAAACwEA&#10;AA8AAAAAAAAAAQAgAAAAIgAAAGRycy9kb3ducmV2LnhtbFBLAQIUABQAAAAIAIdO4kB6zbIQUgIA&#10;AJcEAAAOAAAAAAAAAAEAIAAAACgBAABkcnMvZTJvRG9jLnhtbFBLBQYAAAAABgAGAFkBAADsBQAA&#10;AAA=&#10;">
                <v:fill on="f" focussize="0,0"/>
                <v:stroke on="f" weight="2pt"/>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N</w:t>
                      </w:r>
                    </w:p>
                  </w:txbxContent>
                </v:textbox>
              </v:rect>
            </w:pict>
          </mc:Fallback>
        </mc:AlternateContent>
      </w: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7953375" cy="436753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8"/>
                    <a:stretch>
                      <a:fillRect/>
                    </a:stretch>
                  </pic:blipFill>
                  <pic:spPr>
                    <a:xfrm>
                      <a:off x="0" y="0"/>
                      <a:ext cx="7964792" cy="4374183"/>
                    </a:xfrm>
                    <a:prstGeom prst="rect">
                      <a:avLst/>
                    </a:prstGeom>
                  </pic:spPr>
                </pic:pic>
              </a:graphicData>
            </a:graphic>
          </wp:inline>
        </w:drawing>
      </w:r>
    </w:p>
    <w:p>
      <w:pPr>
        <w:rPr>
          <w:color w:val="000000" w:themeColor="text1"/>
          <w14:textFill>
            <w14:solidFill>
              <w14:schemeClr w14:val="tx1"/>
            </w14:solidFill>
          </w14:textFill>
        </w:rPr>
      </w:pPr>
      <w:r>
        <w:rPr>
          <w:rFonts w:hint="eastAsia" w:ascii="宋体" w:hAnsi="宋体" w:eastAsia="宋体" w:cs="宋体"/>
          <w:b/>
          <w:bCs/>
          <w:color w:val="000000" w:themeColor="text1"/>
          <w:spacing w:val="-8"/>
          <w:szCs w:val="24"/>
          <w14:textFill>
            <w14:solidFill>
              <w14:schemeClr w14:val="tx1"/>
            </w14:solidFill>
          </w14:textFill>
        </w:rPr>
        <w:t>附图4-2 分区防渗图</w:t>
      </w:r>
    </w:p>
    <w:p>
      <w:pPr>
        <w:pStyle w:val="224"/>
        <w:rPr>
          <w:color w:val="000000" w:themeColor="text1"/>
          <w14:textFill>
            <w14:solidFill>
              <w14:schemeClr w14:val="tx1"/>
            </w14:solidFill>
          </w14:textFill>
        </w:rPr>
      </w:pPr>
      <w:bookmarkStart w:id="16" w:name="_MON_1791839600"/>
      <w:bookmarkEnd w:id="16"/>
      <w:r>
        <w:rPr>
          <w:rFonts w:hint="eastAsia"/>
          <w:color w:val="000000" w:themeColor="text1"/>
          <w14:textFill>
            <w14:solidFill>
              <w14:schemeClr w14:val="tx1"/>
            </w14:solidFill>
          </w14:textFill>
        </w:rPr>
        <w:object>
          <v:shape id="_x0000_i1028" o:spt="75" type="#_x0000_t75" style="height:407.25pt;width:441.05pt;" o:ole="t" filled="f" o:preferrelative="t" stroked="f" coordsize="21600,21600">
            <v:path/>
            <v:fill on="f" focussize="0,0"/>
            <v:stroke on="f" joinstyle="miter"/>
            <v:imagedata r:id="rId70" o:title=""/>
            <o:lock v:ext="edit" aspectratio="t"/>
            <w10:wrap type="none"/>
            <w10:anchorlock/>
          </v:shape>
          <o:OLEObject Type="Embed" ProgID="PowerPoint.Show.12" ShapeID="_x0000_i1028" DrawAspect="Content" ObjectID="_1468075728" r:id="rId69">
            <o:LockedField>false</o:LockedField>
          </o:OLEObject>
        </w:object>
      </w:r>
    </w:p>
    <w:p>
      <w:pPr>
        <w:rPr>
          <w:color w:val="000000" w:themeColor="text1"/>
          <w14:textFill>
            <w14:solidFill>
              <w14:schemeClr w14:val="tx1"/>
            </w14:solidFill>
          </w14:textFill>
        </w:rPr>
      </w:pPr>
    </w:p>
    <w:p>
      <w:pPr>
        <w:rPr>
          <w:color w:val="000000" w:themeColor="text1"/>
          <w14:textFill>
            <w14:solidFill>
              <w14:schemeClr w14:val="tx1"/>
            </w14:solidFill>
          </w14:textFill>
        </w:rPr>
        <w:sectPr>
          <w:pgSz w:w="16839" w:h="11907" w:orient="landscape"/>
          <w:pgMar w:top="1417" w:right="1417" w:bottom="1417" w:left="1417" w:header="992" w:footer="992" w:gutter="0"/>
          <w:cols w:space="720" w:num="1"/>
          <w:docGrid w:linePitch="326" w:charSpace="0"/>
        </w:sectPr>
      </w:pPr>
    </w:p>
    <w:p>
      <w:pPr>
        <w:spacing w:before="48" w:line="219" w:lineRule="auto"/>
        <w:ind w:left="28"/>
        <w:outlineLvl w:val="0"/>
        <w:rPr>
          <w:rFonts w:hint="eastAsia" w:ascii="宋体" w:hAnsi="宋体" w:eastAsia="宋体" w:cs="宋体"/>
          <w:b/>
          <w:bCs/>
          <w:color w:val="000000" w:themeColor="text1"/>
          <w:spacing w:val="-9"/>
          <w:szCs w:val="24"/>
          <w14:textFill>
            <w14:solidFill>
              <w14:schemeClr w14:val="tx1"/>
            </w14:solidFill>
          </w14:textFill>
        </w:rPr>
      </w:pPr>
      <w:r>
        <w:rPr>
          <w:rFonts w:hint="eastAsia" w:ascii="宋体" w:hAnsi="宋体" w:eastAsia="宋体" w:cs="宋体"/>
          <w:b/>
          <w:bCs/>
          <w:color w:val="000000" w:themeColor="text1"/>
          <w:spacing w:val="-9"/>
          <w:szCs w:val="24"/>
          <w14:textFill>
            <w14:solidFill>
              <w14:schemeClr w14:val="tx1"/>
            </w14:solidFill>
          </w14:textFill>
        </w:rPr>
        <w:t>附件1 委托书</w:t>
      </w:r>
    </w:p>
    <w:p>
      <w:pPr>
        <w:pStyle w:val="224"/>
        <w:rPr>
          <w:rFonts w:hint="eastAsia" w:asciiTheme="minorEastAsia" w:hAnsiTheme="minorEastAsia" w:cstheme="minorEastAsia"/>
          <w:color w:val="000000" w:themeColor="text1"/>
          <w:szCs w:val="24"/>
          <w14:textFill>
            <w14:solidFill>
              <w14:schemeClr w14:val="tx1"/>
            </w14:solidFill>
          </w14:textFill>
        </w:rPr>
        <w:sectPr>
          <w:pgSz w:w="11906" w:h="16838"/>
          <w:pgMar w:top="1417" w:right="1417" w:bottom="1417" w:left="1417" w:header="992" w:footer="992" w:gutter="0"/>
          <w:cols w:space="720" w:num="1"/>
          <w:docGrid w:linePitch="312" w:charSpace="0"/>
        </w:sectPr>
      </w:pPr>
      <w:r>
        <w:rPr>
          <w:color w:val="000000" w:themeColor="text1"/>
          <w14:textFill>
            <w14:solidFill>
              <w14:schemeClr w14:val="tx1"/>
            </w14:solidFill>
          </w14:textFill>
        </w:rPr>
        <w:drawing>
          <wp:inline distT="0" distB="0" distL="0" distR="0">
            <wp:extent cx="5760720" cy="8166735"/>
            <wp:effectExtent l="0" t="0" r="0" b="5715"/>
            <wp:docPr id="418897979" name="图片 123"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97979" name="图片 123" descr="文本, 信件&#10;&#10;描述已自动生成"/>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760720" cy="8166735"/>
                    </a:xfrm>
                    <a:prstGeom prst="rect">
                      <a:avLst/>
                    </a:prstGeom>
                    <a:noFill/>
                    <a:ln>
                      <a:noFill/>
                    </a:ln>
                  </pic:spPr>
                </pic:pic>
              </a:graphicData>
            </a:graphic>
          </wp:inline>
        </w:drawing>
      </w:r>
    </w:p>
    <w:p>
      <w:r>
        <w:rPr>
          <w:rFonts w:hint="eastAsia"/>
          <w:b/>
          <w:bCs/>
        </w:rPr>
        <w:t>附件16</w:t>
      </w:r>
      <w:r>
        <w:rPr>
          <w:rFonts w:hint="eastAsia" w:ascii="宋体" w:hAnsi="宋体" w:eastAsia="宋体" w:cs="宋体"/>
          <w:b/>
          <w:bCs/>
          <w:szCs w:val="24"/>
          <w:lang w:bidi="ar"/>
        </w:rPr>
        <w:t xml:space="preserve">关于环评文件公开文本删除的涉及国家秘密、商业秘密等内容的删除依据和理 </w:t>
      </w:r>
    </w:p>
    <w:p>
      <w:pPr>
        <w:rPr>
          <w:rFonts w:hint="eastAsia" w:ascii="宋体" w:hAnsi="宋体" w:eastAsia="宋体" w:cs="宋体"/>
          <w:b/>
          <w:bCs/>
          <w:szCs w:val="24"/>
          <w:lang w:bidi="ar"/>
        </w:rPr>
      </w:pPr>
      <w:r>
        <w:rPr>
          <w:b/>
          <w:bCs/>
        </w:rPr>
        <w:drawing>
          <wp:anchor distT="0" distB="0" distL="114300" distR="114300" simplePos="0" relativeHeight="251786240" behindDoc="1" locked="0" layoutInCell="1" allowOverlap="1">
            <wp:simplePos x="0" y="0"/>
            <wp:positionH relativeFrom="column">
              <wp:posOffset>-6985</wp:posOffset>
            </wp:positionH>
            <wp:positionV relativeFrom="paragraph">
              <wp:posOffset>264795</wp:posOffset>
            </wp:positionV>
            <wp:extent cx="5756910" cy="8121650"/>
            <wp:effectExtent l="0" t="0" r="3810" b="1270"/>
            <wp:wrapNone/>
            <wp:docPr id="202" name="图片 202" descr="1号车间环评检测材料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1号车间环评检测材料_3"/>
                    <pic:cNvPicPr>
                      <a:picLocks noChangeAspect="1"/>
                    </pic:cNvPicPr>
                  </pic:nvPicPr>
                  <pic:blipFill>
                    <a:blip r:embed="rId72"/>
                    <a:stretch>
                      <a:fillRect/>
                    </a:stretch>
                  </pic:blipFill>
                  <pic:spPr>
                    <a:xfrm>
                      <a:off x="0" y="0"/>
                      <a:ext cx="5756910" cy="8121650"/>
                    </a:xfrm>
                    <a:prstGeom prst="rect">
                      <a:avLst/>
                    </a:prstGeom>
                  </pic:spPr>
                </pic:pic>
              </a:graphicData>
            </a:graphic>
          </wp:anchor>
        </w:drawing>
      </w:r>
      <w:r>
        <w:rPr>
          <w:rFonts w:hint="eastAsia" w:ascii="宋体" w:hAnsi="宋体" w:eastAsia="宋体" w:cs="宋体"/>
          <w:b/>
          <w:bCs/>
          <w:szCs w:val="24"/>
          <w:lang w:bidi="ar"/>
        </w:rPr>
        <w:t>由说明</w:t>
      </w:r>
    </w:p>
    <w:p>
      <w:pPr>
        <w:rPr>
          <w:rFonts w:hint="eastAsia" w:ascii="宋体" w:hAnsi="宋体" w:eastAsia="宋体" w:cs="宋体"/>
          <w:b/>
          <w:bCs/>
          <w:szCs w:val="24"/>
          <w:lang w:bidi="ar"/>
        </w:rPr>
        <w:sectPr>
          <w:pgSz w:w="11905" w:h="16838"/>
          <w:pgMar w:top="1417" w:right="1417" w:bottom="1417" w:left="1417" w:header="850" w:footer="850" w:gutter="0"/>
          <w:cols w:space="720" w:num="1"/>
          <w:docGrid w:linePitch="312" w:charSpace="0"/>
        </w:sectPr>
      </w:pPr>
    </w:p>
    <w:p>
      <w:pPr>
        <w:widowControl w:val="0"/>
        <w:spacing w:line="360" w:lineRule="auto"/>
        <w:ind w:right="720" w:rightChars="300"/>
        <w:rPr>
          <w:rFonts w:hint="default"/>
          <w:b/>
          <w:bCs/>
          <w:color w:val="000000" w:themeColor="text1"/>
          <w:lang w:val="en-US" w:eastAsia="zh-CN"/>
          <w14:textFill>
            <w14:solidFill>
              <w14:schemeClr w14:val="tx1"/>
            </w14:solidFill>
          </w14:textFill>
        </w:rPr>
      </w:pPr>
    </w:p>
    <w:sectPr>
      <w:footerReference r:id="rId14" w:type="default"/>
      <w:pgSz w:w="11905" w:h="16838"/>
      <w:pgMar w:top="1417" w:right="1417" w:bottom="1417" w:left="1417" w:header="850" w:footer="850"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508EA41C-4DDF-4B8C-8371-BE428DBD94D9}"/>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embedRegular r:id="rId2" w:fontKey="{BB72A113-CF0D-43B7-9251-D47F21594353}"/>
  </w:font>
  <w:font w:name="Cambria">
    <w:panose1 w:val="02040503050406030204"/>
    <w:charset w:val="00"/>
    <w:family w:val="roman"/>
    <w:pitch w:val="default"/>
    <w:sig w:usb0="E00002FF" w:usb1="400004FF"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gbsnu54">
    <w:altName w:val="Times New Roman"/>
    <w:panose1 w:val="00000000000000000000"/>
    <w:charset w:val="00"/>
    <w:family w:val="auto"/>
    <w:pitch w:val="default"/>
    <w:sig w:usb0="00000000" w:usb1="00000000" w:usb2="00000000" w:usb3="00000000" w:csb0="00040001" w:csb1="00000000"/>
  </w:font>
  <w:font w:name="TimesNewRoman">
    <w:altName w:val="Times New Roman"/>
    <w:panose1 w:val="00000000000000000000"/>
    <w:charset w:val="00"/>
    <w:family w:val="roman"/>
    <w:pitch w:val="default"/>
    <w:sig w:usb0="00000000" w:usb1="00000000" w:usb2="00000000" w:usb3="00000000" w:csb0="00000000" w:csb1="00000000"/>
  </w:font>
  <w:font w:name="方正楷体简体">
    <w:altName w:val="宋体"/>
    <w:panose1 w:val="00000000000000000000"/>
    <w:charset w:val="86"/>
    <w:family w:val="auto"/>
    <w:pitch w:val="default"/>
    <w:sig w:usb0="00000000" w:usb1="00000000" w:usb2="00000012" w:usb3="00000000" w:csb0="00040001" w:csb1="00000000"/>
  </w:font>
  <w:font w:name="Tahoma">
    <w:panose1 w:val="020B0604030504040204"/>
    <w:charset w:val="00"/>
    <w:family w:val="swiss"/>
    <w:pitch w:val="default"/>
    <w:sig w:usb0="E1002EFF" w:usb1="C000605B" w:usb2="00000029" w:usb3="00000000" w:csb0="200101FF" w:csb1="20280000"/>
  </w:font>
  <w:font w:name="Wingdings 2">
    <w:panose1 w:val="05020102010507070707"/>
    <w:charset w:val="02"/>
    <w:family w:val="roman"/>
    <w:pitch w:val="default"/>
    <w:sig w:usb0="00000000" w:usb1="00000000" w:usb2="00000000" w:usb3="00000000" w:csb0="80000000" w:csb1="00000000"/>
    <w:embedRegular r:id="rId3" w:fontKey="{775F9B59-295B-4924-8675-84316D92A20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framePr w:wrap="around" w:vAnchor="text" w:hAnchor="margin" w:xAlign="center" w:y="1"/>
      <w:rPr>
        <w:rStyle w:val="41"/>
      </w:rPr>
    </w:pPr>
    <w:r>
      <w:fldChar w:fldCharType="begin"/>
    </w:r>
    <w:r>
      <w:rPr>
        <w:rStyle w:val="41"/>
      </w:rPr>
      <w:instrText xml:space="preserve">PAGE  </w:instrText>
    </w:r>
    <w:r>
      <w:fldChar w:fldCharType="end"/>
    </w:r>
  </w:p>
  <w:p>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right="360" w:firstLine="360"/>
      <w:jc w:val="center"/>
    </w:pPr>
    <w: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8"/>
                          </w:pPr>
                          <w:r>
                            <w:fldChar w:fldCharType="begin"/>
                          </w:r>
                          <w:r>
                            <w:instrText xml:space="preserve"> PAGE  \* MERGEFORMAT </w:instrText>
                          </w:r>
                          <w:r>
                            <w:fldChar w:fldCharType="separate"/>
                          </w:r>
                          <w:r>
                            <w:t>71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76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OJuPAsAgAAVwQAAA4AAABkcnMvZTJvRG9jLnhtbK1UzY7TMBC+I/EO&#10;lu80aRFL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LdjSjRT6Pjpx/fT&#10;z4fTr28EZxCotX6GuHuLyNC9Mx3GZjj3OIy8u8qp+AUjAj/kPV7kFV0gPF6aTqbTHC4O37ABfvZ4&#10;3Tof3gujSDQK6tC/JCs7bHzoQ4eQmE2bdSNl6qHUpC3o1es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4m48CwCAABXBAAADgAAAAAAAAABACAAAAAfAQAAZHJzL2Uyb0RvYy54bWxQSwUGAAAAAAYA&#10;BgBZAQAAvQUAAAAA&#10;">
              <v:fill on="f" focussize="0,0"/>
              <v:stroke on="f" weight="0.5pt"/>
              <v:imagedata o:title=""/>
              <o:lock v:ext="edit" aspectratio="f"/>
              <v:textbox inset="0mm,0mm,0mm,0mm" style="mso-fit-shape-to-text:t;">
                <w:txbxContent>
                  <w:p>
                    <w:pPr>
                      <w:pStyle w:val="28"/>
                    </w:pPr>
                    <w:r>
                      <w:fldChar w:fldCharType="begin"/>
                    </w:r>
                    <w:r>
                      <w:instrText xml:space="preserve"> PAGE  \* MERGEFORMAT </w:instrText>
                    </w:r>
                    <w:r>
                      <w:fldChar w:fldCharType="separate"/>
                    </w:r>
                    <w:r>
                      <w:t>71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right="360" w:firstLine="360"/>
      <w:jc w:val="center"/>
    </w:pPr>
    <w: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8"/>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96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fTTAt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dUK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tfTTAtAgAAVwQAAA4AAAAAAAAAAQAgAAAAHwEAAGRycy9lMm9Eb2MueG1sUEsFBgAAAAAG&#10;AAYAWQEAAL4FAAAAAA==&#10;">
              <v:fill on="f" focussize="0,0"/>
              <v:stroke on="f" weight="0.5pt"/>
              <v:imagedata o:title=""/>
              <o:lock v:ext="edit" aspectratio="f"/>
              <v:textbox inset="0mm,0mm,0mm,0mm" style="mso-fit-shape-to-text:t;">
                <w:txbxContent>
                  <w:p>
                    <w:pPr>
                      <w:pStyle w:val="28"/>
                    </w:pPr>
                    <w:r>
                      <w:fldChar w:fldCharType="begin"/>
                    </w:r>
                    <w:r>
                      <w:instrText xml:space="preserve"> PAGE  \* MERGEFORMAT </w:instrText>
                    </w:r>
                    <w:r>
                      <w:fldChar w:fldCharType="separate"/>
                    </w:r>
                    <w:r>
                      <w:t>69</w:t>
                    </w:r>
                    <w:r>
                      <w:fldChar w:fldCharType="end"/>
                    </w:r>
                  </w:p>
                </w:txbxContent>
              </v:textbox>
            </v:shape>
          </w:pict>
        </mc:Fallback>
      </mc:AlternateContent>
    </w:r>
  </w:p>
  <w:p>
    <w:pPr>
      <w:pStyle w:val="28"/>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right="360" w:firstLine="360"/>
      <w:jc w:val="center"/>
    </w:pPr>
    <w: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8"/>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17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MSHnAtAgAAVw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MSHnAtAgAAVwQAAA4AAAAAAAAAAQAgAAAAHwEAAGRycy9lMm9Eb2MueG1sUEsFBgAAAAAG&#10;AAYAWQEAAL4FAAAAAA==&#10;">
              <v:fill on="f" focussize="0,0"/>
              <v:stroke on="f" weight="0.5pt"/>
              <v:imagedata o:title=""/>
              <o:lock v:ext="edit" aspectratio="f"/>
              <v:textbox inset="0mm,0mm,0mm,0mm" style="mso-fit-shape-to-text:t;">
                <w:txbxContent>
                  <w:p>
                    <w:pPr>
                      <w:pStyle w:val="28"/>
                    </w:pPr>
                    <w:r>
                      <w:fldChar w:fldCharType="begin"/>
                    </w:r>
                    <w:r>
                      <w:instrText xml:space="preserve"> PAGE  \* MERGEFORMAT </w:instrText>
                    </w:r>
                    <w:r>
                      <w:fldChar w:fldCharType="separate"/>
                    </w:r>
                    <w:r>
                      <w:t>70</w:t>
                    </w:r>
                    <w:r>
                      <w:fldChar w:fldCharType="end"/>
                    </w:r>
                  </w:p>
                </w:txbxContent>
              </v:textbox>
            </v:shape>
          </w:pict>
        </mc:Fallback>
      </mc:AlternateContent>
    </w:r>
  </w:p>
  <w:p>
    <w:pPr>
      <w:pStyle w:val="28"/>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4453"/>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6930"/>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76</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0</wp:posOffset>
              </wp:positionV>
              <wp:extent cx="352425" cy="1828800"/>
              <wp:effectExtent l="0" t="0" r="9525" b="8255"/>
              <wp:wrapNone/>
              <wp:docPr id="74" name="文本框 74"/>
              <wp:cNvGraphicFramePr/>
              <a:graphic xmlns:a="http://schemas.openxmlformats.org/drawingml/2006/main">
                <a:graphicData uri="http://schemas.microsoft.com/office/word/2010/wordprocessingShape">
                  <wps:wsp>
                    <wps:cNvSpPr txBox="1"/>
                    <wps:spPr>
                      <a:xfrm>
                        <a:off x="0" y="0"/>
                        <a:ext cx="3524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8"/>
                          </w:pPr>
                          <w:r>
                            <w:fldChar w:fldCharType="begin"/>
                          </w:r>
                          <w:r>
                            <w:instrText xml:space="preserve"> PAGE  \* MERGEFORMAT </w:instrText>
                          </w:r>
                          <w:r>
                            <w:fldChar w:fldCharType="separate"/>
                          </w:r>
                          <w:r>
                            <w:t>158</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27.75pt;mso-position-horizontal:center;mso-position-horizontal-relative:margin;z-index:251716608;mso-width-relative:page;mso-height-relative:page;" filled="f" stroked="f" coordsize="21600,21600" o:gfxdata="UEsDBAoAAAAAAIdO4kAAAAAAAAAAAAAAAAAEAAAAZHJzL1BLAwQUAAAACACHTuJAP999C9QAAAAE&#10;AQAADwAAAGRycy9kb3ducmV2LnhtbE2PMU/DMBCFdyT+g3VIbNRupaAoxOlQQQeYSBFivMaXODQ+&#10;R7GbFn49hoUuJz29u/e+K9dnN4iZptB71rBcKBDEjTc9dxredk93OYgQkQ0OnknDFwVYV9dXJRbG&#10;n/iV5jp2IoVwKFCDjXEspAyNJYdh4Ufi5LV+chiTnDppJjylcDfIlVL30mHPqcHiSBtLzaE+uoTx&#10;/qLc9ru1H+4Z21Db3bx9/NT69mapHkBEOsf/ZfjFTzdQJaa9P7IJYtCQHol/M3lZloHYa1jluQJZ&#10;lfISvvoBUEsDBBQAAAAIAIdO4kAKmPQdNAIAAFgEAAAOAAAAZHJzL2Uyb0RvYy54bWytVMtuEzEU&#10;3SPxD5b3ZCZpU6Kokyq0CkKKaKWCWDseT2ckv7CdzIQPgD9gxYY935Xv4NiTSVFh0QUb5859n3Pv&#10;zeVVpyTZCecbows6HuWUCM1N2eiHgn78sHo1o8QHpksmjRYF3QtPrxYvX1y2di4mpjayFI4gifbz&#10;1ha0DsHOs8zzWijmR8YKDWNlnGIBn+4hKx1rkV3JbJLnF1lrXGmd4cJ7aG96Iz1mdM9JaKqq4eLG&#10;8K0SOvRZnZAsAJKvG+vpInVbVYKH26ryIhBZUCAN6UURyJv4ZotLNn9wzNYNP7bAntPCE0yKNRpF&#10;T6luWGBk65q/UqmGO+NNFUbcqKwHkhgBinH+hJv7mlmRsIBqb0+k+/+Xlr/f3TnSlAV9fU6JZgoT&#10;P3z/dvjx6/DzK4EOBLXWz+F3b+EZujemw9oMeg9lxN1VTsVfICKwg979iV7RBcKhPJtOzidTSjhM&#10;49lkNssT/9ljtHU+vBVGkSgU1GF8iVW2W/uATuA6uMRi2qwaKdMIpSZtQS/OpnkKOFkQITUCI4a+&#10;1yiFbtMdgW1MuQcuZ/rV8JavGhRfMx/umMMuAAquJdziqaRBEXOUKKmN+/IvffTHiGClpMVuFdR/&#10;3jInKJHvNIYXF3EQ3CBsBkFv1bXBuo5xh5YnEQEuyEGsnFGfcETLWAUmpjlqFTQM4nXoNxxHyMVy&#10;mZywbpaFtb63PKaO9Hm73AZQmJiNtPRcHNnCwiXCj8cRN/rP7+T1+Iew+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330L1AAAAAQBAAAPAAAAAAAAAAEAIAAAACIAAABkcnMvZG93bnJldi54bWxQ&#10;SwECFAAUAAAACACHTuJACpj0HTQCAABYBAAADgAAAAAAAAABACAAAAAjAQAAZHJzL2Uyb0RvYy54&#10;bWxQSwUGAAAAAAYABgBZAQAAyQUAAAAA&#10;">
              <v:fill on="f" focussize="0,0"/>
              <v:stroke on="f" weight="0.5pt"/>
              <v:imagedata o:title=""/>
              <o:lock v:ext="edit" aspectratio="f"/>
              <v:textbox inset="0mm,0mm,0mm,0mm" style="mso-fit-shape-to-text:t;">
                <w:txbxContent>
                  <w:p>
                    <w:pPr>
                      <w:pStyle w:val="28"/>
                    </w:pPr>
                    <w:r>
                      <w:fldChar w:fldCharType="begin"/>
                    </w:r>
                    <w:r>
                      <w:instrText xml:space="preserve"> PAGE  \* MERGEFORMAT </w:instrText>
                    </w:r>
                    <w:r>
                      <w:fldChar w:fldCharType="separate"/>
                    </w:r>
                    <w:r>
                      <w:t>158</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37180A4"/>
    <w:multiLevelType w:val="singleLevel"/>
    <w:tmpl w:val="D37180A4"/>
    <w:lvl w:ilvl="0" w:tentative="0">
      <w:start w:val="2"/>
      <w:numFmt w:val="decimal"/>
      <w:suff w:val="nothing"/>
      <w:lvlText w:val="（%1）"/>
      <w:lvlJc w:val="left"/>
    </w:lvl>
  </w:abstractNum>
  <w:abstractNum w:abstractNumId="1">
    <w:nsid w:val="01C3B5FD"/>
    <w:multiLevelType w:val="singleLevel"/>
    <w:tmpl w:val="01C3B5FD"/>
    <w:lvl w:ilvl="0" w:tentative="0">
      <w:start w:val="1"/>
      <w:numFmt w:val="decimal"/>
      <w:suff w:val="nothing"/>
      <w:lvlText w:val="（%1）"/>
      <w:lvlJc w:val="left"/>
    </w:lvl>
  </w:abstractNum>
  <w:abstractNum w:abstractNumId="2">
    <w:nsid w:val="18EBFFE9"/>
    <w:multiLevelType w:val="singleLevel"/>
    <w:tmpl w:val="18EBFFE9"/>
    <w:lvl w:ilvl="0" w:tentative="0">
      <w:start w:val="2"/>
      <w:numFmt w:val="decimal"/>
      <w:suff w:val="nothing"/>
      <w:lvlText w:val="（%1）"/>
      <w:lvlJc w:val="left"/>
    </w:lvl>
  </w:abstractNum>
  <w:abstractNum w:abstractNumId="3">
    <w:nsid w:val="612C2EAF"/>
    <w:multiLevelType w:val="multilevel"/>
    <w:tmpl w:val="612C2EAF"/>
    <w:lvl w:ilvl="0" w:tentative="0">
      <w:start w:val="1"/>
      <w:numFmt w:val="chineseCountingThousand"/>
      <w:suff w:val="nothing"/>
      <w:lvlText w:val="%1、"/>
      <w:lvlJc w:val="left"/>
      <w:pPr>
        <w:ind w:left="0" w:firstLine="0"/>
      </w:pPr>
      <w:rPr>
        <w:rFonts w:hint="eastAsia"/>
      </w:rPr>
    </w:lvl>
    <w:lvl w:ilvl="1" w:tentative="0">
      <w:start w:val="1"/>
      <w:numFmt w:val="decimal"/>
      <w:isLgl/>
      <w:suff w:val="space"/>
      <w:lvlText w:val="%1.%2"/>
      <w:lvlJc w:val="left"/>
      <w:pPr>
        <w:ind w:left="0" w:firstLine="0"/>
      </w:pPr>
      <w:rPr>
        <w:rFonts w:hint="eastAsia"/>
      </w:rPr>
    </w:lvl>
    <w:lvl w:ilvl="2" w:tentative="0">
      <w:start w:val="1"/>
      <w:numFmt w:val="decimal"/>
      <w:pStyle w:val="136"/>
      <w:isLgl/>
      <w:suff w:val="space"/>
      <w:lvlText w:val="%1.%2.%3"/>
      <w:lvlJc w:val="left"/>
      <w:pPr>
        <w:ind w:left="0" w:firstLine="0"/>
      </w:pPr>
      <w:rPr>
        <w:rFonts w:hint="eastAsia"/>
      </w:rPr>
    </w:lvl>
    <w:lvl w:ilvl="3" w:tentative="0">
      <w:start w:val="1"/>
      <w:numFmt w:val="decimal"/>
      <w:lvlRestart w:val="2"/>
      <w:isLgl/>
      <w:suff w:val="space"/>
      <w:lvlText w:val="表%1.%2-%4"/>
      <w:lvlJc w:val="left"/>
      <w:pPr>
        <w:ind w:left="0" w:firstLine="0"/>
      </w:pPr>
      <w:rPr>
        <w:rFonts w:hint="eastAsia"/>
      </w:rPr>
    </w:lvl>
    <w:lvl w:ilvl="4" w:tentative="0">
      <w:start w:val="1"/>
      <w:numFmt w:val="decimal"/>
      <w:lvlRestart w:val="2"/>
      <w:isLgl/>
      <w:suff w:val="space"/>
      <w:lvlText w:val="图%1.%2-%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2OTE2ZTA2ZDkzYzdhZjA0NGI0MmI3MjhjODRkOGEifQ=="/>
  </w:docVars>
  <w:rsids>
    <w:rsidRoot w:val="00172A27"/>
    <w:rsid w:val="00003C7F"/>
    <w:rsid w:val="000060B3"/>
    <w:rsid w:val="000077C8"/>
    <w:rsid w:val="00016825"/>
    <w:rsid w:val="00017FBD"/>
    <w:rsid w:val="00024FA3"/>
    <w:rsid w:val="00025985"/>
    <w:rsid w:val="00037F22"/>
    <w:rsid w:val="0004364B"/>
    <w:rsid w:val="00046FCF"/>
    <w:rsid w:val="00054A3E"/>
    <w:rsid w:val="00061B1F"/>
    <w:rsid w:val="0006500C"/>
    <w:rsid w:val="0007010A"/>
    <w:rsid w:val="000733C4"/>
    <w:rsid w:val="00074783"/>
    <w:rsid w:val="00076298"/>
    <w:rsid w:val="0008070B"/>
    <w:rsid w:val="00080B96"/>
    <w:rsid w:val="000810AC"/>
    <w:rsid w:val="00081A02"/>
    <w:rsid w:val="00082231"/>
    <w:rsid w:val="00084615"/>
    <w:rsid w:val="00084723"/>
    <w:rsid w:val="00084EDC"/>
    <w:rsid w:val="00091CB9"/>
    <w:rsid w:val="00092D38"/>
    <w:rsid w:val="0009377B"/>
    <w:rsid w:val="00095BCB"/>
    <w:rsid w:val="0009686B"/>
    <w:rsid w:val="00096D97"/>
    <w:rsid w:val="000A20C9"/>
    <w:rsid w:val="000A270F"/>
    <w:rsid w:val="000A6B6A"/>
    <w:rsid w:val="000B058F"/>
    <w:rsid w:val="000B0F0A"/>
    <w:rsid w:val="000B4361"/>
    <w:rsid w:val="000B4467"/>
    <w:rsid w:val="000B4DB9"/>
    <w:rsid w:val="000C0582"/>
    <w:rsid w:val="000C09AC"/>
    <w:rsid w:val="000C3B43"/>
    <w:rsid w:val="000C5A39"/>
    <w:rsid w:val="000C767F"/>
    <w:rsid w:val="000D32EF"/>
    <w:rsid w:val="000D3EA2"/>
    <w:rsid w:val="000D5A44"/>
    <w:rsid w:val="000D6594"/>
    <w:rsid w:val="000E0AAF"/>
    <w:rsid w:val="000E2E1E"/>
    <w:rsid w:val="000E3ED2"/>
    <w:rsid w:val="000E46A5"/>
    <w:rsid w:val="000F5AB9"/>
    <w:rsid w:val="00101FB2"/>
    <w:rsid w:val="001115D8"/>
    <w:rsid w:val="001151F1"/>
    <w:rsid w:val="00115910"/>
    <w:rsid w:val="001204BE"/>
    <w:rsid w:val="00131F42"/>
    <w:rsid w:val="00134D94"/>
    <w:rsid w:val="001357F1"/>
    <w:rsid w:val="0013662E"/>
    <w:rsid w:val="00136E7C"/>
    <w:rsid w:val="00140C8B"/>
    <w:rsid w:val="00140FA8"/>
    <w:rsid w:val="00140FF1"/>
    <w:rsid w:val="00141A77"/>
    <w:rsid w:val="00142506"/>
    <w:rsid w:val="00142FEB"/>
    <w:rsid w:val="00143A2D"/>
    <w:rsid w:val="00145A28"/>
    <w:rsid w:val="00145A41"/>
    <w:rsid w:val="00145EEF"/>
    <w:rsid w:val="00147BF6"/>
    <w:rsid w:val="0015064F"/>
    <w:rsid w:val="00151675"/>
    <w:rsid w:val="00151B2F"/>
    <w:rsid w:val="00157435"/>
    <w:rsid w:val="001656FF"/>
    <w:rsid w:val="001657AA"/>
    <w:rsid w:val="001703D2"/>
    <w:rsid w:val="001717B7"/>
    <w:rsid w:val="001718A5"/>
    <w:rsid w:val="00171909"/>
    <w:rsid w:val="00172A27"/>
    <w:rsid w:val="001745D4"/>
    <w:rsid w:val="0017504D"/>
    <w:rsid w:val="0017517E"/>
    <w:rsid w:val="0017671A"/>
    <w:rsid w:val="00177422"/>
    <w:rsid w:val="00183CED"/>
    <w:rsid w:val="001840C7"/>
    <w:rsid w:val="00184590"/>
    <w:rsid w:val="00186BF0"/>
    <w:rsid w:val="001870D1"/>
    <w:rsid w:val="0018781E"/>
    <w:rsid w:val="00190E89"/>
    <w:rsid w:val="0019262D"/>
    <w:rsid w:val="001954D3"/>
    <w:rsid w:val="00196114"/>
    <w:rsid w:val="001A1AA5"/>
    <w:rsid w:val="001A1B35"/>
    <w:rsid w:val="001A48A2"/>
    <w:rsid w:val="001A4A55"/>
    <w:rsid w:val="001A6F61"/>
    <w:rsid w:val="001B0B76"/>
    <w:rsid w:val="001B1A39"/>
    <w:rsid w:val="001B72B8"/>
    <w:rsid w:val="001C05AE"/>
    <w:rsid w:val="001C0BCC"/>
    <w:rsid w:val="001C118B"/>
    <w:rsid w:val="001C186E"/>
    <w:rsid w:val="001C1FC9"/>
    <w:rsid w:val="001C2B13"/>
    <w:rsid w:val="001C36EF"/>
    <w:rsid w:val="001C5E1B"/>
    <w:rsid w:val="001C69B3"/>
    <w:rsid w:val="001D375A"/>
    <w:rsid w:val="001D5595"/>
    <w:rsid w:val="001D5D36"/>
    <w:rsid w:val="001D7464"/>
    <w:rsid w:val="001D7874"/>
    <w:rsid w:val="001D796B"/>
    <w:rsid w:val="001D7F22"/>
    <w:rsid w:val="001E4EE7"/>
    <w:rsid w:val="001E4F1F"/>
    <w:rsid w:val="001E7A6E"/>
    <w:rsid w:val="001F0F17"/>
    <w:rsid w:val="001F3347"/>
    <w:rsid w:val="001F69E4"/>
    <w:rsid w:val="00200722"/>
    <w:rsid w:val="00207BC9"/>
    <w:rsid w:val="00210D6B"/>
    <w:rsid w:val="002125B4"/>
    <w:rsid w:val="002155B8"/>
    <w:rsid w:val="00215D2D"/>
    <w:rsid w:val="002221FA"/>
    <w:rsid w:val="00224839"/>
    <w:rsid w:val="002249B2"/>
    <w:rsid w:val="0022640A"/>
    <w:rsid w:val="00226574"/>
    <w:rsid w:val="002278EC"/>
    <w:rsid w:val="0023253F"/>
    <w:rsid w:val="0023280E"/>
    <w:rsid w:val="0023456D"/>
    <w:rsid w:val="00235EA3"/>
    <w:rsid w:val="00236E3D"/>
    <w:rsid w:val="002377D1"/>
    <w:rsid w:val="002506BC"/>
    <w:rsid w:val="0025148B"/>
    <w:rsid w:val="00254345"/>
    <w:rsid w:val="0025574F"/>
    <w:rsid w:val="002619DD"/>
    <w:rsid w:val="00262DA0"/>
    <w:rsid w:val="00264557"/>
    <w:rsid w:val="002650F6"/>
    <w:rsid w:val="0027387F"/>
    <w:rsid w:val="00276BF2"/>
    <w:rsid w:val="00277EAD"/>
    <w:rsid w:val="002805AB"/>
    <w:rsid w:val="00283D89"/>
    <w:rsid w:val="00284204"/>
    <w:rsid w:val="00290252"/>
    <w:rsid w:val="00291773"/>
    <w:rsid w:val="002917B1"/>
    <w:rsid w:val="00292CF2"/>
    <w:rsid w:val="0029498E"/>
    <w:rsid w:val="002950A5"/>
    <w:rsid w:val="002A168C"/>
    <w:rsid w:val="002A31D4"/>
    <w:rsid w:val="002A3A01"/>
    <w:rsid w:val="002A3DC7"/>
    <w:rsid w:val="002A6175"/>
    <w:rsid w:val="002A6873"/>
    <w:rsid w:val="002B49E2"/>
    <w:rsid w:val="002B7A75"/>
    <w:rsid w:val="002B7B00"/>
    <w:rsid w:val="002B7C44"/>
    <w:rsid w:val="002C262B"/>
    <w:rsid w:val="002C2B17"/>
    <w:rsid w:val="002C63D4"/>
    <w:rsid w:val="002C650A"/>
    <w:rsid w:val="002C6951"/>
    <w:rsid w:val="002C72D2"/>
    <w:rsid w:val="002D03D2"/>
    <w:rsid w:val="002D14B1"/>
    <w:rsid w:val="002D2AEE"/>
    <w:rsid w:val="002D3DD0"/>
    <w:rsid w:val="002D7395"/>
    <w:rsid w:val="002E1F3A"/>
    <w:rsid w:val="002E298A"/>
    <w:rsid w:val="002E795F"/>
    <w:rsid w:val="002F2265"/>
    <w:rsid w:val="002F5422"/>
    <w:rsid w:val="002F5B1B"/>
    <w:rsid w:val="00301978"/>
    <w:rsid w:val="0030332C"/>
    <w:rsid w:val="003051C2"/>
    <w:rsid w:val="0030768B"/>
    <w:rsid w:val="00312296"/>
    <w:rsid w:val="003123A3"/>
    <w:rsid w:val="00313140"/>
    <w:rsid w:val="0031380D"/>
    <w:rsid w:val="00314F0E"/>
    <w:rsid w:val="00316D85"/>
    <w:rsid w:val="0031711D"/>
    <w:rsid w:val="00321D8E"/>
    <w:rsid w:val="0032323E"/>
    <w:rsid w:val="00325928"/>
    <w:rsid w:val="00325CD5"/>
    <w:rsid w:val="00326395"/>
    <w:rsid w:val="00332863"/>
    <w:rsid w:val="00333E03"/>
    <w:rsid w:val="0033684D"/>
    <w:rsid w:val="00337B42"/>
    <w:rsid w:val="00341938"/>
    <w:rsid w:val="00341B42"/>
    <w:rsid w:val="0034348F"/>
    <w:rsid w:val="003449B2"/>
    <w:rsid w:val="00345106"/>
    <w:rsid w:val="00345F1F"/>
    <w:rsid w:val="00356046"/>
    <w:rsid w:val="00356653"/>
    <w:rsid w:val="0035743F"/>
    <w:rsid w:val="00357BE2"/>
    <w:rsid w:val="00360109"/>
    <w:rsid w:val="0036061A"/>
    <w:rsid w:val="00360759"/>
    <w:rsid w:val="0036170C"/>
    <w:rsid w:val="0036319B"/>
    <w:rsid w:val="00366500"/>
    <w:rsid w:val="00366E0F"/>
    <w:rsid w:val="003705B8"/>
    <w:rsid w:val="00372996"/>
    <w:rsid w:val="003778EF"/>
    <w:rsid w:val="00381A72"/>
    <w:rsid w:val="00383E0E"/>
    <w:rsid w:val="00384676"/>
    <w:rsid w:val="00390857"/>
    <w:rsid w:val="00392318"/>
    <w:rsid w:val="0039246F"/>
    <w:rsid w:val="003958BA"/>
    <w:rsid w:val="00396FA9"/>
    <w:rsid w:val="003A0E2A"/>
    <w:rsid w:val="003A2B0F"/>
    <w:rsid w:val="003A4BF3"/>
    <w:rsid w:val="003B420D"/>
    <w:rsid w:val="003B6770"/>
    <w:rsid w:val="003C023B"/>
    <w:rsid w:val="003C14D4"/>
    <w:rsid w:val="003C6C16"/>
    <w:rsid w:val="003C7466"/>
    <w:rsid w:val="003C785E"/>
    <w:rsid w:val="003D0B6E"/>
    <w:rsid w:val="003D3520"/>
    <w:rsid w:val="003D39AF"/>
    <w:rsid w:val="003D4720"/>
    <w:rsid w:val="003D794D"/>
    <w:rsid w:val="003E2FAC"/>
    <w:rsid w:val="003E3058"/>
    <w:rsid w:val="003E5E96"/>
    <w:rsid w:val="003E76A9"/>
    <w:rsid w:val="003F0809"/>
    <w:rsid w:val="003F15A0"/>
    <w:rsid w:val="003F6A8C"/>
    <w:rsid w:val="003F755C"/>
    <w:rsid w:val="00403814"/>
    <w:rsid w:val="00403C1F"/>
    <w:rsid w:val="00406F01"/>
    <w:rsid w:val="00411CA3"/>
    <w:rsid w:val="0041381D"/>
    <w:rsid w:val="0041493E"/>
    <w:rsid w:val="00414BDF"/>
    <w:rsid w:val="00416D50"/>
    <w:rsid w:val="00416FD5"/>
    <w:rsid w:val="00417772"/>
    <w:rsid w:val="00420E6A"/>
    <w:rsid w:val="00421ADB"/>
    <w:rsid w:val="00425A9E"/>
    <w:rsid w:val="00426B5A"/>
    <w:rsid w:val="00426D6B"/>
    <w:rsid w:val="004277C9"/>
    <w:rsid w:val="004302EC"/>
    <w:rsid w:val="00431E6C"/>
    <w:rsid w:val="00433CE7"/>
    <w:rsid w:val="004346EF"/>
    <w:rsid w:val="00434766"/>
    <w:rsid w:val="0044503D"/>
    <w:rsid w:val="004476DA"/>
    <w:rsid w:val="00447867"/>
    <w:rsid w:val="00452738"/>
    <w:rsid w:val="00454B86"/>
    <w:rsid w:val="00454CEA"/>
    <w:rsid w:val="00456091"/>
    <w:rsid w:val="00466321"/>
    <w:rsid w:val="004679EC"/>
    <w:rsid w:val="004717C6"/>
    <w:rsid w:val="00472252"/>
    <w:rsid w:val="0047772D"/>
    <w:rsid w:val="00477E75"/>
    <w:rsid w:val="00480EF6"/>
    <w:rsid w:val="00484B9B"/>
    <w:rsid w:val="004853BF"/>
    <w:rsid w:val="004855F6"/>
    <w:rsid w:val="0048661E"/>
    <w:rsid w:val="0048782C"/>
    <w:rsid w:val="004938FB"/>
    <w:rsid w:val="004939D3"/>
    <w:rsid w:val="0049419D"/>
    <w:rsid w:val="00494670"/>
    <w:rsid w:val="004959E6"/>
    <w:rsid w:val="00496DE5"/>
    <w:rsid w:val="004977B9"/>
    <w:rsid w:val="004A26C2"/>
    <w:rsid w:val="004A33DB"/>
    <w:rsid w:val="004A36B5"/>
    <w:rsid w:val="004A3823"/>
    <w:rsid w:val="004B580A"/>
    <w:rsid w:val="004C5368"/>
    <w:rsid w:val="004C6112"/>
    <w:rsid w:val="004C62CB"/>
    <w:rsid w:val="004C79FF"/>
    <w:rsid w:val="004D54DF"/>
    <w:rsid w:val="004D5CBE"/>
    <w:rsid w:val="004D71A1"/>
    <w:rsid w:val="004E044E"/>
    <w:rsid w:val="004E158E"/>
    <w:rsid w:val="004E1CDE"/>
    <w:rsid w:val="004E43BF"/>
    <w:rsid w:val="004E6946"/>
    <w:rsid w:val="004F1AD8"/>
    <w:rsid w:val="004F41F2"/>
    <w:rsid w:val="004F6959"/>
    <w:rsid w:val="005037A7"/>
    <w:rsid w:val="005039CB"/>
    <w:rsid w:val="00504B1D"/>
    <w:rsid w:val="0050558F"/>
    <w:rsid w:val="00506286"/>
    <w:rsid w:val="005068A1"/>
    <w:rsid w:val="00507364"/>
    <w:rsid w:val="00507838"/>
    <w:rsid w:val="00507B98"/>
    <w:rsid w:val="00510813"/>
    <w:rsid w:val="00511990"/>
    <w:rsid w:val="00511DE0"/>
    <w:rsid w:val="00514009"/>
    <w:rsid w:val="00514870"/>
    <w:rsid w:val="00514B9B"/>
    <w:rsid w:val="005168D3"/>
    <w:rsid w:val="00517F02"/>
    <w:rsid w:val="00524303"/>
    <w:rsid w:val="005258A2"/>
    <w:rsid w:val="005262BB"/>
    <w:rsid w:val="005307F1"/>
    <w:rsid w:val="00530E63"/>
    <w:rsid w:val="0053132D"/>
    <w:rsid w:val="00531BB7"/>
    <w:rsid w:val="00533390"/>
    <w:rsid w:val="005340A1"/>
    <w:rsid w:val="005355D4"/>
    <w:rsid w:val="005401AE"/>
    <w:rsid w:val="00540F67"/>
    <w:rsid w:val="00541B16"/>
    <w:rsid w:val="00542E07"/>
    <w:rsid w:val="005431C4"/>
    <w:rsid w:val="005448BF"/>
    <w:rsid w:val="00545424"/>
    <w:rsid w:val="00545744"/>
    <w:rsid w:val="00552907"/>
    <w:rsid w:val="00554A7B"/>
    <w:rsid w:val="00554AE3"/>
    <w:rsid w:val="0055572C"/>
    <w:rsid w:val="005568CF"/>
    <w:rsid w:val="0056106A"/>
    <w:rsid w:val="0056215A"/>
    <w:rsid w:val="00571D4C"/>
    <w:rsid w:val="005720AE"/>
    <w:rsid w:val="00574304"/>
    <w:rsid w:val="00577094"/>
    <w:rsid w:val="00594D77"/>
    <w:rsid w:val="005961FE"/>
    <w:rsid w:val="005969E4"/>
    <w:rsid w:val="005A06B7"/>
    <w:rsid w:val="005A1759"/>
    <w:rsid w:val="005A4749"/>
    <w:rsid w:val="005A68A7"/>
    <w:rsid w:val="005A6922"/>
    <w:rsid w:val="005A75BB"/>
    <w:rsid w:val="005B2526"/>
    <w:rsid w:val="005B3069"/>
    <w:rsid w:val="005B316F"/>
    <w:rsid w:val="005B6E8A"/>
    <w:rsid w:val="005B7974"/>
    <w:rsid w:val="005C03C8"/>
    <w:rsid w:val="005C0F99"/>
    <w:rsid w:val="005C6A9B"/>
    <w:rsid w:val="005D0990"/>
    <w:rsid w:val="005D0F47"/>
    <w:rsid w:val="005D36AB"/>
    <w:rsid w:val="005D7776"/>
    <w:rsid w:val="005E1DBE"/>
    <w:rsid w:val="005E3AFE"/>
    <w:rsid w:val="005E58CC"/>
    <w:rsid w:val="005E6722"/>
    <w:rsid w:val="005F17F3"/>
    <w:rsid w:val="005F441C"/>
    <w:rsid w:val="005F4DA2"/>
    <w:rsid w:val="005F6D58"/>
    <w:rsid w:val="00601455"/>
    <w:rsid w:val="00603F9F"/>
    <w:rsid w:val="006041D1"/>
    <w:rsid w:val="00606871"/>
    <w:rsid w:val="0061040B"/>
    <w:rsid w:val="00613623"/>
    <w:rsid w:val="00615B82"/>
    <w:rsid w:val="00617CC3"/>
    <w:rsid w:val="00624B8B"/>
    <w:rsid w:val="00630FBD"/>
    <w:rsid w:val="00631526"/>
    <w:rsid w:val="00633547"/>
    <w:rsid w:val="006342DE"/>
    <w:rsid w:val="006377A6"/>
    <w:rsid w:val="00637A3D"/>
    <w:rsid w:val="006411EF"/>
    <w:rsid w:val="00645991"/>
    <w:rsid w:val="006474A9"/>
    <w:rsid w:val="00651496"/>
    <w:rsid w:val="00651B4C"/>
    <w:rsid w:val="0065270E"/>
    <w:rsid w:val="00654474"/>
    <w:rsid w:val="00656FE8"/>
    <w:rsid w:val="006637BE"/>
    <w:rsid w:val="006703C2"/>
    <w:rsid w:val="00673991"/>
    <w:rsid w:val="006748B8"/>
    <w:rsid w:val="006756BD"/>
    <w:rsid w:val="006775C3"/>
    <w:rsid w:val="00680F96"/>
    <w:rsid w:val="006905E0"/>
    <w:rsid w:val="0069290A"/>
    <w:rsid w:val="0069436C"/>
    <w:rsid w:val="0069775A"/>
    <w:rsid w:val="00697813"/>
    <w:rsid w:val="006A08EA"/>
    <w:rsid w:val="006A15B2"/>
    <w:rsid w:val="006A3EE8"/>
    <w:rsid w:val="006A4970"/>
    <w:rsid w:val="006A503B"/>
    <w:rsid w:val="006A72BF"/>
    <w:rsid w:val="006B03F2"/>
    <w:rsid w:val="006B37DC"/>
    <w:rsid w:val="006B3FFD"/>
    <w:rsid w:val="006B4F68"/>
    <w:rsid w:val="006C0592"/>
    <w:rsid w:val="006C272E"/>
    <w:rsid w:val="006C5479"/>
    <w:rsid w:val="006C5A72"/>
    <w:rsid w:val="006C7C06"/>
    <w:rsid w:val="006D13B5"/>
    <w:rsid w:val="006D2CDB"/>
    <w:rsid w:val="006D45CF"/>
    <w:rsid w:val="006D661D"/>
    <w:rsid w:val="006E12FF"/>
    <w:rsid w:val="006E607E"/>
    <w:rsid w:val="006E7E90"/>
    <w:rsid w:val="006F65DC"/>
    <w:rsid w:val="006F7283"/>
    <w:rsid w:val="00706C5D"/>
    <w:rsid w:val="0071169E"/>
    <w:rsid w:val="00712040"/>
    <w:rsid w:val="00712FE0"/>
    <w:rsid w:val="007173EA"/>
    <w:rsid w:val="00717C94"/>
    <w:rsid w:val="00720D5A"/>
    <w:rsid w:val="00721E10"/>
    <w:rsid w:val="00723849"/>
    <w:rsid w:val="00730F6B"/>
    <w:rsid w:val="00732922"/>
    <w:rsid w:val="00732BE7"/>
    <w:rsid w:val="007353B9"/>
    <w:rsid w:val="00737EAA"/>
    <w:rsid w:val="007402CA"/>
    <w:rsid w:val="0075162E"/>
    <w:rsid w:val="00751F35"/>
    <w:rsid w:val="00754034"/>
    <w:rsid w:val="00755847"/>
    <w:rsid w:val="00755860"/>
    <w:rsid w:val="00756074"/>
    <w:rsid w:val="00756556"/>
    <w:rsid w:val="007618C4"/>
    <w:rsid w:val="00765663"/>
    <w:rsid w:val="00767980"/>
    <w:rsid w:val="00770B19"/>
    <w:rsid w:val="00773361"/>
    <w:rsid w:val="0077463F"/>
    <w:rsid w:val="007756C4"/>
    <w:rsid w:val="00775B17"/>
    <w:rsid w:val="00776079"/>
    <w:rsid w:val="00782439"/>
    <w:rsid w:val="007836EA"/>
    <w:rsid w:val="00784CDA"/>
    <w:rsid w:val="007906C4"/>
    <w:rsid w:val="00793EF5"/>
    <w:rsid w:val="007940EA"/>
    <w:rsid w:val="00794C3E"/>
    <w:rsid w:val="007967E8"/>
    <w:rsid w:val="007A2170"/>
    <w:rsid w:val="007A22BF"/>
    <w:rsid w:val="007A3033"/>
    <w:rsid w:val="007A3323"/>
    <w:rsid w:val="007A5771"/>
    <w:rsid w:val="007A756F"/>
    <w:rsid w:val="007B1D88"/>
    <w:rsid w:val="007B2C4E"/>
    <w:rsid w:val="007B72B8"/>
    <w:rsid w:val="007B7A58"/>
    <w:rsid w:val="007C1175"/>
    <w:rsid w:val="007C21B5"/>
    <w:rsid w:val="007C4C61"/>
    <w:rsid w:val="007C60A0"/>
    <w:rsid w:val="007C698C"/>
    <w:rsid w:val="007C703F"/>
    <w:rsid w:val="007D1209"/>
    <w:rsid w:val="007D4995"/>
    <w:rsid w:val="007D4F51"/>
    <w:rsid w:val="007D65E7"/>
    <w:rsid w:val="007E33F7"/>
    <w:rsid w:val="007E4004"/>
    <w:rsid w:val="007E4BD2"/>
    <w:rsid w:val="007F1FBA"/>
    <w:rsid w:val="007F387C"/>
    <w:rsid w:val="007F5D34"/>
    <w:rsid w:val="007F6CD8"/>
    <w:rsid w:val="00801393"/>
    <w:rsid w:val="00802F88"/>
    <w:rsid w:val="00807C9F"/>
    <w:rsid w:val="0081293E"/>
    <w:rsid w:val="00815465"/>
    <w:rsid w:val="00817E9A"/>
    <w:rsid w:val="008201DE"/>
    <w:rsid w:val="008247AA"/>
    <w:rsid w:val="00824DE9"/>
    <w:rsid w:val="008306BD"/>
    <w:rsid w:val="0083157D"/>
    <w:rsid w:val="00831A80"/>
    <w:rsid w:val="00833743"/>
    <w:rsid w:val="008340A4"/>
    <w:rsid w:val="00835FD1"/>
    <w:rsid w:val="0084029C"/>
    <w:rsid w:val="00840921"/>
    <w:rsid w:val="008409C0"/>
    <w:rsid w:val="00843E1B"/>
    <w:rsid w:val="008574D7"/>
    <w:rsid w:val="00863817"/>
    <w:rsid w:val="008651D6"/>
    <w:rsid w:val="00866B5E"/>
    <w:rsid w:val="00870366"/>
    <w:rsid w:val="0087135F"/>
    <w:rsid w:val="008718EB"/>
    <w:rsid w:val="00872D94"/>
    <w:rsid w:val="00876631"/>
    <w:rsid w:val="00876A9F"/>
    <w:rsid w:val="00880364"/>
    <w:rsid w:val="00880D6A"/>
    <w:rsid w:val="0088106B"/>
    <w:rsid w:val="00884753"/>
    <w:rsid w:val="00885085"/>
    <w:rsid w:val="00885DAD"/>
    <w:rsid w:val="00891592"/>
    <w:rsid w:val="0089189B"/>
    <w:rsid w:val="00891E9E"/>
    <w:rsid w:val="00892253"/>
    <w:rsid w:val="00892D3C"/>
    <w:rsid w:val="008970DD"/>
    <w:rsid w:val="008A2F68"/>
    <w:rsid w:val="008A3562"/>
    <w:rsid w:val="008A395B"/>
    <w:rsid w:val="008A7462"/>
    <w:rsid w:val="008B4FA6"/>
    <w:rsid w:val="008B5282"/>
    <w:rsid w:val="008B57F9"/>
    <w:rsid w:val="008B7C17"/>
    <w:rsid w:val="008C145D"/>
    <w:rsid w:val="008C2D01"/>
    <w:rsid w:val="008C40E6"/>
    <w:rsid w:val="008D0371"/>
    <w:rsid w:val="008D0F7A"/>
    <w:rsid w:val="008D68E4"/>
    <w:rsid w:val="008E0506"/>
    <w:rsid w:val="008E0CFF"/>
    <w:rsid w:val="008E294F"/>
    <w:rsid w:val="008E5D6B"/>
    <w:rsid w:val="008E75BD"/>
    <w:rsid w:val="008E76F0"/>
    <w:rsid w:val="008F15FE"/>
    <w:rsid w:val="008F2D29"/>
    <w:rsid w:val="008F5187"/>
    <w:rsid w:val="008F56E2"/>
    <w:rsid w:val="008F60D8"/>
    <w:rsid w:val="00902727"/>
    <w:rsid w:val="00902F36"/>
    <w:rsid w:val="0090312B"/>
    <w:rsid w:val="009063DA"/>
    <w:rsid w:val="0091043F"/>
    <w:rsid w:val="00913260"/>
    <w:rsid w:val="0091736D"/>
    <w:rsid w:val="00924332"/>
    <w:rsid w:val="0093037A"/>
    <w:rsid w:val="009374E4"/>
    <w:rsid w:val="0094154D"/>
    <w:rsid w:val="00941A6D"/>
    <w:rsid w:val="00946CC4"/>
    <w:rsid w:val="00950510"/>
    <w:rsid w:val="0095155F"/>
    <w:rsid w:val="00952038"/>
    <w:rsid w:val="00954429"/>
    <w:rsid w:val="00954B2D"/>
    <w:rsid w:val="009563CE"/>
    <w:rsid w:val="009566D1"/>
    <w:rsid w:val="0096208F"/>
    <w:rsid w:val="00964F59"/>
    <w:rsid w:val="0096676D"/>
    <w:rsid w:val="00976328"/>
    <w:rsid w:val="0097680D"/>
    <w:rsid w:val="009775ED"/>
    <w:rsid w:val="00982438"/>
    <w:rsid w:val="0098404C"/>
    <w:rsid w:val="00985283"/>
    <w:rsid w:val="00985A5D"/>
    <w:rsid w:val="0099072A"/>
    <w:rsid w:val="00990CE0"/>
    <w:rsid w:val="00991683"/>
    <w:rsid w:val="0099272E"/>
    <w:rsid w:val="009937D9"/>
    <w:rsid w:val="00994BB9"/>
    <w:rsid w:val="0099591A"/>
    <w:rsid w:val="00995992"/>
    <w:rsid w:val="009A03E5"/>
    <w:rsid w:val="009A0F3B"/>
    <w:rsid w:val="009A1BB4"/>
    <w:rsid w:val="009A2628"/>
    <w:rsid w:val="009A3200"/>
    <w:rsid w:val="009B0897"/>
    <w:rsid w:val="009B3143"/>
    <w:rsid w:val="009B5DD0"/>
    <w:rsid w:val="009B7BD9"/>
    <w:rsid w:val="009C4C31"/>
    <w:rsid w:val="009C568B"/>
    <w:rsid w:val="009C63AA"/>
    <w:rsid w:val="009C6499"/>
    <w:rsid w:val="009C7DD5"/>
    <w:rsid w:val="009C7E78"/>
    <w:rsid w:val="009D52DC"/>
    <w:rsid w:val="009D7DFA"/>
    <w:rsid w:val="009E227D"/>
    <w:rsid w:val="009E2CB0"/>
    <w:rsid w:val="009E2E13"/>
    <w:rsid w:val="009E4D8F"/>
    <w:rsid w:val="009E5019"/>
    <w:rsid w:val="009F20FF"/>
    <w:rsid w:val="009F2E13"/>
    <w:rsid w:val="009F6047"/>
    <w:rsid w:val="00A0125D"/>
    <w:rsid w:val="00A02D2A"/>
    <w:rsid w:val="00A04F1B"/>
    <w:rsid w:val="00A0501B"/>
    <w:rsid w:val="00A05404"/>
    <w:rsid w:val="00A06450"/>
    <w:rsid w:val="00A14947"/>
    <w:rsid w:val="00A23E7B"/>
    <w:rsid w:val="00A267E2"/>
    <w:rsid w:val="00A31725"/>
    <w:rsid w:val="00A32A83"/>
    <w:rsid w:val="00A341F4"/>
    <w:rsid w:val="00A359B0"/>
    <w:rsid w:val="00A35E6D"/>
    <w:rsid w:val="00A368DB"/>
    <w:rsid w:val="00A423AA"/>
    <w:rsid w:val="00A42A7E"/>
    <w:rsid w:val="00A5335F"/>
    <w:rsid w:val="00A53EC6"/>
    <w:rsid w:val="00A54FC4"/>
    <w:rsid w:val="00A55C0F"/>
    <w:rsid w:val="00A649F5"/>
    <w:rsid w:val="00A64DBE"/>
    <w:rsid w:val="00A65013"/>
    <w:rsid w:val="00A75489"/>
    <w:rsid w:val="00A808B6"/>
    <w:rsid w:val="00A80AFA"/>
    <w:rsid w:val="00A81372"/>
    <w:rsid w:val="00A82F1E"/>
    <w:rsid w:val="00A856A6"/>
    <w:rsid w:val="00A8713F"/>
    <w:rsid w:val="00A90953"/>
    <w:rsid w:val="00A90BA1"/>
    <w:rsid w:val="00A9166A"/>
    <w:rsid w:val="00A96228"/>
    <w:rsid w:val="00A97A9A"/>
    <w:rsid w:val="00A97B39"/>
    <w:rsid w:val="00AA0671"/>
    <w:rsid w:val="00AA0FC8"/>
    <w:rsid w:val="00AA2261"/>
    <w:rsid w:val="00AA2531"/>
    <w:rsid w:val="00AA3631"/>
    <w:rsid w:val="00AA4AF1"/>
    <w:rsid w:val="00AA7DB3"/>
    <w:rsid w:val="00AB1E09"/>
    <w:rsid w:val="00AB2E25"/>
    <w:rsid w:val="00AB3000"/>
    <w:rsid w:val="00AB5330"/>
    <w:rsid w:val="00AB65F4"/>
    <w:rsid w:val="00AB7747"/>
    <w:rsid w:val="00AC14CE"/>
    <w:rsid w:val="00AC2A56"/>
    <w:rsid w:val="00AC7F14"/>
    <w:rsid w:val="00AD055E"/>
    <w:rsid w:val="00AD22E5"/>
    <w:rsid w:val="00AD3D43"/>
    <w:rsid w:val="00AD47A7"/>
    <w:rsid w:val="00AD4EA5"/>
    <w:rsid w:val="00AD7B54"/>
    <w:rsid w:val="00AE22B4"/>
    <w:rsid w:val="00AE26E2"/>
    <w:rsid w:val="00AE4D24"/>
    <w:rsid w:val="00AF0CBF"/>
    <w:rsid w:val="00AF1478"/>
    <w:rsid w:val="00AF1529"/>
    <w:rsid w:val="00AF257F"/>
    <w:rsid w:val="00AF33CF"/>
    <w:rsid w:val="00AF4D50"/>
    <w:rsid w:val="00AF6179"/>
    <w:rsid w:val="00AF6B78"/>
    <w:rsid w:val="00B04FF2"/>
    <w:rsid w:val="00B0603A"/>
    <w:rsid w:val="00B118FD"/>
    <w:rsid w:val="00B1295A"/>
    <w:rsid w:val="00B178DA"/>
    <w:rsid w:val="00B20A45"/>
    <w:rsid w:val="00B22C5C"/>
    <w:rsid w:val="00B235DC"/>
    <w:rsid w:val="00B24F30"/>
    <w:rsid w:val="00B26436"/>
    <w:rsid w:val="00B30915"/>
    <w:rsid w:val="00B31ABF"/>
    <w:rsid w:val="00B33BE3"/>
    <w:rsid w:val="00B34633"/>
    <w:rsid w:val="00B3506E"/>
    <w:rsid w:val="00B36307"/>
    <w:rsid w:val="00B3651D"/>
    <w:rsid w:val="00B37E13"/>
    <w:rsid w:val="00B4497D"/>
    <w:rsid w:val="00B522F3"/>
    <w:rsid w:val="00B53B5D"/>
    <w:rsid w:val="00B5595F"/>
    <w:rsid w:val="00B55BA1"/>
    <w:rsid w:val="00B57B3E"/>
    <w:rsid w:val="00B6055E"/>
    <w:rsid w:val="00B6317D"/>
    <w:rsid w:val="00B66682"/>
    <w:rsid w:val="00B701B7"/>
    <w:rsid w:val="00B70F08"/>
    <w:rsid w:val="00B7160B"/>
    <w:rsid w:val="00B72C56"/>
    <w:rsid w:val="00B72E7F"/>
    <w:rsid w:val="00B7325D"/>
    <w:rsid w:val="00B76A44"/>
    <w:rsid w:val="00B7723F"/>
    <w:rsid w:val="00B80534"/>
    <w:rsid w:val="00B8433C"/>
    <w:rsid w:val="00B8614E"/>
    <w:rsid w:val="00B87491"/>
    <w:rsid w:val="00B92518"/>
    <w:rsid w:val="00B92C19"/>
    <w:rsid w:val="00BA21DF"/>
    <w:rsid w:val="00BA29E9"/>
    <w:rsid w:val="00BA2EAB"/>
    <w:rsid w:val="00BA4874"/>
    <w:rsid w:val="00BA543B"/>
    <w:rsid w:val="00BA7142"/>
    <w:rsid w:val="00BB0839"/>
    <w:rsid w:val="00BB237C"/>
    <w:rsid w:val="00BB41A3"/>
    <w:rsid w:val="00BB674B"/>
    <w:rsid w:val="00BC32DC"/>
    <w:rsid w:val="00BC35B6"/>
    <w:rsid w:val="00BC7CB1"/>
    <w:rsid w:val="00BD1B51"/>
    <w:rsid w:val="00BD1D4B"/>
    <w:rsid w:val="00BD1EFA"/>
    <w:rsid w:val="00BD379B"/>
    <w:rsid w:val="00BD4596"/>
    <w:rsid w:val="00BD599F"/>
    <w:rsid w:val="00BD6840"/>
    <w:rsid w:val="00BE1405"/>
    <w:rsid w:val="00BE1B01"/>
    <w:rsid w:val="00BE312D"/>
    <w:rsid w:val="00BE658D"/>
    <w:rsid w:val="00BE7E2F"/>
    <w:rsid w:val="00BF0E19"/>
    <w:rsid w:val="00BF1C20"/>
    <w:rsid w:val="00C05479"/>
    <w:rsid w:val="00C06600"/>
    <w:rsid w:val="00C06D46"/>
    <w:rsid w:val="00C07C4E"/>
    <w:rsid w:val="00C10578"/>
    <w:rsid w:val="00C11768"/>
    <w:rsid w:val="00C11A3C"/>
    <w:rsid w:val="00C12C61"/>
    <w:rsid w:val="00C135BC"/>
    <w:rsid w:val="00C15C95"/>
    <w:rsid w:val="00C168F3"/>
    <w:rsid w:val="00C16BAE"/>
    <w:rsid w:val="00C21CD8"/>
    <w:rsid w:val="00C22BFD"/>
    <w:rsid w:val="00C24571"/>
    <w:rsid w:val="00C251B4"/>
    <w:rsid w:val="00C2596A"/>
    <w:rsid w:val="00C27537"/>
    <w:rsid w:val="00C328FE"/>
    <w:rsid w:val="00C32A26"/>
    <w:rsid w:val="00C33507"/>
    <w:rsid w:val="00C33A12"/>
    <w:rsid w:val="00C37390"/>
    <w:rsid w:val="00C43960"/>
    <w:rsid w:val="00C4409D"/>
    <w:rsid w:val="00C44E72"/>
    <w:rsid w:val="00C45A06"/>
    <w:rsid w:val="00C46189"/>
    <w:rsid w:val="00C47E5B"/>
    <w:rsid w:val="00C50F0B"/>
    <w:rsid w:val="00C53309"/>
    <w:rsid w:val="00C5424A"/>
    <w:rsid w:val="00C544EE"/>
    <w:rsid w:val="00C61E4B"/>
    <w:rsid w:val="00C6380F"/>
    <w:rsid w:val="00C64BFF"/>
    <w:rsid w:val="00C667F6"/>
    <w:rsid w:val="00C704E9"/>
    <w:rsid w:val="00C70FF5"/>
    <w:rsid w:val="00C750AA"/>
    <w:rsid w:val="00C761A0"/>
    <w:rsid w:val="00C763C9"/>
    <w:rsid w:val="00C80057"/>
    <w:rsid w:val="00C82232"/>
    <w:rsid w:val="00C82913"/>
    <w:rsid w:val="00C913F4"/>
    <w:rsid w:val="00C972B1"/>
    <w:rsid w:val="00C97640"/>
    <w:rsid w:val="00C97F4B"/>
    <w:rsid w:val="00CA004A"/>
    <w:rsid w:val="00CA26CB"/>
    <w:rsid w:val="00CA2CCE"/>
    <w:rsid w:val="00CA3885"/>
    <w:rsid w:val="00CA43FD"/>
    <w:rsid w:val="00CA5CC6"/>
    <w:rsid w:val="00CA7EF8"/>
    <w:rsid w:val="00CB1088"/>
    <w:rsid w:val="00CB5EDF"/>
    <w:rsid w:val="00CC489B"/>
    <w:rsid w:val="00CC4974"/>
    <w:rsid w:val="00CD1179"/>
    <w:rsid w:val="00CD2BCD"/>
    <w:rsid w:val="00CD3A4C"/>
    <w:rsid w:val="00CD448B"/>
    <w:rsid w:val="00CD4EF0"/>
    <w:rsid w:val="00CE0C07"/>
    <w:rsid w:val="00CE10E9"/>
    <w:rsid w:val="00CE2910"/>
    <w:rsid w:val="00CE5393"/>
    <w:rsid w:val="00CE69B8"/>
    <w:rsid w:val="00CE6FD8"/>
    <w:rsid w:val="00CF368A"/>
    <w:rsid w:val="00CF36BE"/>
    <w:rsid w:val="00CF37DC"/>
    <w:rsid w:val="00CF6000"/>
    <w:rsid w:val="00CF6FF0"/>
    <w:rsid w:val="00D003F3"/>
    <w:rsid w:val="00D01569"/>
    <w:rsid w:val="00D0364F"/>
    <w:rsid w:val="00D0402C"/>
    <w:rsid w:val="00D04708"/>
    <w:rsid w:val="00D04DD0"/>
    <w:rsid w:val="00D06834"/>
    <w:rsid w:val="00D070C4"/>
    <w:rsid w:val="00D20E5A"/>
    <w:rsid w:val="00D22CF8"/>
    <w:rsid w:val="00D2615A"/>
    <w:rsid w:val="00D27F0E"/>
    <w:rsid w:val="00D308ED"/>
    <w:rsid w:val="00D310F3"/>
    <w:rsid w:val="00D36D86"/>
    <w:rsid w:val="00D428AA"/>
    <w:rsid w:val="00D5041D"/>
    <w:rsid w:val="00D50A34"/>
    <w:rsid w:val="00D51110"/>
    <w:rsid w:val="00D535CA"/>
    <w:rsid w:val="00D53EFA"/>
    <w:rsid w:val="00D5688F"/>
    <w:rsid w:val="00D64AE1"/>
    <w:rsid w:val="00D678FB"/>
    <w:rsid w:val="00D709DB"/>
    <w:rsid w:val="00D70D00"/>
    <w:rsid w:val="00D743B5"/>
    <w:rsid w:val="00D752AD"/>
    <w:rsid w:val="00D85270"/>
    <w:rsid w:val="00D9310B"/>
    <w:rsid w:val="00D94A7C"/>
    <w:rsid w:val="00D95600"/>
    <w:rsid w:val="00D95896"/>
    <w:rsid w:val="00D9640E"/>
    <w:rsid w:val="00D964E7"/>
    <w:rsid w:val="00DA09C7"/>
    <w:rsid w:val="00DA65A4"/>
    <w:rsid w:val="00DA748F"/>
    <w:rsid w:val="00DB1BC1"/>
    <w:rsid w:val="00DB2106"/>
    <w:rsid w:val="00DB2983"/>
    <w:rsid w:val="00DB4F39"/>
    <w:rsid w:val="00DB5B1A"/>
    <w:rsid w:val="00DB5C71"/>
    <w:rsid w:val="00DC1257"/>
    <w:rsid w:val="00DC3DC0"/>
    <w:rsid w:val="00DC3E8A"/>
    <w:rsid w:val="00DC4034"/>
    <w:rsid w:val="00DC5B2B"/>
    <w:rsid w:val="00DC7C1D"/>
    <w:rsid w:val="00DD22C6"/>
    <w:rsid w:val="00DD2FF9"/>
    <w:rsid w:val="00DD318D"/>
    <w:rsid w:val="00DE0CFA"/>
    <w:rsid w:val="00DE5743"/>
    <w:rsid w:val="00DE746F"/>
    <w:rsid w:val="00DE7F8A"/>
    <w:rsid w:val="00DF2E12"/>
    <w:rsid w:val="00DF365E"/>
    <w:rsid w:val="00DF514A"/>
    <w:rsid w:val="00DF6690"/>
    <w:rsid w:val="00DF6804"/>
    <w:rsid w:val="00E01134"/>
    <w:rsid w:val="00E020F4"/>
    <w:rsid w:val="00E02F60"/>
    <w:rsid w:val="00E0358D"/>
    <w:rsid w:val="00E04323"/>
    <w:rsid w:val="00E04DEF"/>
    <w:rsid w:val="00E05988"/>
    <w:rsid w:val="00E070A2"/>
    <w:rsid w:val="00E120EE"/>
    <w:rsid w:val="00E22C80"/>
    <w:rsid w:val="00E2656A"/>
    <w:rsid w:val="00E345B2"/>
    <w:rsid w:val="00E36191"/>
    <w:rsid w:val="00E40E8B"/>
    <w:rsid w:val="00E412D0"/>
    <w:rsid w:val="00E44D4A"/>
    <w:rsid w:val="00E52D06"/>
    <w:rsid w:val="00E55481"/>
    <w:rsid w:val="00E56322"/>
    <w:rsid w:val="00E56F73"/>
    <w:rsid w:val="00E57094"/>
    <w:rsid w:val="00E60316"/>
    <w:rsid w:val="00E60982"/>
    <w:rsid w:val="00E61EAD"/>
    <w:rsid w:val="00E62C62"/>
    <w:rsid w:val="00E62FA6"/>
    <w:rsid w:val="00E64A1F"/>
    <w:rsid w:val="00E6528F"/>
    <w:rsid w:val="00E654C1"/>
    <w:rsid w:val="00E65D97"/>
    <w:rsid w:val="00E66B00"/>
    <w:rsid w:val="00E67DF9"/>
    <w:rsid w:val="00E71ED0"/>
    <w:rsid w:val="00E723D9"/>
    <w:rsid w:val="00E72A5A"/>
    <w:rsid w:val="00E73354"/>
    <w:rsid w:val="00E7493D"/>
    <w:rsid w:val="00E84564"/>
    <w:rsid w:val="00E85330"/>
    <w:rsid w:val="00E90914"/>
    <w:rsid w:val="00E9242D"/>
    <w:rsid w:val="00E94647"/>
    <w:rsid w:val="00EA31CA"/>
    <w:rsid w:val="00EA55F3"/>
    <w:rsid w:val="00EA6541"/>
    <w:rsid w:val="00EA7D04"/>
    <w:rsid w:val="00EB5255"/>
    <w:rsid w:val="00EB5C47"/>
    <w:rsid w:val="00EB62C9"/>
    <w:rsid w:val="00EC06B6"/>
    <w:rsid w:val="00EC31FC"/>
    <w:rsid w:val="00EC5E1A"/>
    <w:rsid w:val="00ED0639"/>
    <w:rsid w:val="00ED5986"/>
    <w:rsid w:val="00EE1A1D"/>
    <w:rsid w:val="00EE567A"/>
    <w:rsid w:val="00EE713E"/>
    <w:rsid w:val="00EE7F9F"/>
    <w:rsid w:val="00EF0469"/>
    <w:rsid w:val="00EF0A58"/>
    <w:rsid w:val="00EF289F"/>
    <w:rsid w:val="00EF32B0"/>
    <w:rsid w:val="00EF3AFE"/>
    <w:rsid w:val="00EF3F9F"/>
    <w:rsid w:val="00EF4271"/>
    <w:rsid w:val="00EF4755"/>
    <w:rsid w:val="00EF5838"/>
    <w:rsid w:val="00EF7135"/>
    <w:rsid w:val="00F002EC"/>
    <w:rsid w:val="00F027DB"/>
    <w:rsid w:val="00F0308D"/>
    <w:rsid w:val="00F03CE3"/>
    <w:rsid w:val="00F04069"/>
    <w:rsid w:val="00F07964"/>
    <w:rsid w:val="00F11E55"/>
    <w:rsid w:val="00F1221E"/>
    <w:rsid w:val="00F13A71"/>
    <w:rsid w:val="00F1415F"/>
    <w:rsid w:val="00F14A7A"/>
    <w:rsid w:val="00F14E8F"/>
    <w:rsid w:val="00F1582A"/>
    <w:rsid w:val="00F204FE"/>
    <w:rsid w:val="00F22985"/>
    <w:rsid w:val="00F22F38"/>
    <w:rsid w:val="00F3136A"/>
    <w:rsid w:val="00F32D1F"/>
    <w:rsid w:val="00F3383E"/>
    <w:rsid w:val="00F4414E"/>
    <w:rsid w:val="00F465A7"/>
    <w:rsid w:val="00F50B7C"/>
    <w:rsid w:val="00F543D5"/>
    <w:rsid w:val="00F550E6"/>
    <w:rsid w:val="00F57031"/>
    <w:rsid w:val="00F57AA7"/>
    <w:rsid w:val="00F71D9A"/>
    <w:rsid w:val="00F74345"/>
    <w:rsid w:val="00F776E1"/>
    <w:rsid w:val="00F80A0A"/>
    <w:rsid w:val="00F8159B"/>
    <w:rsid w:val="00F82B19"/>
    <w:rsid w:val="00F83200"/>
    <w:rsid w:val="00F8483D"/>
    <w:rsid w:val="00F85F33"/>
    <w:rsid w:val="00F86168"/>
    <w:rsid w:val="00F861A0"/>
    <w:rsid w:val="00F9212D"/>
    <w:rsid w:val="00F93FF3"/>
    <w:rsid w:val="00F96530"/>
    <w:rsid w:val="00F965DA"/>
    <w:rsid w:val="00FA406A"/>
    <w:rsid w:val="00FB167F"/>
    <w:rsid w:val="00FB389E"/>
    <w:rsid w:val="00FB503A"/>
    <w:rsid w:val="00FB516C"/>
    <w:rsid w:val="00FB7CFD"/>
    <w:rsid w:val="00FC2A44"/>
    <w:rsid w:val="00FD0236"/>
    <w:rsid w:val="00FD18F4"/>
    <w:rsid w:val="00FD450D"/>
    <w:rsid w:val="00FD54DB"/>
    <w:rsid w:val="00FD619F"/>
    <w:rsid w:val="00FF1EBC"/>
    <w:rsid w:val="00FF5C0F"/>
    <w:rsid w:val="00FF5DFC"/>
    <w:rsid w:val="00FF6073"/>
    <w:rsid w:val="00FF74D5"/>
    <w:rsid w:val="00FF7F9E"/>
    <w:rsid w:val="01064C9A"/>
    <w:rsid w:val="010A64E6"/>
    <w:rsid w:val="010C0502"/>
    <w:rsid w:val="0127121F"/>
    <w:rsid w:val="01284C10"/>
    <w:rsid w:val="01290F7E"/>
    <w:rsid w:val="0132783D"/>
    <w:rsid w:val="0136557F"/>
    <w:rsid w:val="013B2B96"/>
    <w:rsid w:val="015777C6"/>
    <w:rsid w:val="015821CD"/>
    <w:rsid w:val="015C2B0C"/>
    <w:rsid w:val="015D1E09"/>
    <w:rsid w:val="016977F8"/>
    <w:rsid w:val="016A6FD7"/>
    <w:rsid w:val="017165B7"/>
    <w:rsid w:val="017B2F92"/>
    <w:rsid w:val="01853E11"/>
    <w:rsid w:val="018600C9"/>
    <w:rsid w:val="01881AF6"/>
    <w:rsid w:val="018F38F6"/>
    <w:rsid w:val="01923A15"/>
    <w:rsid w:val="01A87AFF"/>
    <w:rsid w:val="01B42948"/>
    <w:rsid w:val="01C70332"/>
    <w:rsid w:val="01CA216C"/>
    <w:rsid w:val="01CA63A7"/>
    <w:rsid w:val="01D65505"/>
    <w:rsid w:val="01E5415A"/>
    <w:rsid w:val="01E94501"/>
    <w:rsid w:val="01EF744F"/>
    <w:rsid w:val="01F0289D"/>
    <w:rsid w:val="020F7B7E"/>
    <w:rsid w:val="022343E1"/>
    <w:rsid w:val="022E44A8"/>
    <w:rsid w:val="02353A89"/>
    <w:rsid w:val="0236335D"/>
    <w:rsid w:val="023B77F4"/>
    <w:rsid w:val="023C4E17"/>
    <w:rsid w:val="023D0B8F"/>
    <w:rsid w:val="024141DC"/>
    <w:rsid w:val="025832D3"/>
    <w:rsid w:val="02624152"/>
    <w:rsid w:val="026954E1"/>
    <w:rsid w:val="02697903"/>
    <w:rsid w:val="026B74AB"/>
    <w:rsid w:val="026D3223"/>
    <w:rsid w:val="02922C89"/>
    <w:rsid w:val="02970DCC"/>
    <w:rsid w:val="029A7D90"/>
    <w:rsid w:val="029B6B48"/>
    <w:rsid w:val="029C1412"/>
    <w:rsid w:val="029D33DC"/>
    <w:rsid w:val="02A66DC4"/>
    <w:rsid w:val="02AD7AC3"/>
    <w:rsid w:val="02B27065"/>
    <w:rsid w:val="02B82731"/>
    <w:rsid w:val="02BA21E0"/>
    <w:rsid w:val="02CB4D02"/>
    <w:rsid w:val="02D23086"/>
    <w:rsid w:val="02D54924"/>
    <w:rsid w:val="02E1151B"/>
    <w:rsid w:val="02F05C02"/>
    <w:rsid w:val="02F96569"/>
    <w:rsid w:val="03036481"/>
    <w:rsid w:val="03074706"/>
    <w:rsid w:val="031636B5"/>
    <w:rsid w:val="0329220A"/>
    <w:rsid w:val="03394EB3"/>
    <w:rsid w:val="033C49A3"/>
    <w:rsid w:val="033D6A2A"/>
    <w:rsid w:val="033E7623"/>
    <w:rsid w:val="033F6241"/>
    <w:rsid w:val="03486EE3"/>
    <w:rsid w:val="034B2E38"/>
    <w:rsid w:val="034D4E02"/>
    <w:rsid w:val="035C5045"/>
    <w:rsid w:val="03722BFA"/>
    <w:rsid w:val="03874A2A"/>
    <w:rsid w:val="038C0422"/>
    <w:rsid w:val="038C592B"/>
    <w:rsid w:val="03942A31"/>
    <w:rsid w:val="0397607D"/>
    <w:rsid w:val="03AA7B5F"/>
    <w:rsid w:val="03D251BA"/>
    <w:rsid w:val="03D6401F"/>
    <w:rsid w:val="03E4699D"/>
    <w:rsid w:val="03E811F5"/>
    <w:rsid w:val="03EA7B21"/>
    <w:rsid w:val="03FC35CA"/>
    <w:rsid w:val="040000C7"/>
    <w:rsid w:val="0404728D"/>
    <w:rsid w:val="04051239"/>
    <w:rsid w:val="040C25C7"/>
    <w:rsid w:val="041B7A76"/>
    <w:rsid w:val="041E1B93"/>
    <w:rsid w:val="043B086E"/>
    <w:rsid w:val="043F0BEF"/>
    <w:rsid w:val="04455AD9"/>
    <w:rsid w:val="0454227A"/>
    <w:rsid w:val="04671EF4"/>
    <w:rsid w:val="046A41AC"/>
    <w:rsid w:val="04781A0B"/>
    <w:rsid w:val="047F0FEB"/>
    <w:rsid w:val="048760F2"/>
    <w:rsid w:val="04912ACD"/>
    <w:rsid w:val="049A4077"/>
    <w:rsid w:val="049D778A"/>
    <w:rsid w:val="04A66578"/>
    <w:rsid w:val="04A9250C"/>
    <w:rsid w:val="04AB3BCF"/>
    <w:rsid w:val="04B844FD"/>
    <w:rsid w:val="04C3537C"/>
    <w:rsid w:val="04D035F5"/>
    <w:rsid w:val="04D05224"/>
    <w:rsid w:val="04D330E5"/>
    <w:rsid w:val="04F82B4C"/>
    <w:rsid w:val="05332F18"/>
    <w:rsid w:val="056106F1"/>
    <w:rsid w:val="05616943"/>
    <w:rsid w:val="056401E1"/>
    <w:rsid w:val="058A5E9A"/>
    <w:rsid w:val="058F58EC"/>
    <w:rsid w:val="059A29B0"/>
    <w:rsid w:val="059C0325"/>
    <w:rsid w:val="05A30D0A"/>
    <w:rsid w:val="05C72C4A"/>
    <w:rsid w:val="05CA44E8"/>
    <w:rsid w:val="05DB66F5"/>
    <w:rsid w:val="05DE1D42"/>
    <w:rsid w:val="05F83EAE"/>
    <w:rsid w:val="06007F0A"/>
    <w:rsid w:val="06020D60"/>
    <w:rsid w:val="06225F92"/>
    <w:rsid w:val="062260D2"/>
    <w:rsid w:val="0624009C"/>
    <w:rsid w:val="063B2C07"/>
    <w:rsid w:val="063E7D85"/>
    <w:rsid w:val="06532730"/>
    <w:rsid w:val="0656156B"/>
    <w:rsid w:val="06585F98"/>
    <w:rsid w:val="065B3BFA"/>
    <w:rsid w:val="06766E75"/>
    <w:rsid w:val="067B4119"/>
    <w:rsid w:val="06850C3E"/>
    <w:rsid w:val="06872B7E"/>
    <w:rsid w:val="06963466"/>
    <w:rsid w:val="069741C7"/>
    <w:rsid w:val="06AE5BB8"/>
    <w:rsid w:val="06BD404D"/>
    <w:rsid w:val="06C20886"/>
    <w:rsid w:val="06C61153"/>
    <w:rsid w:val="06C90C44"/>
    <w:rsid w:val="06D27AF8"/>
    <w:rsid w:val="06D519FE"/>
    <w:rsid w:val="06D849E3"/>
    <w:rsid w:val="06DC0977"/>
    <w:rsid w:val="06E33337"/>
    <w:rsid w:val="06EC048E"/>
    <w:rsid w:val="06F02757"/>
    <w:rsid w:val="06F442A9"/>
    <w:rsid w:val="06FC6128"/>
    <w:rsid w:val="06FC6923"/>
    <w:rsid w:val="071E4DE7"/>
    <w:rsid w:val="07261BF2"/>
    <w:rsid w:val="07293586"/>
    <w:rsid w:val="07295285"/>
    <w:rsid w:val="07391925"/>
    <w:rsid w:val="073D0CEA"/>
    <w:rsid w:val="073E518E"/>
    <w:rsid w:val="074C45A5"/>
    <w:rsid w:val="07577FFE"/>
    <w:rsid w:val="07591FC8"/>
    <w:rsid w:val="0760056B"/>
    <w:rsid w:val="07636392"/>
    <w:rsid w:val="07691ADF"/>
    <w:rsid w:val="076E3F95"/>
    <w:rsid w:val="07770C56"/>
    <w:rsid w:val="07837045"/>
    <w:rsid w:val="078E1545"/>
    <w:rsid w:val="078F7797"/>
    <w:rsid w:val="07930733"/>
    <w:rsid w:val="07A05C0E"/>
    <w:rsid w:val="07A31495"/>
    <w:rsid w:val="07A45828"/>
    <w:rsid w:val="07A80859"/>
    <w:rsid w:val="07B90CB8"/>
    <w:rsid w:val="07CF4038"/>
    <w:rsid w:val="07D63618"/>
    <w:rsid w:val="07DD49A7"/>
    <w:rsid w:val="07E13D6B"/>
    <w:rsid w:val="07ED0962"/>
    <w:rsid w:val="07EE58E7"/>
    <w:rsid w:val="07F910B5"/>
    <w:rsid w:val="080F2686"/>
    <w:rsid w:val="08183C31"/>
    <w:rsid w:val="081B102B"/>
    <w:rsid w:val="08202AE5"/>
    <w:rsid w:val="083420ED"/>
    <w:rsid w:val="0837398B"/>
    <w:rsid w:val="083C3EF0"/>
    <w:rsid w:val="083D3697"/>
    <w:rsid w:val="08471E20"/>
    <w:rsid w:val="084D037F"/>
    <w:rsid w:val="08634780"/>
    <w:rsid w:val="08670714"/>
    <w:rsid w:val="087B5F6E"/>
    <w:rsid w:val="08844E22"/>
    <w:rsid w:val="08874912"/>
    <w:rsid w:val="088A61B1"/>
    <w:rsid w:val="088B5B4C"/>
    <w:rsid w:val="088F5575"/>
    <w:rsid w:val="08A125AA"/>
    <w:rsid w:val="08A76D63"/>
    <w:rsid w:val="08B35707"/>
    <w:rsid w:val="08B5322E"/>
    <w:rsid w:val="08B66FA6"/>
    <w:rsid w:val="08BF530D"/>
    <w:rsid w:val="08BF736C"/>
    <w:rsid w:val="08C064E0"/>
    <w:rsid w:val="08E7715F"/>
    <w:rsid w:val="08EB269F"/>
    <w:rsid w:val="08FA2BEA"/>
    <w:rsid w:val="090D1B45"/>
    <w:rsid w:val="09192CB9"/>
    <w:rsid w:val="092217DD"/>
    <w:rsid w:val="09302957"/>
    <w:rsid w:val="0932487E"/>
    <w:rsid w:val="093A7294"/>
    <w:rsid w:val="094877B5"/>
    <w:rsid w:val="0949606C"/>
    <w:rsid w:val="095011A8"/>
    <w:rsid w:val="095A00C3"/>
    <w:rsid w:val="095A2897"/>
    <w:rsid w:val="095F3781"/>
    <w:rsid w:val="09627CCF"/>
    <w:rsid w:val="0965025A"/>
    <w:rsid w:val="096D1193"/>
    <w:rsid w:val="096E162E"/>
    <w:rsid w:val="096F5AD2"/>
    <w:rsid w:val="09807D20"/>
    <w:rsid w:val="09970B85"/>
    <w:rsid w:val="09A03EDE"/>
    <w:rsid w:val="09AF2373"/>
    <w:rsid w:val="09BA4874"/>
    <w:rsid w:val="09C474A0"/>
    <w:rsid w:val="09D45935"/>
    <w:rsid w:val="09D963FB"/>
    <w:rsid w:val="09DA51A9"/>
    <w:rsid w:val="09DC2A3C"/>
    <w:rsid w:val="09E0507F"/>
    <w:rsid w:val="09E244F6"/>
    <w:rsid w:val="09F75AC8"/>
    <w:rsid w:val="0A0124A3"/>
    <w:rsid w:val="0A0855DF"/>
    <w:rsid w:val="0A1026E6"/>
    <w:rsid w:val="0A24345E"/>
    <w:rsid w:val="0A263993"/>
    <w:rsid w:val="0A2D3AC2"/>
    <w:rsid w:val="0A2F02E7"/>
    <w:rsid w:val="0A344B0C"/>
    <w:rsid w:val="0A375EC4"/>
    <w:rsid w:val="0A40746F"/>
    <w:rsid w:val="0A456D37"/>
    <w:rsid w:val="0A4F1460"/>
    <w:rsid w:val="0A570314"/>
    <w:rsid w:val="0A58495A"/>
    <w:rsid w:val="0A5B7E05"/>
    <w:rsid w:val="0A5C43D0"/>
    <w:rsid w:val="0A5E519A"/>
    <w:rsid w:val="0A637B5A"/>
    <w:rsid w:val="0A67431A"/>
    <w:rsid w:val="0A752CB8"/>
    <w:rsid w:val="0A8C09D7"/>
    <w:rsid w:val="0A8E234B"/>
    <w:rsid w:val="0A8F3F52"/>
    <w:rsid w:val="0A94406A"/>
    <w:rsid w:val="0AA01CBB"/>
    <w:rsid w:val="0AA755DF"/>
    <w:rsid w:val="0AB1211B"/>
    <w:rsid w:val="0AD97CBD"/>
    <w:rsid w:val="0ADD081A"/>
    <w:rsid w:val="0AF352AC"/>
    <w:rsid w:val="0AF52007"/>
    <w:rsid w:val="0AFD2C6A"/>
    <w:rsid w:val="0B073AE9"/>
    <w:rsid w:val="0B0C60DD"/>
    <w:rsid w:val="0B120D44"/>
    <w:rsid w:val="0B1B1342"/>
    <w:rsid w:val="0B34558F"/>
    <w:rsid w:val="0B372620"/>
    <w:rsid w:val="0B4E7969"/>
    <w:rsid w:val="0B552304"/>
    <w:rsid w:val="0B837613"/>
    <w:rsid w:val="0B8E57A5"/>
    <w:rsid w:val="0B957346"/>
    <w:rsid w:val="0B985065"/>
    <w:rsid w:val="0B9A1A66"/>
    <w:rsid w:val="0B9B0319"/>
    <w:rsid w:val="0BA23811"/>
    <w:rsid w:val="0BAA1044"/>
    <w:rsid w:val="0BAD643E"/>
    <w:rsid w:val="0BB31137"/>
    <w:rsid w:val="0BC814CA"/>
    <w:rsid w:val="0BD25035"/>
    <w:rsid w:val="0BD27BF6"/>
    <w:rsid w:val="0BD54FA3"/>
    <w:rsid w:val="0BE47415"/>
    <w:rsid w:val="0BEC3253"/>
    <w:rsid w:val="0BEE52A9"/>
    <w:rsid w:val="0C0A1D5F"/>
    <w:rsid w:val="0C0D6C26"/>
    <w:rsid w:val="0C100AE7"/>
    <w:rsid w:val="0C175FAD"/>
    <w:rsid w:val="0C1B6ADB"/>
    <w:rsid w:val="0C35055F"/>
    <w:rsid w:val="0C3628D7"/>
    <w:rsid w:val="0C3748A2"/>
    <w:rsid w:val="0C3B3C7D"/>
    <w:rsid w:val="0C3E178C"/>
    <w:rsid w:val="0C3E6076"/>
    <w:rsid w:val="0C403756"/>
    <w:rsid w:val="0C5C7E64"/>
    <w:rsid w:val="0C600706"/>
    <w:rsid w:val="0C647D62"/>
    <w:rsid w:val="0C6E2E22"/>
    <w:rsid w:val="0C7A5796"/>
    <w:rsid w:val="0C831895"/>
    <w:rsid w:val="0C87510A"/>
    <w:rsid w:val="0C8D626F"/>
    <w:rsid w:val="0C913FB2"/>
    <w:rsid w:val="0C9413AC"/>
    <w:rsid w:val="0C9475FE"/>
    <w:rsid w:val="0CA35A93"/>
    <w:rsid w:val="0CAB2EAE"/>
    <w:rsid w:val="0CD65E68"/>
    <w:rsid w:val="0CD8398F"/>
    <w:rsid w:val="0CD875CA"/>
    <w:rsid w:val="0CE265BB"/>
    <w:rsid w:val="0CE340E1"/>
    <w:rsid w:val="0CE75980"/>
    <w:rsid w:val="0D066EAA"/>
    <w:rsid w:val="0D116EA1"/>
    <w:rsid w:val="0D1C6DBA"/>
    <w:rsid w:val="0D1D75F3"/>
    <w:rsid w:val="0D2E7A52"/>
    <w:rsid w:val="0D442DD2"/>
    <w:rsid w:val="0D576FA9"/>
    <w:rsid w:val="0D5864CD"/>
    <w:rsid w:val="0D621C7D"/>
    <w:rsid w:val="0D6276FC"/>
    <w:rsid w:val="0D645222"/>
    <w:rsid w:val="0D6671EC"/>
    <w:rsid w:val="0D6B035F"/>
    <w:rsid w:val="0D813C29"/>
    <w:rsid w:val="0D8853B5"/>
    <w:rsid w:val="0D8E6743"/>
    <w:rsid w:val="0DA45EA6"/>
    <w:rsid w:val="0DA8151C"/>
    <w:rsid w:val="0DB77A48"/>
    <w:rsid w:val="0DBF68FD"/>
    <w:rsid w:val="0DC161D1"/>
    <w:rsid w:val="0DC94CD9"/>
    <w:rsid w:val="0DD34156"/>
    <w:rsid w:val="0DD95C10"/>
    <w:rsid w:val="0DDD6D83"/>
    <w:rsid w:val="0DF5231E"/>
    <w:rsid w:val="0DFE7425"/>
    <w:rsid w:val="0E0D7668"/>
    <w:rsid w:val="0E124C7E"/>
    <w:rsid w:val="0E2055ED"/>
    <w:rsid w:val="0E2F75DE"/>
    <w:rsid w:val="0E3015A8"/>
    <w:rsid w:val="0E4806A0"/>
    <w:rsid w:val="0E4A08BC"/>
    <w:rsid w:val="0E4B0190"/>
    <w:rsid w:val="0E526682"/>
    <w:rsid w:val="0E6D6359"/>
    <w:rsid w:val="0E710DAC"/>
    <w:rsid w:val="0E73034D"/>
    <w:rsid w:val="0E770F85"/>
    <w:rsid w:val="0E782A66"/>
    <w:rsid w:val="0EA13663"/>
    <w:rsid w:val="0EAA4EB7"/>
    <w:rsid w:val="0EB32B5C"/>
    <w:rsid w:val="0EB83A78"/>
    <w:rsid w:val="0EBC4BEA"/>
    <w:rsid w:val="0EC20452"/>
    <w:rsid w:val="0EC94CD8"/>
    <w:rsid w:val="0ECA5559"/>
    <w:rsid w:val="0EDB32C2"/>
    <w:rsid w:val="0EDE1004"/>
    <w:rsid w:val="0EE04D7C"/>
    <w:rsid w:val="0EF0492F"/>
    <w:rsid w:val="0EF645A0"/>
    <w:rsid w:val="0EF6634E"/>
    <w:rsid w:val="0F136F00"/>
    <w:rsid w:val="0F13775A"/>
    <w:rsid w:val="0F144A26"/>
    <w:rsid w:val="0F1C2F56"/>
    <w:rsid w:val="0F1D14FC"/>
    <w:rsid w:val="0F2B6888"/>
    <w:rsid w:val="0F2C1D70"/>
    <w:rsid w:val="0F2F360E"/>
    <w:rsid w:val="0F44355D"/>
    <w:rsid w:val="0F544433"/>
    <w:rsid w:val="0F576E3B"/>
    <w:rsid w:val="0F5D7898"/>
    <w:rsid w:val="0F5F45FE"/>
    <w:rsid w:val="0F5F5667"/>
    <w:rsid w:val="0F6E05DA"/>
    <w:rsid w:val="0F7D25CB"/>
    <w:rsid w:val="0F7E171D"/>
    <w:rsid w:val="0F8971C2"/>
    <w:rsid w:val="0F8B02EB"/>
    <w:rsid w:val="0F8B118C"/>
    <w:rsid w:val="0F9A112B"/>
    <w:rsid w:val="0FA83AEC"/>
    <w:rsid w:val="0FAB0EE6"/>
    <w:rsid w:val="0FB81855"/>
    <w:rsid w:val="0FC1695C"/>
    <w:rsid w:val="0FC401FA"/>
    <w:rsid w:val="0FCD5301"/>
    <w:rsid w:val="0FDE2C74"/>
    <w:rsid w:val="0FE20680"/>
    <w:rsid w:val="0FF26B15"/>
    <w:rsid w:val="0FFA3C1C"/>
    <w:rsid w:val="0FFF56D6"/>
    <w:rsid w:val="10066A65"/>
    <w:rsid w:val="101051ED"/>
    <w:rsid w:val="10152CFE"/>
    <w:rsid w:val="10245EA5"/>
    <w:rsid w:val="102D5D9F"/>
    <w:rsid w:val="102E44C7"/>
    <w:rsid w:val="103A226A"/>
    <w:rsid w:val="104355C3"/>
    <w:rsid w:val="104511A7"/>
    <w:rsid w:val="10463305"/>
    <w:rsid w:val="104D2642"/>
    <w:rsid w:val="104D4694"/>
    <w:rsid w:val="105574D7"/>
    <w:rsid w:val="105E064F"/>
    <w:rsid w:val="10625508"/>
    <w:rsid w:val="106D2F64"/>
    <w:rsid w:val="106E0499"/>
    <w:rsid w:val="10703EDE"/>
    <w:rsid w:val="107517B6"/>
    <w:rsid w:val="108341D3"/>
    <w:rsid w:val="1088747A"/>
    <w:rsid w:val="108A1444"/>
    <w:rsid w:val="109127D2"/>
    <w:rsid w:val="10956024"/>
    <w:rsid w:val="10993435"/>
    <w:rsid w:val="109D57D6"/>
    <w:rsid w:val="109E0A4B"/>
    <w:rsid w:val="10AE08D0"/>
    <w:rsid w:val="10B269C4"/>
    <w:rsid w:val="10B63710"/>
    <w:rsid w:val="10D0447C"/>
    <w:rsid w:val="10D2374C"/>
    <w:rsid w:val="10E30B54"/>
    <w:rsid w:val="10E32902"/>
    <w:rsid w:val="10F10820"/>
    <w:rsid w:val="10F42D61"/>
    <w:rsid w:val="110C1E59"/>
    <w:rsid w:val="11180DEF"/>
    <w:rsid w:val="111C2F7A"/>
    <w:rsid w:val="111D4066"/>
    <w:rsid w:val="112C24FB"/>
    <w:rsid w:val="112E1DCF"/>
    <w:rsid w:val="11554042"/>
    <w:rsid w:val="115B693C"/>
    <w:rsid w:val="115E01DA"/>
    <w:rsid w:val="11655E95"/>
    <w:rsid w:val="11665CA1"/>
    <w:rsid w:val="11731ED8"/>
    <w:rsid w:val="11733C86"/>
    <w:rsid w:val="117A3266"/>
    <w:rsid w:val="11895257"/>
    <w:rsid w:val="11964CC3"/>
    <w:rsid w:val="11BB05F6"/>
    <w:rsid w:val="11BB562D"/>
    <w:rsid w:val="11BF55BC"/>
    <w:rsid w:val="11BF6ECB"/>
    <w:rsid w:val="11C20769"/>
    <w:rsid w:val="11C81388"/>
    <w:rsid w:val="11D230A2"/>
    <w:rsid w:val="11D44747"/>
    <w:rsid w:val="11E15093"/>
    <w:rsid w:val="11E44B84"/>
    <w:rsid w:val="11EF6A15"/>
    <w:rsid w:val="11FF376C"/>
    <w:rsid w:val="120F6673"/>
    <w:rsid w:val="122B57CA"/>
    <w:rsid w:val="122C2A91"/>
    <w:rsid w:val="12307DC9"/>
    <w:rsid w:val="12372F05"/>
    <w:rsid w:val="123A47A4"/>
    <w:rsid w:val="123C051C"/>
    <w:rsid w:val="123E4294"/>
    <w:rsid w:val="12413A23"/>
    <w:rsid w:val="12505D75"/>
    <w:rsid w:val="12514DCD"/>
    <w:rsid w:val="12591F6D"/>
    <w:rsid w:val="12631F4C"/>
    <w:rsid w:val="1278016C"/>
    <w:rsid w:val="128A74D9"/>
    <w:rsid w:val="12906AB9"/>
    <w:rsid w:val="12A06CFD"/>
    <w:rsid w:val="12AB56A1"/>
    <w:rsid w:val="12B2262F"/>
    <w:rsid w:val="12BA7692"/>
    <w:rsid w:val="12C7072D"/>
    <w:rsid w:val="12C86253"/>
    <w:rsid w:val="12CA0C12"/>
    <w:rsid w:val="12CD5618"/>
    <w:rsid w:val="12E27315"/>
    <w:rsid w:val="12EC0194"/>
    <w:rsid w:val="12F17558"/>
    <w:rsid w:val="12F63D44"/>
    <w:rsid w:val="12F64D40"/>
    <w:rsid w:val="12F72004"/>
    <w:rsid w:val="12FB0D49"/>
    <w:rsid w:val="12FE7EC7"/>
    <w:rsid w:val="1303728B"/>
    <w:rsid w:val="130F6C00"/>
    <w:rsid w:val="13174AE5"/>
    <w:rsid w:val="131A681F"/>
    <w:rsid w:val="131D6B8F"/>
    <w:rsid w:val="13250D15"/>
    <w:rsid w:val="132D18DF"/>
    <w:rsid w:val="13517FF7"/>
    <w:rsid w:val="13533AD2"/>
    <w:rsid w:val="135B0E75"/>
    <w:rsid w:val="135F602A"/>
    <w:rsid w:val="136F501E"/>
    <w:rsid w:val="13732F2F"/>
    <w:rsid w:val="137A57A0"/>
    <w:rsid w:val="138959E3"/>
    <w:rsid w:val="138E124B"/>
    <w:rsid w:val="138F28CD"/>
    <w:rsid w:val="13906D71"/>
    <w:rsid w:val="13951726"/>
    <w:rsid w:val="139D148E"/>
    <w:rsid w:val="13A32576"/>
    <w:rsid w:val="13A823A0"/>
    <w:rsid w:val="13B275C3"/>
    <w:rsid w:val="13B81E24"/>
    <w:rsid w:val="13BF7656"/>
    <w:rsid w:val="13C133CE"/>
    <w:rsid w:val="13D6674E"/>
    <w:rsid w:val="13DA0C71"/>
    <w:rsid w:val="13DA623E"/>
    <w:rsid w:val="13F54E26"/>
    <w:rsid w:val="13FC61B5"/>
    <w:rsid w:val="14005579"/>
    <w:rsid w:val="140C2170"/>
    <w:rsid w:val="14186D67"/>
    <w:rsid w:val="141A663B"/>
    <w:rsid w:val="143376FC"/>
    <w:rsid w:val="143503BA"/>
    <w:rsid w:val="14396509"/>
    <w:rsid w:val="145C4EA5"/>
    <w:rsid w:val="14641FAC"/>
    <w:rsid w:val="147026FF"/>
    <w:rsid w:val="147072F3"/>
    <w:rsid w:val="147D5D8D"/>
    <w:rsid w:val="1481490C"/>
    <w:rsid w:val="14830684"/>
    <w:rsid w:val="14885C9A"/>
    <w:rsid w:val="148D32B1"/>
    <w:rsid w:val="149F2FE4"/>
    <w:rsid w:val="14A46014"/>
    <w:rsid w:val="14AB3737"/>
    <w:rsid w:val="14AF4973"/>
    <w:rsid w:val="14C173FE"/>
    <w:rsid w:val="14CA0061"/>
    <w:rsid w:val="14CF38C9"/>
    <w:rsid w:val="14DD2C3C"/>
    <w:rsid w:val="14E82BDD"/>
    <w:rsid w:val="14F72E20"/>
    <w:rsid w:val="14F96B98"/>
    <w:rsid w:val="150712B5"/>
    <w:rsid w:val="150A4901"/>
    <w:rsid w:val="150D43F1"/>
    <w:rsid w:val="151B4D60"/>
    <w:rsid w:val="151C63E2"/>
    <w:rsid w:val="15232E3B"/>
    <w:rsid w:val="152B4878"/>
    <w:rsid w:val="15312A9E"/>
    <w:rsid w:val="1536302F"/>
    <w:rsid w:val="153B4ABB"/>
    <w:rsid w:val="15451DDD"/>
    <w:rsid w:val="15453B8B"/>
    <w:rsid w:val="15485429"/>
    <w:rsid w:val="154A2F50"/>
    <w:rsid w:val="15542020"/>
    <w:rsid w:val="155A2216"/>
    <w:rsid w:val="156D4E90"/>
    <w:rsid w:val="15744470"/>
    <w:rsid w:val="157E2FE7"/>
    <w:rsid w:val="15826B8D"/>
    <w:rsid w:val="158A77F0"/>
    <w:rsid w:val="15987930"/>
    <w:rsid w:val="15B250FF"/>
    <w:rsid w:val="15B34F99"/>
    <w:rsid w:val="15B731BB"/>
    <w:rsid w:val="15BB209F"/>
    <w:rsid w:val="15C03212"/>
    <w:rsid w:val="15C4283C"/>
    <w:rsid w:val="15D05B4B"/>
    <w:rsid w:val="15D30EFA"/>
    <w:rsid w:val="15D46CBD"/>
    <w:rsid w:val="15D63EB2"/>
    <w:rsid w:val="15DA10F2"/>
    <w:rsid w:val="15DD457C"/>
    <w:rsid w:val="15E96A4C"/>
    <w:rsid w:val="15EA028F"/>
    <w:rsid w:val="15F5110D"/>
    <w:rsid w:val="16087E1D"/>
    <w:rsid w:val="16144A8D"/>
    <w:rsid w:val="16187491"/>
    <w:rsid w:val="161D2412"/>
    <w:rsid w:val="1620742A"/>
    <w:rsid w:val="163756F8"/>
    <w:rsid w:val="163F4A7E"/>
    <w:rsid w:val="16437B7C"/>
    <w:rsid w:val="16594C83"/>
    <w:rsid w:val="16646293"/>
    <w:rsid w:val="167A1613"/>
    <w:rsid w:val="16852CFE"/>
    <w:rsid w:val="168F6EA7"/>
    <w:rsid w:val="16953BCD"/>
    <w:rsid w:val="1699418F"/>
    <w:rsid w:val="169E17A5"/>
    <w:rsid w:val="16B44623"/>
    <w:rsid w:val="16C61609"/>
    <w:rsid w:val="16D74CB7"/>
    <w:rsid w:val="16DB245C"/>
    <w:rsid w:val="16DF3B6C"/>
    <w:rsid w:val="16EB1622"/>
    <w:rsid w:val="16F72C63"/>
    <w:rsid w:val="17013AE2"/>
    <w:rsid w:val="17141470"/>
    <w:rsid w:val="17286CD0"/>
    <w:rsid w:val="172A3E82"/>
    <w:rsid w:val="17424826"/>
    <w:rsid w:val="17495DBF"/>
    <w:rsid w:val="1752433D"/>
    <w:rsid w:val="17527E35"/>
    <w:rsid w:val="17544559"/>
    <w:rsid w:val="17595F83"/>
    <w:rsid w:val="175E5E7D"/>
    <w:rsid w:val="176F3141"/>
    <w:rsid w:val="17701D14"/>
    <w:rsid w:val="177249E0"/>
    <w:rsid w:val="17735226"/>
    <w:rsid w:val="178070FD"/>
    <w:rsid w:val="178B1BAC"/>
    <w:rsid w:val="178B7795"/>
    <w:rsid w:val="17935082"/>
    <w:rsid w:val="179766B3"/>
    <w:rsid w:val="17B35ACD"/>
    <w:rsid w:val="17B54466"/>
    <w:rsid w:val="17BB6387"/>
    <w:rsid w:val="17BC1C4F"/>
    <w:rsid w:val="17E40A83"/>
    <w:rsid w:val="180A2E6A"/>
    <w:rsid w:val="183121A5"/>
    <w:rsid w:val="183F2CBF"/>
    <w:rsid w:val="184616E8"/>
    <w:rsid w:val="18504D21"/>
    <w:rsid w:val="185B3D4E"/>
    <w:rsid w:val="185C36C6"/>
    <w:rsid w:val="18626802"/>
    <w:rsid w:val="186E51A7"/>
    <w:rsid w:val="18787DD4"/>
    <w:rsid w:val="187B61AB"/>
    <w:rsid w:val="18883C44"/>
    <w:rsid w:val="18950986"/>
    <w:rsid w:val="18980476"/>
    <w:rsid w:val="189C0982"/>
    <w:rsid w:val="189F624C"/>
    <w:rsid w:val="18AD3F21"/>
    <w:rsid w:val="18B828C6"/>
    <w:rsid w:val="18C14F50"/>
    <w:rsid w:val="18C82B09"/>
    <w:rsid w:val="18CD6371"/>
    <w:rsid w:val="18D53478"/>
    <w:rsid w:val="18DC7CA7"/>
    <w:rsid w:val="18DD40DB"/>
    <w:rsid w:val="18ED6A14"/>
    <w:rsid w:val="19017DC9"/>
    <w:rsid w:val="191775DC"/>
    <w:rsid w:val="1921046B"/>
    <w:rsid w:val="19235F91"/>
    <w:rsid w:val="19241D0A"/>
    <w:rsid w:val="19246D19"/>
    <w:rsid w:val="1925123C"/>
    <w:rsid w:val="19306900"/>
    <w:rsid w:val="193261D5"/>
    <w:rsid w:val="1941466A"/>
    <w:rsid w:val="194660D8"/>
    <w:rsid w:val="19474EBB"/>
    <w:rsid w:val="194B7296"/>
    <w:rsid w:val="19570331"/>
    <w:rsid w:val="19597C05"/>
    <w:rsid w:val="19646C68"/>
    <w:rsid w:val="19662322"/>
    <w:rsid w:val="198527A8"/>
    <w:rsid w:val="1987620B"/>
    <w:rsid w:val="19924EC5"/>
    <w:rsid w:val="199455B4"/>
    <w:rsid w:val="19AA4A1C"/>
    <w:rsid w:val="19AE61A3"/>
    <w:rsid w:val="19BF485E"/>
    <w:rsid w:val="19CB0575"/>
    <w:rsid w:val="19CB1D3A"/>
    <w:rsid w:val="19E94C86"/>
    <w:rsid w:val="19EE2A43"/>
    <w:rsid w:val="19EF056A"/>
    <w:rsid w:val="19EF40C6"/>
    <w:rsid w:val="1A1C66C0"/>
    <w:rsid w:val="1A287FE7"/>
    <w:rsid w:val="1A42393B"/>
    <w:rsid w:val="1A4268EB"/>
    <w:rsid w:val="1A622AE9"/>
    <w:rsid w:val="1A651146"/>
    <w:rsid w:val="1A6D4BB7"/>
    <w:rsid w:val="1A6E148E"/>
    <w:rsid w:val="1A7806FD"/>
    <w:rsid w:val="1A787533"/>
    <w:rsid w:val="1A7A42D7"/>
    <w:rsid w:val="1A7B3BAB"/>
    <w:rsid w:val="1A815666"/>
    <w:rsid w:val="1A845156"/>
    <w:rsid w:val="1A854A21"/>
    <w:rsid w:val="1A8E7D82"/>
    <w:rsid w:val="1AA90718"/>
    <w:rsid w:val="1AAD45DE"/>
    <w:rsid w:val="1AB66933"/>
    <w:rsid w:val="1AC11F06"/>
    <w:rsid w:val="1AC15A62"/>
    <w:rsid w:val="1ADF238C"/>
    <w:rsid w:val="1AE14356"/>
    <w:rsid w:val="1AE17C0B"/>
    <w:rsid w:val="1B046F80"/>
    <w:rsid w:val="1B0B13D3"/>
    <w:rsid w:val="1B0B3181"/>
    <w:rsid w:val="1B0D131B"/>
    <w:rsid w:val="1B155DAE"/>
    <w:rsid w:val="1B210BF7"/>
    <w:rsid w:val="1B2B13B7"/>
    <w:rsid w:val="1B31159D"/>
    <w:rsid w:val="1B3267B5"/>
    <w:rsid w:val="1B3A5814"/>
    <w:rsid w:val="1B40161D"/>
    <w:rsid w:val="1B411A0A"/>
    <w:rsid w:val="1B43291B"/>
    <w:rsid w:val="1B4346C9"/>
    <w:rsid w:val="1B441859"/>
    <w:rsid w:val="1B6606B1"/>
    <w:rsid w:val="1B663A43"/>
    <w:rsid w:val="1B740D26"/>
    <w:rsid w:val="1B873D79"/>
    <w:rsid w:val="1B972C67"/>
    <w:rsid w:val="1B9B4505"/>
    <w:rsid w:val="1B9C1031"/>
    <w:rsid w:val="1BAA299A"/>
    <w:rsid w:val="1BC81072"/>
    <w:rsid w:val="1BCF0653"/>
    <w:rsid w:val="1BDE0896"/>
    <w:rsid w:val="1BF604D2"/>
    <w:rsid w:val="1BF73705"/>
    <w:rsid w:val="1BFC0812"/>
    <w:rsid w:val="1C09276F"/>
    <w:rsid w:val="1C0D6A33"/>
    <w:rsid w:val="1C1036BB"/>
    <w:rsid w:val="1C177904"/>
    <w:rsid w:val="1C2E1720"/>
    <w:rsid w:val="1C35495A"/>
    <w:rsid w:val="1C4A7CD9"/>
    <w:rsid w:val="1C5803F8"/>
    <w:rsid w:val="1C5E47EB"/>
    <w:rsid w:val="1C5E7925"/>
    <w:rsid w:val="1C8431EB"/>
    <w:rsid w:val="1C931680"/>
    <w:rsid w:val="1C962F1E"/>
    <w:rsid w:val="1CB2219C"/>
    <w:rsid w:val="1CB8334F"/>
    <w:rsid w:val="1CBC0BD7"/>
    <w:rsid w:val="1CCC06EE"/>
    <w:rsid w:val="1CD32CF2"/>
    <w:rsid w:val="1CE27F12"/>
    <w:rsid w:val="1CE617B0"/>
    <w:rsid w:val="1CEB5018"/>
    <w:rsid w:val="1CF10B92"/>
    <w:rsid w:val="1CF11810"/>
    <w:rsid w:val="1CFD070F"/>
    <w:rsid w:val="1D043A4B"/>
    <w:rsid w:val="1D097B94"/>
    <w:rsid w:val="1D1327C1"/>
    <w:rsid w:val="1D13704C"/>
    <w:rsid w:val="1D1A3B4F"/>
    <w:rsid w:val="1D1F2F14"/>
    <w:rsid w:val="1D2B3667"/>
    <w:rsid w:val="1D2F7CC7"/>
    <w:rsid w:val="1D423107"/>
    <w:rsid w:val="1D496BFF"/>
    <w:rsid w:val="1D5F6196"/>
    <w:rsid w:val="1D6132A5"/>
    <w:rsid w:val="1D6D3C7F"/>
    <w:rsid w:val="1D6E2F6B"/>
    <w:rsid w:val="1D74500E"/>
    <w:rsid w:val="1D774AFE"/>
    <w:rsid w:val="1D7768AC"/>
    <w:rsid w:val="1D7A319B"/>
    <w:rsid w:val="1D812310"/>
    <w:rsid w:val="1D852E89"/>
    <w:rsid w:val="1D880AB9"/>
    <w:rsid w:val="1D882867"/>
    <w:rsid w:val="1D8E56D5"/>
    <w:rsid w:val="1D927673"/>
    <w:rsid w:val="1DA10708"/>
    <w:rsid w:val="1DA13929"/>
    <w:rsid w:val="1DA35562"/>
    <w:rsid w:val="1DA43419"/>
    <w:rsid w:val="1DAB169F"/>
    <w:rsid w:val="1DCC309C"/>
    <w:rsid w:val="1DD261D8"/>
    <w:rsid w:val="1DF12B02"/>
    <w:rsid w:val="1E004AF3"/>
    <w:rsid w:val="1E01086B"/>
    <w:rsid w:val="1E0A1C72"/>
    <w:rsid w:val="1E110AAE"/>
    <w:rsid w:val="1E1D5C20"/>
    <w:rsid w:val="1E2F7187"/>
    <w:rsid w:val="1E3B1F14"/>
    <w:rsid w:val="1E454BFC"/>
    <w:rsid w:val="1E4C0CF3"/>
    <w:rsid w:val="1E74103D"/>
    <w:rsid w:val="1E7A43DA"/>
    <w:rsid w:val="1E88623C"/>
    <w:rsid w:val="1E8D144E"/>
    <w:rsid w:val="1EA336D1"/>
    <w:rsid w:val="1EA41923"/>
    <w:rsid w:val="1EAF2075"/>
    <w:rsid w:val="1ECE074D"/>
    <w:rsid w:val="1ED01768"/>
    <w:rsid w:val="1EDD453E"/>
    <w:rsid w:val="1EDF4270"/>
    <w:rsid w:val="1EE066D3"/>
    <w:rsid w:val="1EEB7551"/>
    <w:rsid w:val="1EF53F2C"/>
    <w:rsid w:val="1EF620A4"/>
    <w:rsid w:val="1EFD7285"/>
    <w:rsid w:val="1F040613"/>
    <w:rsid w:val="1F0625DD"/>
    <w:rsid w:val="1F114ADE"/>
    <w:rsid w:val="1F212F73"/>
    <w:rsid w:val="1F2760B0"/>
    <w:rsid w:val="1F3507CD"/>
    <w:rsid w:val="1F372797"/>
    <w:rsid w:val="1F3A2287"/>
    <w:rsid w:val="1F3E47CD"/>
    <w:rsid w:val="1F4629DA"/>
    <w:rsid w:val="1F470500"/>
    <w:rsid w:val="1F491442"/>
    <w:rsid w:val="1F5D7D23"/>
    <w:rsid w:val="1F5E5F75"/>
    <w:rsid w:val="1F602B3B"/>
    <w:rsid w:val="1F686DF4"/>
    <w:rsid w:val="1F6E3CDF"/>
    <w:rsid w:val="1F833C2E"/>
    <w:rsid w:val="1F843502"/>
    <w:rsid w:val="1FA660DC"/>
    <w:rsid w:val="1FA6791C"/>
    <w:rsid w:val="1FB02549"/>
    <w:rsid w:val="1FB43DE7"/>
    <w:rsid w:val="1FE7539E"/>
    <w:rsid w:val="1FF43BB1"/>
    <w:rsid w:val="1FFB35E3"/>
    <w:rsid w:val="20020FF7"/>
    <w:rsid w:val="200603BB"/>
    <w:rsid w:val="20200F8C"/>
    <w:rsid w:val="20280331"/>
    <w:rsid w:val="20313EF6"/>
    <w:rsid w:val="20564E9E"/>
    <w:rsid w:val="20621A95"/>
    <w:rsid w:val="20671BE0"/>
    <w:rsid w:val="208C6B12"/>
    <w:rsid w:val="20931C4F"/>
    <w:rsid w:val="20963CB8"/>
    <w:rsid w:val="209D0D1F"/>
    <w:rsid w:val="20A26336"/>
    <w:rsid w:val="20A3224D"/>
    <w:rsid w:val="20A81A1B"/>
    <w:rsid w:val="20AC033D"/>
    <w:rsid w:val="20B00A53"/>
    <w:rsid w:val="20B07FB6"/>
    <w:rsid w:val="20B646FB"/>
    <w:rsid w:val="20DB35F6"/>
    <w:rsid w:val="20E06E5E"/>
    <w:rsid w:val="21071715"/>
    <w:rsid w:val="21072813"/>
    <w:rsid w:val="211A2370"/>
    <w:rsid w:val="21246D4B"/>
    <w:rsid w:val="21333432"/>
    <w:rsid w:val="213B74B1"/>
    <w:rsid w:val="213D7E0C"/>
    <w:rsid w:val="214A44E5"/>
    <w:rsid w:val="214B12E7"/>
    <w:rsid w:val="214C62A1"/>
    <w:rsid w:val="215A2310"/>
    <w:rsid w:val="21601B8B"/>
    <w:rsid w:val="21627873"/>
    <w:rsid w:val="2168200C"/>
    <w:rsid w:val="216929AF"/>
    <w:rsid w:val="21696E53"/>
    <w:rsid w:val="216E0C3C"/>
    <w:rsid w:val="21701F90"/>
    <w:rsid w:val="21767713"/>
    <w:rsid w:val="21A07893"/>
    <w:rsid w:val="21A25EC1"/>
    <w:rsid w:val="21A970E2"/>
    <w:rsid w:val="21B225A8"/>
    <w:rsid w:val="21B93937"/>
    <w:rsid w:val="21C30312"/>
    <w:rsid w:val="21D249F9"/>
    <w:rsid w:val="21D50045"/>
    <w:rsid w:val="21DE318A"/>
    <w:rsid w:val="21EF5B80"/>
    <w:rsid w:val="21F20BF7"/>
    <w:rsid w:val="21FC7CC7"/>
    <w:rsid w:val="21FF7025"/>
    <w:rsid w:val="220B3A67"/>
    <w:rsid w:val="22160D89"/>
    <w:rsid w:val="221B767A"/>
    <w:rsid w:val="22250FCC"/>
    <w:rsid w:val="222705BD"/>
    <w:rsid w:val="222958CF"/>
    <w:rsid w:val="22364E11"/>
    <w:rsid w:val="223905D4"/>
    <w:rsid w:val="22497C84"/>
    <w:rsid w:val="224D407F"/>
    <w:rsid w:val="225047C3"/>
    <w:rsid w:val="22572055"/>
    <w:rsid w:val="22576990"/>
    <w:rsid w:val="22592A24"/>
    <w:rsid w:val="22605CB1"/>
    <w:rsid w:val="22613331"/>
    <w:rsid w:val="226D40A1"/>
    <w:rsid w:val="22721D38"/>
    <w:rsid w:val="22723AE6"/>
    <w:rsid w:val="227E248B"/>
    <w:rsid w:val="22804455"/>
    <w:rsid w:val="22821F7B"/>
    <w:rsid w:val="229B0D12"/>
    <w:rsid w:val="22A55C69"/>
    <w:rsid w:val="22B8599C"/>
    <w:rsid w:val="22E76282"/>
    <w:rsid w:val="22EC5646"/>
    <w:rsid w:val="22F47480"/>
    <w:rsid w:val="22F514EE"/>
    <w:rsid w:val="231A0405"/>
    <w:rsid w:val="23243032"/>
    <w:rsid w:val="23302BE7"/>
    <w:rsid w:val="233A4603"/>
    <w:rsid w:val="233B65CE"/>
    <w:rsid w:val="2342795C"/>
    <w:rsid w:val="234731C4"/>
    <w:rsid w:val="2355143D"/>
    <w:rsid w:val="235B641F"/>
    <w:rsid w:val="236C2D03"/>
    <w:rsid w:val="2370007A"/>
    <w:rsid w:val="23713D9D"/>
    <w:rsid w:val="23733FB9"/>
    <w:rsid w:val="237A5558"/>
    <w:rsid w:val="237D267E"/>
    <w:rsid w:val="2383244E"/>
    <w:rsid w:val="238654DF"/>
    <w:rsid w:val="239D1036"/>
    <w:rsid w:val="23A94469"/>
    <w:rsid w:val="23BD6681"/>
    <w:rsid w:val="23BE21BE"/>
    <w:rsid w:val="23C93BD9"/>
    <w:rsid w:val="23DE1C48"/>
    <w:rsid w:val="23F01166"/>
    <w:rsid w:val="23F07A01"/>
    <w:rsid w:val="23FA529B"/>
    <w:rsid w:val="23FC3FAF"/>
    <w:rsid w:val="24013373"/>
    <w:rsid w:val="240210CD"/>
    <w:rsid w:val="240A66CC"/>
    <w:rsid w:val="240D3AC6"/>
    <w:rsid w:val="2412732E"/>
    <w:rsid w:val="241430A6"/>
    <w:rsid w:val="24174945"/>
    <w:rsid w:val="241C63FF"/>
    <w:rsid w:val="243472A5"/>
    <w:rsid w:val="243B4AD7"/>
    <w:rsid w:val="244D65B8"/>
    <w:rsid w:val="24500B7F"/>
    <w:rsid w:val="245C2C9F"/>
    <w:rsid w:val="246336F4"/>
    <w:rsid w:val="24747FE9"/>
    <w:rsid w:val="24773635"/>
    <w:rsid w:val="2480073C"/>
    <w:rsid w:val="248151E3"/>
    <w:rsid w:val="24973CD7"/>
    <w:rsid w:val="249B7324"/>
    <w:rsid w:val="24A85EE5"/>
    <w:rsid w:val="24A86184"/>
    <w:rsid w:val="24AA3A0B"/>
    <w:rsid w:val="24B10C03"/>
    <w:rsid w:val="24B71C84"/>
    <w:rsid w:val="24BB4180"/>
    <w:rsid w:val="24BF09F7"/>
    <w:rsid w:val="24E54A43"/>
    <w:rsid w:val="24F64A0B"/>
    <w:rsid w:val="25057744"/>
    <w:rsid w:val="250E5D48"/>
    <w:rsid w:val="25273966"/>
    <w:rsid w:val="252B659C"/>
    <w:rsid w:val="252D53FE"/>
    <w:rsid w:val="253151AB"/>
    <w:rsid w:val="25331C52"/>
    <w:rsid w:val="253961E2"/>
    <w:rsid w:val="253E7682"/>
    <w:rsid w:val="254402E0"/>
    <w:rsid w:val="254B6F9C"/>
    <w:rsid w:val="254C6870"/>
    <w:rsid w:val="25547608"/>
    <w:rsid w:val="25575B08"/>
    <w:rsid w:val="25733DFD"/>
    <w:rsid w:val="257A5F66"/>
    <w:rsid w:val="2580651A"/>
    <w:rsid w:val="258129BE"/>
    <w:rsid w:val="258204E4"/>
    <w:rsid w:val="25897EAD"/>
    <w:rsid w:val="258B0691"/>
    <w:rsid w:val="25910727"/>
    <w:rsid w:val="25A04547"/>
    <w:rsid w:val="25BC4EA9"/>
    <w:rsid w:val="25BD776E"/>
    <w:rsid w:val="25BF34E6"/>
    <w:rsid w:val="25D1584C"/>
    <w:rsid w:val="25D52D09"/>
    <w:rsid w:val="25E66CC5"/>
    <w:rsid w:val="25EC2D81"/>
    <w:rsid w:val="25F72C80"/>
    <w:rsid w:val="25FC0296"/>
    <w:rsid w:val="260D5EB5"/>
    <w:rsid w:val="260E7FC9"/>
    <w:rsid w:val="261F5D33"/>
    <w:rsid w:val="26355556"/>
    <w:rsid w:val="264D7E79"/>
    <w:rsid w:val="26695200"/>
    <w:rsid w:val="266F6541"/>
    <w:rsid w:val="2677349D"/>
    <w:rsid w:val="2677791D"/>
    <w:rsid w:val="26920BFA"/>
    <w:rsid w:val="26AF0B88"/>
    <w:rsid w:val="26C863CA"/>
    <w:rsid w:val="26C879CF"/>
    <w:rsid w:val="26D27249"/>
    <w:rsid w:val="26D703BB"/>
    <w:rsid w:val="26ED5E31"/>
    <w:rsid w:val="26FD42C6"/>
    <w:rsid w:val="26FF5B24"/>
    <w:rsid w:val="27090EBD"/>
    <w:rsid w:val="270F5A60"/>
    <w:rsid w:val="27117D71"/>
    <w:rsid w:val="2722007C"/>
    <w:rsid w:val="272E26D1"/>
    <w:rsid w:val="273961A8"/>
    <w:rsid w:val="27561C28"/>
    <w:rsid w:val="275A34C6"/>
    <w:rsid w:val="275B0FEC"/>
    <w:rsid w:val="275B2D9A"/>
    <w:rsid w:val="275F0ADD"/>
    <w:rsid w:val="276E0D20"/>
    <w:rsid w:val="277057A2"/>
    <w:rsid w:val="27814EF7"/>
    <w:rsid w:val="27830026"/>
    <w:rsid w:val="278C42F2"/>
    <w:rsid w:val="27912C60"/>
    <w:rsid w:val="27983FEE"/>
    <w:rsid w:val="279938C3"/>
    <w:rsid w:val="279A3902"/>
    <w:rsid w:val="27A74232"/>
    <w:rsid w:val="27A75FE0"/>
    <w:rsid w:val="27B20563"/>
    <w:rsid w:val="27B5378A"/>
    <w:rsid w:val="27BF172E"/>
    <w:rsid w:val="27D33279"/>
    <w:rsid w:val="27D36DD5"/>
    <w:rsid w:val="27D52B4D"/>
    <w:rsid w:val="27DC037F"/>
    <w:rsid w:val="27DF39CB"/>
    <w:rsid w:val="27E65BDD"/>
    <w:rsid w:val="27FA6A57"/>
    <w:rsid w:val="28060F58"/>
    <w:rsid w:val="280751E1"/>
    <w:rsid w:val="280E42B1"/>
    <w:rsid w:val="28193B34"/>
    <w:rsid w:val="281F3B30"/>
    <w:rsid w:val="282509C7"/>
    <w:rsid w:val="2828082C"/>
    <w:rsid w:val="282B115F"/>
    <w:rsid w:val="28334373"/>
    <w:rsid w:val="284C64E6"/>
    <w:rsid w:val="284D6B87"/>
    <w:rsid w:val="285223EF"/>
    <w:rsid w:val="286918F0"/>
    <w:rsid w:val="28861EB0"/>
    <w:rsid w:val="2886653D"/>
    <w:rsid w:val="28941C39"/>
    <w:rsid w:val="289447B6"/>
    <w:rsid w:val="28A10C81"/>
    <w:rsid w:val="28B22E8E"/>
    <w:rsid w:val="28B5472C"/>
    <w:rsid w:val="28BB6529"/>
    <w:rsid w:val="28C055AB"/>
    <w:rsid w:val="28C17575"/>
    <w:rsid w:val="28C921EC"/>
    <w:rsid w:val="28D92B11"/>
    <w:rsid w:val="28DA4193"/>
    <w:rsid w:val="28DB0E62"/>
    <w:rsid w:val="28E026ED"/>
    <w:rsid w:val="28E374EB"/>
    <w:rsid w:val="28EF40E2"/>
    <w:rsid w:val="28F72F97"/>
    <w:rsid w:val="28FA3D43"/>
    <w:rsid w:val="29086F52"/>
    <w:rsid w:val="290B7953"/>
    <w:rsid w:val="290D4568"/>
    <w:rsid w:val="2916166F"/>
    <w:rsid w:val="291C35D2"/>
    <w:rsid w:val="29206EB8"/>
    <w:rsid w:val="29211A14"/>
    <w:rsid w:val="29324930"/>
    <w:rsid w:val="293D2205"/>
    <w:rsid w:val="2941600F"/>
    <w:rsid w:val="29471828"/>
    <w:rsid w:val="2959155B"/>
    <w:rsid w:val="29595666"/>
    <w:rsid w:val="295D54F0"/>
    <w:rsid w:val="296D5007"/>
    <w:rsid w:val="296D7344"/>
    <w:rsid w:val="29785E86"/>
    <w:rsid w:val="29874881"/>
    <w:rsid w:val="29946A38"/>
    <w:rsid w:val="299A67A7"/>
    <w:rsid w:val="299D769A"/>
    <w:rsid w:val="29AC5B2F"/>
    <w:rsid w:val="29BB2086"/>
    <w:rsid w:val="29BF1D06"/>
    <w:rsid w:val="29C9718D"/>
    <w:rsid w:val="29E11C7D"/>
    <w:rsid w:val="29E325E0"/>
    <w:rsid w:val="2A005E7B"/>
    <w:rsid w:val="2A047719"/>
    <w:rsid w:val="2A157B78"/>
    <w:rsid w:val="2A1C0F07"/>
    <w:rsid w:val="2A236073"/>
    <w:rsid w:val="2A276771"/>
    <w:rsid w:val="2A452503"/>
    <w:rsid w:val="2A482E41"/>
    <w:rsid w:val="2A5306A1"/>
    <w:rsid w:val="2A5F2BA2"/>
    <w:rsid w:val="2A6922B9"/>
    <w:rsid w:val="2A6D1762"/>
    <w:rsid w:val="2A75032D"/>
    <w:rsid w:val="2A787ED2"/>
    <w:rsid w:val="2A9314C9"/>
    <w:rsid w:val="2A96781F"/>
    <w:rsid w:val="2A9A62D0"/>
    <w:rsid w:val="2AAE5692"/>
    <w:rsid w:val="2AC241F2"/>
    <w:rsid w:val="2AC259D7"/>
    <w:rsid w:val="2ACA0963"/>
    <w:rsid w:val="2AD109C9"/>
    <w:rsid w:val="2AD27817"/>
    <w:rsid w:val="2AEC6B2B"/>
    <w:rsid w:val="2AFC6F9C"/>
    <w:rsid w:val="2B026071"/>
    <w:rsid w:val="2B1240B8"/>
    <w:rsid w:val="2B1478F6"/>
    <w:rsid w:val="2B28133B"/>
    <w:rsid w:val="2B2D4A4E"/>
    <w:rsid w:val="2B4A1AA4"/>
    <w:rsid w:val="2B5517A3"/>
    <w:rsid w:val="2B585F6F"/>
    <w:rsid w:val="2B593AD6"/>
    <w:rsid w:val="2B5F2304"/>
    <w:rsid w:val="2B633863"/>
    <w:rsid w:val="2B6E1413"/>
    <w:rsid w:val="2B822FEC"/>
    <w:rsid w:val="2B8925CC"/>
    <w:rsid w:val="2B8B7160"/>
    <w:rsid w:val="2B8E7BE2"/>
    <w:rsid w:val="2BA016C4"/>
    <w:rsid w:val="2BA15987"/>
    <w:rsid w:val="2BA936A8"/>
    <w:rsid w:val="2BB626C9"/>
    <w:rsid w:val="2BBA3CA9"/>
    <w:rsid w:val="2BBB474F"/>
    <w:rsid w:val="2BC374BB"/>
    <w:rsid w:val="2BE75544"/>
    <w:rsid w:val="2BF632B8"/>
    <w:rsid w:val="2BFF288E"/>
    <w:rsid w:val="2C167BD8"/>
    <w:rsid w:val="2C186E9C"/>
    <w:rsid w:val="2C2422F5"/>
    <w:rsid w:val="2C2F4A08"/>
    <w:rsid w:val="2C315A5A"/>
    <w:rsid w:val="2C4B1C25"/>
    <w:rsid w:val="2C4C53A8"/>
    <w:rsid w:val="2C5801F0"/>
    <w:rsid w:val="2C5F157F"/>
    <w:rsid w:val="2C6B7F24"/>
    <w:rsid w:val="2C78619D"/>
    <w:rsid w:val="2C862667"/>
    <w:rsid w:val="2C92725E"/>
    <w:rsid w:val="2CA84CD4"/>
    <w:rsid w:val="2CB216AE"/>
    <w:rsid w:val="2CCF04B2"/>
    <w:rsid w:val="2CD22F81"/>
    <w:rsid w:val="2CD70CBA"/>
    <w:rsid w:val="2CE02702"/>
    <w:rsid w:val="2CE2075A"/>
    <w:rsid w:val="2CED26E7"/>
    <w:rsid w:val="2CFF066C"/>
    <w:rsid w:val="2D1B3B17"/>
    <w:rsid w:val="2D1F486A"/>
    <w:rsid w:val="2D267460"/>
    <w:rsid w:val="2D2D342B"/>
    <w:rsid w:val="2D2F7431"/>
    <w:rsid w:val="2D396A90"/>
    <w:rsid w:val="2D4B565F"/>
    <w:rsid w:val="2D6B22BD"/>
    <w:rsid w:val="2D6D7CCB"/>
    <w:rsid w:val="2D6F57F1"/>
    <w:rsid w:val="2D855015"/>
    <w:rsid w:val="2D8D5C78"/>
    <w:rsid w:val="2D9154CB"/>
    <w:rsid w:val="2D9E56F5"/>
    <w:rsid w:val="2DB43204"/>
    <w:rsid w:val="2DCC49F2"/>
    <w:rsid w:val="2DD218DC"/>
    <w:rsid w:val="2DDD275B"/>
    <w:rsid w:val="2DDF7C5A"/>
    <w:rsid w:val="2DEA30CA"/>
    <w:rsid w:val="2DF80BB4"/>
    <w:rsid w:val="2E075A2A"/>
    <w:rsid w:val="2E083954"/>
    <w:rsid w:val="2E0C51E3"/>
    <w:rsid w:val="2E0C688C"/>
    <w:rsid w:val="2E1B3283"/>
    <w:rsid w:val="2E1D284D"/>
    <w:rsid w:val="2E2E7268"/>
    <w:rsid w:val="2E36630F"/>
    <w:rsid w:val="2E3B3926"/>
    <w:rsid w:val="2E440A2C"/>
    <w:rsid w:val="2E4427DA"/>
    <w:rsid w:val="2E4647A4"/>
    <w:rsid w:val="2E667F96"/>
    <w:rsid w:val="2E6B5A46"/>
    <w:rsid w:val="2E6C1899"/>
    <w:rsid w:val="2E6F0090"/>
    <w:rsid w:val="2E730AF8"/>
    <w:rsid w:val="2E7B0D8D"/>
    <w:rsid w:val="2E8226AB"/>
    <w:rsid w:val="2E894691"/>
    <w:rsid w:val="2E9F5C62"/>
    <w:rsid w:val="2ED76FED"/>
    <w:rsid w:val="2EEE2746"/>
    <w:rsid w:val="2F0121E9"/>
    <w:rsid w:val="2F0D52C2"/>
    <w:rsid w:val="2F1234FB"/>
    <w:rsid w:val="2F1877C3"/>
    <w:rsid w:val="2F1E36D3"/>
    <w:rsid w:val="2F281FC4"/>
    <w:rsid w:val="2F2820FC"/>
    <w:rsid w:val="2F2B5748"/>
    <w:rsid w:val="2F503401"/>
    <w:rsid w:val="2F520F27"/>
    <w:rsid w:val="2F540BF7"/>
    <w:rsid w:val="2F5E5DC9"/>
    <w:rsid w:val="2F662C24"/>
    <w:rsid w:val="2F6A001E"/>
    <w:rsid w:val="2F8B7921"/>
    <w:rsid w:val="2F923A19"/>
    <w:rsid w:val="2F92736A"/>
    <w:rsid w:val="2F94153F"/>
    <w:rsid w:val="2FAB6BD3"/>
    <w:rsid w:val="2FB120F1"/>
    <w:rsid w:val="2FB61DF6"/>
    <w:rsid w:val="2FB70D88"/>
    <w:rsid w:val="2FB90FA6"/>
    <w:rsid w:val="2FBA323E"/>
    <w:rsid w:val="2FC55B9D"/>
    <w:rsid w:val="2FC82F97"/>
    <w:rsid w:val="2FCF07C9"/>
    <w:rsid w:val="2FD065E6"/>
    <w:rsid w:val="2FD96870"/>
    <w:rsid w:val="2FDA7EC4"/>
    <w:rsid w:val="2FE51D9B"/>
    <w:rsid w:val="2FF12575"/>
    <w:rsid w:val="2FF827FE"/>
    <w:rsid w:val="300C7328"/>
    <w:rsid w:val="30134B5A"/>
    <w:rsid w:val="30161F54"/>
    <w:rsid w:val="302E7398"/>
    <w:rsid w:val="30325BB6"/>
    <w:rsid w:val="303D1BD7"/>
    <w:rsid w:val="30580BC9"/>
    <w:rsid w:val="306C426A"/>
    <w:rsid w:val="30751371"/>
    <w:rsid w:val="3082583C"/>
    <w:rsid w:val="30980055"/>
    <w:rsid w:val="30A65790"/>
    <w:rsid w:val="30B11C7D"/>
    <w:rsid w:val="30B21802"/>
    <w:rsid w:val="30C10112"/>
    <w:rsid w:val="30C60BE4"/>
    <w:rsid w:val="30D14BB1"/>
    <w:rsid w:val="30D5727F"/>
    <w:rsid w:val="30DC4F4C"/>
    <w:rsid w:val="30DD3E35"/>
    <w:rsid w:val="30E11085"/>
    <w:rsid w:val="30E72D87"/>
    <w:rsid w:val="30FD3114"/>
    <w:rsid w:val="311E2ED7"/>
    <w:rsid w:val="312132A7"/>
    <w:rsid w:val="31244195"/>
    <w:rsid w:val="31322DBE"/>
    <w:rsid w:val="313A42AE"/>
    <w:rsid w:val="313C7C2B"/>
    <w:rsid w:val="314174A5"/>
    <w:rsid w:val="31440D43"/>
    <w:rsid w:val="3153274D"/>
    <w:rsid w:val="315619EE"/>
    <w:rsid w:val="315C42DF"/>
    <w:rsid w:val="315C449C"/>
    <w:rsid w:val="317F1137"/>
    <w:rsid w:val="318B0720"/>
    <w:rsid w:val="319121DA"/>
    <w:rsid w:val="31A33CBC"/>
    <w:rsid w:val="31A737AC"/>
    <w:rsid w:val="31B425B2"/>
    <w:rsid w:val="31B45EC9"/>
    <w:rsid w:val="31B5579D"/>
    <w:rsid w:val="31B82709"/>
    <w:rsid w:val="31CA5529"/>
    <w:rsid w:val="31D010A8"/>
    <w:rsid w:val="31D05482"/>
    <w:rsid w:val="31DC0F7C"/>
    <w:rsid w:val="31DD60F7"/>
    <w:rsid w:val="32236BAB"/>
    <w:rsid w:val="32241728"/>
    <w:rsid w:val="32400B34"/>
    <w:rsid w:val="3241232A"/>
    <w:rsid w:val="324234D5"/>
    <w:rsid w:val="3247469D"/>
    <w:rsid w:val="324760F6"/>
    <w:rsid w:val="326351F9"/>
    <w:rsid w:val="3264169D"/>
    <w:rsid w:val="326C06C8"/>
    <w:rsid w:val="32713DBA"/>
    <w:rsid w:val="32803FFD"/>
    <w:rsid w:val="328533C1"/>
    <w:rsid w:val="32896631"/>
    <w:rsid w:val="329110B5"/>
    <w:rsid w:val="329E6876"/>
    <w:rsid w:val="32A54BEB"/>
    <w:rsid w:val="32B048E2"/>
    <w:rsid w:val="32B7300E"/>
    <w:rsid w:val="32B819E9"/>
    <w:rsid w:val="32BA306B"/>
    <w:rsid w:val="32BD2D68"/>
    <w:rsid w:val="32BD3D34"/>
    <w:rsid w:val="32CE1E89"/>
    <w:rsid w:val="32D35FBF"/>
    <w:rsid w:val="32DD144F"/>
    <w:rsid w:val="32F8303F"/>
    <w:rsid w:val="32FB60E4"/>
    <w:rsid w:val="3307027A"/>
    <w:rsid w:val="331309CD"/>
    <w:rsid w:val="33184235"/>
    <w:rsid w:val="33185FE3"/>
    <w:rsid w:val="331A1D5C"/>
    <w:rsid w:val="331F7372"/>
    <w:rsid w:val="333015F2"/>
    <w:rsid w:val="334B6320"/>
    <w:rsid w:val="334B63B9"/>
    <w:rsid w:val="337D5EB4"/>
    <w:rsid w:val="337E27C7"/>
    <w:rsid w:val="3380202C"/>
    <w:rsid w:val="338F274A"/>
    <w:rsid w:val="33917FD3"/>
    <w:rsid w:val="33977850"/>
    <w:rsid w:val="33BB353F"/>
    <w:rsid w:val="33BC62D4"/>
    <w:rsid w:val="33BF52A9"/>
    <w:rsid w:val="33C10429"/>
    <w:rsid w:val="33CD6DCE"/>
    <w:rsid w:val="33D068BE"/>
    <w:rsid w:val="33D934D4"/>
    <w:rsid w:val="33DE0FDB"/>
    <w:rsid w:val="33E6081A"/>
    <w:rsid w:val="33E671C5"/>
    <w:rsid w:val="33EC7B9C"/>
    <w:rsid w:val="33F56325"/>
    <w:rsid w:val="33F64577"/>
    <w:rsid w:val="33F87432"/>
    <w:rsid w:val="33FE2F6A"/>
    <w:rsid w:val="34086058"/>
    <w:rsid w:val="340E07E5"/>
    <w:rsid w:val="3420323F"/>
    <w:rsid w:val="34235BF7"/>
    <w:rsid w:val="34384B8F"/>
    <w:rsid w:val="346A6D13"/>
    <w:rsid w:val="34931DC5"/>
    <w:rsid w:val="34993154"/>
    <w:rsid w:val="349A13A6"/>
    <w:rsid w:val="34B561E0"/>
    <w:rsid w:val="34BC7277"/>
    <w:rsid w:val="34CC342B"/>
    <w:rsid w:val="34DA17F1"/>
    <w:rsid w:val="34DD52CB"/>
    <w:rsid w:val="34E94521"/>
    <w:rsid w:val="34EA39B0"/>
    <w:rsid w:val="35011425"/>
    <w:rsid w:val="35076310"/>
    <w:rsid w:val="350B4052"/>
    <w:rsid w:val="350F7B69"/>
    <w:rsid w:val="35123632"/>
    <w:rsid w:val="351647A5"/>
    <w:rsid w:val="35262C3A"/>
    <w:rsid w:val="355163EF"/>
    <w:rsid w:val="35527ED3"/>
    <w:rsid w:val="35535C24"/>
    <w:rsid w:val="355377A7"/>
    <w:rsid w:val="35575444"/>
    <w:rsid w:val="35577297"/>
    <w:rsid w:val="3558300F"/>
    <w:rsid w:val="35777939"/>
    <w:rsid w:val="357A2F85"/>
    <w:rsid w:val="35802682"/>
    <w:rsid w:val="358C5FA8"/>
    <w:rsid w:val="358E1DB0"/>
    <w:rsid w:val="35926521"/>
    <w:rsid w:val="35957DBF"/>
    <w:rsid w:val="3598340C"/>
    <w:rsid w:val="359866B0"/>
    <w:rsid w:val="359A7F9B"/>
    <w:rsid w:val="35AD5109"/>
    <w:rsid w:val="35BB3F9F"/>
    <w:rsid w:val="35C15DF1"/>
    <w:rsid w:val="35C65406"/>
    <w:rsid w:val="35D07049"/>
    <w:rsid w:val="35D16B00"/>
    <w:rsid w:val="35DE3514"/>
    <w:rsid w:val="35DF4B9C"/>
    <w:rsid w:val="35FB40C6"/>
    <w:rsid w:val="36074A7F"/>
    <w:rsid w:val="361B4126"/>
    <w:rsid w:val="362C0724"/>
    <w:rsid w:val="362F5B1E"/>
    <w:rsid w:val="363B0967"/>
    <w:rsid w:val="36420F81"/>
    <w:rsid w:val="3643781B"/>
    <w:rsid w:val="36453593"/>
    <w:rsid w:val="3645478B"/>
    <w:rsid w:val="36496FF1"/>
    <w:rsid w:val="3651018A"/>
    <w:rsid w:val="3652180C"/>
    <w:rsid w:val="36610482"/>
    <w:rsid w:val="36644727"/>
    <w:rsid w:val="3667175C"/>
    <w:rsid w:val="366C6D72"/>
    <w:rsid w:val="36923549"/>
    <w:rsid w:val="369342FF"/>
    <w:rsid w:val="36A33BF4"/>
    <w:rsid w:val="36A4650C"/>
    <w:rsid w:val="36B42484"/>
    <w:rsid w:val="36B75FBF"/>
    <w:rsid w:val="36BD0C45"/>
    <w:rsid w:val="36EB7DBF"/>
    <w:rsid w:val="36EC7EB3"/>
    <w:rsid w:val="36F86858"/>
    <w:rsid w:val="36FD79CA"/>
    <w:rsid w:val="37021484"/>
    <w:rsid w:val="37074CED"/>
    <w:rsid w:val="37133692"/>
    <w:rsid w:val="37415DB1"/>
    <w:rsid w:val="374C0952"/>
    <w:rsid w:val="374E6478"/>
    <w:rsid w:val="375241BA"/>
    <w:rsid w:val="37661A13"/>
    <w:rsid w:val="377309D7"/>
    <w:rsid w:val="37796963"/>
    <w:rsid w:val="37802DC5"/>
    <w:rsid w:val="37886865"/>
    <w:rsid w:val="37983B97"/>
    <w:rsid w:val="37AB5678"/>
    <w:rsid w:val="37CA01F4"/>
    <w:rsid w:val="37D746BF"/>
    <w:rsid w:val="37D90546"/>
    <w:rsid w:val="37DA7D0B"/>
    <w:rsid w:val="37E00298"/>
    <w:rsid w:val="37E213A2"/>
    <w:rsid w:val="37F041ED"/>
    <w:rsid w:val="38064FA4"/>
    <w:rsid w:val="380A28CA"/>
    <w:rsid w:val="3814146F"/>
    <w:rsid w:val="382F643A"/>
    <w:rsid w:val="38312021"/>
    <w:rsid w:val="38367638"/>
    <w:rsid w:val="383E64EC"/>
    <w:rsid w:val="38435613"/>
    <w:rsid w:val="38455ACD"/>
    <w:rsid w:val="38460BE9"/>
    <w:rsid w:val="388135EA"/>
    <w:rsid w:val="388A1731"/>
    <w:rsid w:val="388C7258"/>
    <w:rsid w:val="389242B4"/>
    <w:rsid w:val="389600D6"/>
    <w:rsid w:val="389B56ED"/>
    <w:rsid w:val="38A24CCD"/>
    <w:rsid w:val="38A8605B"/>
    <w:rsid w:val="38B302F9"/>
    <w:rsid w:val="38C2711D"/>
    <w:rsid w:val="38C537E4"/>
    <w:rsid w:val="38C745C2"/>
    <w:rsid w:val="38CE5AC2"/>
    <w:rsid w:val="38E54BBA"/>
    <w:rsid w:val="38EC7622"/>
    <w:rsid w:val="38F117B0"/>
    <w:rsid w:val="38F12CD3"/>
    <w:rsid w:val="38F20374"/>
    <w:rsid w:val="38F94775"/>
    <w:rsid w:val="38F9569D"/>
    <w:rsid w:val="38FB618B"/>
    <w:rsid w:val="38FE5C7B"/>
    <w:rsid w:val="390A4620"/>
    <w:rsid w:val="391334D5"/>
    <w:rsid w:val="3914549F"/>
    <w:rsid w:val="391C141C"/>
    <w:rsid w:val="392971ED"/>
    <w:rsid w:val="392E030F"/>
    <w:rsid w:val="39325651"/>
    <w:rsid w:val="393450E2"/>
    <w:rsid w:val="39365415"/>
    <w:rsid w:val="39535FC7"/>
    <w:rsid w:val="395E45E1"/>
    <w:rsid w:val="396F0351"/>
    <w:rsid w:val="3971644D"/>
    <w:rsid w:val="39743126"/>
    <w:rsid w:val="39873EC3"/>
    <w:rsid w:val="398D772B"/>
    <w:rsid w:val="39917C51"/>
    <w:rsid w:val="399A59A4"/>
    <w:rsid w:val="399F2FBB"/>
    <w:rsid w:val="39BA6046"/>
    <w:rsid w:val="39BC591B"/>
    <w:rsid w:val="39C173D5"/>
    <w:rsid w:val="39C944DB"/>
    <w:rsid w:val="39CA01D5"/>
    <w:rsid w:val="39D709A6"/>
    <w:rsid w:val="39DA2245"/>
    <w:rsid w:val="39E44E71"/>
    <w:rsid w:val="39F20325"/>
    <w:rsid w:val="39F72DF7"/>
    <w:rsid w:val="39FC0403"/>
    <w:rsid w:val="3A053765"/>
    <w:rsid w:val="3A145757"/>
    <w:rsid w:val="3A1E4827"/>
    <w:rsid w:val="3A27603D"/>
    <w:rsid w:val="3A2801BE"/>
    <w:rsid w:val="3A301503"/>
    <w:rsid w:val="3A4273A8"/>
    <w:rsid w:val="3A451191"/>
    <w:rsid w:val="3A465B2C"/>
    <w:rsid w:val="3A540249"/>
    <w:rsid w:val="3A5F274A"/>
    <w:rsid w:val="3A7206CF"/>
    <w:rsid w:val="3A80103E"/>
    <w:rsid w:val="3A872856"/>
    <w:rsid w:val="3A880EC7"/>
    <w:rsid w:val="3A8B1791"/>
    <w:rsid w:val="3A916DA7"/>
    <w:rsid w:val="3A920D71"/>
    <w:rsid w:val="3AA647EE"/>
    <w:rsid w:val="3AC55AB3"/>
    <w:rsid w:val="3ACD736D"/>
    <w:rsid w:val="3AD33C5B"/>
    <w:rsid w:val="3ADB0022"/>
    <w:rsid w:val="3AEC66D3"/>
    <w:rsid w:val="3AFC6F67"/>
    <w:rsid w:val="3B021A53"/>
    <w:rsid w:val="3B023801"/>
    <w:rsid w:val="3B091033"/>
    <w:rsid w:val="3B0C0D90"/>
    <w:rsid w:val="3B2319C9"/>
    <w:rsid w:val="3B2E2848"/>
    <w:rsid w:val="3B375F3D"/>
    <w:rsid w:val="3B3763D1"/>
    <w:rsid w:val="3B3E69F4"/>
    <w:rsid w:val="3B491430"/>
    <w:rsid w:val="3B4F0A10"/>
    <w:rsid w:val="3B5626E1"/>
    <w:rsid w:val="3B5C2A14"/>
    <w:rsid w:val="3B5E2A01"/>
    <w:rsid w:val="3B691AD2"/>
    <w:rsid w:val="3B7364AD"/>
    <w:rsid w:val="3B9F3746"/>
    <w:rsid w:val="3BA66882"/>
    <w:rsid w:val="3BC01081"/>
    <w:rsid w:val="3BC211E2"/>
    <w:rsid w:val="3BC92571"/>
    <w:rsid w:val="3BDB3226"/>
    <w:rsid w:val="3BDC22A4"/>
    <w:rsid w:val="3BE0324B"/>
    <w:rsid w:val="3BE178BA"/>
    <w:rsid w:val="3BF53366"/>
    <w:rsid w:val="3C090BBF"/>
    <w:rsid w:val="3C1A7270"/>
    <w:rsid w:val="3C1F6635"/>
    <w:rsid w:val="3C287664"/>
    <w:rsid w:val="3C2F6E1E"/>
    <w:rsid w:val="3C4F64BA"/>
    <w:rsid w:val="3C577B7C"/>
    <w:rsid w:val="3C5A4927"/>
    <w:rsid w:val="3C6B7ACC"/>
    <w:rsid w:val="3C6E670E"/>
    <w:rsid w:val="3C746980"/>
    <w:rsid w:val="3C771FCD"/>
    <w:rsid w:val="3C77353F"/>
    <w:rsid w:val="3C8A1D00"/>
    <w:rsid w:val="3CA20800"/>
    <w:rsid w:val="3CA32DC2"/>
    <w:rsid w:val="3CB32AD9"/>
    <w:rsid w:val="3CB52AF5"/>
    <w:rsid w:val="3CBE720A"/>
    <w:rsid w:val="3CCF1E09"/>
    <w:rsid w:val="3CDA245A"/>
    <w:rsid w:val="3CDC62D4"/>
    <w:rsid w:val="3CDE3D1B"/>
    <w:rsid w:val="3CE05DC4"/>
    <w:rsid w:val="3CEE34ED"/>
    <w:rsid w:val="3D0E0B83"/>
    <w:rsid w:val="3D1D0DC6"/>
    <w:rsid w:val="3D1D2B74"/>
    <w:rsid w:val="3D1E06B7"/>
    <w:rsid w:val="3D26172C"/>
    <w:rsid w:val="3D475E43"/>
    <w:rsid w:val="3D502BD6"/>
    <w:rsid w:val="3D5567B2"/>
    <w:rsid w:val="3D606F05"/>
    <w:rsid w:val="3D74650C"/>
    <w:rsid w:val="3D78424E"/>
    <w:rsid w:val="3D8A5D30"/>
    <w:rsid w:val="3DA6700D"/>
    <w:rsid w:val="3DA768E2"/>
    <w:rsid w:val="3DAC214A"/>
    <w:rsid w:val="3DAD1CC3"/>
    <w:rsid w:val="3DB37F8D"/>
    <w:rsid w:val="3DC72AE0"/>
    <w:rsid w:val="3DD562BA"/>
    <w:rsid w:val="3DD82F3F"/>
    <w:rsid w:val="3DEB4A20"/>
    <w:rsid w:val="3DEC0798"/>
    <w:rsid w:val="3DF17B5D"/>
    <w:rsid w:val="3DFC462E"/>
    <w:rsid w:val="3DFD6502"/>
    <w:rsid w:val="3E015FF2"/>
    <w:rsid w:val="3E043D34"/>
    <w:rsid w:val="3E09134A"/>
    <w:rsid w:val="3E0945B1"/>
    <w:rsid w:val="3E0F1616"/>
    <w:rsid w:val="3E1000F5"/>
    <w:rsid w:val="3E285C74"/>
    <w:rsid w:val="3E2D4427"/>
    <w:rsid w:val="3E3839DE"/>
    <w:rsid w:val="3E4405D4"/>
    <w:rsid w:val="3E483C21"/>
    <w:rsid w:val="3E5C40C3"/>
    <w:rsid w:val="3E671F4D"/>
    <w:rsid w:val="3E7F160D"/>
    <w:rsid w:val="3E8804C1"/>
    <w:rsid w:val="3E8D2B73"/>
    <w:rsid w:val="3E92675F"/>
    <w:rsid w:val="3E952BDE"/>
    <w:rsid w:val="3EA572C5"/>
    <w:rsid w:val="3EC51715"/>
    <w:rsid w:val="3ED22D6A"/>
    <w:rsid w:val="3ED71449"/>
    <w:rsid w:val="3EDA0523"/>
    <w:rsid w:val="3EEB0A50"/>
    <w:rsid w:val="3EF26282"/>
    <w:rsid w:val="3EFB6EE5"/>
    <w:rsid w:val="3EFC4A0B"/>
    <w:rsid w:val="3F081602"/>
    <w:rsid w:val="3F0F0BE2"/>
    <w:rsid w:val="3F1767A4"/>
    <w:rsid w:val="3F1B4469"/>
    <w:rsid w:val="3F3D686C"/>
    <w:rsid w:val="3F485DF7"/>
    <w:rsid w:val="3F4A39C9"/>
    <w:rsid w:val="3F544847"/>
    <w:rsid w:val="3F657FC1"/>
    <w:rsid w:val="3F710F55"/>
    <w:rsid w:val="3F870779"/>
    <w:rsid w:val="3F8F3AD1"/>
    <w:rsid w:val="3FA23805"/>
    <w:rsid w:val="3FAC6431"/>
    <w:rsid w:val="3FE200A5"/>
    <w:rsid w:val="3FEA68C5"/>
    <w:rsid w:val="3FFA0F4B"/>
    <w:rsid w:val="40155D85"/>
    <w:rsid w:val="40185875"/>
    <w:rsid w:val="40224945"/>
    <w:rsid w:val="404448BC"/>
    <w:rsid w:val="404B3E9C"/>
    <w:rsid w:val="40510A2D"/>
    <w:rsid w:val="40511B68"/>
    <w:rsid w:val="40610FCA"/>
    <w:rsid w:val="40714F85"/>
    <w:rsid w:val="40771D19"/>
    <w:rsid w:val="40784565"/>
    <w:rsid w:val="407A6407"/>
    <w:rsid w:val="407D392A"/>
    <w:rsid w:val="408178BE"/>
    <w:rsid w:val="40860A30"/>
    <w:rsid w:val="40994C08"/>
    <w:rsid w:val="40A23B78"/>
    <w:rsid w:val="40A86BF9"/>
    <w:rsid w:val="40D310C8"/>
    <w:rsid w:val="40E439A9"/>
    <w:rsid w:val="40F327A1"/>
    <w:rsid w:val="40F77B80"/>
    <w:rsid w:val="40FF373C"/>
    <w:rsid w:val="410142A2"/>
    <w:rsid w:val="410A340F"/>
    <w:rsid w:val="41102DB8"/>
    <w:rsid w:val="4114603C"/>
    <w:rsid w:val="41151DB4"/>
    <w:rsid w:val="411D521F"/>
    <w:rsid w:val="413A2E0B"/>
    <w:rsid w:val="413B4DE9"/>
    <w:rsid w:val="413F3604"/>
    <w:rsid w:val="414032D5"/>
    <w:rsid w:val="4142704D"/>
    <w:rsid w:val="41432F6C"/>
    <w:rsid w:val="41452699"/>
    <w:rsid w:val="414B7444"/>
    <w:rsid w:val="415D3E87"/>
    <w:rsid w:val="415F489E"/>
    <w:rsid w:val="417B60BB"/>
    <w:rsid w:val="41961147"/>
    <w:rsid w:val="41B06E4B"/>
    <w:rsid w:val="41C77552"/>
    <w:rsid w:val="41C90FBF"/>
    <w:rsid w:val="41E91C03"/>
    <w:rsid w:val="41F63994"/>
    <w:rsid w:val="41F75D39"/>
    <w:rsid w:val="4200449D"/>
    <w:rsid w:val="42132798"/>
    <w:rsid w:val="421F0F04"/>
    <w:rsid w:val="42291C79"/>
    <w:rsid w:val="422F6EA6"/>
    <w:rsid w:val="423A3BCC"/>
    <w:rsid w:val="42470923"/>
    <w:rsid w:val="424E57D2"/>
    <w:rsid w:val="425A2175"/>
    <w:rsid w:val="425C105C"/>
    <w:rsid w:val="42672AE3"/>
    <w:rsid w:val="4274031A"/>
    <w:rsid w:val="42755200"/>
    <w:rsid w:val="42A11E98"/>
    <w:rsid w:val="42A17DA3"/>
    <w:rsid w:val="42A33B1C"/>
    <w:rsid w:val="42B074AD"/>
    <w:rsid w:val="42B07FE6"/>
    <w:rsid w:val="42B26C49"/>
    <w:rsid w:val="42D34AAA"/>
    <w:rsid w:val="42F500EF"/>
    <w:rsid w:val="42FB5E19"/>
    <w:rsid w:val="42FF2D1C"/>
    <w:rsid w:val="43081BD1"/>
    <w:rsid w:val="43104F29"/>
    <w:rsid w:val="431247FD"/>
    <w:rsid w:val="43153C13"/>
    <w:rsid w:val="431C6452"/>
    <w:rsid w:val="432450BB"/>
    <w:rsid w:val="432A3781"/>
    <w:rsid w:val="432E715D"/>
    <w:rsid w:val="43301127"/>
    <w:rsid w:val="43340C18"/>
    <w:rsid w:val="43367407"/>
    <w:rsid w:val="43391936"/>
    <w:rsid w:val="433A6FE6"/>
    <w:rsid w:val="433C5D1E"/>
    <w:rsid w:val="43432C09"/>
    <w:rsid w:val="43480868"/>
    <w:rsid w:val="4350713C"/>
    <w:rsid w:val="43560B8E"/>
    <w:rsid w:val="43585209"/>
    <w:rsid w:val="435D316C"/>
    <w:rsid w:val="435E3EE6"/>
    <w:rsid w:val="436334A9"/>
    <w:rsid w:val="436653E0"/>
    <w:rsid w:val="436D4FAD"/>
    <w:rsid w:val="437B6846"/>
    <w:rsid w:val="438C45B0"/>
    <w:rsid w:val="439148A0"/>
    <w:rsid w:val="4392593E"/>
    <w:rsid w:val="43947908"/>
    <w:rsid w:val="43B91808"/>
    <w:rsid w:val="43C4431A"/>
    <w:rsid w:val="43D16466"/>
    <w:rsid w:val="43E029AE"/>
    <w:rsid w:val="43EA577A"/>
    <w:rsid w:val="43F839F3"/>
    <w:rsid w:val="43FD36FF"/>
    <w:rsid w:val="44013BD3"/>
    <w:rsid w:val="440C749E"/>
    <w:rsid w:val="44136A7F"/>
    <w:rsid w:val="441416DA"/>
    <w:rsid w:val="441427F7"/>
    <w:rsid w:val="44202F4A"/>
    <w:rsid w:val="442471ED"/>
    <w:rsid w:val="442C7B41"/>
    <w:rsid w:val="443D3AFC"/>
    <w:rsid w:val="443D58AA"/>
    <w:rsid w:val="445157F9"/>
    <w:rsid w:val="446612A5"/>
    <w:rsid w:val="44676E58"/>
    <w:rsid w:val="44685A7C"/>
    <w:rsid w:val="446A507F"/>
    <w:rsid w:val="44711358"/>
    <w:rsid w:val="447B1636"/>
    <w:rsid w:val="44936E0C"/>
    <w:rsid w:val="449A2CFC"/>
    <w:rsid w:val="449B5C55"/>
    <w:rsid w:val="449C6A74"/>
    <w:rsid w:val="449F28C0"/>
    <w:rsid w:val="449F47B6"/>
    <w:rsid w:val="449F6565"/>
    <w:rsid w:val="44A973E3"/>
    <w:rsid w:val="44B00772"/>
    <w:rsid w:val="44B64E17"/>
    <w:rsid w:val="44B951CC"/>
    <w:rsid w:val="44C45FCB"/>
    <w:rsid w:val="44C71617"/>
    <w:rsid w:val="44CB1108"/>
    <w:rsid w:val="44CD14E0"/>
    <w:rsid w:val="44D1645F"/>
    <w:rsid w:val="44D334D7"/>
    <w:rsid w:val="44D94BD0"/>
    <w:rsid w:val="44E64193"/>
    <w:rsid w:val="44F14DE5"/>
    <w:rsid w:val="44F20B0B"/>
    <w:rsid w:val="450D7972"/>
    <w:rsid w:val="45174543"/>
    <w:rsid w:val="45244CBC"/>
    <w:rsid w:val="452627E2"/>
    <w:rsid w:val="452E5F4C"/>
    <w:rsid w:val="45333C62"/>
    <w:rsid w:val="453E7B2C"/>
    <w:rsid w:val="45462E84"/>
    <w:rsid w:val="454B7E57"/>
    <w:rsid w:val="454D7C03"/>
    <w:rsid w:val="45600EFB"/>
    <w:rsid w:val="45612018"/>
    <w:rsid w:val="457C2402"/>
    <w:rsid w:val="458946E9"/>
    <w:rsid w:val="458E0C7A"/>
    <w:rsid w:val="458E50FB"/>
    <w:rsid w:val="45940BE7"/>
    <w:rsid w:val="459E3CDB"/>
    <w:rsid w:val="45A47C0E"/>
    <w:rsid w:val="45AF0A29"/>
    <w:rsid w:val="45C64F3E"/>
    <w:rsid w:val="45C85647"/>
    <w:rsid w:val="45D466E2"/>
    <w:rsid w:val="45E05087"/>
    <w:rsid w:val="45E2495B"/>
    <w:rsid w:val="45E65E42"/>
    <w:rsid w:val="45EA380F"/>
    <w:rsid w:val="45F4468E"/>
    <w:rsid w:val="4605689B"/>
    <w:rsid w:val="46074D52"/>
    <w:rsid w:val="4609638B"/>
    <w:rsid w:val="46144D30"/>
    <w:rsid w:val="461B1C1B"/>
    <w:rsid w:val="464949DA"/>
    <w:rsid w:val="46577FD6"/>
    <w:rsid w:val="465A14A9"/>
    <w:rsid w:val="466435C2"/>
    <w:rsid w:val="46693F3D"/>
    <w:rsid w:val="46803F66"/>
    <w:rsid w:val="46873754"/>
    <w:rsid w:val="468A0F7A"/>
    <w:rsid w:val="469D4D26"/>
    <w:rsid w:val="46A165C4"/>
    <w:rsid w:val="46A460B4"/>
    <w:rsid w:val="46AD12F7"/>
    <w:rsid w:val="46B53E1D"/>
    <w:rsid w:val="46CC73B9"/>
    <w:rsid w:val="46CE3131"/>
    <w:rsid w:val="46D36999"/>
    <w:rsid w:val="46D955A7"/>
    <w:rsid w:val="46E26BDC"/>
    <w:rsid w:val="46EE10DD"/>
    <w:rsid w:val="46F30DEA"/>
    <w:rsid w:val="47046B53"/>
    <w:rsid w:val="471072A6"/>
    <w:rsid w:val="47133957"/>
    <w:rsid w:val="4713781B"/>
    <w:rsid w:val="47146532"/>
    <w:rsid w:val="471A1ED2"/>
    <w:rsid w:val="472B0583"/>
    <w:rsid w:val="473361A9"/>
    <w:rsid w:val="47424AB1"/>
    <w:rsid w:val="47502C34"/>
    <w:rsid w:val="47507FEA"/>
    <w:rsid w:val="475E7622"/>
    <w:rsid w:val="4782258D"/>
    <w:rsid w:val="47863A0C"/>
    <w:rsid w:val="47A07E0C"/>
    <w:rsid w:val="47A65E5C"/>
    <w:rsid w:val="47A9027D"/>
    <w:rsid w:val="47AA56E9"/>
    <w:rsid w:val="47C63E08"/>
    <w:rsid w:val="47E32C0C"/>
    <w:rsid w:val="47EA16BA"/>
    <w:rsid w:val="47F866B8"/>
    <w:rsid w:val="48217291"/>
    <w:rsid w:val="482F5E51"/>
    <w:rsid w:val="48390A7E"/>
    <w:rsid w:val="48415AB2"/>
    <w:rsid w:val="48425B85"/>
    <w:rsid w:val="484B7280"/>
    <w:rsid w:val="484F25B3"/>
    <w:rsid w:val="484F4161"/>
    <w:rsid w:val="48587156"/>
    <w:rsid w:val="486C5F17"/>
    <w:rsid w:val="486F688E"/>
    <w:rsid w:val="4870272E"/>
    <w:rsid w:val="487B4BF3"/>
    <w:rsid w:val="487F2935"/>
    <w:rsid w:val="487F438D"/>
    <w:rsid w:val="48802209"/>
    <w:rsid w:val="48890A85"/>
    <w:rsid w:val="489363E0"/>
    <w:rsid w:val="48A8276D"/>
    <w:rsid w:val="48AA54D8"/>
    <w:rsid w:val="48B347C5"/>
    <w:rsid w:val="48B56357"/>
    <w:rsid w:val="48CC18F2"/>
    <w:rsid w:val="48D82045"/>
    <w:rsid w:val="48E22EC4"/>
    <w:rsid w:val="48E924A4"/>
    <w:rsid w:val="48EC3D42"/>
    <w:rsid w:val="490270C2"/>
    <w:rsid w:val="49066BB2"/>
    <w:rsid w:val="490746D8"/>
    <w:rsid w:val="491C0184"/>
    <w:rsid w:val="4924496C"/>
    <w:rsid w:val="49267AD3"/>
    <w:rsid w:val="492A36D2"/>
    <w:rsid w:val="492B486B"/>
    <w:rsid w:val="493354CD"/>
    <w:rsid w:val="493D0D2B"/>
    <w:rsid w:val="49417BEA"/>
    <w:rsid w:val="4961028C"/>
    <w:rsid w:val="4961203A"/>
    <w:rsid w:val="49697141"/>
    <w:rsid w:val="496E69A4"/>
    <w:rsid w:val="49975B39"/>
    <w:rsid w:val="499E3420"/>
    <w:rsid w:val="49A458D4"/>
    <w:rsid w:val="49AA39E1"/>
    <w:rsid w:val="49AD1724"/>
    <w:rsid w:val="49AD34D2"/>
    <w:rsid w:val="49B74350"/>
    <w:rsid w:val="49B963E8"/>
    <w:rsid w:val="49BB5939"/>
    <w:rsid w:val="49BE123B"/>
    <w:rsid w:val="49DC7715"/>
    <w:rsid w:val="49F42EAF"/>
    <w:rsid w:val="49F51014"/>
    <w:rsid w:val="49FC1D63"/>
    <w:rsid w:val="4A023139"/>
    <w:rsid w:val="4A191ED4"/>
    <w:rsid w:val="4A1E5C97"/>
    <w:rsid w:val="4A2009C9"/>
    <w:rsid w:val="4A233794"/>
    <w:rsid w:val="4A34774F"/>
    <w:rsid w:val="4A361719"/>
    <w:rsid w:val="4A372D9B"/>
    <w:rsid w:val="4A396B13"/>
    <w:rsid w:val="4A3A4921"/>
    <w:rsid w:val="4A3E05CE"/>
    <w:rsid w:val="4A437992"/>
    <w:rsid w:val="4A4E6A63"/>
    <w:rsid w:val="4A630034"/>
    <w:rsid w:val="4A6A3171"/>
    <w:rsid w:val="4A6C0C97"/>
    <w:rsid w:val="4A7B576F"/>
    <w:rsid w:val="4A835FE1"/>
    <w:rsid w:val="4A8C758B"/>
    <w:rsid w:val="4AA91EEB"/>
    <w:rsid w:val="4AAE12AF"/>
    <w:rsid w:val="4AB34B18"/>
    <w:rsid w:val="4AB81412"/>
    <w:rsid w:val="4AB83EDC"/>
    <w:rsid w:val="4ABD43B0"/>
    <w:rsid w:val="4AC46D25"/>
    <w:rsid w:val="4ACE54AE"/>
    <w:rsid w:val="4AD14F9E"/>
    <w:rsid w:val="4AE42F23"/>
    <w:rsid w:val="4AF01B03"/>
    <w:rsid w:val="4AF561A9"/>
    <w:rsid w:val="4AF60EA8"/>
    <w:rsid w:val="4B1530DD"/>
    <w:rsid w:val="4B337A07"/>
    <w:rsid w:val="4B345FB1"/>
    <w:rsid w:val="4B5A4F93"/>
    <w:rsid w:val="4B692D16"/>
    <w:rsid w:val="4B775B45"/>
    <w:rsid w:val="4B8F4955"/>
    <w:rsid w:val="4B90799F"/>
    <w:rsid w:val="4B9304A5"/>
    <w:rsid w:val="4B9506C1"/>
    <w:rsid w:val="4B9A1834"/>
    <w:rsid w:val="4BB2183B"/>
    <w:rsid w:val="4BB87F0C"/>
    <w:rsid w:val="4BBD5522"/>
    <w:rsid w:val="4BC13264"/>
    <w:rsid w:val="4BC30D8B"/>
    <w:rsid w:val="4BDB2578"/>
    <w:rsid w:val="4C043151"/>
    <w:rsid w:val="4C0A4C0B"/>
    <w:rsid w:val="4C15535E"/>
    <w:rsid w:val="4C1635B0"/>
    <w:rsid w:val="4C2271A7"/>
    <w:rsid w:val="4C2D4456"/>
    <w:rsid w:val="4C2F01CE"/>
    <w:rsid w:val="4C497047"/>
    <w:rsid w:val="4C4A0649"/>
    <w:rsid w:val="4C4C5224"/>
    <w:rsid w:val="4C5B5467"/>
    <w:rsid w:val="4C716A38"/>
    <w:rsid w:val="4C786019"/>
    <w:rsid w:val="4C7E5ECA"/>
    <w:rsid w:val="4C876AA5"/>
    <w:rsid w:val="4C983FC5"/>
    <w:rsid w:val="4CB00C05"/>
    <w:rsid w:val="4CC27513"/>
    <w:rsid w:val="4CD858AC"/>
    <w:rsid w:val="4CD9638C"/>
    <w:rsid w:val="4CE67907"/>
    <w:rsid w:val="4CEA67EB"/>
    <w:rsid w:val="4CF51418"/>
    <w:rsid w:val="4CF66F3E"/>
    <w:rsid w:val="4CFB342A"/>
    <w:rsid w:val="4D0E00FB"/>
    <w:rsid w:val="4D0E24D9"/>
    <w:rsid w:val="4D1608A4"/>
    <w:rsid w:val="4D176606"/>
    <w:rsid w:val="4D36558C"/>
    <w:rsid w:val="4D3D691B"/>
    <w:rsid w:val="4D485708"/>
    <w:rsid w:val="4D4E28D6"/>
    <w:rsid w:val="4D5636C2"/>
    <w:rsid w:val="4D565246"/>
    <w:rsid w:val="4D6D36A4"/>
    <w:rsid w:val="4D7820B1"/>
    <w:rsid w:val="4D7A191D"/>
    <w:rsid w:val="4D9549A9"/>
    <w:rsid w:val="4DA60964"/>
    <w:rsid w:val="4DAB7D28"/>
    <w:rsid w:val="4DB82445"/>
    <w:rsid w:val="4DEC4FB0"/>
    <w:rsid w:val="4DF27705"/>
    <w:rsid w:val="4E041280"/>
    <w:rsid w:val="4E075D8A"/>
    <w:rsid w:val="4E0D2791"/>
    <w:rsid w:val="4E165AE9"/>
    <w:rsid w:val="4E3C4E24"/>
    <w:rsid w:val="4E473EF5"/>
    <w:rsid w:val="4E571C5E"/>
    <w:rsid w:val="4E6F6FA8"/>
    <w:rsid w:val="4E740A62"/>
    <w:rsid w:val="4E810A89"/>
    <w:rsid w:val="4E8A2033"/>
    <w:rsid w:val="4E8C15C7"/>
    <w:rsid w:val="4E8D5680"/>
    <w:rsid w:val="4E992277"/>
    <w:rsid w:val="4EC00FAD"/>
    <w:rsid w:val="4ED17C62"/>
    <w:rsid w:val="4EDB4732"/>
    <w:rsid w:val="4EDD03B5"/>
    <w:rsid w:val="4EEC05F8"/>
    <w:rsid w:val="4EEE2A3C"/>
    <w:rsid w:val="4F045E2D"/>
    <w:rsid w:val="4F1813ED"/>
    <w:rsid w:val="4F224610"/>
    <w:rsid w:val="4F244236"/>
    <w:rsid w:val="4F293E29"/>
    <w:rsid w:val="4F4E3061"/>
    <w:rsid w:val="4F5148FF"/>
    <w:rsid w:val="4F541CA3"/>
    <w:rsid w:val="4F5C783F"/>
    <w:rsid w:val="4F64710F"/>
    <w:rsid w:val="4F7423AB"/>
    <w:rsid w:val="4F754A92"/>
    <w:rsid w:val="4F7903EF"/>
    <w:rsid w:val="4F912F4E"/>
    <w:rsid w:val="4F936CC6"/>
    <w:rsid w:val="4F9667B6"/>
    <w:rsid w:val="4F9843DC"/>
    <w:rsid w:val="4FAB04B3"/>
    <w:rsid w:val="4FC4501C"/>
    <w:rsid w:val="4FC62A8C"/>
    <w:rsid w:val="4FE20F0D"/>
    <w:rsid w:val="4FE51552"/>
    <w:rsid w:val="4FE90FDC"/>
    <w:rsid w:val="50075DA1"/>
    <w:rsid w:val="500F1150"/>
    <w:rsid w:val="50137E07"/>
    <w:rsid w:val="501C7C09"/>
    <w:rsid w:val="503264DF"/>
    <w:rsid w:val="50342257"/>
    <w:rsid w:val="503C735D"/>
    <w:rsid w:val="50413F78"/>
    <w:rsid w:val="50480EA7"/>
    <w:rsid w:val="50504C4B"/>
    <w:rsid w:val="5054731E"/>
    <w:rsid w:val="507E34D2"/>
    <w:rsid w:val="50903205"/>
    <w:rsid w:val="509C6E7C"/>
    <w:rsid w:val="50A849F3"/>
    <w:rsid w:val="50AA42C7"/>
    <w:rsid w:val="50B1791F"/>
    <w:rsid w:val="50C636F7"/>
    <w:rsid w:val="50C80BF1"/>
    <w:rsid w:val="50D157DE"/>
    <w:rsid w:val="50D61560"/>
    <w:rsid w:val="50DA6C25"/>
    <w:rsid w:val="50E13A61"/>
    <w:rsid w:val="50E21CB3"/>
    <w:rsid w:val="50F11EF6"/>
    <w:rsid w:val="50F330D4"/>
    <w:rsid w:val="50F660E5"/>
    <w:rsid w:val="5107796B"/>
    <w:rsid w:val="510D0FC2"/>
    <w:rsid w:val="51121E6C"/>
    <w:rsid w:val="512027DB"/>
    <w:rsid w:val="51330760"/>
    <w:rsid w:val="51451264"/>
    <w:rsid w:val="51491D32"/>
    <w:rsid w:val="51510BE7"/>
    <w:rsid w:val="5153495F"/>
    <w:rsid w:val="51595CED"/>
    <w:rsid w:val="5162104E"/>
    <w:rsid w:val="517234D1"/>
    <w:rsid w:val="51752B27"/>
    <w:rsid w:val="518920CE"/>
    <w:rsid w:val="5193092D"/>
    <w:rsid w:val="51A056CA"/>
    <w:rsid w:val="51A514F5"/>
    <w:rsid w:val="51B33605"/>
    <w:rsid w:val="51B760F6"/>
    <w:rsid w:val="51BC69A8"/>
    <w:rsid w:val="51C306A9"/>
    <w:rsid w:val="51C6309D"/>
    <w:rsid w:val="51CF5C6B"/>
    <w:rsid w:val="51D03119"/>
    <w:rsid w:val="51DB6702"/>
    <w:rsid w:val="51E63A25"/>
    <w:rsid w:val="51F223CA"/>
    <w:rsid w:val="51F31C9E"/>
    <w:rsid w:val="51F7178E"/>
    <w:rsid w:val="52027881"/>
    <w:rsid w:val="521C002A"/>
    <w:rsid w:val="523A18EA"/>
    <w:rsid w:val="525070F0"/>
    <w:rsid w:val="525C7843"/>
    <w:rsid w:val="526037D7"/>
    <w:rsid w:val="52635075"/>
    <w:rsid w:val="52636E23"/>
    <w:rsid w:val="527728CF"/>
    <w:rsid w:val="527F652B"/>
    <w:rsid w:val="528F5E6A"/>
    <w:rsid w:val="52A5743C"/>
    <w:rsid w:val="52CB49C9"/>
    <w:rsid w:val="52CD6D59"/>
    <w:rsid w:val="52DA5D9C"/>
    <w:rsid w:val="52F757BE"/>
    <w:rsid w:val="530C3017"/>
    <w:rsid w:val="531540A5"/>
    <w:rsid w:val="531B7376"/>
    <w:rsid w:val="53234805"/>
    <w:rsid w:val="53265EE4"/>
    <w:rsid w:val="533E5903"/>
    <w:rsid w:val="53530C46"/>
    <w:rsid w:val="5354676C"/>
    <w:rsid w:val="53585AF8"/>
    <w:rsid w:val="5361397A"/>
    <w:rsid w:val="53715570"/>
    <w:rsid w:val="537806AC"/>
    <w:rsid w:val="537F7C8D"/>
    <w:rsid w:val="538E7D26"/>
    <w:rsid w:val="53972848"/>
    <w:rsid w:val="539D6365"/>
    <w:rsid w:val="53A039CC"/>
    <w:rsid w:val="53A1505A"/>
    <w:rsid w:val="53AC6661"/>
    <w:rsid w:val="53B35B89"/>
    <w:rsid w:val="53B82429"/>
    <w:rsid w:val="53BA1261"/>
    <w:rsid w:val="53C733E2"/>
    <w:rsid w:val="53FA7313"/>
    <w:rsid w:val="54063E08"/>
    <w:rsid w:val="54086B32"/>
    <w:rsid w:val="54094669"/>
    <w:rsid w:val="540F56E9"/>
    <w:rsid w:val="541128AF"/>
    <w:rsid w:val="542B7F95"/>
    <w:rsid w:val="543437E8"/>
    <w:rsid w:val="543A0058"/>
    <w:rsid w:val="543A1E06"/>
    <w:rsid w:val="545A24A8"/>
    <w:rsid w:val="545A4256"/>
    <w:rsid w:val="545F7ABE"/>
    <w:rsid w:val="546155E5"/>
    <w:rsid w:val="546832F7"/>
    <w:rsid w:val="547D6C5E"/>
    <w:rsid w:val="547F3CBD"/>
    <w:rsid w:val="549E4143"/>
    <w:rsid w:val="54A05D21"/>
    <w:rsid w:val="54B75204"/>
    <w:rsid w:val="54BC6A3F"/>
    <w:rsid w:val="54C16083"/>
    <w:rsid w:val="54C975BA"/>
    <w:rsid w:val="54F16968"/>
    <w:rsid w:val="54F73313"/>
    <w:rsid w:val="54F80955"/>
    <w:rsid w:val="550146D2"/>
    <w:rsid w:val="550D504A"/>
    <w:rsid w:val="55173EF5"/>
    <w:rsid w:val="55376345"/>
    <w:rsid w:val="553C395C"/>
    <w:rsid w:val="5540344C"/>
    <w:rsid w:val="55466806"/>
    <w:rsid w:val="554C1DF1"/>
    <w:rsid w:val="555170A7"/>
    <w:rsid w:val="556A04C9"/>
    <w:rsid w:val="556C3E3B"/>
    <w:rsid w:val="556F73C3"/>
    <w:rsid w:val="55711857"/>
    <w:rsid w:val="55794BB0"/>
    <w:rsid w:val="5587536D"/>
    <w:rsid w:val="559317CE"/>
    <w:rsid w:val="55936BA1"/>
    <w:rsid w:val="55990DAE"/>
    <w:rsid w:val="559B174B"/>
    <w:rsid w:val="559D64D2"/>
    <w:rsid w:val="55A0213D"/>
    <w:rsid w:val="55C061A9"/>
    <w:rsid w:val="55CE0CF4"/>
    <w:rsid w:val="55CE2806"/>
    <w:rsid w:val="55CE6CAA"/>
    <w:rsid w:val="55D342C0"/>
    <w:rsid w:val="55DD513F"/>
    <w:rsid w:val="55E02539"/>
    <w:rsid w:val="55E6461A"/>
    <w:rsid w:val="55F14746"/>
    <w:rsid w:val="55FA0F2C"/>
    <w:rsid w:val="56030062"/>
    <w:rsid w:val="56156687"/>
    <w:rsid w:val="561641AD"/>
    <w:rsid w:val="56196483"/>
    <w:rsid w:val="561C5C67"/>
    <w:rsid w:val="56252C91"/>
    <w:rsid w:val="56332C65"/>
    <w:rsid w:val="56337B86"/>
    <w:rsid w:val="563C00B7"/>
    <w:rsid w:val="56407A11"/>
    <w:rsid w:val="56446CFB"/>
    <w:rsid w:val="565076BF"/>
    <w:rsid w:val="56554CD5"/>
    <w:rsid w:val="56794E67"/>
    <w:rsid w:val="567A0BDF"/>
    <w:rsid w:val="567D42C2"/>
    <w:rsid w:val="56847368"/>
    <w:rsid w:val="568850AA"/>
    <w:rsid w:val="568C2E6B"/>
    <w:rsid w:val="568D26C1"/>
    <w:rsid w:val="568D516B"/>
    <w:rsid w:val="5694034B"/>
    <w:rsid w:val="569D042A"/>
    <w:rsid w:val="56AE58D0"/>
    <w:rsid w:val="56B22A9C"/>
    <w:rsid w:val="56B527FF"/>
    <w:rsid w:val="56B91708"/>
    <w:rsid w:val="56D45E7D"/>
    <w:rsid w:val="56F049FE"/>
    <w:rsid w:val="56F04AF3"/>
    <w:rsid w:val="56F51A31"/>
    <w:rsid w:val="570D1A54"/>
    <w:rsid w:val="57212E09"/>
    <w:rsid w:val="57295D0E"/>
    <w:rsid w:val="572C3BBB"/>
    <w:rsid w:val="573131FD"/>
    <w:rsid w:val="573C5E95"/>
    <w:rsid w:val="573D68B9"/>
    <w:rsid w:val="57435475"/>
    <w:rsid w:val="574B7E86"/>
    <w:rsid w:val="576158FB"/>
    <w:rsid w:val="57697C3F"/>
    <w:rsid w:val="576C30D0"/>
    <w:rsid w:val="57713D91"/>
    <w:rsid w:val="57827D4C"/>
    <w:rsid w:val="57835872"/>
    <w:rsid w:val="578515EA"/>
    <w:rsid w:val="578D049F"/>
    <w:rsid w:val="578F06BB"/>
    <w:rsid w:val="57914433"/>
    <w:rsid w:val="57A31A70"/>
    <w:rsid w:val="57A50376"/>
    <w:rsid w:val="57AB24DB"/>
    <w:rsid w:val="57AD558C"/>
    <w:rsid w:val="57B72A76"/>
    <w:rsid w:val="57C3426C"/>
    <w:rsid w:val="57CE1F93"/>
    <w:rsid w:val="57EE3CFC"/>
    <w:rsid w:val="580746F5"/>
    <w:rsid w:val="58240E03"/>
    <w:rsid w:val="58334AC7"/>
    <w:rsid w:val="58353010"/>
    <w:rsid w:val="58370398"/>
    <w:rsid w:val="58382B00"/>
    <w:rsid w:val="58403763"/>
    <w:rsid w:val="584D3D82"/>
    <w:rsid w:val="5853793A"/>
    <w:rsid w:val="58596B7D"/>
    <w:rsid w:val="5862382A"/>
    <w:rsid w:val="58692CBA"/>
    <w:rsid w:val="587E01DD"/>
    <w:rsid w:val="587F5993"/>
    <w:rsid w:val="588743D1"/>
    <w:rsid w:val="5887701A"/>
    <w:rsid w:val="589558F5"/>
    <w:rsid w:val="589C308F"/>
    <w:rsid w:val="58A02244"/>
    <w:rsid w:val="58A106A5"/>
    <w:rsid w:val="58A4140A"/>
    <w:rsid w:val="58B71C77"/>
    <w:rsid w:val="58BF0B2C"/>
    <w:rsid w:val="58CE1FC2"/>
    <w:rsid w:val="58D04AE7"/>
    <w:rsid w:val="58D740C7"/>
    <w:rsid w:val="58E80082"/>
    <w:rsid w:val="58EA0DDF"/>
    <w:rsid w:val="58EB13A1"/>
    <w:rsid w:val="58ED5699"/>
    <w:rsid w:val="58F24A5D"/>
    <w:rsid w:val="58F63101"/>
    <w:rsid w:val="58FB75F3"/>
    <w:rsid w:val="590D1897"/>
    <w:rsid w:val="594117BB"/>
    <w:rsid w:val="59477EAF"/>
    <w:rsid w:val="59605D5B"/>
    <w:rsid w:val="596C096E"/>
    <w:rsid w:val="5975743C"/>
    <w:rsid w:val="59814033"/>
    <w:rsid w:val="598C4EB2"/>
    <w:rsid w:val="59AC10B0"/>
    <w:rsid w:val="59C0439F"/>
    <w:rsid w:val="59D32A10"/>
    <w:rsid w:val="59E352E3"/>
    <w:rsid w:val="59E545C2"/>
    <w:rsid w:val="59E738B8"/>
    <w:rsid w:val="59F14D15"/>
    <w:rsid w:val="59FD190B"/>
    <w:rsid w:val="59FD307A"/>
    <w:rsid w:val="5A156FA8"/>
    <w:rsid w:val="5A252C10"/>
    <w:rsid w:val="5A3A2B60"/>
    <w:rsid w:val="5A4237C2"/>
    <w:rsid w:val="5A4526B5"/>
    <w:rsid w:val="5A504131"/>
    <w:rsid w:val="5A5B1C1D"/>
    <w:rsid w:val="5A5F6122"/>
    <w:rsid w:val="5A6220B6"/>
    <w:rsid w:val="5A6F20DD"/>
    <w:rsid w:val="5A7616BE"/>
    <w:rsid w:val="5A783688"/>
    <w:rsid w:val="5A851901"/>
    <w:rsid w:val="5A871B1D"/>
    <w:rsid w:val="5A89319F"/>
    <w:rsid w:val="5A9E4D37"/>
    <w:rsid w:val="5AB521E6"/>
    <w:rsid w:val="5AB75F5E"/>
    <w:rsid w:val="5ABA15AB"/>
    <w:rsid w:val="5ABE2233"/>
    <w:rsid w:val="5AC02939"/>
    <w:rsid w:val="5AC47B41"/>
    <w:rsid w:val="5AC71F19"/>
    <w:rsid w:val="5ACB37B8"/>
    <w:rsid w:val="5AD05272"/>
    <w:rsid w:val="5AE709EC"/>
    <w:rsid w:val="5AF745AD"/>
    <w:rsid w:val="5AF80325"/>
    <w:rsid w:val="5AFD6893"/>
    <w:rsid w:val="5B0B1E06"/>
    <w:rsid w:val="5B0E5D35"/>
    <w:rsid w:val="5B1433B1"/>
    <w:rsid w:val="5B144899"/>
    <w:rsid w:val="5B16743A"/>
    <w:rsid w:val="5B1970D1"/>
    <w:rsid w:val="5B2B24A8"/>
    <w:rsid w:val="5B37709F"/>
    <w:rsid w:val="5B4A5B4F"/>
    <w:rsid w:val="5B501F0F"/>
    <w:rsid w:val="5B5365B0"/>
    <w:rsid w:val="5B667984"/>
    <w:rsid w:val="5B743E4F"/>
    <w:rsid w:val="5B7B4AE6"/>
    <w:rsid w:val="5B841BB9"/>
    <w:rsid w:val="5B8F5593"/>
    <w:rsid w:val="5B922527"/>
    <w:rsid w:val="5B995664"/>
    <w:rsid w:val="5B9E711E"/>
    <w:rsid w:val="5BA81D4B"/>
    <w:rsid w:val="5BAA5AC3"/>
    <w:rsid w:val="5BAD47DE"/>
    <w:rsid w:val="5BB44B12"/>
    <w:rsid w:val="5BBB382C"/>
    <w:rsid w:val="5BC24D1C"/>
    <w:rsid w:val="5BD3501A"/>
    <w:rsid w:val="5BDF5D95"/>
    <w:rsid w:val="5BFB631F"/>
    <w:rsid w:val="5BFE7528"/>
    <w:rsid w:val="5C004550"/>
    <w:rsid w:val="5C1473E0"/>
    <w:rsid w:val="5C163158"/>
    <w:rsid w:val="5C164F06"/>
    <w:rsid w:val="5C367357"/>
    <w:rsid w:val="5C3B4731"/>
    <w:rsid w:val="5C52446F"/>
    <w:rsid w:val="5C5B500F"/>
    <w:rsid w:val="5C6500C4"/>
    <w:rsid w:val="5C68724D"/>
    <w:rsid w:val="5C7406BD"/>
    <w:rsid w:val="5C893F80"/>
    <w:rsid w:val="5C8E3DCD"/>
    <w:rsid w:val="5C91458D"/>
    <w:rsid w:val="5C9212C4"/>
    <w:rsid w:val="5CB3676D"/>
    <w:rsid w:val="5CCA7DBF"/>
    <w:rsid w:val="5CCC4C91"/>
    <w:rsid w:val="5CCD7CBB"/>
    <w:rsid w:val="5CDF354A"/>
    <w:rsid w:val="5D0134C1"/>
    <w:rsid w:val="5D0C00B7"/>
    <w:rsid w:val="5D0C11C7"/>
    <w:rsid w:val="5D0E2082"/>
    <w:rsid w:val="5D24469B"/>
    <w:rsid w:val="5D30024A"/>
    <w:rsid w:val="5D3C274B"/>
    <w:rsid w:val="5D3E3727"/>
    <w:rsid w:val="5D5F28DD"/>
    <w:rsid w:val="5D6C59C3"/>
    <w:rsid w:val="5D777C27"/>
    <w:rsid w:val="5D9205BD"/>
    <w:rsid w:val="5D997B9D"/>
    <w:rsid w:val="5D9A56C3"/>
    <w:rsid w:val="5DB46785"/>
    <w:rsid w:val="5DB83B00"/>
    <w:rsid w:val="5DC6470A"/>
    <w:rsid w:val="5DCB1D21"/>
    <w:rsid w:val="5DD66317"/>
    <w:rsid w:val="5DE51ACA"/>
    <w:rsid w:val="5DFB0858"/>
    <w:rsid w:val="5DFC1D51"/>
    <w:rsid w:val="5E0314BA"/>
    <w:rsid w:val="5E1611EE"/>
    <w:rsid w:val="5E2467F1"/>
    <w:rsid w:val="5E2C6C63"/>
    <w:rsid w:val="5E3B2A02"/>
    <w:rsid w:val="5E452F7B"/>
    <w:rsid w:val="5E4D2736"/>
    <w:rsid w:val="5E544C51"/>
    <w:rsid w:val="5E700844"/>
    <w:rsid w:val="5E7B5612"/>
    <w:rsid w:val="5E7D126D"/>
    <w:rsid w:val="5EA132E2"/>
    <w:rsid w:val="5EB17167"/>
    <w:rsid w:val="5EBE53E1"/>
    <w:rsid w:val="5EC14A97"/>
    <w:rsid w:val="5EDA046D"/>
    <w:rsid w:val="5EEF3A43"/>
    <w:rsid w:val="5EF744B5"/>
    <w:rsid w:val="5EFA28BD"/>
    <w:rsid w:val="5EFD0600"/>
    <w:rsid w:val="5EFF047B"/>
    <w:rsid w:val="5F0059FA"/>
    <w:rsid w:val="5F1A2B43"/>
    <w:rsid w:val="5F2E2567"/>
    <w:rsid w:val="5F2E6828"/>
    <w:rsid w:val="5F37766E"/>
    <w:rsid w:val="5F4725B8"/>
    <w:rsid w:val="5F4955F3"/>
    <w:rsid w:val="5F593A88"/>
    <w:rsid w:val="5F5C5FB8"/>
    <w:rsid w:val="5F6124AF"/>
    <w:rsid w:val="5F6474FD"/>
    <w:rsid w:val="5F6B37BB"/>
    <w:rsid w:val="5F7A39FE"/>
    <w:rsid w:val="5F7C32D2"/>
    <w:rsid w:val="5F896220"/>
    <w:rsid w:val="5F8B1768"/>
    <w:rsid w:val="5F925B11"/>
    <w:rsid w:val="5FA32F55"/>
    <w:rsid w:val="5FB837BB"/>
    <w:rsid w:val="5FBE38EB"/>
    <w:rsid w:val="5FC133DB"/>
    <w:rsid w:val="5FC52ECB"/>
    <w:rsid w:val="5FCC1FAC"/>
    <w:rsid w:val="5FD56E87"/>
    <w:rsid w:val="5FDA624B"/>
    <w:rsid w:val="5FDB04D8"/>
    <w:rsid w:val="5FDC03E0"/>
    <w:rsid w:val="5FE62E42"/>
    <w:rsid w:val="5FF11F12"/>
    <w:rsid w:val="5FF732A1"/>
    <w:rsid w:val="5FF75E46"/>
    <w:rsid w:val="600D3B89"/>
    <w:rsid w:val="600F3BC5"/>
    <w:rsid w:val="601D461E"/>
    <w:rsid w:val="60454C9A"/>
    <w:rsid w:val="60455DBA"/>
    <w:rsid w:val="604662CE"/>
    <w:rsid w:val="60471B32"/>
    <w:rsid w:val="604A517F"/>
    <w:rsid w:val="605129B1"/>
    <w:rsid w:val="605424A1"/>
    <w:rsid w:val="6082700E"/>
    <w:rsid w:val="60883EF9"/>
    <w:rsid w:val="608A1A1F"/>
    <w:rsid w:val="608A1CA5"/>
    <w:rsid w:val="609A7072"/>
    <w:rsid w:val="609D79A4"/>
    <w:rsid w:val="60A725D1"/>
    <w:rsid w:val="60B60A66"/>
    <w:rsid w:val="60C469EE"/>
    <w:rsid w:val="60C56EFB"/>
    <w:rsid w:val="60CC2038"/>
    <w:rsid w:val="60CC405A"/>
    <w:rsid w:val="60CF38D6"/>
    <w:rsid w:val="60DB671F"/>
    <w:rsid w:val="60E76E71"/>
    <w:rsid w:val="60FA6BA5"/>
    <w:rsid w:val="61045C75"/>
    <w:rsid w:val="6106379C"/>
    <w:rsid w:val="6119542D"/>
    <w:rsid w:val="611B4D6D"/>
    <w:rsid w:val="61234CD3"/>
    <w:rsid w:val="612400C6"/>
    <w:rsid w:val="61291238"/>
    <w:rsid w:val="61317B79"/>
    <w:rsid w:val="613F7EC3"/>
    <w:rsid w:val="614147D4"/>
    <w:rsid w:val="61414AD6"/>
    <w:rsid w:val="614442C4"/>
    <w:rsid w:val="61481727"/>
    <w:rsid w:val="615564D1"/>
    <w:rsid w:val="61684974"/>
    <w:rsid w:val="61691F7C"/>
    <w:rsid w:val="616B35FF"/>
    <w:rsid w:val="618C17C7"/>
    <w:rsid w:val="61AD00BB"/>
    <w:rsid w:val="61AD1E69"/>
    <w:rsid w:val="61B431F8"/>
    <w:rsid w:val="61BF1B9C"/>
    <w:rsid w:val="61BF7DEE"/>
    <w:rsid w:val="61C827FF"/>
    <w:rsid w:val="61C930FF"/>
    <w:rsid w:val="61CC20BB"/>
    <w:rsid w:val="61CD6067"/>
    <w:rsid w:val="61D54F1C"/>
    <w:rsid w:val="61E215D8"/>
    <w:rsid w:val="61ED6709"/>
    <w:rsid w:val="61F25ACE"/>
    <w:rsid w:val="621041A6"/>
    <w:rsid w:val="621B3775"/>
    <w:rsid w:val="621C0D9D"/>
    <w:rsid w:val="62364782"/>
    <w:rsid w:val="62426A55"/>
    <w:rsid w:val="62526006"/>
    <w:rsid w:val="625E3163"/>
    <w:rsid w:val="6271733B"/>
    <w:rsid w:val="629D1EDE"/>
    <w:rsid w:val="62A019CE"/>
    <w:rsid w:val="62A3326C"/>
    <w:rsid w:val="62AA0157"/>
    <w:rsid w:val="62B426CA"/>
    <w:rsid w:val="62B66AFB"/>
    <w:rsid w:val="62B92A90"/>
    <w:rsid w:val="62D358FF"/>
    <w:rsid w:val="62D376AD"/>
    <w:rsid w:val="62F15D85"/>
    <w:rsid w:val="62F260C5"/>
    <w:rsid w:val="631A352E"/>
    <w:rsid w:val="631B2E02"/>
    <w:rsid w:val="632048BD"/>
    <w:rsid w:val="6329551F"/>
    <w:rsid w:val="63422443"/>
    <w:rsid w:val="63462575"/>
    <w:rsid w:val="634C56B2"/>
    <w:rsid w:val="634E31D8"/>
    <w:rsid w:val="63500CFE"/>
    <w:rsid w:val="63664ED9"/>
    <w:rsid w:val="637A5D7B"/>
    <w:rsid w:val="637C7D45"/>
    <w:rsid w:val="638D3657"/>
    <w:rsid w:val="6394356A"/>
    <w:rsid w:val="639C2195"/>
    <w:rsid w:val="63B84AF5"/>
    <w:rsid w:val="63BA6A4B"/>
    <w:rsid w:val="63BE65AF"/>
    <w:rsid w:val="63C61B2C"/>
    <w:rsid w:val="63C90AB0"/>
    <w:rsid w:val="63D27965"/>
    <w:rsid w:val="63D40BE9"/>
    <w:rsid w:val="63D86F45"/>
    <w:rsid w:val="63DC6A36"/>
    <w:rsid w:val="63FF2724"/>
    <w:rsid w:val="64102431"/>
    <w:rsid w:val="64107E22"/>
    <w:rsid w:val="64127E15"/>
    <w:rsid w:val="6416019A"/>
    <w:rsid w:val="64185E08"/>
    <w:rsid w:val="64224927"/>
    <w:rsid w:val="642301C1"/>
    <w:rsid w:val="64290917"/>
    <w:rsid w:val="642F3009"/>
    <w:rsid w:val="643423CE"/>
    <w:rsid w:val="643B7C00"/>
    <w:rsid w:val="64405216"/>
    <w:rsid w:val="6477050C"/>
    <w:rsid w:val="64917820"/>
    <w:rsid w:val="649A3A1C"/>
    <w:rsid w:val="64A05CB5"/>
    <w:rsid w:val="64A5243A"/>
    <w:rsid w:val="64A6511C"/>
    <w:rsid w:val="64AC3E47"/>
    <w:rsid w:val="64B74DAD"/>
    <w:rsid w:val="64B902C0"/>
    <w:rsid w:val="64C574CA"/>
    <w:rsid w:val="64CD45D0"/>
    <w:rsid w:val="64CE639C"/>
    <w:rsid w:val="64DA6254"/>
    <w:rsid w:val="64E9765C"/>
    <w:rsid w:val="64F102BF"/>
    <w:rsid w:val="64F360F8"/>
    <w:rsid w:val="64F531DE"/>
    <w:rsid w:val="64F61D79"/>
    <w:rsid w:val="65071890"/>
    <w:rsid w:val="65202952"/>
    <w:rsid w:val="6530163A"/>
    <w:rsid w:val="65373578"/>
    <w:rsid w:val="653B3C30"/>
    <w:rsid w:val="65436640"/>
    <w:rsid w:val="654B3E73"/>
    <w:rsid w:val="65574DC9"/>
    <w:rsid w:val="65757142"/>
    <w:rsid w:val="659868BE"/>
    <w:rsid w:val="6598698C"/>
    <w:rsid w:val="659C46CE"/>
    <w:rsid w:val="65B0017A"/>
    <w:rsid w:val="65B67155"/>
    <w:rsid w:val="65BB267B"/>
    <w:rsid w:val="65BF03BD"/>
    <w:rsid w:val="65C02498"/>
    <w:rsid w:val="65C459D3"/>
    <w:rsid w:val="65D35C16"/>
    <w:rsid w:val="65D74CE7"/>
    <w:rsid w:val="65E05075"/>
    <w:rsid w:val="65E87914"/>
    <w:rsid w:val="66044434"/>
    <w:rsid w:val="662446C4"/>
    <w:rsid w:val="662621EA"/>
    <w:rsid w:val="663302AE"/>
    <w:rsid w:val="663B7F8E"/>
    <w:rsid w:val="664802EF"/>
    <w:rsid w:val="66495ED8"/>
    <w:rsid w:val="6655487D"/>
    <w:rsid w:val="665670F3"/>
    <w:rsid w:val="665B6338"/>
    <w:rsid w:val="665E1984"/>
    <w:rsid w:val="665F74AA"/>
    <w:rsid w:val="66676D2D"/>
    <w:rsid w:val="666B5E4F"/>
    <w:rsid w:val="66756CCD"/>
    <w:rsid w:val="6684707D"/>
    <w:rsid w:val="668B06BC"/>
    <w:rsid w:val="66954647"/>
    <w:rsid w:val="669C24AC"/>
    <w:rsid w:val="66A55805"/>
    <w:rsid w:val="66D73BDC"/>
    <w:rsid w:val="66D9725C"/>
    <w:rsid w:val="66DB1226"/>
    <w:rsid w:val="66E867D7"/>
    <w:rsid w:val="6700022A"/>
    <w:rsid w:val="671B1623"/>
    <w:rsid w:val="671F124A"/>
    <w:rsid w:val="672636AE"/>
    <w:rsid w:val="67277FC8"/>
    <w:rsid w:val="67281F92"/>
    <w:rsid w:val="672C7CD4"/>
    <w:rsid w:val="67317098"/>
    <w:rsid w:val="67342DD7"/>
    <w:rsid w:val="673B3F29"/>
    <w:rsid w:val="673C7B87"/>
    <w:rsid w:val="67584625"/>
    <w:rsid w:val="675D1C3B"/>
    <w:rsid w:val="6760797E"/>
    <w:rsid w:val="67616FAC"/>
    <w:rsid w:val="676254A4"/>
    <w:rsid w:val="677A33C6"/>
    <w:rsid w:val="678278F4"/>
    <w:rsid w:val="67AC671F"/>
    <w:rsid w:val="67AE1CEA"/>
    <w:rsid w:val="67C779FD"/>
    <w:rsid w:val="67C972D1"/>
    <w:rsid w:val="67CD5013"/>
    <w:rsid w:val="67D00572"/>
    <w:rsid w:val="67DF6AF4"/>
    <w:rsid w:val="68010AE0"/>
    <w:rsid w:val="68064081"/>
    <w:rsid w:val="681F6961"/>
    <w:rsid w:val="68336E40"/>
    <w:rsid w:val="683F5EFA"/>
    <w:rsid w:val="68582403"/>
    <w:rsid w:val="685A43CD"/>
    <w:rsid w:val="68610A2F"/>
    <w:rsid w:val="686F60CA"/>
    <w:rsid w:val="687436E1"/>
    <w:rsid w:val="68805514"/>
    <w:rsid w:val="688D47A2"/>
    <w:rsid w:val="6897756F"/>
    <w:rsid w:val="68996CA3"/>
    <w:rsid w:val="689B5F43"/>
    <w:rsid w:val="68A044D6"/>
    <w:rsid w:val="68AB4C28"/>
    <w:rsid w:val="68AF3B46"/>
    <w:rsid w:val="68B00491"/>
    <w:rsid w:val="68B166E3"/>
    <w:rsid w:val="68B41D2F"/>
    <w:rsid w:val="68C3471D"/>
    <w:rsid w:val="68C55CEA"/>
    <w:rsid w:val="68C55FCD"/>
    <w:rsid w:val="68CE384C"/>
    <w:rsid w:val="68D0468F"/>
    <w:rsid w:val="68D979E8"/>
    <w:rsid w:val="68EB3277"/>
    <w:rsid w:val="68EF2D67"/>
    <w:rsid w:val="68F24AF6"/>
    <w:rsid w:val="69034D85"/>
    <w:rsid w:val="69104274"/>
    <w:rsid w:val="69196036"/>
    <w:rsid w:val="691B1DAE"/>
    <w:rsid w:val="691B3B5C"/>
    <w:rsid w:val="692109E6"/>
    <w:rsid w:val="69316E2F"/>
    <w:rsid w:val="693966D8"/>
    <w:rsid w:val="693E784B"/>
    <w:rsid w:val="69435FE9"/>
    <w:rsid w:val="69482477"/>
    <w:rsid w:val="694A4441"/>
    <w:rsid w:val="694E2071"/>
    <w:rsid w:val="694F48C3"/>
    <w:rsid w:val="69567D33"/>
    <w:rsid w:val="69586B5E"/>
    <w:rsid w:val="69653029"/>
    <w:rsid w:val="6969287D"/>
    <w:rsid w:val="696A6892"/>
    <w:rsid w:val="69725F19"/>
    <w:rsid w:val="69766163"/>
    <w:rsid w:val="697A3B33"/>
    <w:rsid w:val="69821E2D"/>
    <w:rsid w:val="69836B84"/>
    <w:rsid w:val="698B4C95"/>
    <w:rsid w:val="69AF3217"/>
    <w:rsid w:val="69B1626F"/>
    <w:rsid w:val="69B30239"/>
    <w:rsid w:val="69D44760"/>
    <w:rsid w:val="69DA7573"/>
    <w:rsid w:val="69E43118"/>
    <w:rsid w:val="69E91EAC"/>
    <w:rsid w:val="69EB79D2"/>
    <w:rsid w:val="69EC54F9"/>
    <w:rsid w:val="69F85C4B"/>
    <w:rsid w:val="6A022F6E"/>
    <w:rsid w:val="6A0942FC"/>
    <w:rsid w:val="6A107439"/>
    <w:rsid w:val="6A1A02B8"/>
    <w:rsid w:val="6A2E78BF"/>
    <w:rsid w:val="6A334ED5"/>
    <w:rsid w:val="6A3A2708"/>
    <w:rsid w:val="6A3D5D54"/>
    <w:rsid w:val="6A425119"/>
    <w:rsid w:val="6A466ADA"/>
    <w:rsid w:val="6A48145B"/>
    <w:rsid w:val="6A4B0471"/>
    <w:rsid w:val="6A4B66C3"/>
    <w:rsid w:val="6A4D243B"/>
    <w:rsid w:val="6A4D41E9"/>
    <w:rsid w:val="6A513BED"/>
    <w:rsid w:val="6A520EC7"/>
    <w:rsid w:val="6A674B7F"/>
    <w:rsid w:val="6A731776"/>
    <w:rsid w:val="6A7D43A3"/>
    <w:rsid w:val="6A8B6AC0"/>
    <w:rsid w:val="6A90057A"/>
    <w:rsid w:val="6A94006A"/>
    <w:rsid w:val="6A9516EC"/>
    <w:rsid w:val="6A95793E"/>
    <w:rsid w:val="6AA03569"/>
    <w:rsid w:val="6AA162E3"/>
    <w:rsid w:val="6AB04778"/>
    <w:rsid w:val="6AB4579C"/>
    <w:rsid w:val="6AC326FD"/>
    <w:rsid w:val="6AE663EC"/>
    <w:rsid w:val="6AF01018"/>
    <w:rsid w:val="6AF87E20"/>
    <w:rsid w:val="6AFE3735"/>
    <w:rsid w:val="6B005CDC"/>
    <w:rsid w:val="6B040620"/>
    <w:rsid w:val="6B15282D"/>
    <w:rsid w:val="6B3158B9"/>
    <w:rsid w:val="6B322639"/>
    <w:rsid w:val="6B3811CB"/>
    <w:rsid w:val="6B3B6738"/>
    <w:rsid w:val="6B4A697B"/>
    <w:rsid w:val="6B655563"/>
    <w:rsid w:val="6B685053"/>
    <w:rsid w:val="6B767770"/>
    <w:rsid w:val="6B8005EE"/>
    <w:rsid w:val="6B811C71"/>
    <w:rsid w:val="6B9876E6"/>
    <w:rsid w:val="6BA22313"/>
    <w:rsid w:val="6BA53054"/>
    <w:rsid w:val="6BB27B85"/>
    <w:rsid w:val="6BBF2EC5"/>
    <w:rsid w:val="6BD44496"/>
    <w:rsid w:val="6BDF70C3"/>
    <w:rsid w:val="6C026E9C"/>
    <w:rsid w:val="6C092392"/>
    <w:rsid w:val="6C101972"/>
    <w:rsid w:val="6C1C49E1"/>
    <w:rsid w:val="6C2471CC"/>
    <w:rsid w:val="6C272818"/>
    <w:rsid w:val="6C276CBC"/>
    <w:rsid w:val="6C2E2F51"/>
    <w:rsid w:val="6C2F0215"/>
    <w:rsid w:val="6C3D028D"/>
    <w:rsid w:val="6C3E3329"/>
    <w:rsid w:val="6C636C38"/>
    <w:rsid w:val="6C727F37"/>
    <w:rsid w:val="6C735A5D"/>
    <w:rsid w:val="6C7D68DC"/>
    <w:rsid w:val="6C944351"/>
    <w:rsid w:val="6C9500C9"/>
    <w:rsid w:val="6C983AD9"/>
    <w:rsid w:val="6CA66D11"/>
    <w:rsid w:val="6CBA457B"/>
    <w:rsid w:val="6CBE13CE"/>
    <w:rsid w:val="6CBF0CA2"/>
    <w:rsid w:val="6CC241C4"/>
    <w:rsid w:val="6CCB3AEB"/>
    <w:rsid w:val="6CD10828"/>
    <w:rsid w:val="6CD97FB6"/>
    <w:rsid w:val="6CEC0037"/>
    <w:rsid w:val="6CF84E59"/>
    <w:rsid w:val="6CFA617E"/>
    <w:rsid w:val="6D0112BB"/>
    <w:rsid w:val="6D1E3C1B"/>
    <w:rsid w:val="6D284A9A"/>
    <w:rsid w:val="6D2A08D5"/>
    <w:rsid w:val="6D512242"/>
    <w:rsid w:val="6D566C13"/>
    <w:rsid w:val="6D5C4209"/>
    <w:rsid w:val="6D611D5A"/>
    <w:rsid w:val="6D6D06FE"/>
    <w:rsid w:val="6D733672"/>
    <w:rsid w:val="6D793547"/>
    <w:rsid w:val="6D901DEE"/>
    <w:rsid w:val="6DAC7BC8"/>
    <w:rsid w:val="6DB34098"/>
    <w:rsid w:val="6DB36A59"/>
    <w:rsid w:val="6DB545B6"/>
    <w:rsid w:val="6DC02F24"/>
    <w:rsid w:val="6DC20A4A"/>
    <w:rsid w:val="6DCF4F15"/>
    <w:rsid w:val="6DDB1B0C"/>
    <w:rsid w:val="6DE02FB4"/>
    <w:rsid w:val="6DE67331"/>
    <w:rsid w:val="6E027099"/>
    <w:rsid w:val="6E0C6169"/>
    <w:rsid w:val="6E0F17B6"/>
    <w:rsid w:val="6E14501E"/>
    <w:rsid w:val="6E146DCC"/>
    <w:rsid w:val="6E1804E6"/>
    <w:rsid w:val="6E1A123E"/>
    <w:rsid w:val="6E1B015A"/>
    <w:rsid w:val="6E1E24BD"/>
    <w:rsid w:val="6E25722B"/>
    <w:rsid w:val="6E301E58"/>
    <w:rsid w:val="6E3A1C14"/>
    <w:rsid w:val="6E3F7222"/>
    <w:rsid w:val="6E412457"/>
    <w:rsid w:val="6E46167B"/>
    <w:rsid w:val="6E473E9E"/>
    <w:rsid w:val="6E4E2FDB"/>
    <w:rsid w:val="6E4E6782"/>
    <w:rsid w:val="6E514CED"/>
    <w:rsid w:val="6E5C415A"/>
    <w:rsid w:val="6E755ABD"/>
    <w:rsid w:val="6E841359"/>
    <w:rsid w:val="6E8E6B7E"/>
    <w:rsid w:val="6E957F0D"/>
    <w:rsid w:val="6EA2262A"/>
    <w:rsid w:val="6EA52E3A"/>
    <w:rsid w:val="6EAB14DE"/>
    <w:rsid w:val="6EB5308F"/>
    <w:rsid w:val="6EB563D5"/>
    <w:rsid w:val="6EBA7973"/>
    <w:rsid w:val="6EC16F54"/>
    <w:rsid w:val="6EC24A7A"/>
    <w:rsid w:val="6ECB4795"/>
    <w:rsid w:val="6ECC0578"/>
    <w:rsid w:val="6ED8604B"/>
    <w:rsid w:val="6ED91271"/>
    <w:rsid w:val="6ED92677"/>
    <w:rsid w:val="6EDA0016"/>
    <w:rsid w:val="6EE669BA"/>
    <w:rsid w:val="6EE71853"/>
    <w:rsid w:val="6EEE586F"/>
    <w:rsid w:val="6EF07839"/>
    <w:rsid w:val="6EF530A1"/>
    <w:rsid w:val="6F074469"/>
    <w:rsid w:val="6F0926A9"/>
    <w:rsid w:val="6F0A0AD3"/>
    <w:rsid w:val="6F135451"/>
    <w:rsid w:val="6F174DC6"/>
    <w:rsid w:val="6F225983"/>
    <w:rsid w:val="6F383CBE"/>
    <w:rsid w:val="6F3A0AB4"/>
    <w:rsid w:val="6F4251EF"/>
    <w:rsid w:val="6F437969"/>
    <w:rsid w:val="6F467459"/>
    <w:rsid w:val="6F4A333A"/>
    <w:rsid w:val="6F513CB1"/>
    <w:rsid w:val="6F525DFE"/>
    <w:rsid w:val="6F5A2F04"/>
    <w:rsid w:val="6F997ED1"/>
    <w:rsid w:val="6FA51ACE"/>
    <w:rsid w:val="6FA7614A"/>
    <w:rsid w:val="6FC15127"/>
    <w:rsid w:val="6FC50CC6"/>
    <w:rsid w:val="6FFC5590"/>
    <w:rsid w:val="70271038"/>
    <w:rsid w:val="705C333F"/>
    <w:rsid w:val="70666005"/>
    <w:rsid w:val="706D1DD0"/>
    <w:rsid w:val="7080699B"/>
    <w:rsid w:val="70856B87"/>
    <w:rsid w:val="70A72179"/>
    <w:rsid w:val="70C60851"/>
    <w:rsid w:val="70C66AA3"/>
    <w:rsid w:val="70CB230C"/>
    <w:rsid w:val="70D50A94"/>
    <w:rsid w:val="70D527EE"/>
    <w:rsid w:val="70D867D7"/>
    <w:rsid w:val="70DD1E39"/>
    <w:rsid w:val="70DE203F"/>
    <w:rsid w:val="70EA3307"/>
    <w:rsid w:val="70EB475C"/>
    <w:rsid w:val="70EC5626"/>
    <w:rsid w:val="70F125D6"/>
    <w:rsid w:val="70F27898"/>
    <w:rsid w:val="70F84925"/>
    <w:rsid w:val="711A294B"/>
    <w:rsid w:val="711F7F62"/>
    <w:rsid w:val="71202BA5"/>
    <w:rsid w:val="71257ACF"/>
    <w:rsid w:val="713A123F"/>
    <w:rsid w:val="713A6AF4"/>
    <w:rsid w:val="7140674B"/>
    <w:rsid w:val="714874B8"/>
    <w:rsid w:val="714A76D4"/>
    <w:rsid w:val="715144B4"/>
    <w:rsid w:val="715B5300"/>
    <w:rsid w:val="716D33C3"/>
    <w:rsid w:val="717464FF"/>
    <w:rsid w:val="71792BF4"/>
    <w:rsid w:val="717C7162"/>
    <w:rsid w:val="7189187F"/>
    <w:rsid w:val="718C1A9B"/>
    <w:rsid w:val="71950224"/>
    <w:rsid w:val="71B44B4E"/>
    <w:rsid w:val="71BE777B"/>
    <w:rsid w:val="71C22401"/>
    <w:rsid w:val="71CE718C"/>
    <w:rsid w:val="71CF7BDA"/>
    <w:rsid w:val="71D27F8A"/>
    <w:rsid w:val="71D64AC4"/>
    <w:rsid w:val="71D90A58"/>
    <w:rsid w:val="71DC40A5"/>
    <w:rsid w:val="720F7FD6"/>
    <w:rsid w:val="721F290F"/>
    <w:rsid w:val="72255A4C"/>
    <w:rsid w:val="723978A8"/>
    <w:rsid w:val="724E257A"/>
    <w:rsid w:val="72553024"/>
    <w:rsid w:val="725A3947"/>
    <w:rsid w:val="725B2B9B"/>
    <w:rsid w:val="725E4ABA"/>
    <w:rsid w:val="726301BA"/>
    <w:rsid w:val="727B156D"/>
    <w:rsid w:val="727E3CE5"/>
    <w:rsid w:val="72824C4C"/>
    <w:rsid w:val="72987FCC"/>
    <w:rsid w:val="729C3F60"/>
    <w:rsid w:val="72A2709C"/>
    <w:rsid w:val="72CB66EC"/>
    <w:rsid w:val="72D27981"/>
    <w:rsid w:val="72FD6976"/>
    <w:rsid w:val="730E028E"/>
    <w:rsid w:val="73122968"/>
    <w:rsid w:val="731F5D5E"/>
    <w:rsid w:val="732E26DE"/>
    <w:rsid w:val="733221CE"/>
    <w:rsid w:val="734B3290"/>
    <w:rsid w:val="735743F6"/>
    <w:rsid w:val="73612AB3"/>
    <w:rsid w:val="73853978"/>
    <w:rsid w:val="73AB01D2"/>
    <w:rsid w:val="73B07597"/>
    <w:rsid w:val="73BA21C4"/>
    <w:rsid w:val="73C51AD5"/>
    <w:rsid w:val="73C848E1"/>
    <w:rsid w:val="740A4EF9"/>
    <w:rsid w:val="741E793C"/>
    <w:rsid w:val="74381A66"/>
    <w:rsid w:val="74510BC5"/>
    <w:rsid w:val="745E3944"/>
    <w:rsid w:val="74673E70"/>
    <w:rsid w:val="7472484C"/>
    <w:rsid w:val="747B1953"/>
    <w:rsid w:val="748051BB"/>
    <w:rsid w:val="74890514"/>
    <w:rsid w:val="748A6630"/>
    <w:rsid w:val="74982505"/>
    <w:rsid w:val="74A569D0"/>
    <w:rsid w:val="74A94475"/>
    <w:rsid w:val="74B041AC"/>
    <w:rsid w:val="74B44EC7"/>
    <w:rsid w:val="74B530B7"/>
    <w:rsid w:val="74B66E2F"/>
    <w:rsid w:val="74BB5B1E"/>
    <w:rsid w:val="74C94DB4"/>
    <w:rsid w:val="74D3353D"/>
    <w:rsid w:val="74D55507"/>
    <w:rsid w:val="74DA48CB"/>
    <w:rsid w:val="74DC4AE7"/>
    <w:rsid w:val="74DF1EE2"/>
    <w:rsid w:val="74E41BEE"/>
    <w:rsid w:val="74F17E67"/>
    <w:rsid w:val="74FE15AB"/>
    <w:rsid w:val="75134281"/>
    <w:rsid w:val="752D650F"/>
    <w:rsid w:val="753B10E2"/>
    <w:rsid w:val="753F6E24"/>
    <w:rsid w:val="75457202"/>
    <w:rsid w:val="754C0670"/>
    <w:rsid w:val="754E52B9"/>
    <w:rsid w:val="755A5A0C"/>
    <w:rsid w:val="75662603"/>
    <w:rsid w:val="7592164A"/>
    <w:rsid w:val="75952EE8"/>
    <w:rsid w:val="75A44ED9"/>
    <w:rsid w:val="75B07D22"/>
    <w:rsid w:val="75CA545C"/>
    <w:rsid w:val="75D2632D"/>
    <w:rsid w:val="75F75951"/>
    <w:rsid w:val="75FE5C0C"/>
    <w:rsid w:val="760F4A49"/>
    <w:rsid w:val="76261D92"/>
    <w:rsid w:val="76277FE4"/>
    <w:rsid w:val="762F0C47"/>
    <w:rsid w:val="7635099D"/>
    <w:rsid w:val="763B575E"/>
    <w:rsid w:val="765039BD"/>
    <w:rsid w:val="76524935"/>
    <w:rsid w:val="765661D4"/>
    <w:rsid w:val="766052A4"/>
    <w:rsid w:val="767E1BCE"/>
    <w:rsid w:val="7681158E"/>
    <w:rsid w:val="7682521B"/>
    <w:rsid w:val="768D4D1F"/>
    <w:rsid w:val="769211D6"/>
    <w:rsid w:val="769E5415"/>
    <w:rsid w:val="76A2766B"/>
    <w:rsid w:val="76AF3B36"/>
    <w:rsid w:val="76BD471F"/>
    <w:rsid w:val="76C738D8"/>
    <w:rsid w:val="76CF5F86"/>
    <w:rsid w:val="76E934EC"/>
    <w:rsid w:val="76EB1A60"/>
    <w:rsid w:val="76EF2922"/>
    <w:rsid w:val="76F24FF3"/>
    <w:rsid w:val="771147F0"/>
    <w:rsid w:val="7718592D"/>
    <w:rsid w:val="772B7660"/>
    <w:rsid w:val="772E227A"/>
    <w:rsid w:val="7731279D"/>
    <w:rsid w:val="773D3837"/>
    <w:rsid w:val="774B1AB0"/>
    <w:rsid w:val="774E15A1"/>
    <w:rsid w:val="7750356B"/>
    <w:rsid w:val="77560ABE"/>
    <w:rsid w:val="77674410"/>
    <w:rsid w:val="776A0342"/>
    <w:rsid w:val="77762421"/>
    <w:rsid w:val="77894387"/>
    <w:rsid w:val="778969A8"/>
    <w:rsid w:val="779571D0"/>
    <w:rsid w:val="779F1DFC"/>
    <w:rsid w:val="77AC60C5"/>
    <w:rsid w:val="77B2509E"/>
    <w:rsid w:val="77B56B1F"/>
    <w:rsid w:val="77C15580"/>
    <w:rsid w:val="77CE623E"/>
    <w:rsid w:val="77D25D2E"/>
    <w:rsid w:val="77E14132"/>
    <w:rsid w:val="77F55EC0"/>
    <w:rsid w:val="780460F6"/>
    <w:rsid w:val="780F09F4"/>
    <w:rsid w:val="781639F1"/>
    <w:rsid w:val="78177BE5"/>
    <w:rsid w:val="78197E01"/>
    <w:rsid w:val="781F40D3"/>
    <w:rsid w:val="782B18E2"/>
    <w:rsid w:val="78411105"/>
    <w:rsid w:val="784671A4"/>
    <w:rsid w:val="7847341F"/>
    <w:rsid w:val="784A620C"/>
    <w:rsid w:val="784D7AAA"/>
    <w:rsid w:val="78546E24"/>
    <w:rsid w:val="78570929"/>
    <w:rsid w:val="78593726"/>
    <w:rsid w:val="785D2852"/>
    <w:rsid w:val="785D5F3F"/>
    <w:rsid w:val="787B0173"/>
    <w:rsid w:val="78850FF2"/>
    <w:rsid w:val="78861271"/>
    <w:rsid w:val="788A6608"/>
    <w:rsid w:val="78911745"/>
    <w:rsid w:val="789254BD"/>
    <w:rsid w:val="789B6A68"/>
    <w:rsid w:val="78A90480"/>
    <w:rsid w:val="78C7785D"/>
    <w:rsid w:val="78E57CE3"/>
    <w:rsid w:val="78E75809"/>
    <w:rsid w:val="78EC72C3"/>
    <w:rsid w:val="79206F6D"/>
    <w:rsid w:val="792425B9"/>
    <w:rsid w:val="792541B8"/>
    <w:rsid w:val="792F71B0"/>
    <w:rsid w:val="79434761"/>
    <w:rsid w:val="79554E68"/>
    <w:rsid w:val="79674B9C"/>
    <w:rsid w:val="79694470"/>
    <w:rsid w:val="79780B57"/>
    <w:rsid w:val="79786DA9"/>
    <w:rsid w:val="797C0647"/>
    <w:rsid w:val="797F1CD4"/>
    <w:rsid w:val="798E3ED6"/>
    <w:rsid w:val="79951709"/>
    <w:rsid w:val="79A27982"/>
    <w:rsid w:val="79AD6A52"/>
    <w:rsid w:val="79B109F5"/>
    <w:rsid w:val="79C97604"/>
    <w:rsid w:val="79CE69C9"/>
    <w:rsid w:val="79DC10E6"/>
    <w:rsid w:val="79E166FC"/>
    <w:rsid w:val="79F0693F"/>
    <w:rsid w:val="79F301DD"/>
    <w:rsid w:val="79F50C10"/>
    <w:rsid w:val="79FD5908"/>
    <w:rsid w:val="7A0D418F"/>
    <w:rsid w:val="7A0F40D4"/>
    <w:rsid w:val="7A1268B5"/>
    <w:rsid w:val="7A195BF9"/>
    <w:rsid w:val="7A1B7E60"/>
    <w:rsid w:val="7A24780B"/>
    <w:rsid w:val="7A2B3E1B"/>
    <w:rsid w:val="7A320D06"/>
    <w:rsid w:val="7A3251AA"/>
    <w:rsid w:val="7A356A48"/>
    <w:rsid w:val="7A3613CA"/>
    <w:rsid w:val="7A364017"/>
    <w:rsid w:val="7A3643D4"/>
    <w:rsid w:val="7A4F18B8"/>
    <w:rsid w:val="7A543372"/>
    <w:rsid w:val="7A555E8C"/>
    <w:rsid w:val="7A5944E4"/>
    <w:rsid w:val="7A650521"/>
    <w:rsid w:val="7A652E89"/>
    <w:rsid w:val="7A6B246A"/>
    <w:rsid w:val="7A8265E1"/>
    <w:rsid w:val="7A9479AC"/>
    <w:rsid w:val="7A996FD7"/>
    <w:rsid w:val="7AD4000F"/>
    <w:rsid w:val="7ADC6EC3"/>
    <w:rsid w:val="7AEE7323"/>
    <w:rsid w:val="7AF1471D"/>
    <w:rsid w:val="7AF4245F"/>
    <w:rsid w:val="7AF430BB"/>
    <w:rsid w:val="7AFA5109"/>
    <w:rsid w:val="7B004F54"/>
    <w:rsid w:val="7B00565C"/>
    <w:rsid w:val="7B18439F"/>
    <w:rsid w:val="7B1B3E90"/>
    <w:rsid w:val="7B204C45"/>
    <w:rsid w:val="7B271119"/>
    <w:rsid w:val="7B3D3241"/>
    <w:rsid w:val="7B5724BB"/>
    <w:rsid w:val="7B58479C"/>
    <w:rsid w:val="7B686D42"/>
    <w:rsid w:val="7B6E5D6D"/>
    <w:rsid w:val="7B7C4E33"/>
    <w:rsid w:val="7B841746"/>
    <w:rsid w:val="7B845591"/>
    <w:rsid w:val="7B867C36"/>
    <w:rsid w:val="7B8732D3"/>
    <w:rsid w:val="7B9559F0"/>
    <w:rsid w:val="7B9571A7"/>
    <w:rsid w:val="7B974A82"/>
    <w:rsid w:val="7B9B0B2D"/>
    <w:rsid w:val="7BA06143"/>
    <w:rsid w:val="7BA46E03"/>
    <w:rsid w:val="7BA7127F"/>
    <w:rsid w:val="7BAB5214"/>
    <w:rsid w:val="7BC736D0"/>
    <w:rsid w:val="7BD06A28"/>
    <w:rsid w:val="7BD44861"/>
    <w:rsid w:val="7BDC53CD"/>
    <w:rsid w:val="7BEA38B4"/>
    <w:rsid w:val="7BF32717"/>
    <w:rsid w:val="7C077F70"/>
    <w:rsid w:val="7C0B5CB2"/>
    <w:rsid w:val="7C0C0BAF"/>
    <w:rsid w:val="7C1D098D"/>
    <w:rsid w:val="7C26489A"/>
    <w:rsid w:val="7C2B3C5E"/>
    <w:rsid w:val="7C2F7BF3"/>
    <w:rsid w:val="7C377F63"/>
    <w:rsid w:val="7C423C8F"/>
    <w:rsid w:val="7C431520"/>
    <w:rsid w:val="7C482A62"/>
    <w:rsid w:val="7C501917"/>
    <w:rsid w:val="7C596A1E"/>
    <w:rsid w:val="7C5F7DAC"/>
    <w:rsid w:val="7C675037"/>
    <w:rsid w:val="7C694787"/>
    <w:rsid w:val="7C6A53A9"/>
    <w:rsid w:val="7C6B04FF"/>
    <w:rsid w:val="7C6C5AC7"/>
    <w:rsid w:val="7C6F7FEF"/>
    <w:rsid w:val="7C75137E"/>
    <w:rsid w:val="7C8A1DD9"/>
    <w:rsid w:val="7C8E62B7"/>
    <w:rsid w:val="7C9712F4"/>
    <w:rsid w:val="7C9E6CC4"/>
    <w:rsid w:val="7CA53A11"/>
    <w:rsid w:val="7CB43349"/>
    <w:rsid w:val="7CBC51FE"/>
    <w:rsid w:val="7CC6544B"/>
    <w:rsid w:val="7CCA0125"/>
    <w:rsid w:val="7CD04806"/>
    <w:rsid w:val="7CD341EB"/>
    <w:rsid w:val="7CD47820"/>
    <w:rsid w:val="7CE309DD"/>
    <w:rsid w:val="7CEA1476"/>
    <w:rsid w:val="7CEE5606"/>
    <w:rsid w:val="7CF16C56"/>
    <w:rsid w:val="7CFD0DDD"/>
    <w:rsid w:val="7D0239FF"/>
    <w:rsid w:val="7D164121"/>
    <w:rsid w:val="7D1D5C9D"/>
    <w:rsid w:val="7D276B1C"/>
    <w:rsid w:val="7D4274B2"/>
    <w:rsid w:val="7D43322A"/>
    <w:rsid w:val="7D5A23B4"/>
    <w:rsid w:val="7D5E40CD"/>
    <w:rsid w:val="7D62010B"/>
    <w:rsid w:val="7D741635"/>
    <w:rsid w:val="7D7D2BE0"/>
    <w:rsid w:val="7D845D1C"/>
    <w:rsid w:val="7D8471D9"/>
    <w:rsid w:val="7DA43CC8"/>
    <w:rsid w:val="7DAE2D99"/>
    <w:rsid w:val="7DC12ACC"/>
    <w:rsid w:val="7DCD56F2"/>
    <w:rsid w:val="7DD722F0"/>
    <w:rsid w:val="7DD86068"/>
    <w:rsid w:val="7DE1316F"/>
    <w:rsid w:val="7DE93DD1"/>
    <w:rsid w:val="7DF47BAF"/>
    <w:rsid w:val="7DF52776"/>
    <w:rsid w:val="7DF54524"/>
    <w:rsid w:val="7DFD5ACF"/>
    <w:rsid w:val="7E07340F"/>
    <w:rsid w:val="7E1150D6"/>
    <w:rsid w:val="7E222935"/>
    <w:rsid w:val="7E237B36"/>
    <w:rsid w:val="7E2A7744"/>
    <w:rsid w:val="7E521BF9"/>
    <w:rsid w:val="7E525E1A"/>
    <w:rsid w:val="7E5F4093"/>
    <w:rsid w:val="7E742EE1"/>
    <w:rsid w:val="7E832F35"/>
    <w:rsid w:val="7E865AC4"/>
    <w:rsid w:val="7E925CCF"/>
    <w:rsid w:val="7EA71F32"/>
    <w:rsid w:val="7EA91828"/>
    <w:rsid w:val="7ECF1219"/>
    <w:rsid w:val="7ED24865"/>
    <w:rsid w:val="7ED444FD"/>
    <w:rsid w:val="7ED44A81"/>
    <w:rsid w:val="7ED500EA"/>
    <w:rsid w:val="7ED93E46"/>
    <w:rsid w:val="7EE54599"/>
    <w:rsid w:val="7EF84FD8"/>
    <w:rsid w:val="7F001CE7"/>
    <w:rsid w:val="7F005876"/>
    <w:rsid w:val="7F032C71"/>
    <w:rsid w:val="7F04073A"/>
    <w:rsid w:val="7F066F18"/>
    <w:rsid w:val="7F0B7D77"/>
    <w:rsid w:val="7F1C285B"/>
    <w:rsid w:val="7F21571F"/>
    <w:rsid w:val="7F2350C1"/>
    <w:rsid w:val="7F2D4191"/>
    <w:rsid w:val="7F54171E"/>
    <w:rsid w:val="7F5931D8"/>
    <w:rsid w:val="7F6236CF"/>
    <w:rsid w:val="7F631961"/>
    <w:rsid w:val="7F707618"/>
    <w:rsid w:val="7F7D7358"/>
    <w:rsid w:val="7F961D37"/>
    <w:rsid w:val="7F985AAF"/>
    <w:rsid w:val="7FB977D3"/>
    <w:rsid w:val="7FBD72C3"/>
    <w:rsid w:val="7FC22B2C"/>
    <w:rsid w:val="7FCF6FF7"/>
    <w:rsid w:val="7FD05249"/>
    <w:rsid w:val="7FE151A1"/>
    <w:rsid w:val="7FE47E50"/>
    <w:rsid w:val="7FE945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iPriority="9" w:semiHidden="0" w:name="heading 2" w:locked="1"/>
    <w:lsdException w:qFormat="1" w:uiPriority="9" w:semiHidden="0" w:name="heading 3" w:locked="1"/>
    <w:lsdException w:qFormat="1" w:uiPriority="9" w:semiHidden="0" w:name="heading 4" w:locked="1"/>
    <w:lsdException w:qFormat="1" w:uiPriority="9" w:name="heading 5" w:locked="1"/>
    <w:lsdException w:qFormat="1" w:uiPriority="9" w:semiHidden="0" w:name="heading 6" w:locked="1"/>
    <w:lsdException w:qFormat="1" w:uiPriority="9" w:name="heading 7" w:locked="1"/>
    <w:lsdException w:qFormat="1" w:uiPriority="9" w:name="heading 8" w:locked="1"/>
    <w:lsdException w:qFormat="1" w:uiPriority="9"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35" w:name="caption" w:locked="1"/>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qFormat="1" w:uiPriority="99"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22" w:semiHidden="0" w:name="Strong" w:locked="1"/>
    <w:lsdException w:qFormat="1" w:unhideWhenUsed="0" w:uiPriority="2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EastAsia" w:cstheme="minorBidi"/>
      <w:sz w:val="24"/>
      <w:szCs w:val="22"/>
      <w:lang w:val="en-US" w:eastAsia="zh-CN" w:bidi="ar-SA"/>
    </w:rPr>
  </w:style>
  <w:style w:type="paragraph" w:styleId="2">
    <w:name w:val="heading 1"/>
    <w:basedOn w:val="1"/>
    <w:next w:val="1"/>
    <w:link w:val="48"/>
    <w:qFormat/>
    <w:locked/>
    <w:uiPriority w:val="9"/>
    <w:pPr>
      <w:keepNext/>
      <w:keepLines/>
      <w:spacing w:before="240" w:after="0"/>
      <w:outlineLvl w:val="0"/>
    </w:pPr>
    <w:rPr>
      <w:rFonts w:asciiTheme="majorHAnsi" w:hAnsiTheme="majorHAnsi" w:eastAsiaTheme="majorEastAsia" w:cstheme="majorBidi"/>
      <w:color w:val="376092" w:themeColor="accent1" w:themeShade="BF"/>
      <w:sz w:val="32"/>
      <w:szCs w:val="32"/>
    </w:rPr>
  </w:style>
  <w:style w:type="paragraph" w:styleId="3">
    <w:name w:val="heading 2"/>
    <w:basedOn w:val="1"/>
    <w:next w:val="1"/>
    <w:link w:val="49"/>
    <w:unhideWhenUsed/>
    <w:qFormat/>
    <w:locked/>
    <w:uiPriority w:val="9"/>
    <w:pPr>
      <w:keepNext/>
      <w:keepLines/>
      <w:spacing w:before="40" w:after="0"/>
      <w:outlineLvl w:val="1"/>
    </w:pPr>
    <w:rPr>
      <w:rFonts w:asciiTheme="majorHAnsi" w:hAnsiTheme="majorHAnsi" w:eastAsiaTheme="majorEastAsia" w:cstheme="majorBidi"/>
      <w:color w:val="376092" w:themeColor="accent1" w:themeShade="BF"/>
      <w:sz w:val="28"/>
      <w:szCs w:val="28"/>
    </w:rPr>
  </w:style>
  <w:style w:type="paragraph" w:styleId="4">
    <w:name w:val="heading 3"/>
    <w:basedOn w:val="1"/>
    <w:next w:val="1"/>
    <w:link w:val="74"/>
    <w:unhideWhenUsed/>
    <w:qFormat/>
    <w:locked/>
    <w:uiPriority w:val="9"/>
    <w:pPr>
      <w:keepNext/>
      <w:keepLines/>
      <w:spacing w:before="40" w:after="0"/>
      <w:outlineLvl w:val="2"/>
    </w:pPr>
    <w:rPr>
      <w:rFonts w:asciiTheme="majorHAnsi" w:hAnsiTheme="majorHAnsi" w:eastAsiaTheme="majorEastAsia" w:cstheme="majorBidi"/>
      <w:color w:val="254061" w:themeColor="accent1" w:themeShade="80"/>
      <w:szCs w:val="24"/>
    </w:rPr>
  </w:style>
  <w:style w:type="paragraph" w:styleId="5">
    <w:name w:val="heading 4"/>
    <w:basedOn w:val="1"/>
    <w:next w:val="1"/>
    <w:link w:val="194"/>
    <w:unhideWhenUsed/>
    <w:qFormat/>
    <w:locked/>
    <w:uiPriority w:val="9"/>
    <w:pPr>
      <w:keepNext/>
      <w:keepLines/>
      <w:spacing w:before="40" w:after="0"/>
      <w:outlineLvl w:val="3"/>
    </w:pPr>
    <w:rPr>
      <w:rFonts w:asciiTheme="majorHAnsi" w:hAnsiTheme="majorHAnsi" w:eastAsiaTheme="majorEastAsia" w:cstheme="majorBidi"/>
      <w:i/>
      <w:iCs/>
      <w:color w:val="376092" w:themeColor="accent1" w:themeShade="BF"/>
    </w:rPr>
  </w:style>
  <w:style w:type="paragraph" w:styleId="6">
    <w:name w:val="heading 5"/>
    <w:basedOn w:val="1"/>
    <w:next w:val="1"/>
    <w:link w:val="195"/>
    <w:semiHidden/>
    <w:unhideWhenUsed/>
    <w:qFormat/>
    <w:locked/>
    <w:uiPriority w:val="9"/>
    <w:pPr>
      <w:keepNext/>
      <w:keepLines/>
      <w:spacing w:before="40" w:after="0"/>
      <w:outlineLvl w:val="4"/>
    </w:pPr>
    <w:rPr>
      <w:rFonts w:asciiTheme="majorHAnsi" w:hAnsiTheme="majorHAnsi" w:eastAsiaTheme="majorEastAsia" w:cstheme="majorBidi"/>
      <w:color w:val="376092" w:themeColor="accent1" w:themeShade="BF"/>
    </w:rPr>
  </w:style>
  <w:style w:type="paragraph" w:styleId="7">
    <w:name w:val="heading 6"/>
    <w:basedOn w:val="1"/>
    <w:next w:val="1"/>
    <w:link w:val="196"/>
    <w:unhideWhenUsed/>
    <w:qFormat/>
    <w:locked/>
    <w:uiPriority w:val="9"/>
    <w:pPr>
      <w:keepNext/>
      <w:keepLines/>
      <w:spacing w:before="40" w:after="0"/>
      <w:outlineLvl w:val="5"/>
    </w:pPr>
    <w:rPr>
      <w:rFonts w:asciiTheme="majorHAnsi" w:hAnsiTheme="majorHAnsi" w:eastAsiaTheme="majorEastAsia" w:cstheme="majorBidi"/>
      <w:color w:val="254061" w:themeColor="accent1" w:themeShade="80"/>
    </w:rPr>
  </w:style>
  <w:style w:type="paragraph" w:styleId="8">
    <w:name w:val="heading 7"/>
    <w:basedOn w:val="1"/>
    <w:next w:val="1"/>
    <w:link w:val="197"/>
    <w:semiHidden/>
    <w:unhideWhenUsed/>
    <w:qFormat/>
    <w:locked/>
    <w:uiPriority w:val="9"/>
    <w:pPr>
      <w:keepNext/>
      <w:keepLines/>
      <w:spacing w:before="40" w:after="0"/>
      <w:outlineLvl w:val="6"/>
    </w:pPr>
    <w:rPr>
      <w:rFonts w:asciiTheme="majorHAnsi" w:hAnsiTheme="majorHAnsi" w:eastAsiaTheme="majorEastAsia" w:cstheme="majorBidi"/>
      <w:i/>
      <w:iCs/>
      <w:color w:val="254061" w:themeColor="accent1" w:themeShade="80"/>
    </w:rPr>
  </w:style>
  <w:style w:type="paragraph" w:styleId="9">
    <w:name w:val="heading 8"/>
    <w:basedOn w:val="1"/>
    <w:next w:val="1"/>
    <w:link w:val="198"/>
    <w:semiHidden/>
    <w:unhideWhenUsed/>
    <w:qFormat/>
    <w:locked/>
    <w:uiPriority w:val="9"/>
    <w:pPr>
      <w:keepNext/>
      <w:keepLines/>
      <w:spacing w:before="40" w:after="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link w:val="199"/>
    <w:semiHidden/>
    <w:unhideWhenUsed/>
    <w:qFormat/>
    <w:locked/>
    <w:uiPriority w:val="9"/>
    <w:pPr>
      <w:keepNext/>
      <w:keepLines/>
      <w:spacing w:before="40" w:after="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39">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locked/>
    <w:uiPriority w:val="0"/>
    <w:pPr>
      <w:ind w:left="1260"/>
    </w:pPr>
    <w:rPr>
      <w:rFonts w:ascii="Calibri" w:hAnsi="Calibri" w:cs="Calibri"/>
      <w:sz w:val="18"/>
      <w:szCs w:val="18"/>
    </w:rPr>
  </w:style>
  <w:style w:type="paragraph" w:styleId="12">
    <w:name w:val="table of authorities"/>
    <w:basedOn w:val="1"/>
    <w:next w:val="1"/>
    <w:semiHidden/>
    <w:qFormat/>
    <w:locked/>
    <w:uiPriority w:val="0"/>
    <w:pPr>
      <w:ind w:left="420" w:leftChars="200"/>
    </w:pPr>
  </w:style>
  <w:style w:type="paragraph" w:styleId="13">
    <w:name w:val="Note Heading"/>
    <w:basedOn w:val="1"/>
    <w:next w:val="1"/>
    <w:qFormat/>
    <w:locked/>
    <w:uiPriority w:val="0"/>
  </w:style>
  <w:style w:type="paragraph" w:styleId="14">
    <w:name w:val="Normal Indent"/>
    <w:basedOn w:val="1"/>
    <w:link w:val="50"/>
    <w:qFormat/>
    <w:locked/>
    <w:uiPriority w:val="99"/>
    <w:pPr>
      <w:spacing w:line="360" w:lineRule="auto"/>
      <w:ind w:firstLine="200" w:firstLineChars="200"/>
    </w:pPr>
    <w:rPr>
      <w:szCs w:val="20"/>
    </w:rPr>
  </w:style>
  <w:style w:type="paragraph" w:styleId="15">
    <w:name w:val="caption"/>
    <w:basedOn w:val="1"/>
    <w:next w:val="1"/>
    <w:semiHidden/>
    <w:unhideWhenUsed/>
    <w:qFormat/>
    <w:locked/>
    <w:uiPriority w:val="35"/>
    <w:pPr>
      <w:spacing w:after="200" w:line="240" w:lineRule="auto"/>
    </w:pPr>
    <w:rPr>
      <w:i/>
      <w:iCs/>
      <w:color w:val="1F497D" w:themeColor="text2"/>
      <w:sz w:val="18"/>
      <w:szCs w:val="18"/>
      <w14:textFill>
        <w14:solidFill>
          <w14:schemeClr w14:val="tx2"/>
        </w14:solidFill>
      </w14:textFill>
    </w:rPr>
  </w:style>
  <w:style w:type="paragraph" w:styleId="16">
    <w:name w:val="Document Map"/>
    <w:basedOn w:val="1"/>
    <w:link w:val="52"/>
    <w:qFormat/>
    <w:locked/>
    <w:uiPriority w:val="0"/>
    <w:rPr>
      <w:rFonts w:ascii="宋体"/>
      <w:sz w:val="18"/>
      <w:szCs w:val="18"/>
    </w:rPr>
  </w:style>
  <w:style w:type="paragraph" w:styleId="17">
    <w:name w:val="annotation text"/>
    <w:basedOn w:val="1"/>
    <w:link w:val="53"/>
    <w:semiHidden/>
    <w:qFormat/>
    <w:uiPriority w:val="0"/>
    <w:pPr>
      <w:spacing w:line="360" w:lineRule="auto"/>
      <w:ind w:firstLine="200" w:firstLineChars="200"/>
    </w:pPr>
    <w:rPr>
      <w:szCs w:val="20"/>
    </w:rPr>
  </w:style>
  <w:style w:type="paragraph" w:styleId="18">
    <w:name w:val="Salutation"/>
    <w:next w:val="1"/>
    <w:unhideWhenUsed/>
    <w:qFormat/>
    <w:locked/>
    <w:uiPriority w:val="99"/>
    <w:pPr>
      <w:widowControl w:val="0"/>
      <w:spacing w:after="160" w:line="307" w:lineRule="auto"/>
      <w:jc w:val="both"/>
    </w:pPr>
    <w:rPr>
      <w:rFonts w:ascii="Times New Roman" w:hAnsi="Times New Roman" w:eastAsia="宋体" w:cs="Times New Roman"/>
      <w:kern w:val="2"/>
      <w:sz w:val="21"/>
      <w:szCs w:val="24"/>
      <w:lang w:val="en-US" w:eastAsia="zh-CN" w:bidi="ar-SA"/>
    </w:rPr>
  </w:style>
  <w:style w:type="paragraph" w:styleId="19">
    <w:name w:val="Body Text"/>
    <w:basedOn w:val="1"/>
    <w:link w:val="51"/>
    <w:qFormat/>
    <w:uiPriority w:val="0"/>
    <w:pPr>
      <w:snapToGrid w:val="0"/>
      <w:spacing w:before="60"/>
      <w:ind w:right="113"/>
    </w:pPr>
    <w:rPr>
      <w:sz w:val="18"/>
      <w:szCs w:val="20"/>
    </w:rPr>
  </w:style>
  <w:style w:type="paragraph" w:styleId="20">
    <w:name w:val="Body Text Indent"/>
    <w:basedOn w:val="1"/>
    <w:next w:val="21"/>
    <w:link w:val="54"/>
    <w:qFormat/>
    <w:uiPriority w:val="0"/>
    <w:pPr>
      <w:spacing w:after="120"/>
      <w:ind w:left="420" w:leftChars="200"/>
    </w:pPr>
    <w:rPr>
      <w:szCs w:val="20"/>
    </w:rPr>
  </w:style>
  <w:style w:type="paragraph" w:styleId="21">
    <w:name w:val="Body Text First Indent 2"/>
    <w:basedOn w:val="1"/>
    <w:next w:val="22"/>
    <w:qFormat/>
    <w:locked/>
    <w:uiPriority w:val="0"/>
    <w:pPr>
      <w:ind w:firstLine="420" w:firstLineChars="200"/>
    </w:pPr>
    <w:rPr>
      <w:sz w:val="21"/>
    </w:rPr>
  </w:style>
  <w:style w:type="paragraph" w:styleId="22">
    <w:name w:val="Body Text First Indent"/>
    <w:basedOn w:val="19"/>
    <w:next w:val="1"/>
    <w:qFormat/>
    <w:locked/>
    <w:uiPriority w:val="0"/>
    <w:pPr>
      <w:spacing w:line="360" w:lineRule="auto"/>
      <w:ind w:right="0" w:firstLine="720" w:firstLineChars="200"/>
    </w:pPr>
    <w:rPr>
      <w:sz w:val="21"/>
    </w:rPr>
  </w:style>
  <w:style w:type="paragraph" w:styleId="23">
    <w:name w:val="index 4"/>
    <w:basedOn w:val="1"/>
    <w:next w:val="1"/>
    <w:qFormat/>
    <w:locked/>
    <w:uiPriority w:val="0"/>
    <w:pPr>
      <w:ind w:left="600" w:leftChars="600"/>
    </w:pPr>
    <w:rPr>
      <w:sz w:val="21"/>
    </w:rPr>
  </w:style>
  <w:style w:type="paragraph" w:styleId="24">
    <w:name w:val="Plain Text"/>
    <w:basedOn w:val="1"/>
    <w:next w:val="19"/>
    <w:qFormat/>
    <w:locked/>
    <w:uiPriority w:val="0"/>
    <w:rPr>
      <w:rFonts w:ascii="宋体" w:hAnsi="Courier New"/>
    </w:rPr>
  </w:style>
  <w:style w:type="paragraph" w:styleId="25">
    <w:name w:val="Date"/>
    <w:basedOn w:val="1"/>
    <w:next w:val="1"/>
    <w:link w:val="55"/>
    <w:qFormat/>
    <w:uiPriority w:val="0"/>
    <w:pPr>
      <w:ind w:left="100" w:leftChars="2500"/>
    </w:pPr>
    <w:rPr>
      <w:szCs w:val="20"/>
    </w:rPr>
  </w:style>
  <w:style w:type="paragraph" w:styleId="26">
    <w:name w:val="Body Text Indent 2"/>
    <w:basedOn w:val="1"/>
    <w:next w:val="1"/>
    <w:qFormat/>
    <w:locked/>
    <w:uiPriority w:val="0"/>
    <w:pPr>
      <w:adjustRightInd w:val="0"/>
      <w:snapToGrid w:val="0"/>
      <w:spacing w:line="360" w:lineRule="auto"/>
      <w:ind w:firstLine="1944" w:firstLineChars="1080"/>
    </w:pPr>
    <w:rPr>
      <w:sz w:val="18"/>
    </w:rPr>
  </w:style>
  <w:style w:type="paragraph" w:styleId="27">
    <w:name w:val="Balloon Text"/>
    <w:basedOn w:val="1"/>
    <w:link w:val="56"/>
    <w:semiHidden/>
    <w:qFormat/>
    <w:uiPriority w:val="0"/>
    <w:rPr>
      <w:sz w:val="18"/>
      <w:szCs w:val="20"/>
    </w:rPr>
  </w:style>
  <w:style w:type="paragraph" w:styleId="28">
    <w:name w:val="footer"/>
    <w:basedOn w:val="1"/>
    <w:next w:val="29"/>
    <w:link w:val="57"/>
    <w:qFormat/>
    <w:uiPriority w:val="99"/>
    <w:pPr>
      <w:tabs>
        <w:tab w:val="center" w:pos="4153"/>
        <w:tab w:val="right" w:pos="8306"/>
      </w:tabs>
      <w:snapToGrid w:val="0"/>
    </w:pPr>
    <w:rPr>
      <w:sz w:val="18"/>
      <w:szCs w:val="20"/>
    </w:rPr>
  </w:style>
  <w:style w:type="paragraph" w:styleId="29">
    <w:name w:val="Normal (Web)"/>
    <w:basedOn w:val="1"/>
    <w:link w:val="59"/>
    <w:qFormat/>
    <w:uiPriority w:val="0"/>
    <w:pPr>
      <w:spacing w:before="100" w:beforeAutospacing="1" w:after="100" w:afterAutospacing="1"/>
    </w:pPr>
    <w:rPr>
      <w:rFonts w:ascii="宋体" w:hAnsi="宋体"/>
      <w:szCs w:val="20"/>
    </w:rPr>
  </w:style>
  <w:style w:type="paragraph" w:styleId="30">
    <w:name w:val="envelope return"/>
    <w:basedOn w:val="1"/>
    <w:qFormat/>
    <w:locked/>
    <w:uiPriority w:val="0"/>
    <w:pPr>
      <w:adjustRightInd w:val="0"/>
      <w:snapToGrid w:val="0"/>
    </w:pPr>
    <w:rPr>
      <w:rFonts w:ascii="Arial" w:hAnsi="Arial"/>
    </w:rPr>
  </w:style>
  <w:style w:type="paragraph" w:styleId="31">
    <w:name w:val="header"/>
    <w:basedOn w:val="1"/>
    <w:link w:val="215"/>
    <w:qFormat/>
    <w:uiPriority w:val="0"/>
    <w:pPr>
      <w:pBdr>
        <w:bottom w:val="single" w:color="auto" w:sz="6" w:space="1"/>
      </w:pBdr>
      <w:tabs>
        <w:tab w:val="center" w:pos="4153"/>
        <w:tab w:val="right" w:pos="8306"/>
      </w:tabs>
      <w:snapToGrid w:val="0"/>
      <w:jc w:val="center"/>
    </w:pPr>
    <w:rPr>
      <w:sz w:val="18"/>
      <w:szCs w:val="20"/>
    </w:rPr>
  </w:style>
  <w:style w:type="paragraph" w:styleId="32">
    <w:name w:val="toc 1"/>
    <w:basedOn w:val="1"/>
    <w:next w:val="1"/>
    <w:unhideWhenUsed/>
    <w:qFormat/>
    <w:locked/>
    <w:uiPriority w:val="39"/>
    <w:pPr>
      <w:spacing w:before="360"/>
    </w:pPr>
    <w:rPr>
      <w:rFonts w:ascii="等线 Light" w:hAnsi="等线 Light" w:eastAsia="宋体"/>
      <w:b/>
      <w:bCs/>
      <w:caps/>
    </w:rPr>
  </w:style>
  <w:style w:type="paragraph" w:styleId="33">
    <w:name w:val="Subtitle"/>
    <w:basedOn w:val="1"/>
    <w:next w:val="1"/>
    <w:link w:val="201"/>
    <w:qFormat/>
    <w:locked/>
    <w:uiPriority w:val="11"/>
    <w:rPr>
      <w:color w:val="595959" w:themeColor="text1" w:themeTint="A6"/>
      <w:spacing w:val="15"/>
      <w14:textFill>
        <w14:solidFill>
          <w14:schemeClr w14:val="tx1">
            <w14:lumMod w14:val="65000"/>
            <w14:lumOff w14:val="35000"/>
          </w14:schemeClr>
        </w14:solidFill>
      </w14:textFill>
    </w:rPr>
  </w:style>
  <w:style w:type="paragraph" w:styleId="34">
    <w:name w:val="toc 2"/>
    <w:basedOn w:val="1"/>
    <w:next w:val="1"/>
    <w:qFormat/>
    <w:locked/>
    <w:uiPriority w:val="0"/>
    <w:pPr>
      <w:ind w:left="420" w:leftChars="200"/>
    </w:pPr>
  </w:style>
  <w:style w:type="paragraph" w:styleId="35">
    <w:name w:val="Title"/>
    <w:basedOn w:val="1"/>
    <w:next w:val="1"/>
    <w:link w:val="200"/>
    <w:qFormat/>
    <w:locked/>
    <w:uiPriority w:val="10"/>
    <w:pPr>
      <w:spacing w:after="0" w:line="240" w:lineRule="auto"/>
      <w:contextualSpacing/>
    </w:pPr>
    <w:rPr>
      <w:rFonts w:asciiTheme="majorHAnsi" w:hAnsiTheme="majorHAnsi" w:eastAsiaTheme="majorEastAsia" w:cstheme="majorBidi"/>
      <w:spacing w:val="-10"/>
      <w:sz w:val="56"/>
      <w:szCs w:val="56"/>
    </w:rPr>
  </w:style>
  <w:style w:type="paragraph" w:styleId="36">
    <w:name w:val="annotation subject"/>
    <w:basedOn w:val="17"/>
    <w:next w:val="17"/>
    <w:link w:val="60"/>
    <w:semiHidden/>
    <w:qFormat/>
    <w:uiPriority w:val="0"/>
    <w:rPr>
      <w:b/>
    </w:rPr>
  </w:style>
  <w:style w:type="table" w:styleId="38">
    <w:name w:val="Table Grid"/>
    <w:basedOn w:val="3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basedOn w:val="39"/>
    <w:qFormat/>
    <w:locked/>
    <w:uiPriority w:val="22"/>
    <w:rPr>
      <w:b/>
      <w:bCs/>
      <w:color w:val="auto"/>
    </w:rPr>
  </w:style>
  <w:style w:type="character" w:styleId="41">
    <w:name w:val="page number"/>
    <w:basedOn w:val="39"/>
    <w:qFormat/>
    <w:locked/>
    <w:uiPriority w:val="0"/>
    <w:rPr>
      <w:rFonts w:hint="default" w:ascii="Times New Roman" w:hAnsi="Times New Roman" w:cs="Times New Roman"/>
    </w:rPr>
  </w:style>
  <w:style w:type="character" w:styleId="42">
    <w:name w:val="Emphasis"/>
    <w:basedOn w:val="39"/>
    <w:qFormat/>
    <w:locked/>
    <w:uiPriority w:val="20"/>
    <w:rPr>
      <w:i/>
      <w:iCs/>
      <w:color w:val="auto"/>
    </w:rPr>
  </w:style>
  <w:style w:type="character" w:styleId="43">
    <w:name w:val="Hyperlink"/>
    <w:qFormat/>
    <w:locked/>
    <w:uiPriority w:val="0"/>
    <w:rPr>
      <w:color w:val="0000FF"/>
      <w:u w:val="single"/>
    </w:rPr>
  </w:style>
  <w:style w:type="character" w:styleId="44">
    <w:name w:val="annotation reference"/>
    <w:semiHidden/>
    <w:qFormat/>
    <w:uiPriority w:val="0"/>
    <w:rPr>
      <w:sz w:val="21"/>
    </w:rPr>
  </w:style>
  <w:style w:type="paragraph" w:customStyle="1" w:styleId="45">
    <w:name w:val="Default"/>
    <w:basedOn w:val="46"/>
    <w:next w:val="11"/>
    <w:unhideWhenUsed/>
    <w:qFormat/>
    <w:uiPriority w:val="0"/>
    <w:pPr>
      <w:widowControl w:val="0"/>
      <w:autoSpaceDE w:val="0"/>
      <w:autoSpaceDN w:val="0"/>
    </w:pPr>
    <w:rPr>
      <w:rFonts w:hint="eastAsia" w:ascii="Calibri" w:hAnsi="Calibri" w:eastAsia="Times New Roman" w:cs="Times New Roman"/>
      <w:color w:val="000000"/>
    </w:rPr>
  </w:style>
  <w:style w:type="paragraph" w:customStyle="1" w:styleId="46">
    <w:name w:val="纯文本1"/>
    <w:basedOn w:val="1"/>
    <w:qFormat/>
    <w:uiPriority w:val="0"/>
    <w:pPr>
      <w:adjustRightInd w:val="0"/>
    </w:pPr>
    <w:rPr>
      <w:rFonts w:ascii="宋体" w:hAnsi="Courier New"/>
    </w:rPr>
  </w:style>
  <w:style w:type="paragraph" w:customStyle="1" w:styleId="47">
    <w:name w:val="标题 段落4级"/>
    <w:qFormat/>
    <w:uiPriority w:val="0"/>
    <w:pPr>
      <w:spacing w:after="160" w:line="500" w:lineRule="exact"/>
      <w:outlineLvl w:val="3"/>
    </w:pPr>
    <w:rPr>
      <w:rFonts w:ascii="Times New Roman" w:hAnsi="Times New Roman" w:eastAsia="仿宋_GB2312" w:cs="Calibri"/>
      <w:b/>
      <w:kern w:val="2"/>
      <w:sz w:val="28"/>
      <w:szCs w:val="24"/>
      <w:lang w:val="en-US" w:eastAsia="zh-CN" w:bidi="ar-SA"/>
    </w:rPr>
  </w:style>
  <w:style w:type="character" w:customStyle="1" w:styleId="48">
    <w:name w:val="标题 1 字符"/>
    <w:basedOn w:val="39"/>
    <w:link w:val="2"/>
    <w:qFormat/>
    <w:uiPriority w:val="9"/>
    <w:rPr>
      <w:rFonts w:asciiTheme="majorHAnsi" w:hAnsiTheme="majorHAnsi" w:eastAsiaTheme="majorEastAsia" w:cstheme="majorBidi"/>
      <w:color w:val="376092" w:themeColor="accent1" w:themeShade="BF"/>
      <w:sz w:val="32"/>
      <w:szCs w:val="32"/>
    </w:rPr>
  </w:style>
  <w:style w:type="character" w:customStyle="1" w:styleId="49">
    <w:name w:val="标题 2 字符"/>
    <w:basedOn w:val="39"/>
    <w:link w:val="3"/>
    <w:qFormat/>
    <w:uiPriority w:val="9"/>
    <w:rPr>
      <w:rFonts w:asciiTheme="majorHAnsi" w:hAnsiTheme="majorHAnsi" w:eastAsiaTheme="majorEastAsia" w:cstheme="majorBidi"/>
      <w:color w:val="376092" w:themeColor="accent1" w:themeShade="BF"/>
      <w:sz w:val="28"/>
      <w:szCs w:val="28"/>
    </w:rPr>
  </w:style>
  <w:style w:type="character" w:customStyle="1" w:styleId="50">
    <w:name w:val="正文缩进 字符"/>
    <w:link w:val="14"/>
    <w:qFormat/>
    <w:uiPriority w:val="99"/>
    <w:rPr>
      <w:rFonts w:hint="eastAsia" w:ascii="黑体" w:hAnsi="宋体" w:eastAsia="黑体" w:cs="黑体"/>
      <w:kern w:val="2"/>
      <w:sz w:val="24"/>
    </w:rPr>
  </w:style>
  <w:style w:type="character" w:customStyle="1" w:styleId="51">
    <w:name w:val="正文文本 字符"/>
    <w:link w:val="19"/>
    <w:qFormat/>
    <w:locked/>
    <w:uiPriority w:val="0"/>
    <w:rPr>
      <w:sz w:val="18"/>
    </w:rPr>
  </w:style>
  <w:style w:type="character" w:customStyle="1" w:styleId="52">
    <w:name w:val="文档结构图 字符"/>
    <w:link w:val="16"/>
    <w:qFormat/>
    <w:uiPriority w:val="0"/>
    <w:rPr>
      <w:rFonts w:ascii="宋体"/>
      <w:kern w:val="2"/>
      <w:sz w:val="18"/>
      <w:szCs w:val="18"/>
    </w:rPr>
  </w:style>
  <w:style w:type="character" w:customStyle="1" w:styleId="53">
    <w:name w:val="批注文字 字符"/>
    <w:link w:val="17"/>
    <w:qFormat/>
    <w:locked/>
    <w:uiPriority w:val="0"/>
    <w:rPr>
      <w:rFonts w:ascii="Times New Roman" w:hAnsi="Times New Roman" w:eastAsia="宋体"/>
      <w:sz w:val="24"/>
    </w:rPr>
  </w:style>
  <w:style w:type="character" w:customStyle="1" w:styleId="54">
    <w:name w:val="正文文本缩进 字符1"/>
    <w:link w:val="20"/>
    <w:qFormat/>
    <w:uiPriority w:val="0"/>
    <w:rPr>
      <w:rFonts w:ascii="宋体" w:hAnsi="宋体" w:eastAsia="仿宋_GB2312" w:cs="Courier New"/>
      <w:kern w:val="2"/>
      <w:sz w:val="28"/>
      <w:szCs w:val="32"/>
      <w:lang w:val="en-US" w:eastAsia="zh-CN" w:bidi="ar-SA"/>
    </w:rPr>
  </w:style>
  <w:style w:type="character" w:customStyle="1" w:styleId="55">
    <w:name w:val="日期 字符1"/>
    <w:link w:val="25"/>
    <w:qFormat/>
    <w:locked/>
    <w:uiPriority w:val="0"/>
    <w:rPr>
      <w:rFonts w:ascii="Times New Roman" w:hAnsi="Times New Roman" w:eastAsia="宋体"/>
      <w:sz w:val="24"/>
    </w:rPr>
  </w:style>
  <w:style w:type="character" w:customStyle="1" w:styleId="56">
    <w:name w:val="批注框文本 字符"/>
    <w:link w:val="27"/>
    <w:semiHidden/>
    <w:qFormat/>
    <w:locked/>
    <w:uiPriority w:val="0"/>
    <w:rPr>
      <w:rFonts w:ascii="Times New Roman" w:hAnsi="Times New Roman" w:eastAsia="宋体"/>
      <w:sz w:val="18"/>
    </w:rPr>
  </w:style>
  <w:style w:type="character" w:customStyle="1" w:styleId="57">
    <w:name w:val="页脚 字符1"/>
    <w:link w:val="28"/>
    <w:qFormat/>
    <w:locked/>
    <w:uiPriority w:val="99"/>
    <w:rPr>
      <w:sz w:val="18"/>
    </w:rPr>
  </w:style>
  <w:style w:type="character" w:customStyle="1" w:styleId="58">
    <w:name w:val="页眉 字符"/>
    <w:qFormat/>
    <w:locked/>
    <w:uiPriority w:val="0"/>
    <w:rPr>
      <w:sz w:val="18"/>
    </w:rPr>
  </w:style>
  <w:style w:type="character" w:customStyle="1" w:styleId="59">
    <w:name w:val="普通(网站) 字符"/>
    <w:link w:val="29"/>
    <w:qFormat/>
    <w:locked/>
    <w:uiPriority w:val="0"/>
    <w:rPr>
      <w:rFonts w:ascii="宋体" w:hAnsi="宋体" w:eastAsia="宋体"/>
      <w:sz w:val="24"/>
    </w:rPr>
  </w:style>
  <w:style w:type="character" w:customStyle="1" w:styleId="60">
    <w:name w:val="批注主题 字符"/>
    <w:link w:val="36"/>
    <w:semiHidden/>
    <w:qFormat/>
    <w:locked/>
    <w:uiPriority w:val="0"/>
    <w:rPr>
      <w:rFonts w:ascii="Times New Roman" w:hAnsi="Times New Roman" w:eastAsia="宋体"/>
      <w:b/>
      <w:kern w:val="2"/>
      <w:sz w:val="24"/>
    </w:rPr>
  </w:style>
  <w:style w:type="character" w:customStyle="1" w:styleId="61">
    <w:name w:val="font61"/>
    <w:qFormat/>
    <w:uiPriority w:val="0"/>
    <w:rPr>
      <w:rFonts w:hint="eastAsia" w:ascii="宋体" w:hAnsi="宋体" w:eastAsia="宋体" w:cs="宋体"/>
      <w:color w:val="000000"/>
      <w:sz w:val="18"/>
      <w:szCs w:val="18"/>
      <w:u w:val="none"/>
    </w:rPr>
  </w:style>
  <w:style w:type="character" w:customStyle="1" w:styleId="62">
    <w:name w:val="Q表格标题 Char"/>
    <w:link w:val="63"/>
    <w:qFormat/>
    <w:uiPriority w:val="0"/>
    <w:rPr>
      <w:b/>
      <w:kern w:val="2"/>
      <w:sz w:val="24"/>
      <w:szCs w:val="24"/>
    </w:rPr>
  </w:style>
  <w:style w:type="paragraph" w:customStyle="1" w:styleId="63">
    <w:name w:val="Q表格标题"/>
    <w:basedOn w:val="1"/>
    <w:link w:val="62"/>
    <w:qFormat/>
    <w:uiPriority w:val="0"/>
    <w:pPr>
      <w:spacing w:line="360" w:lineRule="auto"/>
      <w:jc w:val="center"/>
      <w:outlineLvl w:val="4"/>
    </w:pPr>
    <w:rPr>
      <w:b/>
    </w:rPr>
  </w:style>
  <w:style w:type="character" w:customStyle="1" w:styleId="64">
    <w:name w:val="Font Style92"/>
    <w:qFormat/>
    <w:uiPriority w:val="0"/>
    <w:rPr>
      <w:rFonts w:hint="eastAsia" w:ascii="宋体" w:hAnsi="宋体" w:eastAsia="宋体" w:cs="宋体"/>
      <w:spacing w:val="10"/>
      <w:sz w:val="26"/>
      <w:szCs w:val="26"/>
    </w:rPr>
  </w:style>
  <w:style w:type="character" w:customStyle="1" w:styleId="65">
    <w:name w:val="font31"/>
    <w:qFormat/>
    <w:uiPriority w:val="0"/>
    <w:rPr>
      <w:rFonts w:hint="default" w:ascii="Times New Roman" w:hAnsi="Times New Roman" w:cs="Times New Roman"/>
      <w:color w:val="000000"/>
      <w:sz w:val="21"/>
      <w:szCs w:val="21"/>
      <w:u w:val="none"/>
      <w:vertAlign w:val="superscript"/>
    </w:rPr>
  </w:style>
  <w:style w:type="character" w:customStyle="1" w:styleId="66">
    <w:name w:val="font21"/>
    <w:qFormat/>
    <w:uiPriority w:val="0"/>
    <w:rPr>
      <w:rFonts w:hint="eastAsia" w:ascii="宋体" w:hAnsi="宋体" w:eastAsia="宋体" w:cs="宋体"/>
      <w:color w:val="000000"/>
      <w:sz w:val="21"/>
      <w:szCs w:val="21"/>
      <w:u w:val="none"/>
    </w:rPr>
  </w:style>
  <w:style w:type="character" w:customStyle="1" w:styleId="67">
    <w:name w:val="表格 Char"/>
    <w:link w:val="68"/>
    <w:qFormat/>
    <w:locked/>
    <w:uiPriority w:val="0"/>
    <w:rPr>
      <w:rFonts w:ascii="宋体"/>
      <w:sz w:val="21"/>
    </w:rPr>
  </w:style>
  <w:style w:type="paragraph" w:customStyle="1" w:styleId="68">
    <w:name w:val="表格"/>
    <w:basedOn w:val="1"/>
    <w:next w:val="1"/>
    <w:link w:val="67"/>
    <w:qFormat/>
    <w:uiPriority w:val="0"/>
    <w:pPr>
      <w:adjustRightInd w:val="0"/>
      <w:snapToGrid w:val="0"/>
      <w:spacing w:beforeLines="10" w:afterLines="10"/>
      <w:jc w:val="center"/>
    </w:pPr>
    <w:rPr>
      <w:rFonts w:ascii="宋体"/>
      <w:szCs w:val="20"/>
    </w:rPr>
  </w:style>
  <w:style w:type="character" w:customStyle="1" w:styleId="69">
    <w:name w:val="表格内容 Char1"/>
    <w:qFormat/>
    <w:uiPriority w:val="0"/>
    <w:rPr>
      <w:rFonts w:hint="eastAsia" w:ascii="宋体" w:hAnsi="宋体" w:eastAsia="宋体" w:cs="宋体"/>
      <w:kern w:val="0"/>
      <w:sz w:val="21"/>
    </w:rPr>
  </w:style>
  <w:style w:type="character" w:customStyle="1" w:styleId="70">
    <w:name w:val="表格标题QQ Char"/>
    <w:link w:val="71"/>
    <w:qFormat/>
    <w:uiPriority w:val="0"/>
    <w:rPr>
      <w:b/>
    </w:rPr>
  </w:style>
  <w:style w:type="paragraph" w:customStyle="1" w:styleId="71">
    <w:name w:val="表格标题QQ"/>
    <w:basedOn w:val="1"/>
    <w:link w:val="70"/>
    <w:qFormat/>
    <w:uiPriority w:val="0"/>
    <w:pPr>
      <w:jc w:val="center"/>
      <w:outlineLvl w:val="4"/>
    </w:pPr>
    <w:rPr>
      <w:b/>
      <w:sz w:val="20"/>
      <w:szCs w:val="20"/>
    </w:rPr>
  </w:style>
  <w:style w:type="character" w:customStyle="1" w:styleId="72">
    <w:name w:val="页脚 字符"/>
    <w:qFormat/>
    <w:uiPriority w:val="99"/>
  </w:style>
  <w:style w:type="character" w:customStyle="1" w:styleId="73">
    <w:name w:val="批注文字 字符1"/>
    <w:semiHidden/>
    <w:qFormat/>
    <w:uiPriority w:val="0"/>
    <w:rPr>
      <w:rFonts w:ascii="Times New Roman" w:hAnsi="Times New Roman" w:eastAsia="宋体"/>
      <w:sz w:val="24"/>
    </w:rPr>
  </w:style>
  <w:style w:type="character" w:customStyle="1" w:styleId="74">
    <w:name w:val="标题 3 字符"/>
    <w:basedOn w:val="39"/>
    <w:link w:val="4"/>
    <w:qFormat/>
    <w:uiPriority w:val="9"/>
    <w:rPr>
      <w:rFonts w:asciiTheme="majorHAnsi" w:hAnsiTheme="majorHAnsi" w:eastAsiaTheme="majorEastAsia" w:cstheme="majorBidi"/>
      <w:color w:val="254061" w:themeColor="accent1" w:themeShade="80"/>
      <w:sz w:val="24"/>
      <w:szCs w:val="24"/>
    </w:rPr>
  </w:style>
  <w:style w:type="character" w:customStyle="1" w:styleId="75">
    <w:name w:val="样式 zhang正文 + 宋体 小四 Char"/>
    <w:link w:val="76"/>
    <w:qFormat/>
    <w:uiPriority w:val="0"/>
    <w:rPr>
      <w:rFonts w:ascii="宋体" w:hAnsi="宋体" w:eastAsia="宋体" w:cs="Courier New"/>
      <w:kern w:val="0"/>
      <w:sz w:val="24"/>
      <w:szCs w:val="32"/>
      <w:lang w:val="en-US" w:eastAsia="zh-CN" w:bidi="ar-SA"/>
    </w:rPr>
  </w:style>
  <w:style w:type="paragraph" w:customStyle="1" w:styleId="76">
    <w:name w:val="样式 zhang正文 + 宋体 小四"/>
    <w:basedOn w:val="77"/>
    <w:link w:val="75"/>
    <w:qFormat/>
    <w:uiPriority w:val="0"/>
    <w:rPr>
      <w:rFonts w:ascii="宋体" w:hAnsi="宋体" w:eastAsia="宋体"/>
    </w:rPr>
  </w:style>
  <w:style w:type="paragraph" w:customStyle="1" w:styleId="77">
    <w:name w:val="zhang正文"/>
    <w:basedOn w:val="20"/>
    <w:next w:val="1"/>
    <w:link w:val="78"/>
    <w:qFormat/>
    <w:uiPriority w:val="0"/>
    <w:pPr>
      <w:autoSpaceDE w:val="0"/>
      <w:autoSpaceDN w:val="0"/>
      <w:adjustRightInd w:val="0"/>
      <w:snapToGrid w:val="0"/>
      <w:spacing w:line="500" w:lineRule="exact"/>
      <w:ind w:firstLine="539"/>
      <w:textAlignment w:val="baseline"/>
    </w:pPr>
    <w:rPr>
      <w:rFonts w:eastAsia="楷体_GB2312"/>
    </w:rPr>
  </w:style>
  <w:style w:type="character" w:customStyle="1" w:styleId="78">
    <w:name w:val="zhang正文 Char1"/>
    <w:link w:val="77"/>
    <w:qFormat/>
    <w:uiPriority w:val="0"/>
    <w:rPr>
      <w:rFonts w:ascii="宋体" w:hAnsi="宋体" w:eastAsia="楷体_GB2312" w:cs="Courier New"/>
      <w:kern w:val="0"/>
      <w:sz w:val="28"/>
      <w:szCs w:val="32"/>
      <w:lang w:val="en-US" w:eastAsia="zh-CN" w:bidi="ar-SA"/>
    </w:rPr>
  </w:style>
  <w:style w:type="character" w:customStyle="1" w:styleId="79">
    <w:name w:val="font41"/>
    <w:qFormat/>
    <w:uiPriority w:val="0"/>
    <w:rPr>
      <w:rFonts w:hint="default" w:ascii="Times New Roman" w:hAnsi="Times New Roman" w:cs="Times New Roman"/>
      <w:color w:val="000000"/>
      <w:sz w:val="22"/>
      <w:szCs w:val="22"/>
      <w:u w:val="none"/>
    </w:rPr>
  </w:style>
  <w:style w:type="character" w:customStyle="1" w:styleId="80">
    <w:name w:val="正文文本缩进 字符"/>
    <w:semiHidden/>
    <w:qFormat/>
    <w:locked/>
    <w:uiPriority w:val="0"/>
    <w:rPr>
      <w:rFonts w:ascii="Times New Roman" w:hAnsi="Times New Roman" w:eastAsia="宋体"/>
      <w:sz w:val="24"/>
    </w:rPr>
  </w:style>
  <w:style w:type="character" w:customStyle="1" w:styleId="81">
    <w:name w:val="表格标题CCW Char"/>
    <w:qFormat/>
    <w:uiPriority w:val="0"/>
    <w:rPr>
      <w:b/>
      <w:sz w:val="24"/>
    </w:rPr>
  </w:style>
  <w:style w:type="character" w:customStyle="1" w:styleId="82">
    <w:name w:val="font81"/>
    <w:qFormat/>
    <w:uiPriority w:val="0"/>
    <w:rPr>
      <w:rFonts w:hint="eastAsia" w:ascii="宋体" w:hAnsi="宋体" w:eastAsia="宋体" w:cs="宋体"/>
      <w:color w:val="000000"/>
      <w:sz w:val="18"/>
      <w:szCs w:val="18"/>
      <w:u w:val="none"/>
    </w:rPr>
  </w:style>
  <w:style w:type="character" w:customStyle="1" w:styleId="83">
    <w:name w:val="15"/>
    <w:qFormat/>
    <w:uiPriority w:val="0"/>
    <w:rPr>
      <w:rFonts w:hint="eastAsia" w:ascii="宋体" w:hAnsi="宋体" w:eastAsia="宋体"/>
      <w:spacing w:val="10"/>
      <w:sz w:val="26"/>
      <w:szCs w:val="26"/>
    </w:rPr>
  </w:style>
  <w:style w:type="character" w:customStyle="1" w:styleId="84">
    <w:name w:val="表格内正文1 Char Char"/>
    <w:link w:val="85"/>
    <w:qFormat/>
    <w:uiPriority w:val="0"/>
    <w:rPr>
      <w:sz w:val="21"/>
    </w:rPr>
  </w:style>
  <w:style w:type="paragraph" w:customStyle="1" w:styleId="85">
    <w:name w:val="表格内正文1"/>
    <w:basedOn w:val="1"/>
    <w:next w:val="1"/>
    <w:link w:val="84"/>
    <w:qFormat/>
    <w:uiPriority w:val="0"/>
    <w:pPr>
      <w:adjustRightInd w:val="0"/>
      <w:snapToGrid w:val="0"/>
      <w:jc w:val="center"/>
    </w:pPr>
    <w:rPr>
      <w:sz w:val="21"/>
    </w:rPr>
  </w:style>
  <w:style w:type="character" w:customStyle="1" w:styleId="86">
    <w:name w:val="font11"/>
    <w:qFormat/>
    <w:uiPriority w:val="0"/>
    <w:rPr>
      <w:rFonts w:hint="eastAsia" w:ascii="宋体" w:hAnsi="宋体" w:eastAsia="宋体" w:cs="宋体"/>
      <w:color w:val="000000"/>
      <w:sz w:val="21"/>
      <w:szCs w:val="21"/>
      <w:u w:val="none"/>
    </w:rPr>
  </w:style>
  <w:style w:type="character" w:customStyle="1" w:styleId="87">
    <w:name w:val="正文文本 字符1"/>
    <w:semiHidden/>
    <w:qFormat/>
    <w:uiPriority w:val="0"/>
    <w:rPr>
      <w:rFonts w:ascii="Times New Roman" w:hAnsi="Times New Roman" w:eastAsia="宋体"/>
      <w:sz w:val="24"/>
    </w:rPr>
  </w:style>
  <w:style w:type="character" w:customStyle="1" w:styleId="88">
    <w:name w:val="表格内容 Char Char"/>
    <w:qFormat/>
    <w:uiPriority w:val="0"/>
    <w:rPr>
      <w:rFonts w:ascii="Times New Roman" w:hAnsi="Times New Roman" w:eastAsia="宋体" w:cs="Times New Roman"/>
      <w:kern w:val="2"/>
      <w:sz w:val="21"/>
      <w:szCs w:val="22"/>
    </w:rPr>
  </w:style>
  <w:style w:type="character" w:customStyle="1" w:styleId="89">
    <w:name w:val="font01"/>
    <w:qFormat/>
    <w:uiPriority w:val="0"/>
    <w:rPr>
      <w:rFonts w:hint="eastAsia" w:ascii="宋体" w:hAnsi="宋体" w:eastAsia="宋体" w:cs="宋体"/>
      <w:color w:val="000000"/>
      <w:sz w:val="21"/>
      <w:szCs w:val="21"/>
      <w:u w:val="none"/>
    </w:rPr>
  </w:style>
  <w:style w:type="character" w:customStyle="1" w:styleId="90">
    <w:name w:val="font71"/>
    <w:qFormat/>
    <w:uiPriority w:val="0"/>
    <w:rPr>
      <w:rFonts w:ascii="微软雅黑" w:hAnsi="微软雅黑" w:eastAsia="微软雅黑" w:cs="微软雅黑"/>
      <w:color w:val="333333"/>
      <w:sz w:val="24"/>
      <w:szCs w:val="24"/>
      <w:u w:val="none"/>
    </w:rPr>
  </w:style>
  <w:style w:type="character" w:customStyle="1" w:styleId="91">
    <w:name w:val="font51"/>
    <w:qFormat/>
    <w:uiPriority w:val="0"/>
    <w:rPr>
      <w:rFonts w:hint="eastAsia" w:ascii="微软雅黑" w:hAnsi="微软雅黑" w:eastAsia="微软雅黑" w:cs="微软雅黑"/>
      <w:color w:val="333333"/>
      <w:sz w:val="24"/>
      <w:szCs w:val="24"/>
      <w:u w:val="none"/>
    </w:rPr>
  </w:style>
  <w:style w:type="character" w:customStyle="1" w:styleId="92">
    <w:name w:val="正文文本首行缩进 2 字符"/>
    <w:qFormat/>
    <w:uiPriority w:val="0"/>
    <w:rPr>
      <w:kern w:val="2"/>
      <w:sz w:val="24"/>
      <w:szCs w:val="24"/>
    </w:rPr>
  </w:style>
  <w:style w:type="character" w:customStyle="1" w:styleId="93">
    <w:name w:val="日期 字符"/>
    <w:semiHidden/>
    <w:qFormat/>
    <w:uiPriority w:val="0"/>
    <w:rPr>
      <w:rFonts w:ascii="Times New Roman" w:hAnsi="Times New Roman" w:eastAsia="宋体"/>
      <w:sz w:val="24"/>
    </w:rPr>
  </w:style>
  <w:style w:type="character" w:customStyle="1" w:styleId="94">
    <w:name w:val="正文（小四） Char"/>
    <w:qFormat/>
    <w:uiPriority w:val="0"/>
    <w:rPr>
      <w:bCs/>
      <w:color w:val="000000"/>
      <w:kern w:val="2"/>
      <w:sz w:val="24"/>
      <w:szCs w:val="32"/>
    </w:rPr>
  </w:style>
  <w:style w:type="paragraph" w:customStyle="1" w:styleId="95">
    <w:name w:val="xl57"/>
    <w:basedOn w:val="1"/>
    <w:qFormat/>
    <w:uiPriority w:val="0"/>
    <w:pPr>
      <w:pBdr>
        <w:top w:val="single" w:color="auto" w:sz="4" w:space="0"/>
        <w:left w:val="single" w:color="auto" w:sz="4" w:space="0"/>
        <w:bottom w:val="single" w:color="auto" w:sz="4" w:space="0"/>
      </w:pBdr>
      <w:spacing w:before="100" w:beforeAutospacing="1" w:after="100" w:afterAutospacing="1"/>
      <w:textAlignment w:val="center"/>
    </w:pPr>
    <w:rPr>
      <w:b/>
      <w:bCs/>
      <w:sz w:val="20"/>
      <w:szCs w:val="20"/>
    </w:rPr>
  </w:style>
  <w:style w:type="paragraph" w:customStyle="1" w:styleId="96">
    <w:name w:val="表格正文"/>
    <w:basedOn w:val="1"/>
    <w:qFormat/>
    <w:uiPriority w:val="0"/>
    <w:pPr>
      <w:jc w:val="center"/>
    </w:pPr>
    <w:rPr>
      <w:sz w:val="21"/>
    </w:rPr>
  </w:style>
  <w:style w:type="paragraph" w:styleId="97">
    <w:name w:val="List Paragraph"/>
    <w:basedOn w:val="1"/>
    <w:next w:val="1"/>
    <w:qFormat/>
    <w:uiPriority w:val="34"/>
    <w:pPr>
      <w:ind w:firstLine="420" w:firstLineChars="200"/>
    </w:pPr>
  </w:style>
  <w:style w:type="paragraph" w:styleId="98">
    <w:name w:val="Quote"/>
    <w:basedOn w:val="1"/>
    <w:next w:val="1"/>
    <w:link w:val="202"/>
    <w:qFormat/>
    <w:uiPriority w:val="29"/>
    <w:pPr>
      <w:spacing w:before="200"/>
      <w:ind w:left="864" w:right="864"/>
    </w:pPr>
    <w:rPr>
      <w:i/>
      <w:iCs/>
      <w:color w:val="404040" w:themeColor="text1" w:themeTint="BF"/>
      <w14:textFill>
        <w14:solidFill>
          <w14:schemeClr w14:val="tx1">
            <w14:lumMod w14:val="75000"/>
            <w14:lumOff w14:val="25000"/>
          </w14:schemeClr>
        </w14:solidFill>
      </w14:textFill>
    </w:rPr>
  </w:style>
  <w:style w:type="paragraph" w:customStyle="1" w:styleId="99">
    <w:name w:val="J标题二"/>
    <w:next w:val="100"/>
    <w:qFormat/>
    <w:uiPriority w:val="0"/>
    <w:pPr>
      <w:spacing w:after="160" w:line="360" w:lineRule="auto"/>
    </w:pPr>
    <w:rPr>
      <w:rFonts w:ascii="Times New Roman" w:hAnsi="Times New Roman" w:eastAsia="宋体" w:cs="宋体"/>
      <w:b/>
      <w:snapToGrid w:val="0"/>
      <w:sz w:val="21"/>
      <w:szCs w:val="22"/>
      <w:lang w:val="en-US" w:eastAsia="zh-CN" w:bidi="ar-SA"/>
    </w:rPr>
  </w:style>
  <w:style w:type="paragraph" w:customStyle="1" w:styleId="100">
    <w:name w:val="J报告表正文"/>
    <w:qFormat/>
    <w:uiPriority w:val="0"/>
    <w:pPr>
      <w:spacing w:after="160" w:line="360" w:lineRule="auto"/>
      <w:ind w:firstLine="200" w:firstLineChars="200"/>
      <w:jc w:val="both"/>
    </w:pPr>
    <w:rPr>
      <w:rFonts w:ascii="Times New Roman" w:hAnsi="Times New Roman" w:eastAsia="宋体" w:cs="宋体"/>
      <w:snapToGrid w:val="0"/>
      <w:sz w:val="21"/>
      <w:szCs w:val="22"/>
      <w:lang w:val="en-US" w:eastAsia="zh-CN" w:bidi="ar-SA"/>
    </w:rPr>
  </w:style>
  <w:style w:type="paragraph" w:customStyle="1" w:styleId="101">
    <w:name w:val="图表标题"/>
    <w:basedOn w:val="1"/>
    <w:next w:val="1"/>
    <w:qFormat/>
    <w:uiPriority w:val="0"/>
    <w:pPr>
      <w:jc w:val="center"/>
    </w:pPr>
    <w:rPr>
      <w:b/>
    </w:rPr>
  </w:style>
  <w:style w:type="paragraph" w:customStyle="1" w:styleId="102">
    <w:name w:val="4表格标题"/>
    <w:basedOn w:val="103"/>
    <w:next w:val="104"/>
    <w:qFormat/>
    <w:uiPriority w:val="0"/>
    <w:pPr>
      <w:spacing w:before="100" w:beforeAutospacing="1" w:after="100" w:afterAutospacing="1"/>
      <w:jc w:val="center"/>
    </w:pPr>
    <w:rPr>
      <w:rFonts w:cs="宋体"/>
      <w:b/>
      <w:szCs w:val="21"/>
    </w:rPr>
  </w:style>
  <w:style w:type="paragraph" w:customStyle="1" w:styleId="103">
    <w:name w:val="段落"/>
    <w:basedOn w:val="1"/>
    <w:qFormat/>
    <w:uiPriority w:val="0"/>
    <w:pPr>
      <w:adjustRightInd w:val="0"/>
      <w:snapToGrid w:val="0"/>
      <w:spacing w:line="360" w:lineRule="auto"/>
      <w:ind w:firstLine="420" w:firstLineChars="200"/>
    </w:pPr>
    <w:rPr>
      <w:rFonts w:ascii="gbsnu54" w:hAnsi="gbsnu54" w:cs="gbsnu54"/>
      <w:bCs/>
      <w:color w:val="000000"/>
      <w:szCs w:val="16"/>
    </w:rPr>
  </w:style>
  <w:style w:type="paragraph" w:customStyle="1" w:styleId="104">
    <w:name w:val="5段落"/>
    <w:basedOn w:val="1"/>
    <w:qFormat/>
    <w:uiPriority w:val="0"/>
    <w:pPr>
      <w:spacing w:line="360" w:lineRule="auto"/>
      <w:ind w:firstLine="200" w:firstLineChars="200"/>
    </w:pPr>
    <w:rPr>
      <w:szCs w:val="21"/>
    </w:rPr>
  </w:style>
  <w:style w:type="paragraph" w:customStyle="1" w:styleId="105">
    <w:name w:val="表格内容Q1"/>
    <w:basedOn w:val="1"/>
    <w:qFormat/>
    <w:uiPriority w:val="0"/>
    <w:pPr>
      <w:jc w:val="center"/>
    </w:pPr>
    <w:rPr>
      <w:sz w:val="18"/>
      <w:szCs w:val="20"/>
    </w:rPr>
  </w:style>
  <w:style w:type="paragraph" w:customStyle="1" w:styleId="106">
    <w:name w:val="表内文字"/>
    <w:basedOn w:val="1"/>
    <w:qFormat/>
    <w:uiPriority w:val="0"/>
    <w:pPr>
      <w:adjustRightInd w:val="0"/>
      <w:snapToGrid w:val="0"/>
      <w:jc w:val="center"/>
    </w:pPr>
    <w:rPr>
      <w:sz w:val="20"/>
      <w:szCs w:val="20"/>
    </w:rPr>
  </w:style>
  <w:style w:type="paragraph" w:customStyle="1" w:styleId="107">
    <w:name w:val="样式 样式 样式 样式 首行缩进:  2 字符 + 居中 + (中文) 黑体 五号 首行缩进:  2 字符 + 首行缩进:  2..."/>
    <w:basedOn w:val="1"/>
    <w:qFormat/>
    <w:uiPriority w:val="0"/>
    <w:pPr>
      <w:adjustRightInd w:val="0"/>
      <w:snapToGrid w:val="0"/>
      <w:spacing w:before="156" w:beforeLines="50" w:line="360" w:lineRule="auto"/>
      <w:jc w:val="center"/>
    </w:pPr>
    <w:rPr>
      <w:rFonts w:eastAsia="黑体"/>
    </w:rPr>
  </w:style>
  <w:style w:type="paragraph" w:customStyle="1" w:styleId="108">
    <w:name w:val="正文2"/>
    <w:qFormat/>
    <w:uiPriority w:val="0"/>
    <w:pPr>
      <w:spacing w:after="160" w:line="259" w:lineRule="auto"/>
      <w:jc w:val="both"/>
    </w:pPr>
    <w:rPr>
      <w:rFonts w:ascii="Times New Roman" w:hAnsi="Times New Roman" w:eastAsia="宋体" w:cs="Times New Roman"/>
      <w:kern w:val="2"/>
      <w:sz w:val="21"/>
      <w:szCs w:val="21"/>
      <w:lang w:val="en-US" w:eastAsia="zh-CN" w:bidi="ar-SA"/>
    </w:rPr>
  </w:style>
  <w:style w:type="paragraph" w:customStyle="1" w:styleId="109">
    <w:name w:val="_Style 96"/>
    <w:unhideWhenUsed/>
    <w:qFormat/>
    <w:uiPriority w:val="99"/>
    <w:pPr>
      <w:spacing w:after="160" w:line="259" w:lineRule="auto"/>
    </w:pPr>
    <w:rPr>
      <w:rFonts w:ascii="Times New Roman" w:hAnsi="Times New Roman" w:eastAsia="宋体" w:cs="Times New Roman"/>
      <w:kern w:val="2"/>
      <w:sz w:val="24"/>
      <w:szCs w:val="24"/>
      <w:lang w:val="en-US" w:eastAsia="zh-CN" w:bidi="ar-SA"/>
    </w:rPr>
  </w:style>
  <w:style w:type="paragraph" w:customStyle="1" w:styleId="110">
    <w:name w:val="表内容"/>
    <w:qFormat/>
    <w:uiPriority w:val="0"/>
    <w:pPr>
      <w:adjustRightInd w:val="0"/>
      <w:spacing w:after="160" w:line="259" w:lineRule="auto"/>
      <w:jc w:val="center"/>
    </w:pPr>
    <w:rPr>
      <w:rFonts w:ascii="Times New Roman" w:hAnsi="Times New Roman" w:eastAsia="宋体" w:cs="Times New Roman"/>
      <w:kern w:val="2"/>
      <w:sz w:val="21"/>
      <w:szCs w:val="21"/>
      <w:lang w:val="en-US" w:eastAsia="zh-CN" w:bidi="ar-SA"/>
    </w:rPr>
  </w:style>
  <w:style w:type="paragraph" w:customStyle="1" w:styleId="111">
    <w:name w:val="表格内容"/>
    <w:basedOn w:val="112"/>
    <w:next w:val="19"/>
    <w:qFormat/>
    <w:uiPriority w:val="0"/>
    <w:pPr>
      <w:spacing w:line="340" w:lineRule="exact"/>
    </w:pPr>
    <w:rPr>
      <w:iCs/>
      <w:szCs w:val="21"/>
    </w:rPr>
  </w:style>
  <w:style w:type="paragraph" w:customStyle="1" w:styleId="112">
    <w:name w:val="表头（图表题）"/>
    <w:basedOn w:val="1"/>
    <w:next w:val="1"/>
    <w:qFormat/>
    <w:uiPriority w:val="0"/>
    <w:pPr>
      <w:jc w:val="center"/>
    </w:pPr>
    <w:rPr>
      <w:b/>
      <w:szCs w:val="20"/>
    </w:rPr>
  </w:style>
  <w:style w:type="paragraph" w:customStyle="1" w:styleId="113">
    <w:name w:val="图标标题"/>
    <w:basedOn w:val="7"/>
    <w:qFormat/>
    <w:uiPriority w:val="0"/>
    <w:pPr>
      <w:keepNext w:val="0"/>
      <w:spacing w:before="50" w:beforeLines="50" w:line="360" w:lineRule="auto"/>
      <w:jc w:val="center"/>
    </w:pPr>
    <w:rPr>
      <w:szCs w:val="20"/>
    </w:rPr>
  </w:style>
  <w:style w:type="paragraph" w:customStyle="1" w:styleId="114">
    <w:name w:val="6表格"/>
    <w:basedOn w:val="1"/>
    <w:qFormat/>
    <w:uiPriority w:val="0"/>
    <w:pPr>
      <w:jc w:val="center"/>
    </w:pPr>
  </w:style>
  <w:style w:type="paragraph" w:customStyle="1" w:styleId="115">
    <w:name w:val="样式2"/>
    <w:basedOn w:val="23"/>
    <w:next w:val="5"/>
    <w:qFormat/>
    <w:uiPriority w:val="0"/>
    <w:pPr>
      <w:spacing w:line="360" w:lineRule="auto"/>
      <w:ind w:firstLine="482" w:firstLineChars="200"/>
    </w:pPr>
    <w:rPr>
      <w:b/>
      <w:sz w:val="24"/>
    </w:rPr>
  </w:style>
  <w:style w:type="paragraph" w:customStyle="1" w:styleId="116">
    <w:name w:val="1.表格标题CM"/>
    <w:basedOn w:val="1"/>
    <w:qFormat/>
    <w:uiPriority w:val="0"/>
    <w:pPr>
      <w:adjustRightInd w:val="0"/>
      <w:snapToGrid w:val="0"/>
      <w:jc w:val="center"/>
      <w:outlineLvl w:val="6"/>
    </w:pPr>
    <w:rPr>
      <w:b/>
      <w:lang w:val="zh-CN"/>
    </w:rPr>
  </w:style>
  <w:style w:type="paragraph" w:customStyle="1" w:styleId="117">
    <w:name w:val="样式 正文文本缩进 + 行距: 1.5 倍行距"/>
    <w:basedOn w:val="1"/>
    <w:qFormat/>
    <w:uiPriority w:val="0"/>
    <w:pPr>
      <w:spacing w:after="120" w:line="360" w:lineRule="auto"/>
      <w:ind w:left="90" w:leftChars="32" w:firstLine="560" w:firstLineChars="200"/>
    </w:pPr>
    <w:rPr>
      <w:rFonts w:cs="宋体"/>
    </w:rPr>
  </w:style>
  <w:style w:type="paragraph" w:customStyle="1" w:styleId="118">
    <w:name w:val="表格的字"/>
    <w:next w:val="1"/>
    <w:qFormat/>
    <w:uiPriority w:val="0"/>
    <w:pPr>
      <w:spacing w:after="160" w:line="259" w:lineRule="auto"/>
      <w:jc w:val="center"/>
    </w:pPr>
    <w:rPr>
      <w:rFonts w:ascii="Times New Roman" w:hAnsi="Times New Roman" w:eastAsia="宋体" w:cs="Times New Roman"/>
      <w:kern w:val="2"/>
      <w:sz w:val="21"/>
      <w:szCs w:val="21"/>
      <w:lang w:val="en-US" w:eastAsia="zh-CN" w:bidi="ar-SA"/>
    </w:rPr>
  </w:style>
  <w:style w:type="paragraph" w:customStyle="1" w:styleId="119">
    <w:name w:val="表格内文字"/>
    <w:basedOn w:val="1"/>
    <w:qFormat/>
    <w:uiPriority w:val="0"/>
    <w:pPr>
      <w:jc w:val="center"/>
    </w:pPr>
    <w:rPr>
      <w:color w:val="000000"/>
      <w:szCs w:val="21"/>
    </w:rPr>
  </w:style>
  <w:style w:type="paragraph" w:customStyle="1" w:styleId="120">
    <w:name w:val="正文（无网格）"/>
    <w:basedOn w:val="1"/>
    <w:qFormat/>
    <w:uiPriority w:val="0"/>
    <w:pPr>
      <w:adjustRightInd w:val="0"/>
      <w:snapToGrid w:val="0"/>
      <w:spacing w:line="360" w:lineRule="auto"/>
      <w:ind w:firstLine="480" w:firstLineChars="200"/>
    </w:pPr>
    <w:rPr>
      <w:rFonts w:cs="宋体"/>
      <w:szCs w:val="20"/>
    </w:rPr>
  </w:style>
  <w:style w:type="paragraph" w:customStyle="1" w:styleId="121">
    <w:name w:val="3表内文字"/>
    <w:basedOn w:val="1"/>
    <w:qFormat/>
    <w:uiPriority w:val="0"/>
    <w:pPr>
      <w:jc w:val="center"/>
    </w:pPr>
    <w:rPr>
      <w:color w:val="000000"/>
      <w:sz w:val="18"/>
    </w:rPr>
  </w:style>
  <w:style w:type="paragraph" w:customStyle="1" w:styleId="122">
    <w:name w:val="2图标名称"/>
    <w:basedOn w:val="1"/>
    <w:qFormat/>
    <w:uiPriority w:val="0"/>
    <w:pPr>
      <w:autoSpaceDE w:val="0"/>
      <w:autoSpaceDN w:val="0"/>
      <w:adjustRightInd w:val="0"/>
      <w:snapToGrid w:val="0"/>
      <w:ind w:firstLine="420"/>
      <w:jc w:val="center"/>
    </w:pPr>
    <w:rPr>
      <w:rFonts w:ascii="宋体" w:hAnsi="宋体"/>
      <w:b/>
      <w:szCs w:val="21"/>
    </w:rPr>
  </w:style>
  <w:style w:type="paragraph" w:customStyle="1" w:styleId="123">
    <w:name w:val="标题3"/>
    <w:basedOn w:val="1"/>
    <w:qFormat/>
    <w:uiPriority w:val="0"/>
  </w:style>
  <w:style w:type="paragraph" w:customStyle="1" w:styleId="124">
    <w:name w:val="H标题3"/>
    <w:basedOn w:val="1"/>
    <w:qFormat/>
    <w:uiPriority w:val="0"/>
    <w:pPr>
      <w:spacing w:before="120" w:beforeLines="50" w:after="120" w:afterLines="50" w:line="360" w:lineRule="auto"/>
      <w:outlineLvl w:val="2"/>
    </w:pPr>
    <w:rPr>
      <w:b/>
      <w:szCs w:val="20"/>
    </w:rPr>
  </w:style>
  <w:style w:type="paragraph" w:customStyle="1" w:styleId="125">
    <w:name w:val="无间隔1"/>
    <w:qFormat/>
    <w:uiPriority w:val="1"/>
    <w:pPr>
      <w:widowControl w:val="0"/>
      <w:spacing w:after="160" w:line="259" w:lineRule="auto"/>
      <w:ind w:firstLine="200" w:firstLineChars="200"/>
      <w:jc w:val="both"/>
    </w:pPr>
    <w:rPr>
      <w:rFonts w:ascii="Calibri" w:hAnsi="Calibri" w:eastAsia="宋体" w:cs="Calibri"/>
      <w:kern w:val="2"/>
      <w:sz w:val="24"/>
      <w:szCs w:val="24"/>
      <w:lang w:val="en-US" w:eastAsia="zh-CN" w:bidi="ar-SA"/>
    </w:rPr>
  </w:style>
  <w:style w:type="paragraph" w:customStyle="1" w:styleId="126">
    <w:name w:val="金皇-正文"/>
    <w:basedOn w:val="1"/>
    <w:qFormat/>
    <w:uiPriority w:val="0"/>
    <w:pPr>
      <w:spacing w:line="360" w:lineRule="auto"/>
      <w:ind w:firstLine="200" w:firstLineChars="200"/>
    </w:pPr>
  </w:style>
  <w:style w:type="paragraph" w:customStyle="1" w:styleId="127">
    <w:name w:val="2 图表标题"/>
    <w:basedOn w:val="122"/>
    <w:qFormat/>
    <w:uiPriority w:val="0"/>
    <w:pPr>
      <w:ind w:firstLine="0"/>
    </w:pPr>
    <w:rPr>
      <w:rFonts w:ascii="Times New Roman" w:hAnsi="Times New Roman"/>
    </w:rPr>
  </w:style>
  <w:style w:type="paragraph" w:customStyle="1" w:styleId="128">
    <w:name w:val="标题2"/>
    <w:basedOn w:val="12"/>
    <w:qFormat/>
    <w:uiPriority w:val="0"/>
    <w:pPr>
      <w:spacing w:beforeLines="50" w:afterLines="50"/>
      <w:ind w:left="0" w:leftChars="0"/>
    </w:pPr>
    <w:rPr>
      <w:rFonts w:ascii="宋体" w:hAnsi="宋体"/>
      <w:b/>
      <w:sz w:val="28"/>
      <w:szCs w:val="28"/>
    </w:rPr>
  </w:style>
  <w:style w:type="paragraph" w:customStyle="1" w:styleId="129">
    <w:name w:val="H图表标题"/>
    <w:basedOn w:val="1"/>
    <w:qFormat/>
    <w:uiPriority w:val="0"/>
    <w:pPr>
      <w:spacing w:before="120" w:beforeLines="50" w:line="360" w:lineRule="auto"/>
      <w:outlineLvl w:val="3"/>
    </w:pPr>
    <w:rPr>
      <w:b/>
      <w:snapToGrid w:val="0"/>
      <w:szCs w:val="30"/>
    </w:rPr>
  </w:style>
  <w:style w:type="paragraph" w:customStyle="1" w:styleId="130">
    <w:name w:val="自定义标题2"/>
    <w:basedOn w:val="1"/>
    <w:qFormat/>
    <w:uiPriority w:val="0"/>
    <w:pPr>
      <w:spacing w:before="50" w:beforeLines="50" w:after="50" w:afterLines="50" w:line="360" w:lineRule="auto"/>
      <w:ind w:firstLine="480" w:firstLineChars="200"/>
    </w:pPr>
    <w:rPr>
      <w:b/>
      <w:sz w:val="30"/>
      <w:szCs w:val="20"/>
    </w:rPr>
  </w:style>
  <w:style w:type="paragraph" w:customStyle="1" w:styleId="131">
    <w:name w:val="5.正文内容"/>
    <w:basedOn w:val="1"/>
    <w:qFormat/>
    <w:uiPriority w:val="0"/>
    <w:pPr>
      <w:adjustRightInd w:val="0"/>
      <w:snapToGrid w:val="0"/>
    </w:pPr>
    <w:rPr>
      <w:rFonts w:cs="宋体"/>
      <w:szCs w:val="20"/>
    </w:rPr>
  </w:style>
  <w:style w:type="paragraph" w:customStyle="1" w:styleId="132">
    <w:name w:val="5文章(金皇)"/>
    <w:basedOn w:val="1"/>
    <w:qFormat/>
    <w:uiPriority w:val="0"/>
    <w:pPr>
      <w:spacing w:line="360" w:lineRule="auto"/>
      <w:ind w:firstLine="480" w:firstLineChars="200"/>
    </w:pPr>
  </w:style>
  <w:style w:type="paragraph" w:customStyle="1" w:styleId="133">
    <w:name w:val="J报告表大文字"/>
    <w:qFormat/>
    <w:uiPriority w:val="0"/>
    <w:pPr>
      <w:adjustRightInd w:val="0"/>
      <w:snapToGrid w:val="0"/>
      <w:spacing w:after="160" w:line="259" w:lineRule="auto"/>
      <w:jc w:val="center"/>
    </w:pPr>
    <w:rPr>
      <w:rFonts w:ascii="Times New Roman" w:hAnsi="Times New Roman" w:eastAsia="宋体" w:cs="宋体"/>
      <w:color w:val="000000"/>
      <w:kern w:val="2"/>
      <w:sz w:val="21"/>
      <w:szCs w:val="21"/>
      <w:lang w:val="en-US" w:eastAsia="zh-CN" w:bidi="ar-SA"/>
    </w:rPr>
  </w:style>
  <w:style w:type="paragraph" w:customStyle="1" w:styleId="134">
    <w:name w:val="样式 标题 1 + 首行缩进:  0 字符"/>
    <w:basedOn w:val="2"/>
    <w:next w:val="95"/>
    <w:qFormat/>
    <w:uiPriority w:val="99"/>
    <w:pPr>
      <w:spacing w:before="0" w:line="520" w:lineRule="exact"/>
    </w:pPr>
    <w:rPr>
      <w:rFonts w:ascii="Arial" w:hAnsi="Arial" w:cs="宋体"/>
      <w:color w:val="auto"/>
      <w:szCs w:val="20"/>
    </w:rPr>
  </w:style>
  <w:style w:type="paragraph" w:customStyle="1" w:styleId="135">
    <w:name w:val="H标题2"/>
    <w:basedOn w:val="3"/>
    <w:qFormat/>
    <w:uiPriority w:val="0"/>
    <w:pPr>
      <w:keepNext w:val="0"/>
      <w:keepLines w:val="0"/>
      <w:tabs>
        <w:tab w:val="left" w:pos="5400"/>
      </w:tabs>
      <w:spacing w:before="120" w:after="120"/>
    </w:pPr>
  </w:style>
  <w:style w:type="paragraph" w:customStyle="1" w:styleId="136">
    <w:name w:val="3级标题"/>
    <w:basedOn w:val="103"/>
    <w:qFormat/>
    <w:uiPriority w:val="0"/>
    <w:pPr>
      <w:numPr>
        <w:ilvl w:val="2"/>
        <w:numId w:val="1"/>
      </w:numPr>
      <w:adjustRightInd/>
      <w:snapToGrid/>
      <w:ind w:firstLineChars="0"/>
    </w:pPr>
    <w:rPr>
      <w:b/>
    </w:rPr>
  </w:style>
  <w:style w:type="paragraph" w:customStyle="1" w:styleId="137">
    <w:name w:val="6表格后段落"/>
    <w:basedOn w:val="104"/>
    <w:qFormat/>
    <w:uiPriority w:val="0"/>
    <w:pPr>
      <w:spacing w:beforeLines="50" w:after="100" w:afterAutospacing="1"/>
    </w:pPr>
    <w:rPr>
      <w:rFonts w:cs="宋体"/>
    </w:rPr>
  </w:style>
  <w:style w:type="paragraph" w:customStyle="1" w:styleId="138">
    <w:name w:val="Table Paragraph"/>
    <w:basedOn w:val="1"/>
    <w:qFormat/>
    <w:uiPriority w:val="0"/>
    <w:rPr>
      <w:rFonts w:ascii="Calibri" w:hAnsi="Calibri"/>
    </w:rPr>
  </w:style>
  <w:style w:type="paragraph" w:customStyle="1" w:styleId="139">
    <w:name w:val="2表内正文CM"/>
    <w:basedOn w:val="1"/>
    <w:next w:val="1"/>
    <w:qFormat/>
    <w:uiPriority w:val="0"/>
    <w:pPr>
      <w:adjustRightInd w:val="0"/>
      <w:snapToGrid w:val="0"/>
      <w:jc w:val="center"/>
    </w:pPr>
    <w:rPr>
      <w:rFonts w:cs="宋体"/>
      <w:szCs w:val="21"/>
    </w:rPr>
  </w:style>
  <w:style w:type="paragraph" w:customStyle="1" w:styleId="140">
    <w:name w:val="表格标题CCW"/>
    <w:basedOn w:val="1"/>
    <w:next w:val="1"/>
    <w:qFormat/>
    <w:uiPriority w:val="0"/>
    <w:pPr>
      <w:spacing w:line="360" w:lineRule="auto"/>
      <w:jc w:val="center"/>
      <w:outlineLvl w:val="4"/>
    </w:pPr>
    <w:rPr>
      <w:b/>
    </w:rPr>
  </w:style>
  <w:style w:type="paragraph" w:customStyle="1" w:styleId="141">
    <w:name w:val="普通(网站)2"/>
    <w:basedOn w:val="1"/>
    <w:qFormat/>
    <w:uiPriority w:val="0"/>
    <w:pPr>
      <w:spacing w:before="100" w:beforeAutospacing="1" w:after="100" w:afterAutospacing="1"/>
    </w:pPr>
    <w:rPr>
      <w:rFonts w:ascii="宋体" w:hAnsi="宋体"/>
      <w:szCs w:val="20"/>
    </w:rPr>
  </w:style>
  <w:style w:type="paragraph" w:customStyle="1" w:styleId="142">
    <w:name w:val="正文（小四）"/>
    <w:qFormat/>
    <w:uiPriority w:val="0"/>
    <w:pPr>
      <w:spacing w:after="160" w:line="360" w:lineRule="auto"/>
      <w:ind w:firstLine="200" w:firstLineChars="200"/>
      <w:jc w:val="both"/>
    </w:pPr>
    <w:rPr>
      <w:rFonts w:ascii="Times New Roman" w:hAnsi="Times New Roman" w:eastAsia="宋体" w:cs="Times New Roman"/>
      <w:bCs/>
      <w:color w:val="000000"/>
      <w:kern w:val="2"/>
      <w:sz w:val="24"/>
      <w:szCs w:val="32"/>
      <w:lang w:val="en-US" w:eastAsia="zh-CN" w:bidi="ar-SA"/>
    </w:rPr>
  </w:style>
  <w:style w:type="paragraph" w:customStyle="1" w:styleId="143">
    <w:name w:val="CM11"/>
    <w:basedOn w:val="1"/>
    <w:next w:val="1"/>
    <w:qFormat/>
    <w:uiPriority w:val="0"/>
    <w:pPr>
      <w:autoSpaceDE w:val="0"/>
      <w:autoSpaceDN w:val="0"/>
      <w:adjustRightInd w:val="0"/>
      <w:spacing w:line="520" w:lineRule="atLeast"/>
    </w:pPr>
    <w:rPr>
      <w:rFonts w:ascii="宋体"/>
    </w:rPr>
  </w:style>
  <w:style w:type="paragraph" w:customStyle="1" w:styleId="144">
    <w:name w:val="常用"/>
    <w:basedOn w:val="1"/>
    <w:qFormat/>
    <w:uiPriority w:val="0"/>
    <w:pPr>
      <w:spacing w:line="360" w:lineRule="auto"/>
      <w:ind w:firstLine="200" w:firstLineChars="200"/>
    </w:pPr>
    <w:rPr>
      <w:rFonts w:ascii="宋体" w:hAnsi="宋体"/>
      <w:szCs w:val="28"/>
    </w:rPr>
  </w:style>
  <w:style w:type="paragraph" w:customStyle="1" w:styleId="145">
    <w:name w:val="表格内容Q"/>
    <w:basedOn w:val="1"/>
    <w:qFormat/>
    <w:uiPriority w:val="0"/>
    <w:pPr>
      <w:jc w:val="center"/>
    </w:pPr>
    <w:rPr>
      <w:szCs w:val="21"/>
    </w:rPr>
  </w:style>
  <w:style w:type="paragraph" w:customStyle="1" w:styleId="146">
    <w:name w:val="正文1"/>
    <w:basedOn w:val="20"/>
    <w:qFormat/>
    <w:uiPriority w:val="0"/>
    <w:pPr>
      <w:ind w:firstLine="200" w:firstLineChars="200"/>
    </w:pPr>
    <w:rPr>
      <w:rFonts w:cs="宋体"/>
    </w:rPr>
  </w:style>
  <w:style w:type="paragraph" w:customStyle="1" w:styleId="147">
    <w:name w:val="正文(首行缩进)"/>
    <w:basedOn w:val="1"/>
    <w:qFormat/>
    <w:uiPriority w:val="0"/>
    <w:pPr>
      <w:adjustRightInd w:val="0"/>
      <w:snapToGrid w:val="0"/>
    </w:pPr>
    <w:rPr>
      <w:rFonts w:ascii="宋体" w:hAnsi="宋体" w:cs="宋体"/>
      <w:snapToGrid w:val="0"/>
    </w:rPr>
  </w:style>
  <w:style w:type="paragraph" w:customStyle="1" w:styleId="148">
    <w:name w:val="表正文"/>
    <w:basedOn w:val="1"/>
    <w:qFormat/>
    <w:uiPriority w:val="0"/>
    <w:pPr>
      <w:spacing w:line="360" w:lineRule="auto"/>
      <w:ind w:firstLine="200" w:firstLineChars="200"/>
    </w:pPr>
  </w:style>
  <w:style w:type="paragraph" w:customStyle="1" w:styleId="149">
    <w:name w:val="Default1"/>
    <w:qFormat/>
    <w:uiPriority w:val="0"/>
    <w:pPr>
      <w:widowControl w:val="0"/>
      <w:autoSpaceDE w:val="0"/>
      <w:autoSpaceDN w:val="0"/>
      <w:adjustRightInd w:val="0"/>
      <w:spacing w:after="160" w:line="259" w:lineRule="auto"/>
    </w:pPr>
    <w:rPr>
      <w:rFonts w:ascii="宋体" w:hAnsi="Times New Roman" w:eastAsia="宋体" w:cs="宋体"/>
      <w:color w:val="000000"/>
      <w:sz w:val="24"/>
      <w:szCs w:val="24"/>
      <w:lang w:val="en-US" w:eastAsia="zh-CN" w:bidi="ar-SA"/>
    </w:rPr>
  </w:style>
  <w:style w:type="paragraph" w:customStyle="1" w:styleId="150">
    <w:name w:val="足乐正文"/>
    <w:basedOn w:val="1"/>
    <w:qFormat/>
    <w:uiPriority w:val="0"/>
    <w:pPr>
      <w:spacing w:line="360" w:lineRule="auto"/>
      <w:ind w:firstLine="720" w:firstLineChars="200"/>
    </w:pPr>
    <w:rPr>
      <w:sz w:val="20"/>
      <w:szCs w:val="20"/>
    </w:rPr>
  </w:style>
  <w:style w:type="paragraph" w:customStyle="1" w:styleId="151">
    <w:name w:val="表格内容CCW"/>
    <w:basedOn w:val="1"/>
    <w:qFormat/>
    <w:uiPriority w:val="0"/>
    <w:pPr>
      <w:jc w:val="center"/>
    </w:pPr>
    <w:rPr>
      <w:szCs w:val="21"/>
    </w:rPr>
  </w:style>
  <w:style w:type="paragraph" w:customStyle="1" w:styleId="152">
    <w:name w:val="足乐表格"/>
    <w:basedOn w:val="1"/>
    <w:qFormat/>
    <w:uiPriority w:val="0"/>
    <w:pPr>
      <w:adjustRightInd w:val="0"/>
      <w:snapToGrid w:val="0"/>
      <w:jc w:val="center"/>
    </w:pPr>
    <w:rPr>
      <w:sz w:val="21"/>
    </w:rPr>
  </w:style>
  <w:style w:type="paragraph" w:customStyle="1" w:styleId="153">
    <w:name w:val="文本"/>
    <w:basedOn w:val="1"/>
    <w:qFormat/>
    <w:uiPriority w:val="0"/>
    <w:pPr>
      <w:spacing w:line="360" w:lineRule="auto"/>
      <w:ind w:firstLine="200" w:firstLineChars="200"/>
    </w:pPr>
    <w:rPr>
      <w:rFonts w:cs="宋体"/>
    </w:rPr>
  </w:style>
  <w:style w:type="paragraph" w:customStyle="1" w:styleId="154">
    <w:name w:val="J标题一"/>
    <w:next w:val="100"/>
    <w:qFormat/>
    <w:uiPriority w:val="0"/>
    <w:pPr>
      <w:spacing w:after="160" w:line="360" w:lineRule="auto"/>
      <w:outlineLvl w:val="1"/>
    </w:pPr>
    <w:rPr>
      <w:rFonts w:ascii="Times New Roman" w:hAnsi="Times New Roman" w:eastAsia="宋体" w:cs="Times New Roman"/>
      <w:b/>
      <w:kern w:val="2"/>
      <w:sz w:val="24"/>
      <w:szCs w:val="22"/>
      <w:lang w:val="en-US" w:eastAsia="zh-CN" w:bidi="ar-SA"/>
    </w:rPr>
  </w:style>
  <w:style w:type="paragraph" w:customStyle="1" w:styleId="155">
    <w:name w:val="表格名称1"/>
    <w:basedOn w:val="1"/>
    <w:qFormat/>
    <w:uiPriority w:val="0"/>
    <w:pPr>
      <w:adjustRightInd w:val="0"/>
      <w:snapToGrid w:val="0"/>
      <w:jc w:val="center"/>
    </w:pPr>
    <w:rPr>
      <w:b/>
      <w:sz w:val="21"/>
    </w:rPr>
  </w:style>
  <w:style w:type="paragraph" w:customStyle="1" w:styleId="156">
    <w:name w:val="H图表内容"/>
    <w:basedOn w:val="1"/>
    <w:qFormat/>
    <w:uiPriority w:val="0"/>
    <w:rPr>
      <w:szCs w:val="20"/>
    </w:rPr>
  </w:style>
  <w:style w:type="paragraph" w:customStyle="1" w:styleId="157">
    <w:name w:val="7表格内容"/>
    <w:basedOn w:val="104"/>
    <w:qFormat/>
    <w:uiPriority w:val="0"/>
    <w:pPr>
      <w:spacing w:line="240" w:lineRule="auto"/>
      <w:ind w:firstLine="0" w:firstLineChars="0"/>
      <w:jc w:val="center"/>
    </w:pPr>
  </w:style>
  <w:style w:type="paragraph" w:customStyle="1" w:styleId="158">
    <w:name w:val="正文_10"/>
    <w:qFormat/>
    <w:uiPriority w:val="0"/>
    <w:pPr>
      <w:widowControl w:val="0"/>
      <w:spacing w:after="160" w:line="259" w:lineRule="auto"/>
      <w:jc w:val="both"/>
    </w:pPr>
    <w:rPr>
      <w:rFonts w:ascii="Times New Roman" w:hAnsi="Times New Roman" w:eastAsia="宋体" w:cs="Times New Roman"/>
      <w:kern w:val="2"/>
      <w:sz w:val="21"/>
      <w:szCs w:val="22"/>
      <w:lang w:val="en-US" w:eastAsia="zh-CN" w:bidi="ar-SA"/>
    </w:rPr>
  </w:style>
  <w:style w:type="paragraph" w:styleId="159">
    <w:name w:val="No Spacing"/>
    <w:basedOn w:val="1"/>
    <w:qFormat/>
    <w:uiPriority w:val="1"/>
  </w:style>
  <w:style w:type="paragraph" w:customStyle="1" w:styleId="160">
    <w:name w:val="环评 表格"/>
    <w:basedOn w:val="125"/>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161">
    <w:name w:val="表格标题1111111"/>
    <w:basedOn w:val="1"/>
    <w:qFormat/>
    <w:uiPriority w:val="0"/>
    <w:pPr>
      <w:adjustRightInd w:val="0"/>
      <w:snapToGrid w:val="0"/>
      <w:spacing w:line="360" w:lineRule="auto"/>
      <w:jc w:val="center"/>
      <w:outlineLvl w:val="5"/>
    </w:pPr>
    <w:rPr>
      <w:rFonts w:eastAsia="黑体"/>
      <w:b/>
    </w:rPr>
  </w:style>
  <w:style w:type="paragraph" w:customStyle="1" w:styleId="162">
    <w:name w:val="正文内容"/>
    <w:basedOn w:val="1"/>
    <w:qFormat/>
    <w:uiPriority w:val="0"/>
    <w:pPr>
      <w:adjustRightInd w:val="0"/>
      <w:snapToGrid w:val="0"/>
      <w:spacing w:line="360" w:lineRule="auto"/>
      <w:ind w:firstLine="200" w:firstLineChars="200"/>
    </w:pPr>
    <w:rPr>
      <w:szCs w:val="20"/>
    </w:rPr>
  </w:style>
  <w:style w:type="paragraph" w:customStyle="1" w:styleId="163">
    <w:name w:val="表头"/>
    <w:basedOn w:val="1"/>
    <w:qFormat/>
    <w:uiPriority w:val="0"/>
    <w:pPr>
      <w:jc w:val="center"/>
    </w:pPr>
    <w:rPr>
      <w:b/>
      <w:szCs w:val="21"/>
    </w:rPr>
  </w:style>
  <w:style w:type="paragraph" w:customStyle="1" w:styleId="164">
    <w:name w:val="0.正文内容"/>
    <w:basedOn w:val="1"/>
    <w:qFormat/>
    <w:uiPriority w:val="0"/>
    <w:pPr>
      <w:adjustRightInd w:val="0"/>
      <w:snapToGrid w:val="0"/>
    </w:pPr>
    <w:rPr>
      <w:rFonts w:ascii="TimesNewRoman" w:hAnsi="TimesNewRoman" w:cs="宋体"/>
      <w:szCs w:val="20"/>
    </w:rPr>
  </w:style>
  <w:style w:type="paragraph" w:customStyle="1" w:styleId="165">
    <w:name w:val="Char Char Char Char Char Char Char Char Char1 Char"/>
    <w:basedOn w:val="1"/>
    <w:semiHidden/>
    <w:qFormat/>
    <w:uiPriority w:val="0"/>
    <w:rPr>
      <w:rFonts w:ascii="宋体" w:hAnsi="宋体" w:cs="Courier New"/>
      <w:sz w:val="32"/>
      <w:szCs w:val="32"/>
    </w:rPr>
  </w:style>
  <w:style w:type="paragraph" w:customStyle="1" w:styleId="166">
    <w:name w:val="表格标题"/>
    <w:basedOn w:val="1"/>
    <w:qFormat/>
    <w:uiPriority w:val="0"/>
    <w:pPr>
      <w:adjustRightInd w:val="0"/>
      <w:snapToGrid w:val="0"/>
      <w:spacing w:beforeLines="50" w:line="360" w:lineRule="auto"/>
      <w:jc w:val="center"/>
    </w:pPr>
    <w:rPr>
      <w:rFonts w:eastAsia="黑体"/>
      <w:b/>
    </w:rPr>
  </w:style>
  <w:style w:type="table" w:customStyle="1" w:styleId="167">
    <w:name w:val="表格样式刘"/>
    <w:basedOn w:val="37"/>
    <w:qFormat/>
    <w:uiPriority w:val="99"/>
    <w:tblPr>
      <w:tblBorders>
        <w:top w:val="single" w:color="auto" w:sz="12" w:space="0"/>
        <w:bottom w:val="single" w:color="auto" w:sz="12" w:space="0"/>
        <w:insideH w:val="single" w:color="auto" w:sz="4" w:space="0"/>
        <w:insideV w:val="single" w:color="auto" w:sz="4" w:space="0"/>
      </w:tblBorders>
    </w:tblPr>
  </w:style>
  <w:style w:type="table" w:customStyle="1" w:styleId="168">
    <w:name w:val="表格样式"/>
    <w:basedOn w:val="37"/>
    <w:qFormat/>
    <w:uiPriority w:val="0"/>
    <w:pPr>
      <w:jc w:val="center"/>
    </w:pPr>
    <w:rPr>
      <w:sz w:val="21"/>
      <w:szCs w:val="21"/>
    </w:rPr>
    <w:tblPr>
      <w:tblBorders>
        <w:top w:val="single" w:color="auto" w:sz="18" w:space="0"/>
        <w:bottom w:val="single" w:color="auto" w:sz="18" w:space="0"/>
        <w:insideH w:val="single" w:color="auto" w:sz="4" w:space="0"/>
        <w:insideV w:val="single" w:color="auto" w:sz="4" w:space="0"/>
      </w:tblBorders>
    </w:tblPr>
    <w:tcPr>
      <w:vAlign w:val="center"/>
    </w:tcPr>
  </w:style>
  <w:style w:type="table" w:customStyle="1" w:styleId="169">
    <w:name w:val="网格型7"/>
    <w:basedOn w:val="37"/>
    <w:qFormat/>
    <w:uiPriority w:val="0"/>
    <w:pPr>
      <w:widowControl w:val="0"/>
      <w:jc w:val="both"/>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170">
    <w:name w:val="标题111"/>
    <w:basedOn w:val="29"/>
    <w:qFormat/>
    <w:uiPriority w:val="0"/>
    <w:pPr>
      <w:adjustRightInd w:val="0"/>
      <w:snapToGrid w:val="0"/>
      <w:spacing w:before="0" w:beforeAutospacing="0" w:after="0" w:afterAutospacing="0" w:line="360" w:lineRule="auto"/>
      <w:jc w:val="center"/>
      <w:outlineLvl w:val="0"/>
    </w:pPr>
    <w:rPr>
      <w:rFonts w:ascii="Times New Roman" w:hAnsi="Times New Roman" w:eastAsia="黑体"/>
      <w:snapToGrid w:val="0"/>
      <w:sz w:val="32"/>
      <w:szCs w:val="30"/>
    </w:rPr>
  </w:style>
  <w:style w:type="paragraph" w:customStyle="1" w:styleId="171">
    <w:name w:val="111正文的格式"/>
    <w:basedOn w:val="1"/>
    <w:qFormat/>
    <w:uiPriority w:val="0"/>
    <w:pPr>
      <w:adjustRightInd w:val="0"/>
      <w:snapToGrid w:val="0"/>
      <w:spacing w:line="360" w:lineRule="auto"/>
      <w:ind w:firstLine="200" w:firstLineChars="200"/>
    </w:pPr>
    <w:rPr>
      <w:color w:val="0000FF"/>
    </w:rPr>
  </w:style>
  <w:style w:type="paragraph" w:customStyle="1" w:styleId="172">
    <w:name w:val="Table Text"/>
    <w:basedOn w:val="1"/>
    <w:semiHidden/>
    <w:qFormat/>
    <w:uiPriority w:val="0"/>
    <w:rPr>
      <w:rFonts w:ascii="宋体" w:hAnsi="宋体" w:cs="宋体"/>
      <w:lang w:eastAsia="en-US"/>
    </w:rPr>
  </w:style>
  <w:style w:type="table" w:customStyle="1" w:styleId="173">
    <w:name w:val="Table Normal"/>
    <w:unhideWhenUsed/>
    <w:qFormat/>
    <w:uiPriority w:val="0"/>
    <w:tblPr>
      <w:tblCellMar>
        <w:top w:w="0" w:type="dxa"/>
        <w:left w:w="0" w:type="dxa"/>
        <w:bottom w:w="0" w:type="dxa"/>
        <w:right w:w="0" w:type="dxa"/>
      </w:tblCellMar>
    </w:tblPr>
  </w:style>
  <w:style w:type="paragraph" w:customStyle="1" w:styleId="174">
    <w:name w:val="11111表土"/>
    <w:basedOn w:val="1"/>
    <w:qFormat/>
    <w:uiPriority w:val="0"/>
    <w:pPr>
      <w:adjustRightInd w:val="0"/>
      <w:snapToGrid w:val="0"/>
      <w:jc w:val="center"/>
    </w:pPr>
    <w:rPr>
      <w:rFonts w:eastAsia="黑体"/>
    </w:rPr>
  </w:style>
  <w:style w:type="paragraph" w:customStyle="1" w:styleId="175">
    <w:name w:val="11正文"/>
    <w:basedOn w:val="176"/>
    <w:qFormat/>
    <w:uiPriority w:val="0"/>
  </w:style>
  <w:style w:type="paragraph" w:customStyle="1" w:styleId="176">
    <w:name w:val="正文111"/>
    <w:basedOn w:val="177"/>
    <w:qFormat/>
    <w:uiPriority w:val="0"/>
    <w:pPr>
      <w:ind w:firstLine="480"/>
    </w:pPr>
  </w:style>
  <w:style w:type="paragraph" w:customStyle="1" w:styleId="177">
    <w:name w:val="正文的格式52"/>
    <w:basedOn w:val="1"/>
    <w:qFormat/>
    <w:uiPriority w:val="0"/>
    <w:pPr>
      <w:spacing w:line="360" w:lineRule="auto"/>
      <w:ind w:firstLine="200" w:firstLineChars="200"/>
    </w:pPr>
    <w:rPr>
      <w:szCs w:val="20"/>
    </w:rPr>
  </w:style>
  <w:style w:type="paragraph" w:customStyle="1" w:styleId="178">
    <w:name w:val="111表头"/>
    <w:basedOn w:val="179"/>
    <w:qFormat/>
    <w:uiPriority w:val="0"/>
    <w:pPr>
      <w:adjustRightInd w:val="0"/>
      <w:snapToGrid w:val="0"/>
    </w:pPr>
  </w:style>
  <w:style w:type="paragraph" w:customStyle="1" w:styleId="179">
    <w:name w:val="表头 ylp"/>
    <w:basedOn w:val="1"/>
    <w:qFormat/>
    <w:uiPriority w:val="0"/>
    <w:pPr>
      <w:jc w:val="center"/>
    </w:pPr>
    <w:rPr>
      <w:rFonts w:eastAsia="黑体"/>
      <w:color w:val="0000FF"/>
      <w:lang w:bidi="he-IL"/>
    </w:rPr>
  </w:style>
  <w:style w:type="paragraph" w:customStyle="1" w:styleId="180">
    <w:name w:val="111表格的格式"/>
    <w:basedOn w:val="1"/>
    <w:qFormat/>
    <w:uiPriority w:val="0"/>
    <w:pPr>
      <w:adjustRightInd w:val="0"/>
      <w:snapToGrid w:val="0"/>
      <w:jc w:val="center"/>
    </w:pPr>
  </w:style>
  <w:style w:type="paragraph" w:customStyle="1" w:styleId="181">
    <w:name w:val="44标题444"/>
    <w:basedOn w:val="1"/>
    <w:qFormat/>
    <w:uiPriority w:val="0"/>
    <w:pPr>
      <w:adjustRightInd w:val="0"/>
      <w:snapToGrid w:val="0"/>
      <w:spacing w:line="360" w:lineRule="auto"/>
      <w:outlineLvl w:val="3"/>
    </w:pPr>
    <w:rPr>
      <w:rFonts w:eastAsia="黑体" w:cs="宋体"/>
      <w:bCs/>
      <w:spacing w:val="-10"/>
      <w:szCs w:val="21"/>
    </w:rPr>
  </w:style>
  <w:style w:type="paragraph" w:customStyle="1" w:styleId="182">
    <w:name w:val="22表格"/>
    <w:basedOn w:val="183"/>
    <w:qFormat/>
    <w:uiPriority w:val="0"/>
    <w:pPr>
      <w:adjustRightInd w:val="0"/>
      <w:snapToGrid w:val="0"/>
      <w:textAlignment w:val="center"/>
    </w:pPr>
    <w:rPr>
      <w:rFonts w:eastAsia="宋体"/>
      <w:color w:val="000000"/>
    </w:rPr>
  </w:style>
  <w:style w:type="paragraph" w:customStyle="1" w:styleId="183">
    <w:name w:val="表表表表"/>
    <w:basedOn w:val="184"/>
    <w:qFormat/>
    <w:uiPriority w:val="0"/>
    <w:rPr>
      <w:rFonts w:eastAsia="方正楷体简体"/>
    </w:rPr>
  </w:style>
  <w:style w:type="paragraph" w:customStyle="1" w:styleId="184">
    <w:name w:val="表格文字"/>
    <w:basedOn w:val="159"/>
    <w:next w:val="1"/>
    <w:qFormat/>
    <w:uiPriority w:val="0"/>
    <w:pPr>
      <w:spacing w:before="60" w:after="60" w:line="240" w:lineRule="atLeast"/>
      <w:jc w:val="center"/>
    </w:pPr>
  </w:style>
  <w:style w:type="paragraph" w:customStyle="1" w:styleId="185">
    <w:name w:val="0正文"/>
    <w:unhideWhenUsed/>
    <w:qFormat/>
    <w:uiPriority w:val="0"/>
    <w:pPr>
      <w:widowControl w:val="0"/>
      <w:spacing w:after="160" w:line="360" w:lineRule="auto"/>
      <w:ind w:firstLine="720" w:firstLineChars="200"/>
    </w:pPr>
    <w:rPr>
      <w:rFonts w:ascii="Times New Roman" w:hAnsi="Times New Roman" w:eastAsia="宋体" w:cs="Times New Roman"/>
      <w:sz w:val="24"/>
      <w:szCs w:val="22"/>
      <w:lang w:val="en-US" w:eastAsia="zh-CN" w:bidi="ar-SA"/>
    </w:rPr>
  </w:style>
  <w:style w:type="paragraph" w:customStyle="1" w:styleId="186">
    <w:name w:val="【表格文字】"/>
    <w:basedOn w:val="1"/>
    <w:next w:val="1"/>
    <w:qFormat/>
    <w:uiPriority w:val="0"/>
    <w:pPr>
      <w:adjustRightInd w:val="0"/>
      <w:snapToGrid w:val="0"/>
      <w:jc w:val="center"/>
    </w:pPr>
  </w:style>
  <w:style w:type="paragraph" w:customStyle="1" w:styleId="187">
    <w:name w:val="111zhengwen"/>
    <w:basedOn w:val="1"/>
    <w:qFormat/>
    <w:uiPriority w:val="0"/>
    <w:pPr>
      <w:adjustRightInd w:val="0"/>
      <w:snapToGrid w:val="0"/>
      <w:spacing w:line="360" w:lineRule="auto"/>
      <w:ind w:firstLine="200" w:firstLineChars="200"/>
    </w:pPr>
    <w:rPr>
      <w:szCs w:val="20"/>
    </w:rPr>
  </w:style>
  <w:style w:type="paragraph" w:customStyle="1" w:styleId="188">
    <w:name w:val="5文章(治) + 黑色"/>
    <w:basedOn w:val="189"/>
    <w:qFormat/>
    <w:uiPriority w:val="0"/>
    <w:pPr>
      <w:ind w:firstLine="560"/>
    </w:pPr>
    <w:rPr>
      <w:rFonts w:ascii="Arial" w:hAnsi="Arial" w:cs="Tahoma"/>
      <w:snapToGrid w:val="0"/>
      <w:color w:val="000000"/>
      <w:szCs w:val="21"/>
    </w:rPr>
  </w:style>
  <w:style w:type="paragraph" w:customStyle="1" w:styleId="189">
    <w:name w:val="5文章(治)"/>
    <w:basedOn w:val="1"/>
    <w:qFormat/>
    <w:uiPriority w:val="0"/>
    <w:pPr>
      <w:spacing w:line="360" w:lineRule="auto"/>
      <w:ind w:firstLine="561"/>
    </w:pPr>
    <w:rPr>
      <w:rFonts w:ascii="Calibri" w:hAnsi="Calibri" w:cs="黑体"/>
    </w:rPr>
  </w:style>
  <w:style w:type="paragraph" w:customStyle="1" w:styleId="190">
    <w:name w:val="WPSOffice手动目录 1"/>
    <w:qFormat/>
    <w:uiPriority w:val="0"/>
    <w:pPr>
      <w:spacing w:after="160" w:line="259" w:lineRule="auto"/>
    </w:pPr>
    <w:rPr>
      <w:rFonts w:ascii="Times New Roman" w:hAnsi="Times New Roman" w:eastAsia="宋体" w:cs="Times New Roman"/>
      <w:sz w:val="22"/>
      <w:szCs w:val="22"/>
      <w:lang w:val="en-US" w:eastAsia="zh-CN" w:bidi="ar-SA"/>
    </w:rPr>
  </w:style>
  <w:style w:type="paragraph" w:customStyle="1" w:styleId="191">
    <w:name w:val="WPSOffice手动目录 2"/>
    <w:qFormat/>
    <w:uiPriority w:val="0"/>
    <w:pPr>
      <w:spacing w:after="160" w:line="259" w:lineRule="auto"/>
      <w:ind w:left="200" w:leftChars="200"/>
    </w:pPr>
    <w:rPr>
      <w:rFonts w:ascii="Times New Roman" w:hAnsi="Times New Roman" w:eastAsia="宋体" w:cs="Times New Roman"/>
      <w:sz w:val="22"/>
      <w:szCs w:val="22"/>
      <w:lang w:val="en-US" w:eastAsia="zh-CN" w:bidi="ar-SA"/>
    </w:rPr>
  </w:style>
  <w:style w:type="paragraph" w:customStyle="1" w:styleId="192">
    <w:name w:val="111正文"/>
    <w:basedOn w:val="1"/>
    <w:qFormat/>
    <w:uiPriority w:val="0"/>
    <w:pPr>
      <w:tabs>
        <w:tab w:val="left" w:pos="7276"/>
      </w:tabs>
      <w:adjustRightInd w:val="0"/>
      <w:snapToGrid w:val="0"/>
      <w:spacing w:line="360" w:lineRule="auto"/>
      <w:ind w:firstLine="480" w:firstLineChars="200"/>
    </w:pPr>
    <w:rPr>
      <w:color w:val="C00000"/>
      <w:szCs w:val="32"/>
    </w:rPr>
  </w:style>
  <w:style w:type="paragraph" w:customStyle="1" w:styleId="193">
    <w:name w:val="彪哥文本"/>
    <w:basedOn w:val="1"/>
    <w:next w:val="1"/>
    <w:qFormat/>
    <w:uiPriority w:val="0"/>
    <w:pPr>
      <w:adjustRightInd w:val="0"/>
      <w:snapToGrid w:val="0"/>
      <w:spacing w:before="10" w:beforeLines="10" w:after="10" w:afterLines="10"/>
      <w:jc w:val="center"/>
    </w:pPr>
    <w:rPr>
      <w:szCs w:val="20"/>
    </w:rPr>
  </w:style>
  <w:style w:type="character" w:customStyle="1" w:styleId="194">
    <w:name w:val="标题 4 字符"/>
    <w:basedOn w:val="39"/>
    <w:link w:val="5"/>
    <w:qFormat/>
    <w:uiPriority w:val="9"/>
    <w:rPr>
      <w:rFonts w:asciiTheme="majorHAnsi" w:hAnsiTheme="majorHAnsi" w:eastAsiaTheme="majorEastAsia" w:cstheme="majorBidi"/>
      <w:i/>
      <w:iCs/>
      <w:color w:val="376092" w:themeColor="accent1" w:themeShade="BF"/>
    </w:rPr>
  </w:style>
  <w:style w:type="character" w:customStyle="1" w:styleId="195">
    <w:name w:val="标题 5 字符"/>
    <w:basedOn w:val="39"/>
    <w:link w:val="6"/>
    <w:semiHidden/>
    <w:qFormat/>
    <w:uiPriority w:val="9"/>
    <w:rPr>
      <w:rFonts w:asciiTheme="majorHAnsi" w:hAnsiTheme="majorHAnsi" w:eastAsiaTheme="majorEastAsia" w:cstheme="majorBidi"/>
      <w:color w:val="376092" w:themeColor="accent1" w:themeShade="BF"/>
    </w:rPr>
  </w:style>
  <w:style w:type="character" w:customStyle="1" w:styleId="196">
    <w:name w:val="标题 6 字符"/>
    <w:basedOn w:val="39"/>
    <w:link w:val="7"/>
    <w:qFormat/>
    <w:uiPriority w:val="9"/>
    <w:rPr>
      <w:rFonts w:asciiTheme="majorHAnsi" w:hAnsiTheme="majorHAnsi" w:eastAsiaTheme="majorEastAsia" w:cstheme="majorBidi"/>
      <w:color w:val="254061" w:themeColor="accent1" w:themeShade="80"/>
    </w:rPr>
  </w:style>
  <w:style w:type="character" w:customStyle="1" w:styleId="197">
    <w:name w:val="标题 7 字符"/>
    <w:basedOn w:val="39"/>
    <w:link w:val="8"/>
    <w:semiHidden/>
    <w:qFormat/>
    <w:uiPriority w:val="9"/>
    <w:rPr>
      <w:rFonts w:asciiTheme="majorHAnsi" w:hAnsiTheme="majorHAnsi" w:eastAsiaTheme="majorEastAsia" w:cstheme="majorBidi"/>
      <w:i/>
      <w:iCs/>
      <w:color w:val="254061" w:themeColor="accent1" w:themeShade="80"/>
    </w:rPr>
  </w:style>
  <w:style w:type="character" w:customStyle="1" w:styleId="198">
    <w:name w:val="标题 8 字符"/>
    <w:basedOn w:val="39"/>
    <w:link w:val="9"/>
    <w:semiHidden/>
    <w:qFormat/>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199">
    <w:name w:val="标题 9 字符"/>
    <w:basedOn w:val="39"/>
    <w:link w:val="10"/>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200">
    <w:name w:val="标题 字符"/>
    <w:basedOn w:val="39"/>
    <w:link w:val="35"/>
    <w:qFormat/>
    <w:uiPriority w:val="10"/>
    <w:rPr>
      <w:rFonts w:asciiTheme="majorHAnsi" w:hAnsiTheme="majorHAnsi" w:eastAsiaTheme="majorEastAsia" w:cstheme="majorBidi"/>
      <w:spacing w:val="-10"/>
      <w:sz w:val="56"/>
      <w:szCs w:val="56"/>
    </w:rPr>
  </w:style>
  <w:style w:type="character" w:customStyle="1" w:styleId="201">
    <w:name w:val="副标题 字符"/>
    <w:basedOn w:val="39"/>
    <w:link w:val="33"/>
    <w:qFormat/>
    <w:uiPriority w:val="11"/>
    <w:rPr>
      <w:color w:val="595959" w:themeColor="text1" w:themeTint="A6"/>
      <w:spacing w:val="15"/>
      <w14:textFill>
        <w14:solidFill>
          <w14:schemeClr w14:val="tx1">
            <w14:lumMod w14:val="65000"/>
            <w14:lumOff w14:val="35000"/>
          </w14:schemeClr>
        </w14:solidFill>
      </w14:textFill>
    </w:rPr>
  </w:style>
  <w:style w:type="character" w:customStyle="1" w:styleId="202">
    <w:name w:val="引用 字符"/>
    <w:basedOn w:val="39"/>
    <w:link w:val="98"/>
    <w:qFormat/>
    <w:uiPriority w:val="29"/>
    <w:rPr>
      <w:i/>
      <w:iCs/>
      <w:color w:val="404040" w:themeColor="text1" w:themeTint="BF"/>
      <w14:textFill>
        <w14:solidFill>
          <w14:schemeClr w14:val="tx1">
            <w14:lumMod w14:val="75000"/>
            <w14:lumOff w14:val="25000"/>
          </w14:schemeClr>
        </w14:solidFill>
      </w14:textFill>
    </w:rPr>
  </w:style>
  <w:style w:type="paragraph" w:styleId="203">
    <w:name w:val="Intense Quote"/>
    <w:basedOn w:val="1"/>
    <w:next w:val="1"/>
    <w:link w:val="204"/>
    <w:qFormat/>
    <w:uiPriority w:val="30"/>
    <w:pPr>
      <w:pBdr>
        <w:top w:val="single" w:color="4F81BD" w:themeColor="accent1" w:sz="4" w:space="10"/>
        <w:bottom w:val="single" w:color="4F81BD" w:themeColor="accent1" w:sz="4" w:space="10"/>
      </w:pBdr>
      <w:spacing w:before="360" w:after="360"/>
      <w:ind w:left="864" w:right="864"/>
      <w:jc w:val="center"/>
    </w:pPr>
    <w:rPr>
      <w:i/>
      <w:iCs/>
      <w:color w:val="4F81BD" w:themeColor="accent1"/>
      <w14:textFill>
        <w14:solidFill>
          <w14:schemeClr w14:val="accent1"/>
        </w14:solidFill>
      </w14:textFill>
    </w:rPr>
  </w:style>
  <w:style w:type="character" w:customStyle="1" w:styleId="204">
    <w:name w:val="明显引用 字符"/>
    <w:basedOn w:val="39"/>
    <w:link w:val="203"/>
    <w:qFormat/>
    <w:uiPriority w:val="30"/>
    <w:rPr>
      <w:i/>
      <w:iCs/>
      <w:color w:val="4F81BD" w:themeColor="accent1"/>
      <w14:textFill>
        <w14:solidFill>
          <w14:schemeClr w14:val="accent1"/>
        </w14:solidFill>
      </w14:textFill>
    </w:rPr>
  </w:style>
  <w:style w:type="character" w:customStyle="1" w:styleId="205">
    <w:name w:val="不明显强调1"/>
    <w:basedOn w:val="39"/>
    <w:qFormat/>
    <w:uiPriority w:val="19"/>
    <w:rPr>
      <w:i/>
      <w:iCs/>
      <w:color w:val="404040" w:themeColor="text1" w:themeTint="BF"/>
      <w14:textFill>
        <w14:solidFill>
          <w14:schemeClr w14:val="tx1">
            <w14:lumMod w14:val="75000"/>
            <w14:lumOff w14:val="25000"/>
          </w14:schemeClr>
        </w14:solidFill>
      </w14:textFill>
    </w:rPr>
  </w:style>
  <w:style w:type="character" w:customStyle="1" w:styleId="206">
    <w:name w:val="明显强调1"/>
    <w:basedOn w:val="39"/>
    <w:qFormat/>
    <w:uiPriority w:val="21"/>
    <w:rPr>
      <w:i/>
      <w:iCs/>
      <w:color w:val="4F81BD" w:themeColor="accent1"/>
      <w14:textFill>
        <w14:solidFill>
          <w14:schemeClr w14:val="accent1"/>
        </w14:solidFill>
      </w14:textFill>
    </w:rPr>
  </w:style>
  <w:style w:type="character" w:customStyle="1" w:styleId="207">
    <w:name w:val="不明显参考1"/>
    <w:basedOn w:val="39"/>
    <w:qFormat/>
    <w:uiPriority w:val="31"/>
    <w:rPr>
      <w:smallCaps/>
      <w:color w:val="404040" w:themeColor="text1" w:themeTint="BF"/>
      <w14:textFill>
        <w14:solidFill>
          <w14:schemeClr w14:val="tx1">
            <w14:lumMod w14:val="75000"/>
            <w14:lumOff w14:val="25000"/>
          </w14:schemeClr>
        </w14:solidFill>
      </w14:textFill>
    </w:rPr>
  </w:style>
  <w:style w:type="character" w:customStyle="1" w:styleId="208">
    <w:name w:val="明显参考1"/>
    <w:basedOn w:val="39"/>
    <w:qFormat/>
    <w:uiPriority w:val="32"/>
    <w:rPr>
      <w:b/>
      <w:bCs/>
      <w:smallCaps/>
      <w:color w:val="4F81BD" w:themeColor="accent1"/>
      <w:spacing w:val="5"/>
      <w14:textFill>
        <w14:solidFill>
          <w14:schemeClr w14:val="accent1"/>
        </w14:solidFill>
      </w14:textFill>
    </w:rPr>
  </w:style>
  <w:style w:type="character" w:customStyle="1" w:styleId="209">
    <w:name w:val="书籍标题1"/>
    <w:basedOn w:val="39"/>
    <w:qFormat/>
    <w:uiPriority w:val="33"/>
    <w:rPr>
      <w:b/>
      <w:bCs/>
      <w:i/>
      <w:iCs/>
      <w:spacing w:val="5"/>
    </w:rPr>
  </w:style>
  <w:style w:type="paragraph" w:customStyle="1" w:styleId="210">
    <w:name w:val="TOC 标题1"/>
    <w:basedOn w:val="2"/>
    <w:next w:val="1"/>
    <w:semiHidden/>
    <w:unhideWhenUsed/>
    <w:qFormat/>
    <w:uiPriority w:val="39"/>
    <w:pPr>
      <w:outlineLvl w:val="9"/>
    </w:pPr>
  </w:style>
  <w:style w:type="paragraph" w:customStyle="1" w:styleId="211">
    <w:name w:val="修订1"/>
    <w:hidden/>
    <w:semiHidden/>
    <w:qFormat/>
    <w:uiPriority w:val="99"/>
    <w:rPr>
      <w:rFonts w:asciiTheme="minorHAnsi" w:hAnsiTheme="minorHAnsi" w:eastAsiaTheme="minorEastAsia" w:cstheme="minorBidi"/>
      <w:sz w:val="22"/>
      <w:szCs w:val="22"/>
      <w:lang w:val="en-US" w:eastAsia="zh-CN" w:bidi="ar-SA"/>
    </w:rPr>
  </w:style>
  <w:style w:type="paragraph" w:customStyle="1" w:styleId="212">
    <w:name w:val="10、表格内容"/>
    <w:basedOn w:val="19"/>
    <w:qFormat/>
    <w:uiPriority w:val="0"/>
    <w:pPr>
      <w:widowControl w:val="0"/>
      <w:adjustRightInd w:val="0"/>
      <w:spacing w:before="0" w:after="0" w:line="280" w:lineRule="exact"/>
      <w:ind w:right="0"/>
      <w:jc w:val="center"/>
    </w:pPr>
    <w:rPr>
      <w:color w:val="000000"/>
      <w:kern w:val="2"/>
      <w:sz w:val="21"/>
      <w:szCs w:val="24"/>
    </w:rPr>
  </w:style>
  <w:style w:type="paragraph" w:customStyle="1" w:styleId="213">
    <w:name w:val="修订2"/>
    <w:hidden/>
    <w:semiHidden/>
    <w:qFormat/>
    <w:uiPriority w:val="99"/>
    <w:rPr>
      <w:rFonts w:asciiTheme="minorHAnsi" w:hAnsiTheme="minorHAnsi" w:eastAsiaTheme="minorEastAsia" w:cstheme="minorBidi"/>
      <w:sz w:val="22"/>
      <w:szCs w:val="22"/>
      <w:lang w:val="en-US" w:eastAsia="zh-CN" w:bidi="ar-SA"/>
    </w:rPr>
  </w:style>
  <w:style w:type="paragraph" w:customStyle="1" w:styleId="214">
    <w:name w:val="标题33"/>
    <w:basedOn w:val="1"/>
    <w:qFormat/>
    <w:uiPriority w:val="0"/>
    <w:pPr>
      <w:tabs>
        <w:tab w:val="left" w:pos="3840"/>
      </w:tabs>
      <w:spacing w:line="360" w:lineRule="auto"/>
      <w:outlineLvl w:val="2"/>
    </w:pPr>
    <w:rPr>
      <w:rFonts w:eastAsia="黑体"/>
      <w:szCs w:val="30"/>
    </w:rPr>
  </w:style>
  <w:style w:type="character" w:customStyle="1" w:styleId="215">
    <w:name w:val="页眉 字符1"/>
    <w:basedOn w:val="39"/>
    <w:link w:val="31"/>
    <w:qFormat/>
    <w:uiPriority w:val="0"/>
    <w:rPr>
      <w:rFonts w:hint="default" w:ascii="Calibri" w:hAnsi="Calibri" w:cs="Calibri"/>
    </w:rPr>
  </w:style>
  <w:style w:type="character" w:customStyle="1" w:styleId="216">
    <w:name w:val="apple-converted-space"/>
    <w:basedOn w:val="39"/>
    <w:qFormat/>
    <w:uiPriority w:val="0"/>
    <w:rPr>
      <w:rFonts w:hint="default" w:ascii="Times New Roman" w:hAnsi="Times New Roman" w:cs="Times New Roman"/>
    </w:rPr>
  </w:style>
  <w:style w:type="paragraph" w:customStyle="1" w:styleId="217">
    <w:name w:val="BGZX"/>
    <w:next w:val="1"/>
    <w:qFormat/>
    <w:uiPriority w:val="0"/>
    <w:pPr>
      <w:widowControl w:val="0"/>
      <w:spacing w:line="360" w:lineRule="auto"/>
      <w:ind w:firstLine="480" w:firstLineChars="200"/>
    </w:pPr>
    <w:rPr>
      <w:rFonts w:ascii="Times New Roman" w:hAnsi="Times New Roman" w:eastAsia="宋体" w:cs="Times New Roman"/>
      <w:sz w:val="24"/>
      <w:lang w:val="en-US" w:eastAsia="zh-CN" w:bidi="ar-SA"/>
    </w:rPr>
  </w:style>
  <w:style w:type="paragraph" w:customStyle="1" w:styleId="218">
    <w:name w:val="正文新"/>
    <w:basedOn w:val="24"/>
    <w:qFormat/>
    <w:uiPriority w:val="0"/>
    <w:pPr>
      <w:spacing w:before="120" w:after="120" w:line="300" w:lineRule="auto"/>
      <w:ind w:firstLine="510"/>
    </w:pPr>
    <w:rPr>
      <w:rFonts w:hAnsi="Arial"/>
      <w:snapToGrid w:val="0"/>
    </w:rPr>
  </w:style>
  <w:style w:type="paragraph" w:customStyle="1" w:styleId="219">
    <w:name w:val="7表格(治)"/>
    <w:qFormat/>
    <w:uiPriority w:val="0"/>
    <w:pPr>
      <w:jc w:val="center"/>
    </w:pPr>
    <w:rPr>
      <w:rFonts w:ascii="Times New Roman" w:hAnsi="Times New Roman" w:eastAsia="楷体_GB2312" w:cs="Times New Roman"/>
      <w:sz w:val="21"/>
      <w:lang w:val="en-US" w:eastAsia="zh-CN" w:bidi="ar-SA"/>
    </w:rPr>
  </w:style>
  <w:style w:type="paragraph" w:customStyle="1" w:styleId="220">
    <w:name w:val="报告表正文"/>
    <w:basedOn w:val="1"/>
    <w:qFormat/>
    <w:uiPriority w:val="0"/>
    <w:pPr>
      <w:spacing w:line="360" w:lineRule="auto"/>
      <w:ind w:firstLine="200" w:firstLineChars="200"/>
    </w:pPr>
  </w:style>
  <w:style w:type="paragraph" w:customStyle="1" w:styleId="221">
    <w:name w:val="【表格】"/>
    <w:next w:val="22"/>
    <w:qFormat/>
    <w:uiPriority w:val="0"/>
    <w:pPr>
      <w:jc w:val="center"/>
    </w:pPr>
    <w:rPr>
      <w:rFonts w:ascii="Times New Roman" w:hAnsi="Times New Roman" w:eastAsia="宋体" w:cs="Times New Roman"/>
      <w:sz w:val="21"/>
      <w:szCs w:val="24"/>
      <w:lang w:val="en-US" w:eastAsia="zh-CN" w:bidi="ar-SA"/>
      <w14:ligatures w14:val="standardContextual"/>
    </w:rPr>
  </w:style>
  <w:style w:type="paragraph" w:customStyle="1" w:styleId="222">
    <w:name w:val="【表头】"/>
    <w:basedOn w:val="1"/>
    <w:qFormat/>
    <w:uiPriority w:val="0"/>
    <w:pPr>
      <w:widowControl w:val="0"/>
      <w:adjustRightInd w:val="0"/>
      <w:snapToGrid w:val="0"/>
      <w:spacing w:beforeLines="50" w:after="0" w:line="240" w:lineRule="auto"/>
      <w:jc w:val="center"/>
    </w:pPr>
    <w:rPr>
      <w:rFonts w:ascii="Times New Roman" w:hAnsi="Times New Roman" w:eastAsia="宋体" w:cs="Times New Roman"/>
      <w:b/>
      <w:kern w:val="2"/>
      <w:szCs w:val="24"/>
      <w14:ligatures w14:val="standardContextual"/>
    </w:rPr>
  </w:style>
  <w:style w:type="paragraph" w:customStyle="1" w:styleId="223">
    <w:name w:val="【表下正文】"/>
    <w:basedOn w:val="1"/>
    <w:next w:val="1"/>
    <w:qFormat/>
    <w:uiPriority w:val="1"/>
    <w:pPr>
      <w:widowControl w:val="0"/>
      <w:spacing w:before="50" w:beforeLines="50" w:after="0" w:line="240" w:lineRule="auto"/>
      <w:jc w:val="both"/>
    </w:pPr>
    <w:rPr>
      <w:rFonts w:ascii="Times New Roman" w:hAnsi="Times New Roman" w:eastAsia="宋体" w:cs="Times New Roman"/>
      <w:kern w:val="2"/>
      <w:sz w:val="20"/>
      <w:szCs w:val="20"/>
      <w14:ligatures w14:val="standardContextual"/>
    </w:rPr>
  </w:style>
  <w:style w:type="paragraph" w:customStyle="1" w:styleId="224">
    <w:name w:val="【图】"/>
    <w:qFormat/>
    <w:uiPriority w:val="0"/>
    <w:pPr>
      <w:spacing w:line="360" w:lineRule="auto"/>
      <w:jc w:val="center"/>
    </w:pPr>
    <w:rPr>
      <w:rFonts w:ascii="Times New Roman" w:hAnsi="Times New Roman" w:eastAsia="宋体" w:cs="Times New Roman"/>
      <w:b/>
      <w:kern w:val="2"/>
      <w:sz w:val="24"/>
      <w:szCs w:val="24"/>
      <w:lang w:val="en-US" w:eastAsia="zh-CN" w:bidi="ar-SA"/>
      <w14:ligatures w14:val="standardContextual"/>
    </w:rPr>
  </w:style>
  <w:style w:type="paragraph" w:customStyle="1" w:styleId="225">
    <w:name w:val="【正文】"/>
    <w:qFormat/>
    <w:uiPriority w:val="1"/>
    <w:pPr>
      <w:spacing w:line="360" w:lineRule="auto"/>
      <w:ind w:firstLine="200" w:firstLineChars="200"/>
      <w:jc w:val="both"/>
    </w:pPr>
    <w:rPr>
      <w:rFonts w:ascii="Times New Roman" w:hAnsi="Times New Roman" w:eastAsia="宋体" w:cs="Times New Roman"/>
      <w:sz w:val="24"/>
      <w:szCs w:val="24"/>
      <w:lang w:val="zh-CN" w:eastAsia="zh-CN" w:bidi="zh-CN"/>
      <w14:ligatures w14:val="standardContextual"/>
    </w:rPr>
  </w:style>
  <w:style w:type="table" w:customStyle="1" w:styleId="226">
    <w:name w:val="样式1"/>
    <w:basedOn w:val="37"/>
    <w:qFormat/>
    <w:uiPriority w:val="99"/>
    <w:pPr>
      <w:jc w:val="center"/>
    </w:pPr>
    <w:rPr>
      <w:sz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227">
    <w:name w:val="修订3"/>
    <w:hidden/>
    <w:unhideWhenUsed/>
    <w:qFormat/>
    <w:uiPriority w:val="99"/>
    <w:rPr>
      <w:rFonts w:asciiTheme="minorHAnsi" w:hAnsiTheme="minorHAnsi" w:eastAsiaTheme="minorEastAsia" w:cstheme="minorBidi"/>
      <w:sz w:val="24"/>
      <w:szCs w:val="22"/>
      <w:lang w:val="en-US" w:eastAsia="zh-CN" w:bidi="ar-SA"/>
    </w:rPr>
  </w:style>
  <w:style w:type="paragraph" w:customStyle="1" w:styleId="228">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229">
    <w:name w:val="表2.3-1"/>
    <w:basedOn w:val="1"/>
    <w:qFormat/>
    <w:uiPriority w:val="0"/>
    <w:pPr>
      <w:widowControl w:val="0"/>
      <w:adjustRightInd w:val="0"/>
      <w:snapToGrid w:val="0"/>
      <w:spacing w:after="0" w:line="320" w:lineRule="exact"/>
      <w:ind w:firstLine="720" w:firstLineChars="200"/>
      <w:jc w:val="center"/>
      <w:outlineLvl w:val="4"/>
    </w:pPr>
    <w:rPr>
      <w:rFonts w:ascii="Arial" w:hAnsi="Arial" w:eastAsia="宋体" w:cs="Times New Roman"/>
      <w:kern w:val="2"/>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53.jpeg"/><Relationship Id="rId71" Type="http://schemas.openxmlformats.org/officeDocument/2006/relationships/image" Target="media/image52.jpeg"/><Relationship Id="rId70" Type="http://schemas.openxmlformats.org/officeDocument/2006/relationships/image" Target="media/image51.emf"/><Relationship Id="rId7" Type="http://schemas.openxmlformats.org/officeDocument/2006/relationships/footer" Target="footer2.xml"/><Relationship Id="rId69" Type="http://schemas.openxmlformats.org/officeDocument/2006/relationships/package" Target="embeddings/Presentation4.pptx"/><Relationship Id="rId68" Type="http://schemas.openxmlformats.org/officeDocument/2006/relationships/image" Target="media/image50.png"/><Relationship Id="rId67" Type="http://schemas.openxmlformats.org/officeDocument/2006/relationships/image" Target="media/image49.jpeg"/><Relationship Id="rId66" Type="http://schemas.openxmlformats.org/officeDocument/2006/relationships/image" Target="media/image48.emf"/><Relationship Id="rId65" Type="http://schemas.openxmlformats.org/officeDocument/2006/relationships/package" Target="embeddings/Presentation3.pptx"/><Relationship Id="rId64" Type="http://schemas.openxmlformats.org/officeDocument/2006/relationships/image" Target="media/image47.jpe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footer" Target="footer1.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pn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jpe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jpeg"/><Relationship Id="rId47" Type="http://schemas.openxmlformats.org/officeDocument/2006/relationships/image" Target="media/image30.png"/><Relationship Id="rId46" Type="http://schemas.openxmlformats.org/officeDocument/2006/relationships/image" Target="media/image29.jpe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emf"/><Relationship Id="rId38" Type="http://schemas.openxmlformats.org/officeDocument/2006/relationships/package" Target="embeddings/Slide2.sldx"/><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emf"/><Relationship Id="rId25" Type="http://schemas.openxmlformats.org/officeDocument/2006/relationships/package" Target="embeddings/Slide1.sldx"/><Relationship Id="rId24" Type="http://schemas.openxmlformats.org/officeDocument/2006/relationships/image" Target="media/image9.pn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E0C906-280A-41B7-B165-37FC32CE0825}">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92</Pages>
  <Words>40771</Words>
  <Characters>48653</Characters>
  <Lines>399</Lines>
  <Paragraphs>112</Paragraphs>
  <TotalTime>3</TotalTime>
  <ScaleCrop>false</ScaleCrop>
  <LinksUpToDate>false</LinksUpToDate>
  <CharactersWithSpaces>49237</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2024-10-29T07:26:00Z</dcterms:created>
  <dc:creator>lhj</dc:creator>
  <cp:lastModifiedBy>NTKO</cp:lastModifiedBy>
  <cp:lastPrinted>2024-05-31T06:14:00Z</cp:lastPrinted>
  <dcterms:modified xsi:type="dcterms:W3CDTF">2024-11-26T09:08:33Z</dcterms:modified>
  <dc:title>附件2</dc:title>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0385CC9842B6417B96021289C7215636_13</vt:lpwstr>
  </property>
  <property fmtid="{D5CDD505-2E9C-101B-9397-08002B2CF9AE}" pid="4" name="MSIP_Label_defa4170-0d19-0005-0004-bc88714345d2_Enabled">
    <vt:lpwstr>true</vt:lpwstr>
  </property>
  <property fmtid="{D5CDD505-2E9C-101B-9397-08002B2CF9AE}" pid="5" name="MSIP_Label_defa4170-0d19-0005-0004-bc88714345d2_SetDate">
    <vt:lpwstr>2024-10-21T07:32:05Z</vt:lpwstr>
  </property>
  <property fmtid="{D5CDD505-2E9C-101B-9397-08002B2CF9AE}" pid="6" name="MSIP_Label_defa4170-0d19-0005-0004-bc88714345d2_Method">
    <vt:lpwstr>Standard</vt:lpwstr>
  </property>
  <property fmtid="{D5CDD505-2E9C-101B-9397-08002B2CF9AE}" pid="7" name="MSIP_Label_defa4170-0d19-0005-0004-bc88714345d2_Name">
    <vt:lpwstr>defa4170-0d19-0005-0004-bc88714345d2</vt:lpwstr>
  </property>
  <property fmtid="{D5CDD505-2E9C-101B-9397-08002B2CF9AE}" pid="8" name="MSIP_Label_defa4170-0d19-0005-0004-bc88714345d2_SiteId">
    <vt:lpwstr>f5fc9c0b-f80e-4bcc-bb1f-03e97bc2c076</vt:lpwstr>
  </property>
  <property fmtid="{D5CDD505-2E9C-101B-9397-08002B2CF9AE}" pid="9" name="MSIP_Label_defa4170-0d19-0005-0004-bc88714345d2_ActionId">
    <vt:lpwstr>77584b97-2a30-4fd4-a861-441eec4c18f0</vt:lpwstr>
  </property>
  <property fmtid="{D5CDD505-2E9C-101B-9397-08002B2CF9AE}" pid="10" name="MSIP_Label_defa4170-0d19-0005-0004-bc88714345d2_ContentBits">
    <vt:lpwstr>0</vt:lpwstr>
  </property>
</Properties>
</file>