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9ED1E6">
      <w:pPr>
        <w:spacing w:line="288" w:lineRule="auto"/>
        <w:jc w:val="center"/>
        <w:rPr>
          <w:rFonts w:eastAsia="楷体_GB2312"/>
          <w:sz w:val="36"/>
          <w:szCs w:val="36"/>
        </w:rPr>
        <w:sectPr>
          <w:footerReference r:id="rId3" w:type="default"/>
          <w:pgSz w:w="11906" w:h="16838"/>
          <w:pgMar w:top="1440" w:right="1800" w:bottom="1440" w:left="1800" w:header="851" w:footer="1077" w:gutter="0"/>
          <w:pgNumType w:start="1"/>
          <w:cols w:space="720" w:num="1"/>
          <w:docGrid w:linePitch="312" w:charSpace="0"/>
        </w:sectPr>
      </w:pPr>
      <w:r>
        <w:rPr>
          <w:rFonts w:hint="eastAsia" w:eastAsia="楷体_GB2312"/>
          <w:sz w:val="36"/>
          <w:szCs w:val="36"/>
        </w:rPr>
        <w:drawing>
          <wp:inline distT="0" distB="0" distL="114300" distR="114300">
            <wp:extent cx="5267960" cy="7472680"/>
            <wp:effectExtent l="0" t="0" r="8890" b="13970"/>
            <wp:docPr id="57" name="图片 57" descr="建设项目环境影响报告表(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建设项目环境影响报告表(1)_页面_1"/>
                    <pic:cNvPicPr>
                      <a:picLocks noChangeAspect="1"/>
                    </pic:cNvPicPr>
                  </pic:nvPicPr>
                  <pic:blipFill>
                    <a:blip r:embed="rId8" cstate="print"/>
                    <a:stretch>
                      <a:fillRect/>
                    </a:stretch>
                  </pic:blipFill>
                  <pic:spPr>
                    <a:xfrm>
                      <a:off x="0" y="0"/>
                      <a:ext cx="5267960" cy="7472680"/>
                    </a:xfrm>
                    <a:prstGeom prst="rect">
                      <a:avLst/>
                    </a:prstGeom>
                  </pic:spPr>
                </pic:pic>
              </a:graphicData>
            </a:graphic>
          </wp:inline>
        </w:drawing>
      </w:r>
    </w:p>
    <w:p w14:paraId="60B6BF30">
      <w:pPr>
        <w:spacing w:line="288" w:lineRule="auto"/>
        <w:jc w:val="center"/>
        <w:rPr>
          <w:rFonts w:eastAsia="楷体_GB2312"/>
          <w:sz w:val="36"/>
          <w:szCs w:val="36"/>
        </w:rPr>
        <w:sectPr>
          <w:pgSz w:w="11906" w:h="16838"/>
          <w:pgMar w:top="1440" w:right="1800" w:bottom="1440" w:left="1800" w:header="851" w:footer="1077" w:gutter="0"/>
          <w:pgNumType w:start="1"/>
          <w:cols w:space="720" w:num="1"/>
          <w:docGrid w:linePitch="312" w:charSpace="0"/>
        </w:sectPr>
      </w:pPr>
      <w:r>
        <w:rPr>
          <w:rFonts w:hint="eastAsia" w:eastAsia="楷体_GB2312"/>
          <w:sz w:val="36"/>
          <w:szCs w:val="36"/>
        </w:rPr>
        <w:drawing>
          <wp:inline distT="0" distB="0" distL="114300" distR="114300">
            <wp:extent cx="5257165" cy="7440930"/>
            <wp:effectExtent l="0" t="0" r="635" b="7620"/>
            <wp:docPr id="3" name="图片 3" descr="694dc136f5925bb73caba43c4bd7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94dc136f5925bb73caba43c4bd78ac"/>
                    <pic:cNvPicPr>
                      <a:picLocks noChangeAspect="1"/>
                    </pic:cNvPicPr>
                  </pic:nvPicPr>
                  <pic:blipFill>
                    <a:blip r:embed="rId9" cstate="print"/>
                    <a:stretch>
                      <a:fillRect/>
                    </a:stretch>
                  </pic:blipFill>
                  <pic:spPr>
                    <a:xfrm>
                      <a:off x="0" y="0"/>
                      <a:ext cx="5257165" cy="7440930"/>
                    </a:xfrm>
                    <a:prstGeom prst="rect">
                      <a:avLst/>
                    </a:prstGeom>
                  </pic:spPr>
                </pic:pic>
              </a:graphicData>
            </a:graphic>
          </wp:inline>
        </w:drawing>
      </w:r>
    </w:p>
    <w:p w14:paraId="637428FA">
      <w:pPr>
        <w:spacing w:line="288" w:lineRule="auto"/>
        <w:jc w:val="center"/>
      </w:pPr>
      <w:r>
        <w:drawing>
          <wp:inline distT="0" distB="0" distL="114300" distR="114300">
            <wp:extent cx="5273040" cy="7065010"/>
            <wp:effectExtent l="0" t="0" r="3810" b="254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0" cstate="print"/>
                    <a:stretch>
                      <a:fillRect/>
                    </a:stretch>
                  </pic:blipFill>
                  <pic:spPr>
                    <a:xfrm>
                      <a:off x="0" y="0"/>
                      <a:ext cx="5273040" cy="7065010"/>
                    </a:xfrm>
                    <a:prstGeom prst="rect">
                      <a:avLst/>
                    </a:prstGeom>
                    <a:noFill/>
                    <a:ln>
                      <a:noFill/>
                    </a:ln>
                  </pic:spPr>
                </pic:pic>
              </a:graphicData>
            </a:graphic>
          </wp:inline>
        </w:drawing>
      </w:r>
    </w:p>
    <w:p w14:paraId="3FD5BBCA">
      <w:pPr>
        <w:spacing w:line="288" w:lineRule="auto"/>
        <w:jc w:val="center"/>
        <w:sectPr>
          <w:pgSz w:w="11906" w:h="16838"/>
          <w:pgMar w:top="1440" w:right="1800" w:bottom="1440" w:left="1800" w:header="851" w:footer="1077" w:gutter="0"/>
          <w:pgNumType w:start="1"/>
          <w:cols w:space="720" w:num="1"/>
          <w:docGrid w:linePitch="312" w:charSpace="0"/>
        </w:sectPr>
      </w:pPr>
    </w:p>
    <w:p w14:paraId="4E94C7EE">
      <w:pPr>
        <w:spacing w:line="288" w:lineRule="auto"/>
        <w:jc w:val="center"/>
        <w:sectPr>
          <w:pgSz w:w="16838" w:h="11906" w:orient="landscape"/>
          <w:pgMar w:top="1800" w:right="1440" w:bottom="1800" w:left="1440" w:header="851" w:footer="1077" w:gutter="0"/>
          <w:pgNumType w:start="1"/>
          <w:cols w:space="720" w:num="1"/>
          <w:docGrid w:linePitch="312" w:charSpace="0"/>
        </w:sectPr>
      </w:pPr>
      <w:r>
        <w:drawing>
          <wp:inline distT="0" distB="0" distL="114300" distR="114300">
            <wp:extent cx="8854440" cy="5274310"/>
            <wp:effectExtent l="0" t="0" r="3810" b="254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1" cstate="print"/>
                    <a:stretch>
                      <a:fillRect/>
                    </a:stretch>
                  </pic:blipFill>
                  <pic:spPr>
                    <a:xfrm>
                      <a:off x="0" y="0"/>
                      <a:ext cx="8854440" cy="5274310"/>
                    </a:xfrm>
                    <a:prstGeom prst="rect">
                      <a:avLst/>
                    </a:prstGeom>
                    <a:noFill/>
                    <a:ln>
                      <a:noFill/>
                    </a:ln>
                  </pic:spPr>
                </pic:pic>
              </a:graphicData>
            </a:graphic>
          </wp:inline>
        </w:drawing>
      </w:r>
    </w:p>
    <w:p w14:paraId="53125EFF">
      <w:pPr>
        <w:spacing w:line="288" w:lineRule="auto"/>
        <w:jc w:val="center"/>
        <w:sectPr>
          <w:pgSz w:w="11906" w:h="16838"/>
          <w:pgMar w:top="1440" w:right="1800" w:bottom="1440" w:left="1800" w:header="851" w:footer="1077" w:gutter="0"/>
          <w:pgNumType w:start="1"/>
          <w:cols w:space="720" w:num="1"/>
          <w:docGrid w:linePitch="312" w:charSpace="0"/>
        </w:sectPr>
      </w:pPr>
      <w:r>
        <w:drawing>
          <wp:inline distT="0" distB="0" distL="114300" distR="114300">
            <wp:extent cx="5405755" cy="7592060"/>
            <wp:effectExtent l="0" t="0" r="4445" b="889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2" cstate="print"/>
                    <a:stretch>
                      <a:fillRect/>
                    </a:stretch>
                  </pic:blipFill>
                  <pic:spPr>
                    <a:xfrm>
                      <a:off x="0" y="0"/>
                      <a:ext cx="5405755" cy="7592060"/>
                    </a:xfrm>
                    <a:prstGeom prst="rect">
                      <a:avLst/>
                    </a:prstGeom>
                    <a:noFill/>
                    <a:ln>
                      <a:noFill/>
                    </a:ln>
                  </pic:spPr>
                </pic:pic>
              </a:graphicData>
            </a:graphic>
          </wp:inline>
        </w:drawing>
      </w:r>
    </w:p>
    <w:p w14:paraId="79785EA4">
      <w:pPr>
        <w:spacing w:line="288" w:lineRule="auto"/>
        <w:jc w:val="center"/>
        <w:sectPr>
          <w:pgSz w:w="16838" w:h="11906" w:orient="landscape"/>
          <w:pgMar w:top="1800" w:right="1440" w:bottom="1800" w:left="1440" w:header="851" w:footer="1077" w:gutter="0"/>
          <w:pgNumType w:start="1"/>
          <w:cols w:space="720" w:num="1"/>
          <w:docGrid w:linePitch="312" w:charSpace="0"/>
        </w:sectPr>
      </w:pPr>
      <w:r>
        <w:drawing>
          <wp:inline distT="0" distB="0" distL="114300" distR="114300">
            <wp:extent cx="8851265" cy="5652770"/>
            <wp:effectExtent l="0" t="0" r="6985" b="508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3"/>
                    <a:stretch>
                      <a:fillRect/>
                    </a:stretch>
                  </pic:blipFill>
                  <pic:spPr>
                    <a:xfrm>
                      <a:off x="0" y="0"/>
                      <a:ext cx="8851265" cy="5652770"/>
                    </a:xfrm>
                    <a:prstGeom prst="rect">
                      <a:avLst/>
                    </a:prstGeom>
                    <a:noFill/>
                    <a:ln>
                      <a:noFill/>
                    </a:ln>
                  </pic:spPr>
                </pic:pic>
              </a:graphicData>
            </a:graphic>
          </wp:inline>
        </w:drawing>
      </w:r>
    </w:p>
    <w:p w14:paraId="4AD64C89">
      <w:pPr>
        <w:spacing w:line="288" w:lineRule="auto"/>
        <w:jc w:val="center"/>
        <w:sectPr>
          <w:pgSz w:w="11906" w:h="16838"/>
          <w:pgMar w:top="1440" w:right="1800" w:bottom="1440" w:left="1800" w:header="851" w:footer="1077" w:gutter="0"/>
          <w:pgNumType w:start="1"/>
          <w:cols w:space="720" w:num="1"/>
          <w:docGrid w:linePitch="312" w:charSpace="0"/>
        </w:sectPr>
      </w:pPr>
      <w:r>
        <w:drawing>
          <wp:inline distT="0" distB="0" distL="114300" distR="114300">
            <wp:extent cx="5273040" cy="7087235"/>
            <wp:effectExtent l="0" t="0" r="381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4" cstate="print"/>
                    <a:stretch>
                      <a:fillRect/>
                    </a:stretch>
                  </pic:blipFill>
                  <pic:spPr>
                    <a:xfrm>
                      <a:off x="0" y="0"/>
                      <a:ext cx="5273040" cy="7087235"/>
                    </a:xfrm>
                    <a:prstGeom prst="rect">
                      <a:avLst/>
                    </a:prstGeom>
                    <a:noFill/>
                    <a:ln>
                      <a:noFill/>
                    </a:ln>
                  </pic:spPr>
                </pic:pic>
              </a:graphicData>
            </a:graphic>
          </wp:inline>
        </w:drawing>
      </w:r>
    </w:p>
    <w:p w14:paraId="21A0ECF4">
      <w:pPr>
        <w:spacing w:line="288" w:lineRule="auto"/>
        <w:jc w:val="center"/>
        <w:sectPr>
          <w:pgSz w:w="16838" w:h="11906" w:orient="landscape"/>
          <w:pgMar w:top="1800" w:right="1440" w:bottom="1800" w:left="1440" w:header="851" w:footer="1077" w:gutter="0"/>
          <w:pgNumType w:start="1"/>
          <w:cols w:space="720" w:num="1"/>
          <w:docGrid w:linePitch="312" w:charSpace="0"/>
        </w:sectPr>
      </w:pPr>
      <w:r>
        <w:drawing>
          <wp:inline distT="0" distB="0" distL="114300" distR="114300">
            <wp:extent cx="8851265" cy="5745480"/>
            <wp:effectExtent l="0" t="0" r="6985" b="762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5" cstate="print"/>
                    <a:stretch>
                      <a:fillRect/>
                    </a:stretch>
                  </pic:blipFill>
                  <pic:spPr>
                    <a:xfrm>
                      <a:off x="0" y="0"/>
                      <a:ext cx="8851265" cy="5745480"/>
                    </a:xfrm>
                    <a:prstGeom prst="rect">
                      <a:avLst/>
                    </a:prstGeom>
                    <a:noFill/>
                    <a:ln>
                      <a:noFill/>
                    </a:ln>
                  </pic:spPr>
                </pic:pic>
              </a:graphicData>
            </a:graphic>
          </wp:inline>
        </w:drawing>
      </w:r>
    </w:p>
    <w:p w14:paraId="58CF57DB">
      <w:pPr>
        <w:pStyle w:val="29"/>
        <w:jc w:val="both"/>
        <w:outlineLvl w:val="0"/>
        <w:rPr>
          <w:rFonts w:ascii="黑体" w:hAnsi="黑体" w:eastAsia="黑体"/>
          <w:snapToGrid w:val="0"/>
          <w:kern w:val="21"/>
          <w:sz w:val="30"/>
          <w:szCs w:val="30"/>
        </w:rPr>
      </w:pPr>
      <w:r>
        <w:rPr>
          <w:rFonts w:hint="eastAsia" w:ascii="黑体" w:hAnsi="黑体" w:eastAsia="黑体"/>
          <w:snapToGrid w:val="0"/>
          <w:kern w:val="21"/>
          <w:sz w:val="30"/>
          <w:szCs w:val="30"/>
        </w:rPr>
        <w:t>一、建设项目基本情况</w:t>
      </w:r>
    </w:p>
    <w:tbl>
      <w:tblPr>
        <w:tblStyle w:val="34"/>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37"/>
        <w:gridCol w:w="2030"/>
        <w:gridCol w:w="1981"/>
        <w:gridCol w:w="2856"/>
      </w:tblGrid>
      <w:tr w14:paraId="5D0AAA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07BF25B9">
            <w:pPr>
              <w:jc w:val="center"/>
              <w:rPr>
                <w:kern w:val="21"/>
                <w:sz w:val="24"/>
              </w:rPr>
            </w:pPr>
            <w:r>
              <w:rPr>
                <w:kern w:val="21"/>
                <w:sz w:val="24"/>
              </w:rPr>
              <w:t>建设项目名称</w:t>
            </w:r>
          </w:p>
        </w:tc>
        <w:tc>
          <w:tcPr>
            <w:tcW w:w="6867" w:type="dxa"/>
            <w:gridSpan w:val="3"/>
            <w:vAlign w:val="center"/>
          </w:tcPr>
          <w:p w14:paraId="4047CF6F">
            <w:pPr>
              <w:jc w:val="center"/>
              <w:rPr>
                <w:sz w:val="24"/>
              </w:rPr>
            </w:pPr>
            <w:r>
              <w:rPr>
                <w:rFonts w:hint="eastAsia"/>
                <w:sz w:val="24"/>
              </w:rPr>
              <w:t>福清市融大水泥制品有限公司年产30万米水泥预制管</w:t>
            </w:r>
          </w:p>
        </w:tc>
      </w:tr>
      <w:tr w14:paraId="2774C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0D652406">
            <w:pPr>
              <w:jc w:val="center"/>
              <w:rPr>
                <w:kern w:val="21"/>
                <w:sz w:val="24"/>
              </w:rPr>
            </w:pPr>
            <w:r>
              <w:rPr>
                <w:kern w:val="21"/>
                <w:sz w:val="24"/>
              </w:rPr>
              <w:t>项目代码</w:t>
            </w:r>
          </w:p>
        </w:tc>
        <w:tc>
          <w:tcPr>
            <w:tcW w:w="6867" w:type="dxa"/>
            <w:gridSpan w:val="3"/>
            <w:vAlign w:val="center"/>
          </w:tcPr>
          <w:p w14:paraId="203E8324">
            <w:pPr>
              <w:jc w:val="center"/>
              <w:rPr>
                <w:sz w:val="24"/>
              </w:rPr>
            </w:pPr>
            <w:r>
              <w:rPr>
                <w:rFonts w:hint="eastAsia"/>
                <w:sz w:val="24"/>
              </w:rPr>
              <w:t>2209-350181-04-01-222735</w:t>
            </w:r>
          </w:p>
        </w:tc>
      </w:tr>
      <w:tr w14:paraId="73640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47204C55">
            <w:pPr>
              <w:jc w:val="center"/>
              <w:rPr>
                <w:kern w:val="21"/>
                <w:sz w:val="24"/>
              </w:rPr>
            </w:pPr>
            <w:r>
              <w:rPr>
                <w:kern w:val="21"/>
                <w:sz w:val="24"/>
              </w:rPr>
              <w:t>建设单位</w:t>
            </w:r>
          </w:p>
          <w:p w14:paraId="29631212">
            <w:pPr>
              <w:jc w:val="center"/>
              <w:rPr>
                <w:kern w:val="21"/>
                <w:sz w:val="24"/>
              </w:rPr>
            </w:pPr>
            <w:r>
              <w:rPr>
                <w:kern w:val="21"/>
                <w:sz w:val="24"/>
              </w:rPr>
              <w:t>联系人</w:t>
            </w:r>
          </w:p>
        </w:tc>
        <w:tc>
          <w:tcPr>
            <w:tcW w:w="2030" w:type="dxa"/>
            <w:vAlign w:val="center"/>
          </w:tcPr>
          <w:p w14:paraId="4441918F">
            <w:pPr>
              <w:jc w:val="center"/>
              <w:rPr>
                <w:sz w:val="24"/>
              </w:rPr>
            </w:pPr>
            <w:r>
              <w:rPr>
                <w:rFonts w:hint="eastAsia"/>
                <w:sz w:val="24"/>
              </w:rPr>
              <w:t>XXXX</w:t>
            </w:r>
          </w:p>
        </w:tc>
        <w:tc>
          <w:tcPr>
            <w:tcW w:w="1981" w:type="dxa"/>
            <w:vAlign w:val="center"/>
          </w:tcPr>
          <w:p w14:paraId="76BDCA90">
            <w:pPr>
              <w:jc w:val="center"/>
              <w:rPr>
                <w:kern w:val="21"/>
                <w:sz w:val="24"/>
              </w:rPr>
            </w:pPr>
            <w:r>
              <w:rPr>
                <w:kern w:val="21"/>
                <w:sz w:val="24"/>
              </w:rPr>
              <w:t>联系方式</w:t>
            </w:r>
          </w:p>
        </w:tc>
        <w:tc>
          <w:tcPr>
            <w:tcW w:w="2856" w:type="dxa"/>
            <w:vAlign w:val="center"/>
          </w:tcPr>
          <w:p w14:paraId="7D4D8D03">
            <w:pPr>
              <w:jc w:val="center"/>
              <w:rPr>
                <w:sz w:val="24"/>
              </w:rPr>
            </w:pPr>
            <w:r>
              <w:rPr>
                <w:rFonts w:hint="eastAsia"/>
                <w:sz w:val="24"/>
              </w:rPr>
              <w:t>XXXX</w:t>
            </w:r>
          </w:p>
        </w:tc>
      </w:tr>
      <w:tr w14:paraId="2FE357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7B4626ED">
            <w:pPr>
              <w:jc w:val="center"/>
              <w:rPr>
                <w:kern w:val="21"/>
                <w:sz w:val="24"/>
              </w:rPr>
            </w:pPr>
            <w:r>
              <w:rPr>
                <w:kern w:val="21"/>
                <w:sz w:val="24"/>
              </w:rPr>
              <w:t>建设地点</w:t>
            </w:r>
          </w:p>
        </w:tc>
        <w:tc>
          <w:tcPr>
            <w:tcW w:w="6867" w:type="dxa"/>
            <w:gridSpan w:val="3"/>
            <w:vAlign w:val="center"/>
          </w:tcPr>
          <w:p w14:paraId="4CE9610D">
            <w:pPr>
              <w:jc w:val="center"/>
              <w:rPr>
                <w:kern w:val="21"/>
                <w:sz w:val="24"/>
              </w:rPr>
            </w:pPr>
            <w:r>
              <w:rPr>
                <w:rFonts w:hint="eastAsia"/>
                <w:sz w:val="24"/>
              </w:rPr>
              <w:t>福建省福州市福清市江阴镇江阴港城经济区三峡路与兴林路交叉口东南侧</w:t>
            </w:r>
          </w:p>
        </w:tc>
      </w:tr>
      <w:tr w14:paraId="51FFC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5920E692">
            <w:pPr>
              <w:jc w:val="center"/>
              <w:rPr>
                <w:kern w:val="21"/>
                <w:sz w:val="24"/>
              </w:rPr>
            </w:pPr>
            <w:r>
              <w:rPr>
                <w:kern w:val="21"/>
                <w:sz w:val="24"/>
              </w:rPr>
              <w:t>地理坐标</w:t>
            </w:r>
          </w:p>
        </w:tc>
        <w:tc>
          <w:tcPr>
            <w:tcW w:w="6867" w:type="dxa"/>
            <w:gridSpan w:val="3"/>
            <w:vAlign w:val="center"/>
          </w:tcPr>
          <w:p w14:paraId="1AAC6CDE">
            <w:pPr>
              <w:jc w:val="center"/>
              <w:rPr>
                <w:kern w:val="21"/>
                <w:sz w:val="24"/>
              </w:rPr>
            </w:pPr>
            <w:r>
              <w:rPr>
                <w:kern w:val="21"/>
                <w:sz w:val="24"/>
              </w:rPr>
              <w:t>（</w:t>
            </w:r>
            <w:r>
              <w:rPr>
                <w:kern w:val="21"/>
                <w:sz w:val="24"/>
                <w:u w:val="single"/>
              </w:rPr>
              <w:t>119</w:t>
            </w:r>
            <w:r>
              <w:rPr>
                <w:kern w:val="21"/>
                <w:sz w:val="24"/>
              </w:rPr>
              <w:t>度</w:t>
            </w:r>
            <w:r>
              <w:rPr>
                <w:rFonts w:hint="eastAsia"/>
                <w:kern w:val="21"/>
                <w:sz w:val="24"/>
                <w:u w:val="single"/>
              </w:rPr>
              <w:t>19</w:t>
            </w:r>
            <w:r>
              <w:rPr>
                <w:kern w:val="21"/>
                <w:sz w:val="24"/>
              </w:rPr>
              <w:t>分</w:t>
            </w:r>
            <w:r>
              <w:rPr>
                <w:rFonts w:hint="eastAsia"/>
                <w:kern w:val="21"/>
                <w:sz w:val="24"/>
                <w:u w:val="single"/>
              </w:rPr>
              <w:t>22.390</w:t>
            </w:r>
            <w:r>
              <w:rPr>
                <w:kern w:val="21"/>
                <w:sz w:val="24"/>
              </w:rPr>
              <w:t>秒，</w:t>
            </w:r>
            <w:r>
              <w:rPr>
                <w:rFonts w:hint="eastAsia"/>
                <w:kern w:val="21"/>
                <w:sz w:val="24"/>
                <w:u w:val="single"/>
              </w:rPr>
              <w:t>25</w:t>
            </w:r>
            <w:r>
              <w:rPr>
                <w:kern w:val="21"/>
                <w:sz w:val="24"/>
              </w:rPr>
              <w:t>度</w:t>
            </w:r>
            <w:r>
              <w:rPr>
                <w:rFonts w:hint="eastAsia"/>
                <w:kern w:val="21"/>
                <w:sz w:val="24"/>
                <w:u w:val="single"/>
              </w:rPr>
              <w:t>26</w:t>
            </w:r>
            <w:r>
              <w:rPr>
                <w:kern w:val="21"/>
                <w:sz w:val="24"/>
              </w:rPr>
              <w:t>分</w:t>
            </w:r>
            <w:r>
              <w:rPr>
                <w:rFonts w:hint="eastAsia"/>
                <w:kern w:val="21"/>
                <w:sz w:val="24"/>
                <w:u w:val="single"/>
              </w:rPr>
              <w:t>14.503</w:t>
            </w:r>
            <w:r>
              <w:rPr>
                <w:kern w:val="21"/>
                <w:sz w:val="24"/>
              </w:rPr>
              <w:t>秒）</w:t>
            </w:r>
          </w:p>
        </w:tc>
      </w:tr>
      <w:tr w14:paraId="01737A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3192D399">
            <w:pPr>
              <w:jc w:val="center"/>
              <w:rPr>
                <w:kern w:val="21"/>
                <w:sz w:val="24"/>
              </w:rPr>
            </w:pPr>
            <w:r>
              <w:rPr>
                <w:kern w:val="21"/>
                <w:sz w:val="24"/>
              </w:rPr>
              <w:t>国民经济</w:t>
            </w:r>
          </w:p>
          <w:p w14:paraId="79939570">
            <w:pPr>
              <w:jc w:val="center"/>
              <w:rPr>
                <w:kern w:val="21"/>
                <w:sz w:val="24"/>
              </w:rPr>
            </w:pPr>
            <w:r>
              <w:rPr>
                <w:kern w:val="21"/>
                <w:sz w:val="24"/>
              </w:rPr>
              <w:t>行业类别</w:t>
            </w:r>
          </w:p>
        </w:tc>
        <w:tc>
          <w:tcPr>
            <w:tcW w:w="2030" w:type="dxa"/>
            <w:vAlign w:val="center"/>
          </w:tcPr>
          <w:p w14:paraId="584C2FEF">
            <w:pPr>
              <w:jc w:val="center"/>
              <w:rPr>
                <w:sz w:val="24"/>
              </w:rPr>
            </w:pPr>
            <w:r>
              <w:rPr>
                <w:rFonts w:hint="eastAsia"/>
                <w:sz w:val="24"/>
              </w:rPr>
              <w:t>C3021 水泥制品</w:t>
            </w:r>
          </w:p>
          <w:p w14:paraId="16E80F9C">
            <w:pPr>
              <w:jc w:val="center"/>
              <w:rPr>
                <w:sz w:val="24"/>
              </w:rPr>
            </w:pPr>
            <w:r>
              <w:rPr>
                <w:rFonts w:hint="eastAsia"/>
                <w:sz w:val="24"/>
              </w:rPr>
              <w:t>制造</w:t>
            </w:r>
          </w:p>
        </w:tc>
        <w:tc>
          <w:tcPr>
            <w:tcW w:w="1981" w:type="dxa"/>
            <w:vAlign w:val="center"/>
          </w:tcPr>
          <w:p w14:paraId="78499F45">
            <w:pPr>
              <w:jc w:val="center"/>
              <w:rPr>
                <w:kern w:val="21"/>
                <w:sz w:val="24"/>
              </w:rPr>
            </w:pPr>
            <w:bookmarkStart w:id="0" w:name="_Hlk49843745"/>
            <w:r>
              <w:rPr>
                <w:kern w:val="21"/>
                <w:sz w:val="24"/>
              </w:rPr>
              <w:t>建设项目</w:t>
            </w:r>
          </w:p>
          <w:p w14:paraId="65CEA832">
            <w:pPr>
              <w:jc w:val="center"/>
              <w:rPr>
                <w:kern w:val="21"/>
                <w:sz w:val="24"/>
              </w:rPr>
            </w:pPr>
            <w:r>
              <w:rPr>
                <w:kern w:val="21"/>
                <w:sz w:val="24"/>
              </w:rPr>
              <w:t>行业类别</w:t>
            </w:r>
            <w:bookmarkEnd w:id="0"/>
          </w:p>
        </w:tc>
        <w:tc>
          <w:tcPr>
            <w:tcW w:w="2856" w:type="dxa"/>
            <w:vAlign w:val="center"/>
          </w:tcPr>
          <w:p w14:paraId="0E46AAA7">
            <w:pPr>
              <w:jc w:val="center"/>
              <w:rPr>
                <w:sz w:val="24"/>
              </w:rPr>
            </w:pPr>
            <w:r>
              <w:rPr>
                <w:rFonts w:hint="eastAsia"/>
                <w:sz w:val="24"/>
              </w:rPr>
              <w:t>二十七、非金属矿物制品业30—55石膏、水泥制品及类似制品制造302—商品混凝土；砼结构构件制造；水泥制品制造</w:t>
            </w:r>
          </w:p>
        </w:tc>
      </w:tr>
      <w:tr w14:paraId="64EE7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0041588B">
            <w:pPr>
              <w:jc w:val="center"/>
              <w:rPr>
                <w:rFonts w:eastAsia="Calibri"/>
                <w:kern w:val="21"/>
                <w:sz w:val="24"/>
              </w:rPr>
            </w:pPr>
            <w:r>
              <w:rPr>
                <w:kern w:val="21"/>
                <w:sz w:val="24"/>
              </w:rPr>
              <w:t>建设性质</w:t>
            </w:r>
          </w:p>
        </w:tc>
        <w:tc>
          <w:tcPr>
            <w:tcW w:w="2030" w:type="dxa"/>
            <w:vAlign w:val="center"/>
          </w:tcPr>
          <w:p w14:paraId="4746EE75">
            <w:pPr>
              <w:jc w:val="left"/>
              <w:rPr>
                <w:kern w:val="21"/>
                <w:sz w:val="24"/>
              </w:rPr>
            </w:pPr>
            <w:r>
              <w:rPr>
                <w:rFonts w:hint="eastAsia"/>
                <w:kern w:val="21"/>
                <w:sz w:val="24"/>
              </w:rPr>
              <w:t>☑</w:t>
            </w:r>
            <w:r>
              <w:rPr>
                <w:kern w:val="21"/>
                <w:sz w:val="24"/>
              </w:rPr>
              <w:t>新建（迁建）</w:t>
            </w:r>
          </w:p>
          <w:p w14:paraId="144D3009">
            <w:pPr>
              <w:jc w:val="left"/>
              <w:rPr>
                <w:kern w:val="21"/>
                <w:sz w:val="24"/>
              </w:rPr>
            </w:pPr>
            <w:r>
              <w:rPr>
                <w:kern w:val="21"/>
                <w:sz w:val="24"/>
              </w:rPr>
              <w:t>□改建</w:t>
            </w:r>
          </w:p>
          <w:p w14:paraId="7B79B8FF">
            <w:pPr>
              <w:jc w:val="left"/>
              <w:rPr>
                <w:kern w:val="21"/>
                <w:sz w:val="24"/>
              </w:rPr>
            </w:pPr>
            <w:r>
              <w:rPr>
                <w:kern w:val="21"/>
                <w:sz w:val="24"/>
              </w:rPr>
              <w:t>□扩建</w:t>
            </w:r>
          </w:p>
          <w:p w14:paraId="0FD5F2AD">
            <w:pPr>
              <w:jc w:val="left"/>
              <w:rPr>
                <w:kern w:val="21"/>
                <w:sz w:val="24"/>
              </w:rPr>
            </w:pPr>
            <w:r>
              <w:rPr>
                <w:kern w:val="21"/>
                <w:sz w:val="24"/>
              </w:rPr>
              <w:t>□技术改造</w:t>
            </w:r>
          </w:p>
        </w:tc>
        <w:tc>
          <w:tcPr>
            <w:tcW w:w="1981" w:type="dxa"/>
            <w:vAlign w:val="center"/>
          </w:tcPr>
          <w:p w14:paraId="4167772F">
            <w:pPr>
              <w:jc w:val="center"/>
              <w:rPr>
                <w:kern w:val="21"/>
                <w:sz w:val="24"/>
              </w:rPr>
            </w:pPr>
            <w:r>
              <w:rPr>
                <w:kern w:val="21"/>
                <w:sz w:val="24"/>
              </w:rPr>
              <w:t>建设项目申报情形</w:t>
            </w:r>
          </w:p>
        </w:tc>
        <w:tc>
          <w:tcPr>
            <w:tcW w:w="2856" w:type="dxa"/>
            <w:vAlign w:val="center"/>
          </w:tcPr>
          <w:p w14:paraId="0C03F980">
            <w:pPr>
              <w:jc w:val="left"/>
              <w:rPr>
                <w:kern w:val="21"/>
                <w:sz w:val="24"/>
              </w:rPr>
            </w:pPr>
            <w:r>
              <w:rPr>
                <w:rFonts w:hint="eastAsia"/>
                <w:kern w:val="21"/>
                <w:sz w:val="24"/>
              </w:rPr>
              <w:t>☑</w:t>
            </w:r>
            <w:r>
              <w:rPr>
                <w:kern w:val="21"/>
                <w:sz w:val="24"/>
              </w:rPr>
              <w:t>首次申报项目</w:t>
            </w:r>
          </w:p>
          <w:p w14:paraId="4CB6CD03">
            <w:pPr>
              <w:jc w:val="left"/>
              <w:rPr>
                <w:kern w:val="21"/>
                <w:sz w:val="24"/>
              </w:rPr>
            </w:pPr>
            <w:r>
              <w:rPr>
                <w:kern w:val="21"/>
                <w:sz w:val="24"/>
              </w:rPr>
              <w:t>□不予批准后再次申报项目</w:t>
            </w:r>
          </w:p>
          <w:p w14:paraId="33B095D5">
            <w:pPr>
              <w:jc w:val="left"/>
              <w:rPr>
                <w:kern w:val="21"/>
                <w:sz w:val="24"/>
              </w:rPr>
            </w:pPr>
            <w:r>
              <w:rPr>
                <w:kern w:val="21"/>
                <w:sz w:val="24"/>
              </w:rPr>
              <w:t>□超五年重新审核项目</w:t>
            </w:r>
          </w:p>
          <w:p w14:paraId="0A21E639">
            <w:pPr>
              <w:jc w:val="left"/>
              <w:rPr>
                <w:kern w:val="21"/>
                <w:sz w:val="24"/>
              </w:rPr>
            </w:pPr>
            <w:r>
              <w:rPr>
                <w:kern w:val="21"/>
                <w:sz w:val="24"/>
              </w:rPr>
              <w:t>□重大变动重新报批项目</w:t>
            </w:r>
          </w:p>
        </w:tc>
      </w:tr>
      <w:tr w14:paraId="5BD662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397D86D9">
            <w:pPr>
              <w:jc w:val="center"/>
              <w:rPr>
                <w:kern w:val="21"/>
                <w:sz w:val="24"/>
              </w:rPr>
            </w:pPr>
            <w:r>
              <w:rPr>
                <w:kern w:val="21"/>
                <w:sz w:val="24"/>
              </w:rPr>
              <w:t>项目审批（核准/备案）部门</w:t>
            </w:r>
          </w:p>
          <w:p w14:paraId="126E537D">
            <w:pPr>
              <w:jc w:val="center"/>
              <w:rPr>
                <w:kern w:val="21"/>
                <w:sz w:val="24"/>
              </w:rPr>
            </w:pPr>
            <w:r>
              <w:rPr>
                <w:kern w:val="21"/>
                <w:sz w:val="24"/>
              </w:rPr>
              <w:t>（选填）</w:t>
            </w:r>
          </w:p>
        </w:tc>
        <w:tc>
          <w:tcPr>
            <w:tcW w:w="2030" w:type="dxa"/>
            <w:vAlign w:val="center"/>
          </w:tcPr>
          <w:p w14:paraId="28F27192">
            <w:pPr>
              <w:jc w:val="center"/>
              <w:rPr>
                <w:kern w:val="21"/>
                <w:sz w:val="24"/>
              </w:rPr>
            </w:pPr>
            <w:r>
              <w:rPr>
                <w:rFonts w:hint="eastAsia"/>
                <w:kern w:val="21"/>
                <w:sz w:val="24"/>
              </w:rPr>
              <w:t>福清市发展和</w:t>
            </w:r>
          </w:p>
          <w:p w14:paraId="11C437B0">
            <w:pPr>
              <w:jc w:val="center"/>
              <w:rPr>
                <w:kern w:val="21"/>
                <w:sz w:val="24"/>
              </w:rPr>
            </w:pPr>
            <w:r>
              <w:rPr>
                <w:rFonts w:hint="eastAsia"/>
                <w:kern w:val="21"/>
                <w:sz w:val="24"/>
              </w:rPr>
              <w:t>改革局</w:t>
            </w:r>
          </w:p>
        </w:tc>
        <w:tc>
          <w:tcPr>
            <w:tcW w:w="1981" w:type="dxa"/>
            <w:vAlign w:val="center"/>
          </w:tcPr>
          <w:p w14:paraId="6BB9AC32">
            <w:pPr>
              <w:jc w:val="center"/>
              <w:rPr>
                <w:kern w:val="21"/>
                <w:sz w:val="24"/>
              </w:rPr>
            </w:pPr>
            <w:r>
              <w:rPr>
                <w:kern w:val="21"/>
                <w:sz w:val="24"/>
              </w:rPr>
              <w:t>项目审批（核准/</w:t>
            </w:r>
          </w:p>
          <w:p w14:paraId="78665CC9">
            <w:pPr>
              <w:jc w:val="center"/>
              <w:rPr>
                <w:kern w:val="21"/>
                <w:sz w:val="24"/>
              </w:rPr>
            </w:pPr>
            <w:r>
              <w:rPr>
                <w:kern w:val="21"/>
                <w:sz w:val="24"/>
              </w:rPr>
              <w:t>备案）文号（选填）</w:t>
            </w:r>
          </w:p>
        </w:tc>
        <w:tc>
          <w:tcPr>
            <w:tcW w:w="2856" w:type="dxa"/>
            <w:vAlign w:val="center"/>
          </w:tcPr>
          <w:p w14:paraId="006407C2">
            <w:pPr>
              <w:jc w:val="center"/>
              <w:rPr>
                <w:kern w:val="21"/>
                <w:sz w:val="24"/>
              </w:rPr>
            </w:pPr>
            <w:r>
              <w:rPr>
                <w:rFonts w:hint="eastAsia"/>
                <w:kern w:val="21"/>
                <w:sz w:val="24"/>
              </w:rPr>
              <w:t>闽发改备[2022]A060248号</w:t>
            </w:r>
          </w:p>
        </w:tc>
      </w:tr>
      <w:tr w14:paraId="38178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7CF9BC05">
            <w:pPr>
              <w:jc w:val="center"/>
              <w:rPr>
                <w:kern w:val="21"/>
                <w:sz w:val="24"/>
              </w:rPr>
            </w:pPr>
            <w:r>
              <w:rPr>
                <w:kern w:val="21"/>
                <w:sz w:val="24"/>
              </w:rPr>
              <w:t>总投资（万元）</w:t>
            </w:r>
          </w:p>
        </w:tc>
        <w:tc>
          <w:tcPr>
            <w:tcW w:w="2030" w:type="dxa"/>
            <w:vAlign w:val="center"/>
          </w:tcPr>
          <w:p w14:paraId="18F18AC7">
            <w:pPr>
              <w:jc w:val="center"/>
              <w:rPr>
                <w:kern w:val="21"/>
                <w:sz w:val="24"/>
              </w:rPr>
            </w:pPr>
            <w:r>
              <w:rPr>
                <w:rFonts w:hint="eastAsia"/>
                <w:kern w:val="21"/>
                <w:sz w:val="24"/>
              </w:rPr>
              <w:t>30200</w:t>
            </w:r>
          </w:p>
        </w:tc>
        <w:tc>
          <w:tcPr>
            <w:tcW w:w="1981" w:type="dxa"/>
            <w:tcMar>
              <w:top w:w="16" w:type="dxa"/>
              <w:left w:w="16" w:type="dxa"/>
              <w:right w:w="16" w:type="dxa"/>
            </w:tcMar>
            <w:vAlign w:val="center"/>
          </w:tcPr>
          <w:p w14:paraId="3F178F1F">
            <w:pPr>
              <w:jc w:val="center"/>
              <w:rPr>
                <w:kern w:val="21"/>
                <w:sz w:val="24"/>
              </w:rPr>
            </w:pPr>
            <w:r>
              <w:rPr>
                <w:kern w:val="21"/>
                <w:sz w:val="24"/>
              </w:rPr>
              <w:t>环保投资（万元）</w:t>
            </w:r>
          </w:p>
        </w:tc>
        <w:tc>
          <w:tcPr>
            <w:tcW w:w="2856" w:type="dxa"/>
            <w:vAlign w:val="center"/>
          </w:tcPr>
          <w:p w14:paraId="2459BE14">
            <w:pPr>
              <w:jc w:val="center"/>
              <w:rPr>
                <w:kern w:val="21"/>
                <w:sz w:val="24"/>
              </w:rPr>
            </w:pPr>
            <w:r>
              <w:rPr>
                <w:rFonts w:hint="eastAsia"/>
                <w:kern w:val="21"/>
                <w:sz w:val="24"/>
              </w:rPr>
              <w:t>100</w:t>
            </w:r>
          </w:p>
        </w:tc>
      </w:tr>
      <w:tr w14:paraId="41125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59E7FDC9">
            <w:pPr>
              <w:jc w:val="center"/>
              <w:rPr>
                <w:color w:val="FF0000"/>
                <w:kern w:val="21"/>
                <w:sz w:val="24"/>
              </w:rPr>
            </w:pPr>
            <w:r>
              <w:rPr>
                <w:kern w:val="21"/>
                <w:sz w:val="24"/>
              </w:rPr>
              <w:t>环保投资占比（%）</w:t>
            </w:r>
          </w:p>
        </w:tc>
        <w:tc>
          <w:tcPr>
            <w:tcW w:w="2030" w:type="dxa"/>
            <w:vAlign w:val="center"/>
          </w:tcPr>
          <w:p w14:paraId="032A511B">
            <w:pPr>
              <w:jc w:val="center"/>
              <w:rPr>
                <w:color w:val="FF0000"/>
                <w:kern w:val="21"/>
                <w:sz w:val="24"/>
              </w:rPr>
            </w:pPr>
            <w:r>
              <w:rPr>
                <w:rFonts w:hint="eastAsia"/>
                <w:kern w:val="21"/>
                <w:sz w:val="24"/>
              </w:rPr>
              <w:t>0.33</w:t>
            </w:r>
          </w:p>
        </w:tc>
        <w:tc>
          <w:tcPr>
            <w:tcW w:w="1981" w:type="dxa"/>
            <w:tcMar>
              <w:top w:w="16" w:type="dxa"/>
              <w:left w:w="16" w:type="dxa"/>
              <w:right w:w="16" w:type="dxa"/>
            </w:tcMar>
            <w:vAlign w:val="center"/>
          </w:tcPr>
          <w:p w14:paraId="7E76E570">
            <w:pPr>
              <w:jc w:val="center"/>
              <w:rPr>
                <w:kern w:val="21"/>
                <w:sz w:val="24"/>
              </w:rPr>
            </w:pPr>
            <w:r>
              <w:rPr>
                <w:kern w:val="21"/>
                <w:sz w:val="24"/>
              </w:rPr>
              <w:t>施工工期</w:t>
            </w:r>
          </w:p>
        </w:tc>
        <w:tc>
          <w:tcPr>
            <w:tcW w:w="2856" w:type="dxa"/>
            <w:vAlign w:val="center"/>
          </w:tcPr>
          <w:p w14:paraId="5B8A5F3F">
            <w:pPr>
              <w:jc w:val="center"/>
              <w:rPr>
                <w:kern w:val="21"/>
                <w:sz w:val="24"/>
              </w:rPr>
            </w:pPr>
            <w:r>
              <w:rPr>
                <w:rFonts w:hint="eastAsia"/>
                <w:sz w:val="24"/>
              </w:rPr>
              <w:t>6个月</w:t>
            </w:r>
          </w:p>
        </w:tc>
      </w:tr>
      <w:tr w14:paraId="07F37E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637" w:type="dxa"/>
            <w:tcMar>
              <w:top w:w="16" w:type="dxa"/>
              <w:left w:w="16" w:type="dxa"/>
              <w:right w:w="16" w:type="dxa"/>
            </w:tcMar>
            <w:vAlign w:val="center"/>
          </w:tcPr>
          <w:p w14:paraId="5C56034C">
            <w:pPr>
              <w:jc w:val="center"/>
              <w:rPr>
                <w:kern w:val="21"/>
                <w:sz w:val="24"/>
              </w:rPr>
            </w:pPr>
            <w:r>
              <w:rPr>
                <w:kern w:val="21"/>
                <w:sz w:val="24"/>
              </w:rPr>
              <w:t>是否开工建设</w:t>
            </w:r>
          </w:p>
        </w:tc>
        <w:tc>
          <w:tcPr>
            <w:tcW w:w="2030" w:type="dxa"/>
            <w:vAlign w:val="center"/>
          </w:tcPr>
          <w:p w14:paraId="0A51E40C">
            <w:pPr>
              <w:rPr>
                <w:kern w:val="21"/>
                <w:sz w:val="24"/>
              </w:rPr>
            </w:pPr>
            <w:r>
              <w:rPr>
                <w:rFonts w:hint="eastAsia"/>
                <w:kern w:val="21"/>
                <w:sz w:val="24"/>
              </w:rPr>
              <w:t>√</w:t>
            </w:r>
            <w:r>
              <w:rPr>
                <w:kern w:val="21"/>
                <w:sz w:val="24"/>
              </w:rPr>
              <w:t>否</w:t>
            </w:r>
          </w:p>
          <w:p w14:paraId="21C80FD1">
            <w:pPr>
              <w:rPr>
                <w:rFonts w:eastAsia="Calibri"/>
                <w:kern w:val="21"/>
                <w:sz w:val="24"/>
              </w:rPr>
            </w:pPr>
            <w:r>
              <w:rPr>
                <w:kern w:val="21"/>
                <w:sz w:val="24"/>
              </w:rPr>
              <w:t>□是：</w:t>
            </w:r>
            <w:r>
              <w:rPr>
                <w:rFonts w:hint="eastAsia"/>
                <w:kern w:val="21"/>
                <w:sz w:val="24"/>
                <w:u w:val="single"/>
              </w:rPr>
              <w:t xml:space="preserve"> </w:t>
            </w:r>
            <w:r>
              <w:rPr>
                <w:kern w:val="21"/>
                <w:sz w:val="24"/>
                <w:u w:val="single"/>
              </w:rPr>
              <w:t xml:space="preserve">        </w:t>
            </w:r>
          </w:p>
        </w:tc>
        <w:tc>
          <w:tcPr>
            <w:tcW w:w="1981" w:type="dxa"/>
            <w:tcMar>
              <w:top w:w="16" w:type="dxa"/>
              <w:left w:w="16" w:type="dxa"/>
              <w:right w:w="16" w:type="dxa"/>
            </w:tcMar>
            <w:vAlign w:val="center"/>
          </w:tcPr>
          <w:p w14:paraId="49D9E93D">
            <w:pPr>
              <w:jc w:val="center"/>
              <w:rPr>
                <w:kern w:val="21"/>
                <w:sz w:val="24"/>
              </w:rPr>
            </w:pPr>
            <w:r>
              <w:rPr>
                <w:kern w:val="21"/>
                <w:sz w:val="24"/>
              </w:rPr>
              <w:t>用地（用海）</w:t>
            </w:r>
          </w:p>
          <w:p w14:paraId="5C9BC043">
            <w:pPr>
              <w:jc w:val="center"/>
              <w:rPr>
                <w:kern w:val="21"/>
                <w:sz w:val="24"/>
              </w:rPr>
            </w:pPr>
            <w:r>
              <w:rPr>
                <w:kern w:val="21"/>
                <w:sz w:val="24"/>
              </w:rPr>
              <w:t>面积（m</w:t>
            </w:r>
            <w:r>
              <w:rPr>
                <w:kern w:val="21"/>
                <w:sz w:val="24"/>
                <w:vertAlign w:val="superscript"/>
              </w:rPr>
              <w:t>2</w:t>
            </w:r>
            <w:r>
              <w:rPr>
                <w:kern w:val="21"/>
                <w:sz w:val="24"/>
              </w:rPr>
              <w:t>）</w:t>
            </w:r>
          </w:p>
        </w:tc>
        <w:tc>
          <w:tcPr>
            <w:tcW w:w="2856" w:type="dxa"/>
            <w:vAlign w:val="center"/>
          </w:tcPr>
          <w:p w14:paraId="1980F81D">
            <w:pPr>
              <w:jc w:val="center"/>
              <w:rPr>
                <w:sz w:val="24"/>
              </w:rPr>
            </w:pPr>
            <w:r>
              <w:rPr>
                <w:rFonts w:hint="eastAsia"/>
                <w:sz w:val="24"/>
              </w:rPr>
              <w:t>占地面积40000m</w:t>
            </w:r>
            <w:r>
              <w:rPr>
                <w:rFonts w:hint="eastAsia"/>
                <w:sz w:val="24"/>
                <w:vertAlign w:val="superscript"/>
              </w:rPr>
              <w:t>2</w:t>
            </w:r>
            <w:r>
              <w:rPr>
                <w:rFonts w:hint="eastAsia"/>
                <w:sz w:val="24"/>
              </w:rPr>
              <w:t>，建筑</w:t>
            </w:r>
          </w:p>
          <w:p w14:paraId="108C7715">
            <w:pPr>
              <w:jc w:val="center"/>
              <w:rPr>
                <w:kern w:val="21"/>
                <w:sz w:val="24"/>
              </w:rPr>
            </w:pPr>
            <w:r>
              <w:rPr>
                <w:rFonts w:hint="eastAsia"/>
                <w:sz w:val="24"/>
              </w:rPr>
              <w:t>面积21098.55m</w:t>
            </w:r>
            <w:r>
              <w:rPr>
                <w:rFonts w:hint="eastAsia"/>
                <w:sz w:val="24"/>
                <w:vertAlign w:val="superscript"/>
              </w:rPr>
              <w:t>2</w:t>
            </w:r>
          </w:p>
        </w:tc>
      </w:tr>
      <w:tr w14:paraId="02C4F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7" w:type="dxa"/>
            <w:vAlign w:val="center"/>
          </w:tcPr>
          <w:p w14:paraId="17E1DB1C">
            <w:pPr>
              <w:autoSpaceDE w:val="0"/>
              <w:autoSpaceDN w:val="0"/>
              <w:jc w:val="center"/>
              <w:rPr>
                <w:kern w:val="21"/>
                <w:sz w:val="24"/>
              </w:rPr>
            </w:pPr>
            <w:r>
              <w:rPr>
                <w:kern w:val="21"/>
                <w:sz w:val="24"/>
              </w:rPr>
              <w:t>专项评价</w:t>
            </w:r>
          </w:p>
          <w:p w14:paraId="560AA528">
            <w:pPr>
              <w:autoSpaceDE w:val="0"/>
              <w:autoSpaceDN w:val="0"/>
              <w:jc w:val="center"/>
              <w:rPr>
                <w:color w:val="FF0000"/>
                <w:kern w:val="21"/>
                <w:szCs w:val="21"/>
              </w:rPr>
            </w:pPr>
            <w:r>
              <w:rPr>
                <w:kern w:val="21"/>
                <w:sz w:val="24"/>
              </w:rPr>
              <w:t>设置情况</w:t>
            </w:r>
          </w:p>
        </w:tc>
        <w:tc>
          <w:tcPr>
            <w:tcW w:w="6867" w:type="dxa"/>
            <w:gridSpan w:val="3"/>
            <w:vAlign w:val="center"/>
          </w:tcPr>
          <w:p w14:paraId="1E3C1655">
            <w:pPr>
              <w:autoSpaceDE w:val="0"/>
              <w:autoSpaceDN w:val="0"/>
              <w:spacing w:line="360" w:lineRule="auto"/>
              <w:ind w:firstLine="480" w:firstLineChars="200"/>
              <w:jc w:val="left"/>
              <w:rPr>
                <w:kern w:val="0"/>
                <w:sz w:val="24"/>
              </w:rPr>
            </w:pPr>
            <w:r>
              <w:rPr>
                <w:rFonts w:hint="eastAsia"/>
                <w:kern w:val="0"/>
                <w:sz w:val="24"/>
              </w:rPr>
              <w:t>根据《建设项目环境影响报告表编制技术指南(污染影响类)(试行)》，土壤、声环境不开展专项评价，地下水原则上不开展专项评价。项目工程专项设置情况参照项目评价设置原则表，具体详见表1.1-1。根据下表分析可知，项目无需开展专项评价工作。</w:t>
            </w:r>
          </w:p>
          <w:p w14:paraId="5E9A74D7">
            <w:pPr>
              <w:spacing w:beforeLines="50"/>
              <w:jc w:val="center"/>
              <w:rPr>
                <w:b/>
                <w:bCs/>
                <w:sz w:val="24"/>
              </w:rPr>
            </w:pPr>
            <w:r>
              <w:rPr>
                <w:b/>
                <w:bCs/>
                <w:sz w:val="24"/>
              </w:rPr>
              <w:t>表1</w:t>
            </w:r>
            <w:r>
              <w:rPr>
                <w:rFonts w:hint="eastAsia"/>
                <w:b/>
                <w:bCs/>
                <w:sz w:val="24"/>
              </w:rPr>
              <w:t>.1-1</w:t>
            </w:r>
            <w:r>
              <w:rPr>
                <w:b/>
                <w:bCs/>
                <w:sz w:val="24"/>
              </w:rPr>
              <w:t xml:space="preserve">  项目专项评价设置表</w:t>
            </w:r>
          </w:p>
          <w:tbl>
            <w:tblPr>
              <w:tblStyle w:val="34"/>
              <w:tblW w:w="680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803"/>
              <w:gridCol w:w="3093"/>
              <w:gridCol w:w="2160"/>
              <w:gridCol w:w="747"/>
            </w:tblGrid>
            <w:tr w14:paraId="558AE5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58" w:hRule="atLeast"/>
                <w:jc w:val="center"/>
              </w:trPr>
              <w:tc>
                <w:tcPr>
                  <w:tcW w:w="803" w:type="dxa"/>
                  <w:vAlign w:val="center"/>
                </w:tcPr>
                <w:p w14:paraId="592101F5">
                  <w:pPr>
                    <w:pBdr>
                      <w:top w:val="none" w:color="auto" w:sz="0" w:space="1"/>
                      <w:left w:val="none" w:color="auto" w:sz="0" w:space="4"/>
                      <w:bottom w:val="none" w:color="auto" w:sz="0" w:space="1"/>
                      <w:right w:val="none" w:color="auto" w:sz="0" w:space="4"/>
                    </w:pBdr>
                    <w:jc w:val="center"/>
                    <w:rPr>
                      <w:szCs w:val="21"/>
                    </w:rPr>
                  </w:pPr>
                  <w:r>
                    <w:rPr>
                      <w:rFonts w:hint="eastAsia"/>
                      <w:szCs w:val="21"/>
                    </w:rPr>
                    <w:t>专项评价类别</w:t>
                  </w:r>
                </w:p>
              </w:tc>
              <w:tc>
                <w:tcPr>
                  <w:tcW w:w="3093" w:type="dxa"/>
                  <w:vAlign w:val="center"/>
                </w:tcPr>
                <w:p w14:paraId="38D5BE1D">
                  <w:pPr>
                    <w:pBdr>
                      <w:top w:val="none" w:color="auto" w:sz="0" w:space="1"/>
                      <w:left w:val="none" w:color="auto" w:sz="0" w:space="4"/>
                      <w:bottom w:val="none" w:color="auto" w:sz="0" w:space="1"/>
                      <w:right w:val="none" w:color="auto" w:sz="0" w:space="4"/>
                    </w:pBdr>
                    <w:jc w:val="center"/>
                    <w:rPr>
                      <w:szCs w:val="21"/>
                    </w:rPr>
                  </w:pPr>
                  <w:r>
                    <w:rPr>
                      <w:szCs w:val="21"/>
                    </w:rPr>
                    <w:t>涉及项目类别</w:t>
                  </w:r>
                </w:p>
              </w:tc>
              <w:tc>
                <w:tcPr>
                  <w:tcW w:w="2160" w:type="dxa"/>
                  <w:vAlign w:val="center"/>
                </w:tcPr>
                <w:p w14:paraId="51D94FA7">
                  <w:pPr>
                    <w:pBdr>
                      <w:top w:val="none" w:color="auto" w:sz="0" w:space="1"/>
                      <w:left w:val="none" w:color="auto" w:sz="0" w:space="4"/>
                      <w:bottom w:val="none" w:color="auto" w:sz="0" w:space="1"/>
                      <w:right w:val="none" w:color="auto" w:sz="0" w:space="4"/>
                    </w:pBdr>
                    <w:jc w:val="center"/>
                    <w:rPr>
                      <w:szCs w:val="21"/>
                    </w:rPr>
                  </w:pPr>
                  <w:r>
                    <w:rPr>
                      <w:rFonts w:hint="eastAsia"/>
                      <w:szCs w:val="21"/>
                    </w:rPr>
                    <w:t>本项目评价</w:t>
                  </w:r>
                </w:p>
              </w:tc>
              <w:tc>
                <w:tcPr>
                  <w:tcW w:w="747" w:type="dxa"/>
                  <w:vAlign w:val="center"/>
                </w:tcPr>
                <w:p w14:paraId="7AB25107">
                  <w:pPr>
                    <w:pBdr>
                      <w:top w:val="none" w:color="auto" w:sz="0" w:space="1"/>
                      <w:left w:val="none" w:color="auto" w:sz="0" w:space="4"/>
                      <w:bottom w:val="none" w:color="auto" w:sz="0" w:space="1"/>
                      <w:right w:val="none" w:color="auto" w:sz="0" w:space="4"/>
                    </w:pBdr>
                    <w:jc w:val="center"/>
                    <w:rPr>
                      <w:szCs w:val="21"/>
                    </w:rPr>
                  </w:pPr>
                  <w:r>
                    <w:rPr>
                      <w:rFonts w:hint="eastAsia"/>
                      <w:szCs w:val="21"/>
                    </w:rPr>
                    <w:t>是否设置专项</w:t>
                  </w:r>
                </w:p>
              </w:tc>
            </w:tr>
            <w:tr w14:paraId="73916A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03" w:type="dxa"/>
                  <w:vAlign w:val="center"/>
                </w:tcPr>
                <w:p w14:paraId="27E1DC4A">
                  <w:pPr>
                    <w:pBdr>
                      <w:top w:val="none" w:color="auto" w:sz="0" w:space="1"/>
                      <w:left w:val="none" w:color="auto" w:sz="0" w:space="4"/>
                      <w:bottom w:val="none" w:color="auto" w:sz="0" w:space="1"/>
                      <w:right w:val="none" w:color="auto" w:sz="0" w:space="4"/>
                    </w:pBdr>
                    <w:jc w:val="center"/>
                    <w:rPr>
                      <w:szCs w:val="21"/>
                    </w:rPr>
                  </w:pPr>
                  <w:r>
                    <w:rPr>
                      <w:rFonts w:hint="eastAsia"/>
                      <w:szCs w:val="21"/>
                    </w:rPr>
                    <w:t>大气</w:t>
                  </w:r>
                </w:p>
              </w:tc>
              <w:tc>
                <w:tcPr>
                  <w:tcW w:w="3093" w:type="dxa"/>
                  <w:vAlign w:val="center"/>
                </w:tcPr>
                <w:p w14:paraId="72C3DBBF">
                  <w:pPr>
                    <w:jc w:val="center"/>
                    <w:rPr>
                      <w:szCs w:val="21"/>
                    </w:rPr>
                  </w:pPr>
                  <w:r>
                    <w:rPr>
                      <w:rFonts w:hint="eastAsia"/>
                      <w:szCs w:val="21"/>
                    </w:rPr>
                    <w:t>排放废气含有毒有害污染物、二噁英、苯并[a]芘、氰化物、氯气且厂界外500米范围内有环境空气保护目标的建设项目</w:t>
                  </w:r>
                </w:p>
              </w:tc>
              <w:tc>
                <w:tcPr>
                  <w:tcW w:w="2160" w:type="dxa"/>
                  <w:vAlign w:val="center"/>
                </w:tcPr>
                <w:p w14:paraId="117120A7">
                  <w:pPr>
                    <w:pBdr>
                      <w:top w:val="none" w:color="auto" w:sz="0" w:space="1"/>
                      <w:left w:val="none" w:color="auto" w:sz="0" w:space="4"/>
                      <w:bottom w:val="none" w:color="auto" w:sz="0" w:space="1"/>
                      <w:right w:val="none" w:color="auto" w:sz="0" w:space="4"/>
                    </w:pBdr>
                    <w:jc w:val="center"/>
                    <w:rPr>
                      <w:szCs w:val="21"/>
                    </w:rPr>
                  </w:pPr>
                  <w:r>
                    <w:rPr>
                      <w:rFonts w:hint="eastAsia"/>
                      <w:szCs w:val="21"/>
                    </w:rPr>
                    <w:t>本</w:t>
                  </w:r>
                  <w:r>
                    <w:rPr>
                      <w:szCs w:val="21"/>
                    </w:rPr>
                    <w:t>项目</w:t>
                  </w:r>
                  <w:r>
                    <w:rPr>
                      <w:rFonts w:hint="eastAsia"/>
                      <w:szCs w:val="21"/>
                    </w:rPr>
                    <w:t>产生的废气污染物主要为颗粒物，不涉及含有毒有害污染物、二噁英、苯并[a]芘、氰化物、氯气。</w:t>
                  </w:r>
                </w:p>
              </w:tc>
              <w:tc>
                <w:tcPr>
                  <w:tcW w:w="747" w:type="dxa"/>
                  <w:vAlign w:val="center"/>
                </w:tcPr>
                <w:p w14:paraId="46A3200F">
                  <w:pPr>
                    <w:pBdr>
                      <w:top w:val="none" w:color="auto" w:sz="0" w:space="1"/>
                      <w:left w:val="none" w:color="auto" w:sz="0" w:space="4"/>
                      <w:bottom w:val="none" w:color="auto" w:sz="0" w:space="1"/>
                      <w:right w:val="none" w:color="auto" w:sz="0" w:space="4"/>
                    </w:pBdr>
                    <w:jc w:val="center"/>
                    <w:rPr>
                      <w:szCs w:val="21"/>
                    </w:rPr>
                  </w:pPr>
                  <w:r>
                    <w:rPr>
                      <w:rFonts w:hint="eastAsia"/>
                      <w:szCs w:val="21"/>
                    </w:rPr>
                    <w:t>否</w:t>
                  </w:r>
                </w:p>
              </w:tc>
            </w:tr>
            <w:tr w14:paraId="425B2B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03" w:type="dxa"/>
                  <w:vAlign w:val="center"/>
                </w:tcPr>
                <w:p w14:paraId="09CBFEDF">
                  <w:pPr>
                    <w:pBdr>
                      <w:top w:val="none" w:color="auto" w:sz="0" w:space="1"/>
                      <w:left w:val="none" w:color="auto" w:sz="0" w:space="4"/>
                      <w:bottom w:val="none" w:color="auto" w:sz="0" w:space="1"/>
                      <w:right w:val="none" w:color="auto" w:sz="0" w:space="4"/>
                    </w:pBdr>
                    <w:jc w:val="center"/>
                    <w:rPr>
                      <w:szCs w:val="21"/>
                    </w:rPr>
                  </w:pPr>
                  <w:r>
                    <w:rPr>
                      <w:rFonts w:hint="eastAsia"/>
                      <w:szCs w:val="21"/>
                    </w:rPr>
                    <w:t>地表水</w:t>
                  </w:r>
                </w:p>
              </w:tc>
              <w:tc>
                <w:tcPr>
                  <w:tcW w:w="3093" w:type="dxa"/>
                  <w:vAlign w:val="center"/>
                </w:tcPr>
                <w:p w14:paraId="43E998DD">
                  <w:pPr>
                    <w:pBdr>
                      <w:top w:val="none" w:color="auto" w:sz="0" w:space="1"/>
                      <w:left w:val="none" w:color="auto" w:sz="0" w:space="4"/>
                      <w:bottom w:val="none" w:color="auto" w:sz="0" w:space="1"/>
                      <w:right w:val="none" w:color="auto" w:sz="0" w:space="4"/>
                    </w:pBdr>
                    <w:jc w:val="center"/>
                    <w:rPr>
                      <w:szCs w:val="21"/>
                    </w:rPr>
                  </w:pPr>
                  <w:r>
                    <w:rPr>
                      <w:rFonts w:hint="eastAsia"/>
                      <w:szCs w:val="21"/>
                    </w:rPr>
                    <w:t>新增工业废水直排建设项目(槽罐车外送污水处理厂的除外)；新增废水直排的污水集中处理厂</w:t>
                  </w:r>
                </w:p>
              </w:tc>
              <w:tc>
                <w:tcPr>
                  <w:tcW w:w="2160" w:type="dxa"/>
                  <w:vAlign w:val="center"/>
                </w:tcPr>
                <w:p w14:paraId="66306E39">
                  <w:pPr>
                    <w:pBdr>
                      <w:top w:val="none" w:color="auto" w:sz="0" w:space="1"/>
                      <w:left w:val="none" w:color="auto" w:sz="0" w:space="4"/>
                      <w:bottom w:val="none" w:color="auto" w:sz="0" w:space="1"/>
                      <w:right w:val="none" w:color="auto" w:sz="0" w:space="4"/>
                    </w:pBdr>
                    <w:jc w:val="center"/>
                    <w:rPr>
                      <w:szCs w:val="21"/>
                    </w:rPr>
                  </w:pPr>
                  <w:r>
                    <w:rPr>
                      <w:rFonts w:hint="eastAsia"/>
                      <w:szCs w:val="21"/>
                    </w:rPr>
                    <w:t>本项目不排放生产废水；生活污水经厂区内化粪池预处理后接入市政污水管网排入江阴污水处理厂处理。</w:t>
                  </w:r>
                </w:p>
              </w:tc>
              <w:tc>
                <w:tcPr>
                  <w:tcW w:w="747" w:type="dxa"/>
                  <w:vAlign w:val="center"/>
                </w:tcPr>
                <w:p w14:paraId="522CEA22">
                  <w:pPr>
                    <w:pBdr>
                      <w:top w:val="none" w:color="auto" w:sz="0" w:space="1"/>
                      <w:left w:val="none" w:color="auto" w:sz="0" w:space="4"/>
                      <w:bottom w:val="none" w:color="auto" w:sz="0" w:space="1"/>
                      <w:right w:val="none" w:color="auto" w:sz="0" w:space="4"/>
                    </w:pBdr>
                    <w:jc w:val="center"/>
                    <w:rPr>
                      <w:szCs w:val="21"/>
                    </w:rPr>
                  </w:pPr>
                  <w:r>
                    <w:rPr>
                      <w:szCs w:val="21"/>
                    </w:rPr>
                    <w:t>否</w:t>
                  </w:r>
                </w:p>
              </w:tc>
            </w:tr>
            <w:tr w14:paraId="01A8B6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03" w:type="dxa"/>
                  <w:vAlign w:val="center"/>
                </w:tcPr>
                <w:p w14:paraId="4860BA87">
                  <w:pPr>
                    <w:pBdr>
                      <w:top w:val="none" w:color="auto" w:sz="0" w:space="1"/>
                      <w:left w:val="none" w:color="auto" w:sz="0" w:space="4"/>
                      <w:bottom w:val="none" w:color="auto" w:sz="0" w:space="1"/>
                      <w:right w:val="none" w:color="auto" w:sz="0" w:space="4"/>
                    </w:pBdr>
                    <w:jc w:val="center"/>
                    <w:rPr>
                      <w:szCs w:val="21"/>
                    </w:rPr>
                  </w:pPr>
                  <w:r>
                    <w:rPr>
                      <w:rFonts w:hint="eastAsia"/>
                      <w:szCs w:val="21"/>
                    </w:rPr>
                    <w:t>环境</w:t>
                  </w:r>
                </w:p>
                <w:p w14:paraId="28980E8F">
                  <w:pPr>
                    <w:pBdr>
                      <w:top w:val="none" w:color="auto" w:sz="0" w:space="1"/>
                      <w:left w:val="none" w:color="auto" w:sz="0" w:space="4"/>
                      <w:bottom w:val="none" w:color="auto" w:sz="0" w:space="1"/>
                      <w:right w:val="none" w:color="auto" w:sz="0" w:space="4"/>
                    </w:pBdr>
                    <w:jc w:val="center"/>
                    <w:rPr>
                      <w:szCs w:val="21"/>
                    </w:rPr>
                  </w:pPr>
                  <w:r>
                    <w:rPr>
                      <w:rFonts w:hint="eastAsia"/>
                      <w:szCs w:val="21"/>
                    </w:rPr>
                    <w:t>风险</w:t>
                  </w:r>
                </w:p>
              </w:tc>
              <w:tc>
                <w:tcPr>
                  <w:tcW w:w="3093" w:type="dxa"/>
                  <w:vAlign w:val="center"/>
                </w:tcPr>
                <w:p w14:paraId="454E29B6">
                  <w:pPr>
                    <w:pBdr>
                      <w:top w:val="none" w:color="auto" w:sz="0" w:space="1"/>
                      <w:left w:val="none" w:color="auto" w:sz="0" w:space="4"/>
                      <w:bottom w:val="none" w:color="auto" w:sz="0" w:space="1"/>
                      <w:right w:val="none" w:color="auto" w:sz="0" w:space="4"/>
                    </w:pBdr>
                    <w:jc w:val="center"/>
                    <w:rPr>
                      <w:szCs w:val="21"/>
                    </w:rPr>
                  </w:pPr>
                  <w:r>
                    <w:rPr>
                      <w:rFonts w:hint="eastAsia"/>
                      <w:szCs w:val="21"/>
                    </w:rPr>
                    <w:t>有毒有害和易燃易爆危险物质存储量超过临界量的建设项目</w:t>
                  </w:r>
                </w:p>
              </w:tc>
              <w:tc>
                <w:tcPr>
                  <w:tcW w:w="2160" w:type="dxa"/>
                  <w:vAlign w:val="center"/>
                </w:tcPr>
                <w:p w14:paraId="02083FA1">
                  <w:pPr>
                    <w:pBdr>
                      <w:top w:val="none" w:color="auto" w:sz="0" w:space="1"/>
                      <w:left w:val="none" w:color="auto" w:sz="0" w:space="4"/>
                      <w:bottom w:val="none" w:color="auto" w:sz="0" w:space="1"/>
                      <w:right w:val="none" w:color="auto" w:sz="0" w:space="4"/>
                    </w:pBdr>
                    <w:jc w:val="center"/>
                    <w:rPr>
                      <w:szCs w:val="21"/>
                    </w:rPr>
                  </w:pPr>
                  <w:r>
                    <w:rPr>
                      <w:rFonts w:hint="eastAsia"/>
                      <w:szCs w:val="21"/>
                    </w:rPr>
                    <w:t>本项目不涉及有毒有害和易燃易爆危险物质</w:t>
                  </w:r>
                </w:p>
              </w:tc>
              <w:tc>
                <w:tcPr>
                  <w:tcW w:w="747" w:type="dxa"/>
                  <w:vAlign w:val="center"/>
                </w:tcPr>
                <w:p w14:paraId="6F64726C">
                  <w:pPr>
                    <w:pBdr>
                      <w:top w:val="none" w:color="auto" w:sz="0" w:space="1"/>
                      <w:left w:val="none" w:color="auto" w:sz="0" w:space="4"/>
                      <w:bottom w:val="none" w:color="auto" w:sz="0" w:space="1"/>
                      <w:right w:val="none" w:color="auto" w:sz="0" w:space="4"/>
                    </w:pBdr>
                    <w:jc w:val="center"/>
                    <w:rPr>
                      <w:szCs w:val="21"/>
                    </w:rPr>
                  </w:pPr>
                  <w:r>
                    <w:rPr>
                      <w:szCs w:val="21"/>
                    </w:rPr>
                    <w:t>否</w:t>
                  </w:r>
                </w:p>
              </w:tc>
            </w:tr>
            <w:tr w14:paraId="3370F0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03" w:type="dxa"/>
                  <w:vAlign w:val="center"/>
                </w:tcPr>
                <w:p w14:paraId="0F641EFF">
                  <w:pPr>
                    <w:pBdr>
                      <w:top w:val="none" w:color="auto" w:sz="0" w:space="1"/>
                      <w:left w:val="none" w:color="auto" w:sz="0" w:space="4"/>
                      <w:bottom w:val="none" w:color="auto" w:sz="0" w:space="1"/>
                      <w:right w:val="none" w:color="auto" w:sz="0" w:space="4"/>
                    </w:pBdr>
                    <w:jc w:val="center"/>
                    <w:rPr>
                      <w:szCs w:val="21"/>
                    </w:rPr>
                  </w:pPr>
                  <w:r>
                    <w:rPr>
                      <w:rFonts w:hint="eastAsia"/>
                      <w:szCs w:val="21"/>
                    </w:rPr>
                    <w:t>生态</w:t>
                  </w:r>
                </w:p>
              </w:tc>
              <w:tc>
                <w:tcPr>
                  <w:tcW w:w="3093" w:type="dxa"/>
                  <w:vAlign w:val="center"/>
                </w:tcPr>
                <w:p w14:paraId="461B19D3">
                  <w:pPr>
                    <w:pBdr>
                      <w:top w:val="none" w:color="auto" w:sz="0" w:space="1"/>
                      <w:left w:val="none" w:color="auto" w:sz="0" w:space="4"/>
                      <w:bottom w:val="none" w:color="auto" w:sz="0" w:space="1"/>
                      <w:right w:val="none" w:color="auto" w:sz="0" w:space="4"/>
                    </w:pBdr>
                    <w:jc w:val="center"/>
                    <w:rPr>
                      <w:szCs w:val="21"/>
                    </w:rPr>
                  </w:pPr>
                  <w:r>
                    <w:rPr>
                      <w:rFonts w:hint="eastAsia"/>
                      <w:szCs w:val="21"/>
                    </w:rPr>
                    <w:t>取水口下游500米范围内有重要水生生物的自然产卵场、索饵场、越冬场和洄游通道的新增河道取水的污染类建设项目</w:t>
                  </w:r>
                </w:p>
              </w:tc>
              <w:tc>
                <w:tcPr>
                  <w:tcW w:w="2160" w:type="dxa"/>
                  <w:vAlign w:val="center"/>
                </w:tcPr>
                <w:p w14:paraId="4E6EB4FE">
                  <w:pPr>
                    <w:pBdr>
                      <w:top w:val="none" w:color="auto" w:sz="0" w:space="1"/>
                      <w:left w:val="none" w:color="auto" w:sz="0" w:space="4"/>
                      <w:bottom w:val="none" w:color="auto" w:sz="0" w:space="1"/>
                      <w:right w:val="none" w:color="auto" w:sz="0" w:space="4"/>
                    </w:pBdr>
                    <w:jc w:val="center"/>
                    <w:rPr>
                      <w:szCs w:val="21"/>
                    </w:rPr>
                  </w:pPr>
                  <w:r>
                    <w:rPr>
                      <w:rFonts w:hint="eastAsia"/>
                      <w:szCs w:val="21"/>
                    </w:rPr>
                    <w:t>本项目使用自来水，不涉及取水口</w:t>
                  </w:r>
                </w:p>
              </w:tc>
              <w:tc>
                <w:tcPr>
                  <w:tcW w:w="747" w:type="dxa"/>
                  <w:vAlign w:val="center"/>
                </w:tcPr>
                <w:p w14:paraId="6015A232">
                  <w:pPr>
                    <w:pBdr>
                      <w:top w:val="none" w:color="auto" w:sz="0" w:space="1"/>
                      <w:left w:val="none" w:color="auto" w:sz="0" w:space="4"/>
                      <w:bottom w:val="none" w:color="auto" w:sz="0" w:space="1"/>
                      <w:right w:val="none" w:color="auto" w:sz="0" w:space="4"/>
                    </w:pBdr>
                    <w:jc w:val="center"/>
                    <w:rPr>
                      <w:szCs w:val="21"/>
                    </w:rPr>
                  </w:pPr>
                  <w:r>
                    <w:rPr>
                      <w:szCs w:val="21"/>
                    </w:rPr>
                    <w:t>否</w:t>
                  </w:r>
                </w:p>
              </w:tc>
            </w:tr>
            <w:tr w14:paraId="51F54E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03" w:type="dxa"/>
                  <w:vAlign w:val="center"/>
                </w:tcPr>
                <w:p w14:paraId="5A6502AA">
                  <w:pPr>
                    <w:pBdr>
                      <w:top w:val="none" w:color="auto" w:sz="0" w:space="1"/>
                      <w:left w:val="none" w:color="auto" w:sz="0" w:space="4"/>
                      <w:bottom w:val="none" w:color="auto" w:sz="0" w:space="1"/>
                      <w:right w:val="none" w:color="auto" w:sz="0" w:space="4"/>
                    </w:pBdr>
                    <w:jc w:val="center"/>
                    <w:rPr>
                      <w:szCs w:val="21"/>
                    </w:rPr>
                  </w:pPr>
                  <w:r>
                    <w:rPr>
                      <w:rFonts w:hint="eastAsia"/>
                      <w:szCs w:val="21"/>
                    </w:rPr>
                    <w:t>海洋</w:t>
                  </w:r>
                </w:p>
              </w:tc>
              <w:tc>
                <w:tcPr>
                  <w:tcW w:w="3093" w:type="dxa"/>
                  <w:vAlign w:val="center"/>
                </w:tcPr>
                <w:p w14:paraId="0764A236">
                  <w:pPr>
                    <w:pBdr>
                      <w:top w:val="none" w:color="auto" w:sz="0" w:space="1"/>
                      <w:left w:val="none" w:color="auto" w:sz="0" w:space="4"/>
                      <w:bottom w:val="none" w:color="auto" w:sz="0" w:space="1"/>
                      <w:right w:val="none" w:color="auto" w:sz="0" w:space="4"/>
                    </w:pBdr>
                    <w:jc w:val="center"/>
                    <w:rPr>
                      <w:szCs w:val="21"/>
                    </w:rPr>
                  </w:pPr>
                  <w:r>
                    <w:rPr>
                      <w:rFonts w:hint="eastAsia"/>
                      <w:szCs w:val="21"/>
                    </w:rPr>
                    <w:t>直接向海排放污染物的海洋工程建设项目</w:t>
                  </w:r>
                </w:p>
              </w:tc>
              <w:tc>
                <w:tcPr>
                  <w:tcW w:w="2160" w:type="dxa"/>
                  <w:vAlign w:val="center"/>
                </w:tcPr>
                <w:p w14:paraId="31F27DE0">
                  <w:pPr>
                    <w:pBdr>
                      <w:top w:val="none" w:color="auto" w:sz="0" w:space="1"/>
                      <w:left w:val="none" w:color="auto" w:sz="0" w:space="4"/>
                      <w:bottom w:val="none" w:color="auto" w:sz="0" w:space="1"/>
                      <w:right w:val="none" w:color="auto" w:sz="0" w:space="4"/>
                    </w:pBdr>
                    <w:jc w:val="center"/>
                    <w:rPr>
                      <w:szCs w:val="21"/>
                    </w:rPr>
                  </w:pPr>
                  <w:r>
                    <w:rPr>
                      <w:rFonts w:hint="eastAsia"/>
                      <w:szCs w:val="21"/>
                    </w:rPr>
                    <w:t>本</w:t>
                  </w:r>
                  <w:r>
                    <w:rPr>
                      <w:szCs w:val="21"/>
                    </w:rPr>
                    <w:t>项目</w:t>
                  </w:r>
                  <w:r>
                    <w:rPr>
                      <w:rFonts w:hint="eastAsia"/>
                      <w:szCs w:val="21"/>
                    </w:rPr>
                    <w:t>不属于</w:t>
                  </w:r>
                  <w:r>
                    <w:rPr>
                      <w:szCs w:val="21"/>
                    </w:rPr>
                    <w:t>向海洋排放污染物的海洋工程项目</w:t>
                  </w:r>
                </w:p>
              </w:tc>
              <w:tc>
                <w:tcPr>
                  <w:tcW w:w="747" w:type="dxa"/>
                  <w:vAlign w:val="center"/>
                </w:tcPr>
                <w:p w14:paraId="51B840CB">
                  <w:pPr>
                    <w:pBdr>
                      <w:top w:val="none" w:color="auto" w:sz="0" w:space="1"/>
                      <w:left w:val="none" w:color="auto" w:sz="0" w:space="4"/>
                      <w:bottom w:val="none" w:color="auto" w:sz="0" w:space="1"/>
                      <w:right w:val="none" w:color="auto" w:sz="0" w:space="4"/>
                    </w:pBdr>
                    <w:jc w:val="center"/>
                    <w:rPr>
                      <w:szCs w:val="21"/>
                    </w:rPr>
                  </w:pPr>
                  <w:r>
                    <w:rPr>
                      <w:szCs w:val="21"/>
                    </w:rPr>
                    <w:t>否</w:t>
                  </w:r>
                </w:p>
              </w:tc>
            </w:tr>
            <w:tr w14:paraId="6B6A2A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6803" w:type="dxa"/>
                  <w:gridSpan w:val="4"/>
                  <w:vAlign w:val="center"/>
                </w:tcPr>
                <w:p w14:paraId="7ECB4E43">
                  <w:pPr>
                    <w:pStyle w:val="138"/>
                    <w:spacing w:line="240" w:lineRule="auto"/>
                    <w:ind w:firstLine="420"/>
                    <w:rPr>
                      <w:kern w:val="28"/>
                      <w:sz w:val="21"/>
                      <w:szCs w:val="21"/>
                    </w:rPr>
                  </w:pPr>
                  <w:r>
                    <w:rPr>
                      <w:kern w:val="28"/>
                      <w:sz w:val="21"/>
                      <w:szCs w:val="21"/>
                    </w:rPr>
                    <w:t>注：</w:t>
                  </w:r>
                  <w:r>
                    <w:rPr>
                      <w:rFonts w:hAnsi="宋体"/>
                      <w:kern w:val="28"/>
                      <w:sz w:val="21"/>
                      <w:szCs w:val="21"/>
                    </w:rPr>
                    <w:t>①</w:t>
                  </w:r>
                  <w:r>
                    <w:rPr>
                      <w:kern w:val="28"/>
                      <w:sz w:val="21"/>
                      <w:szCs w:val="21"/>
                    </w:rPr>
                    <w:t>废气中有毒有害污染物指纳入《有毒有害大气污染物名录》的污染物（不包括无排放标准的污染物）。</w:t>
                  </w:r>
                </w:p>
                <w:p w14:paraId="75D75C26">
                  <w:pPr>
                    <w:pStyle w:val="138"/>
                    <w:spacing w:line="240" w:lineRule="auto"/>
                    <w:ind w:firstLine="420"/>
                    <w:rPr>
                      <w:kern w:val="28"/>
                      <w:sz w:val="21"/>
                      <w:szCs w:val="21"/>
                    </w:rPr>
                  </w:pPr>
                  <w:r>
                    <w:rPr>
                      <w:rFonts w:hAnsi="宋体"/>
                      <w:kern w:val="28"/>
                      <w:sz w:val="21"/>
                      <w:szCs w:val="21"/>
                    </w:rPr>
                    <w:t>②</w:t>
                  </w:r>
                  <w:r>
                    <w:rPr>
                      <w:kern w:val="28"/>
                      <w:sz w:val="21"/>
                      <w:szCs w:val="21"/>
                    </w:rPr>
                    <w:t>环境空气保护目标指自然保护区、风景名胜区、居住区、文化区和农村地区中人群较集中的区域。</w:t>
                  </w:r>
                </w:p>
                <w:p w14:paraId="751E3E54">
                  <w:pPr>
                    <w:pStyle w:val="138"/>
                    <w:spacing w:line="240" w:lineRule="auto"/>
                    <w:ind w:firstLine="420"/>
                    <w:rPr>
                      <w:sz w:val="21"/>
                      <w:szCs w:val="21"/>
                    </w:rPr>
                  </w:pPr>
                  <w:r>
                    <w:rPr>
                      <w:rFonts w:hAnsi="宋体"/>
                      <w:kern w:val="28"/>
                      <w:sz w:val="21"/>
                      <w:szCs w:val="21"/>
                    </w:rPr>
                    <w:t>③</w:t>
                  </w:r>
                  <w:r>
                    <w:rPr>
                      <w:kern w:val="28"/>
                      <w:sz w:val="21"/>
                      <w:szCs w:val="21"/>
                    </w:rPr>
                    <w:t>临界量及其计算方法参考《建设项目环境风险评价技术导则》（HJ169）附录B、附录C。</w:t>
                  </w:r>
                </w:p>
              </w:tc>
            </w:tr>
          </w:tbl>
          <w:p w14:paraId="3C0D427D">
            <w:pPr>
              <w:autoSpaceDE w:val="0"/>
              <w:autoSpaceDN w:val="0"/>
              <w:jc w:val="center"/>
              <w:rPr>
                <w:color w:val="FF0000"/>
                <w:kern w:val="0"/>
                <w:szCs w:val="21"/>
              </w:rPr>
            </w:pPr>
          </w:p>
        </w:tc>
      </w:tr>
      <w:tr w14:paraId="7755C6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7" w:type="dxa"/>
            <w:vAlign w:val="center"/>
          </w:tcPr>
          <w:p w14:paraId="755EECDD">
            <w:pPr>
              <w:autoSpaceDE w:val="0"/>
              <w:autoSpaceDN w:val="0"/>
              <w:jc w:val="center"/>
              <w:rPr>
                <w:kern w:val="21"/>
                <w:sz w:val="24"/>
              </w:rPr>
            </w:pPr>
            <w:r>
              <w:rPr>
                <w:kern w:val="21"/>
                <w:sz w:val="24"/>
              </w:rPr>
              <w:t>规划情况</w:t>
            </w:r>
          </w:p>
        </w:tc>
        <w:tc>
          <w:tcPr>
            <w:tcW w:w="6867" w:type="dxa"/>
            <w:gridSpan w:val="3"/>
            <w:vAlign w:val="center"/>
          </w:tcPr>
          <w:p w14:paraId="54688DF4">
            <w:pPr>
              <w:autoSpaceDE w:val="0"/>
              <w:autoSpaceDN w:val="0"/>
              <w:spacing w:line="360" w:lineRule="auto"/>
              <w:ind w:firstLine="480" w:firstLineChars="200"/>
              <w:jc w:val="left"/>
              <w:rPr>
                <w:rFonts w:hAnsi="宋体"/>
                <w:bCs/>
                <w:sz w:val="24"/>
              </w:rPr>
            </w:pPr>
            <w:r>
              <w:rPr>
                <w:rFonts w:hint="eastAsia"/>
                <w:kern w:val="0"/>
                <w:sz w:val="24"/>
              </w:rPr>
              <w:t>(1)</w:t>
            </w:r>
            <w:r>
              <w:rPr>
                <w:kern w:val="0"/>
                <w:sz w:val="24"/>
              </w:rPr>
              <w:t>规划</w:t>
            </w:r>
            <w:r>
              <w:rPr>
                <w:rFonts w:hint="eastAsia"/>
                <w:kern w:val="0"/>
                <w:sz w:val="24"/>
              </w:rPr>
              <w:t>文件</w:t>
            </w:r>
            <w:r>
              <w:rPr>
                <w:kern w:val="0"/>
                <w:sz w:val="24"/>
              </w:rPr>
              <w:t>名称：</w:t>
            </w:r>
            <w:r>
              <w:rPr>
                <w:rFonts w:hAnsi="宋体"/>
                <w:bCs/>
                <w:sz w:val="24"/>
              </w:rPr>
              <w:t>《江阴港城总体规划（2018-2035）》</w:t>
            </w:r>
          </w:p>
          <w:p w14:paraId="3037E967">
            <w:pPr>
              <w:autoSpaceDE w:val="0"/>
              <w:autoSpaceDN w:val="0"/>
              <w:spacing w:line="360" w:lineRule="auto"/>
              <w:ind w:firstLine="480" w:firstLineChars="200"/>
              <w:jc w:val="left"/>
              <w:rPr>
                <w:rFonts w:hAnsi="宋体"/>
                <w:bCs/>
                <w:sz w:val="24"/>
              </w:rPr>
            </w:pPr>
            <w:r>
              <w:rPr>
                <w:rFonts w:hint="eastAsia"/>
                <w:kern w:val="0"/>
                <w:sz w:val="24"/>
              </w:rPr>
              <w:t>(2)</w:t>
            </w:r>
            <w:r>
              <w:rPr>
                <w:kern w:val="0"/>
                <w:sz w:val="24"/>
              </w:rPr>
              <w:t>规划</w:t>
            </w:r>
            <w:r>
              <w:rPr>
                <w:rFonts w:hint="eastAsia"/>
                <w:kern w:val="0"/>
                <w:sz w:val="24"/>
              </w:rPr>
              <w:t>文件</w:t>
            </w:r>
            <w:r>
              <w:rPr>
                <w:kern w:val="0"/>
                <w:sz w:val="24"/>
              </w:rPr>
              <w:t>名称：</w:t>
            </w:r>
            <w:r>
              <w:rPr>
                <w:rFonts w:hint="eastAsia" w:hAnsi="宋体"/>
                <w:bCs/>
                <w:sz w:val="24"/>
              </w:rPr>
              <w:t>《福州江阴港城经济区产业发展规划（2022-2035）》</w:t>
            </w:r>
          </w:p>
        </w:tc>
      </w:tr>
      <w:tr w14:paraId="2BFEA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7" w:type="dxa"/>
            <w:vAlign w:val="center"/>
          </w:tcPr>
          <w:p w14:paraId="610FF888">
            <w:pPr>
              <w:jc w:val="center"/>
              <w:rPr>
                <w:kern w:val="21"/>
                <w:sz w:val="24"/>
              </w:rPr>
            </w:pPr>
            <w:r>
              <w:rPr>
                <w:kern w:val="21"/>
                <w:sz w:val="24"/>
              </w:rPr>
              <w:t>规划环境影响评价情况</w:t>
            </w:r>
          </w:p>
        </w:tc>
        <w:tc>
          <w:tcPr>
            <w:tcW w:w="6867" w:type="dxa"/>
            <w:gridSpan w:val="3"/>
            <w:vAlign w:val="center"/>
          </w:tcPr>
          <w:p w14:paraId="7C95D09A">
            <w:pPr>
              <w:autoSpaceDE w:val="0"/>
              <w:autoSpaceDN w:val="0"/>
              <w:spacing w:line="360" w:lineRule="auto"/>
              <w:ind w:firstLine="480" w:firstLineChars="200"/>
              <w:jc w:val="left"/>
              <w:rPr>
                <w:kern w:val="0"/>
                <w:sz w:val="24"/>
              </w:rPr>
            </w:pPr>
            <w:r>
              <w:rPr>
                <w:rFonts w:hint="eastAsia"/>
                <w:kern w:val="0"/>
                <w:sz w:val="24"/>
              </w:rPr>
              <w:t>(1)</w:t>
            </w:r>
            <w:r>
              <w:rPr>
                <w:kern w:val="0"/>
                <w:sz w:val="24"/>
              </w:rPr>
              <w:t>规划</w:t>
            </w:r>
            <w:r>
              <w:rPr>
                <w:rFonts w:hint="eastAsia"/>
                <w:kern w:val="0"/>
                <w:sz w:val="24"/>
              </w:rPr>
              <w:t>环境影响评价文件</w:t>
            </w:r>
            <w:r>
              <w:rPr>
                <w:kern w:val="0"/>
                <w:sz w:val="24"/>
              </w:rPr>
              <w:t>名称：</w:t>
            </w:r>
            <w:r>
              <w:rPr>
                <w:rFonts w:hint="eastAsia"/>
                <w:kern w:val="0"/>
                <w:sz w:val="24"/>
              </w:rPr>
              <w:t>《福州江阴港城总体规划（2018-2035年）环境影响报告书》</w:t>
            </w:r>
          </w:p>
          <w:p w14:paraId="69035869">
            <w:pPr>
              <w:autoSpaceDE w:val="0"/>
              <w:autoSpaceDN w:val="0"/>
              <w:spacing w:line="360" w:lineRule="auto"/>
              <w:ind w:firstLine="480" w:firstLineChars="200"/>
              <w:jc w:val="left"/>
              <w:rPr>
                <w:kern w:val="0"/>
                <w:sz w:val="24"/>
              </w:rPr>
            </w:pPr>
            <w:r>
              <w:rPr>
                <w:kern w:val="0"/>
                <w:sz w:val="24"/>
              </w:rPr>
              <w:t>审</w:t>
            </w:r>
            <w:r>
              <w:rPr>
                <w:rFonts w:hint="eastAsia"/>
                <w:kern w:val="0"/>
                <w:sz w:val="24"/>
              </w:rPr>
              <w:t>查</w:t>
            </w:r>
            <w:r>
              <w:rPr>
                <w:kern w:val="0"/>
                <w:sz w:val="24"/>
              </w:rPr>
              <w:t>机关：</w:t>
            </w:r>
            <w:r>
              <w:rPr>
                <w:rFonts w:hint="eastAsia"/>
                <w:kern w:val="0"/>
                <w:sz w:val="24"/>
              </w:rPr>
              <w:t>福州市生态环境局（原福州市环境保护局）</w:t>
            </w:r>
          </w:p>
          <w:p w14:paraId="7479719E">
            <w:pPr>
              <w:autoSpaceDE w:val="0"/>
              <w:autoSpaceDN w:val="0"/>
              <w:spacing w:line="360" w:lineRule="auto"/>
              <w:ind w:firstLine="480" w:firstLineChars="200"/>
              <w:jc w:val="left"/>
              <w:rPr>
                <w:kern w:val="28"/>
                <w:sz w:val="24"/>
              </w:rPr>
            </w:pPr>
            <w:r>
              <w:rPr>
                <w:kern w:val="0"/>
                <w:sz w:val="24"/>
              </w:rPr>
              <w:t>审</w:t>
            </w:r>
            <w:r>
              <w:rPr>
                <w:rFonts w:hint="eastAsia"/>
                <w:kern w:val="0"/>
                <w:sz w:val="24"/>
              </w:rPr>
              <w:t>查</w:t>
            </w:r>
            <w:r>
              <w:rPr>
                <w:kern w:val="0"/>
                <w:sz w:val="24"/>
              </w:rPr>
              <w:t>文件名称及文号：</w:t>
            </w:r>
            <w:r>
              <w:rPr>
                <w:kern w:val="28"/>
                <w:sz w:val="24"/>
              </w:rPr>
              <w:t>福州市环境保护局关于印《发福州江阴港城总体规划（2018-2035）环境影响评价报告书</w:t>
            </w:r>
            <w:r>
              <w:rPr>
                <w:rFonts w:hint="eastAsia"/>
                <w:kern w:val="28"/>
                <w:sz w:val="24"/>
              </w:rPr>
              <w:t>》</w:t>
            </w:r>
            <w:r>
              <w:rPr>
                <w:kern w:val="28"/>
                <w:sz w:val="24"/>
              </w:rPr>
              <w:t>审查小组意见的函（榕环保评[2018]55号）</w:t>
            </w:r>
          </w:p>
          <w:p w14:paraId="78B280AB">
            <w:pPr>
              <w:pStyle w:val="27"/>
              <w:spacing w:line="360" w:lineRule="auto"/>
              <w:ind w:firstLine="480" w:firstLineChars="200"/>
              <w:rPr>
                <w:rFonts w:hAnsi="宋体"/>
                <w:bCs/>
                <w:sz w:val="24"/>
              </w:rPr>
            </w:pPr>
            <w:r>
              <w:rPr>
                <w:rFonts w:hint="eastAsia"/>
                <w:kern w:val="0"/>
                <w:sz w:val="24"/>
              </w:rPr>
              <w:t>(2)</w:t>
            </w:r>
            <w:r>
              <w:rPr>
                <w:kern w:val="0"/>
                <w:sz w:val="24"/>
              </w:rPr>
              <w:t>规划</w:t>
            </w:r>
            <w:r>
              <w:rPr>
                <w:rFonts w:hint="eastAsia"/>
                <w:kern w:val="0"/>
                <w:sz w:val="24"/>
              </w:rPr>
              <w:t>环境影响评价文件</w:t>
            </w:r>
            <w:r>
              <w:rPr>
                <w:kern w:val="0"/>
                <w:sz w:val="24"/>
              </w:rPr>
              <w:t>名称：</w:t>
            </w:r>
            <w:r>
              <w:rPr>
                <w:rFonts w:hAnsi="宋体"/>
                <w:bCs/>
                <w:sz w:val="24"/>
              </w:rPr>
              <w:t>《</w:t>
            </w:r>
            <w:r>
              <w:rPr>
                <w:rFonts w:hint="eastAsia" w:hAnsi="宋体"/>
                <w:bCs/>
                <w:sz w:val="24"/>
              </w:rPr>
              <w:t>福州江阴港城经济区产业发展规划环境影响报告书</w:t>
            </w:r>
            <w:r>
              <w:rPr>
                <w:rFonts w:hAnsi="宋体"/>
                <w:bCs/>
                <w:sz w:val="24"/>
              </w:rPr>
              <w:t>》</w:t>
            </w:r>
          </w:p>
          <w:p w14:paraId="4AC0FFAA">
            <w:pPr>
              <w:autoSpaceDE w:val="0"/>
              <w:autoSpaceDN w:val="0"/>
              <w:spacing w:line="360" w:lineRule="auto"/>
              <w:ind w:firstLine="480" w:firstLineChars="200"/>
              <w:jc w:val="left"/>
              <w:rPr>
                <w:kern w:val="0"/>
                <w:sz w:val="24"/>
              </w:rPr>
            </w:pPr>
            <w:r>
              <w:rPr>
                <w:kern w:val="0"/>
                <w:sz w:val="24"/>
              </w:rPr>
              <w:t>审</w:t>
            </w:r>
            <w:r>
              <w:rPr>
                <w:rFonts w:hint="eastAsia"/>
                <w:kern w:val="0"/>
                <w:sz w:val="24"/>
              </w:rPr>
              <w:t>查</w:t>
            </w:r>
            <w:r>
              <w:rPr>
                <w:kern w:val="0"/>
                <w:sz w:val="24"/>
              </w:rPr>
              <w:t>机关：</w:t>
            </w:r>
            <w:r>
              <w:rPr>
                <w:rFonts w:hint="eastAsia"/>
                <w:kern w:val="0"/>
                <w:sz w:val="24"/>
              </w:rPr>
              <w:t>福州市生态环境局</w:t>
            </w:r>
          </w:p>
          <w:p w14:paraId="01C0231A">
            <w:pPr>
              <w:autoSpaceDE w:val="0"/>
              <w:autoSpaceDN w:val="0"/>
              <w:spacing w:line="360" w:lineRule="auto"/>
              <w:ind w:firstLine="480" w:firstLineChars="200"/>
              <w:jc w:val="left"/>
            </w:pPr>
            <w:r>
              <w:rPr>
                <w:kern w:val="0"/>
                <w:sz w:val="24"/>
              </w:rPr>
              <w:t>审</w:t>
            </w:r>
            <w:r>
              <w:rPr>
                <w:rFonts w:hint="eastAsia"/>
                <w:kern w:val="0"/>
                <w:sz w:val="24"/>
              </w:rPr>
              <w:t>查</w:t>
            </w:r>
            <w:r>
              <w:rPr>
                <w:kern w:val="0"/>
                <w:sz w:val="24"/>
              </w:rPr>
              <w:t>文件名称及文号：</w:t>
            </w:r>
            <w:r>
              <w:rPr>
                <w:kern w:val="28"/>
                <w:sz w:val="24"/>
              </w:rPr>
              <w:t>福州市</w:t>
            </w:r>
            <w:r>
              <w:rPr>
                <w:rFonts w:hint="eastAsia"/>
                <w:kern w:val="28"/>
                <w:sz w:val="24"/>
              </w:rPr>
              <w:t>生态环境局</w:t>
            </w:r>
            <w:r>
              <w:rPr>
                <w:kern w:val="28"/>
                <w:sz w:val="24"/>
              </w:rPr>
              <w:t>关于印发《福州江阴港城</w:t>
            </w:r>
            <w:r>
              <w:rPr>
                <w:rFonts w:hint="eastAsia"/>
                <w:kern w:val="28"/>
                <w:sz w:val="24"/>
              </w:rPr>
              <w:t>经济区产业发展规划环境</w:t>
            </w:r>
            <w:r>
              <w:rPr>
                <w:kern w:val="28"/>
                <w:sz w:val="24"/>
              </w:rPr>
              <w:t>影响评价报告书</w:t>
            </w:r>
            <w:r>
              <w:rPr>
                <w:rFonts w:hint="eastAsia"/>
                <w:kern w:val="28"/>
                <w:sz w:val="24"/>
              </w:rPr>
              <w:t>》</w:t>
            </w:r>
            <w:r>
              <w:rPr>
                <w:kern w:val="28"/>
                <w:sz w:val="24"/>
              </w:rPr>
              <w:t>审查小组意见的</w:t>
            </w:r>
            <w:r>
              <w:rPr>
                <w:rFonts w:hint="eastAsia"/>
                <w:kern w:val="28"/>
                <w:sz w:val="24"/>
              </w:rPr>
              <w:t>通知</w:t>
            </w:r>
            <w:r>
              <w:rPr>
                <w:kern w:val="28"/>
                <w:sz w:val="24"/>
              </w:rPr>
              <w:t>（榕环评[20</w:t>
            </w:r>
            <w:r>
              <w:rPr>
                <w:rFonts w:hint="eastAsia"/>
                <w:kern w:val="28"/>
                <w:sz w:val="24"/>
              </w:rPr>
              <w:t>24</w:t>
            </w:r>
            <w:r>
              <w:rPr>
                <w:kern w:val="28"/>
                <w:sz w:val="24"/>
              </w:rPr>
              <w:t>]</w:t>
            </w:r>
            <w:r>
              <w:rPr>
                <w:rFonts w:hint="eastAsia"/>
                <w:kern w:val="28"/>
                <w:sz w:val="24"/>
              </w:rPr>
              <w:t>33</w:t>
            </w:r>
            <w:r>
              <w:rPr>
                <w:kern w:val="28"/>
                <w:sz w:val="24"/>
              </w:rPr>
              <w:t>号）</w:t>
            </w:r>
          </w:p>
        </w:tc>
      </w:tr>
      <w:tr w14:paraId="1AEA22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7" w:type="dxa"/>
            <w:vAlign w:val="center"/>
          </w:tcPr>
          <w:p w14:paraId="507ABC83">
            <w:pPr>
              <w:autoSpaceDE w:val="0"/>
              <w:autoSpaceDN w:val="0"/>
              <w:jc w:val="center"/>
              <w:rPr>
                <w:kern w:val="21"/>
                <w:sz w:val="24"/>
              </w:rPr>
            </w:pPr>
            <w:r>
              <w:rPr>
                <w:kern w:val="21"/>
                <w:sz w:val="24"/>
              </w:rPr>
              <w:t>规划及规划环境影响</w:t>
            </w:r>
          </w:p>
          <w:p w14:paraId="26E0A70D">
            <w:pPr>
              <w:autoSpaceDE w:val="0"/>
              <w:autoSpaceDN w:val="0"/>
              <w:jc w:val="center"/>
              <w:rPr>
                <w:color w:val="FF0000"/>
                <w:kern w:val="21"/>
                <w:szCs w:val="21"/>
              </w:rPr>
            </w:pPr>
            <w:r>
              <w:rPr>
                <w:kern w:val="21"/>
                <w:sz w:val="24"/>
              </w:rPr>
              <w:t>评价符合性分析</w:t>
            </w:r>
          </w:p>
        </w:tc>
        <w:tc>
          <w:tcPr>
            <w:tcW w:w="6867" w:type="dxa"/>
            <w:gridSpan w:val="3"/>
            <w:vAlign w:val="center"/>
          </w:tcPr>
          <w:p w14:paraId="195BAD3B">
            <w:pPr>
              <w:pStyle w:val="139"/>
              <w:spacing w:beforeLines="0" w:afterLines="0"/>
              <w:ind w:firstLine="482"/>
              <w:rPr>
                <w:b/>
                <w:bCs/>
              </w:rPr>
            </w:pPr>
            <w:r>
              <w:rPr>
                <w:rFonts w:hint="eastAsia"/>
                <w:b/>
                <w:bCs/>
                <w:color w:val="auto"/>
                <w:kern w:val="0"/>
              </w:rPr>
              <w:t>(1)与</w:t>
            </w:r>
            <w:r>
              <w:rPr>
                <w:rFonts w:hAnsi="宋体"/>
                <w:b/>
                <w:bCs/>
                <w:color w:val="auto"/>
              </w:rPr>
              <w:t>《江阴港城总体规划（2018-2035）》</w:t>
            </w:r>
            <w:r>
              <w:rPr>
                <w:b/>
                <w:bCs/>
              </w:rPr>
              <w:t>符合性分析</w:t>
            </w:r>
          </w:p>
          <w:p w14:paraId="7FF101D3">
            <w:pPr>
              <w:pStyle w:val="138"/>
              <w:ind w:firstLine="480"/>
              <w:rPr>
                <w:color w:val="000000"/>
                <w:kern w:val="28"/>
              </w:rPr>
            </w:pPr>
            <w:r>
              <w:rPr>
                <w:color w:val="000000"/>
                <w:kern w:val="28"/>
              </w:rPr>
              <w:t>规划的发展定位和目标为“</w:t>
            </w:r>
            <w:r>
              <w:rPr>
                <w:color w:val="000000"/>
                <w:szCs w:val="20"/>
              </w:rPr>
              <w:t>以循环经济生产理念为指导，围绕江阴港城经济区的港口、物流资源条件，充分发挥其独特区位优势和邻近主干市场优势，以大型煤化工、盐化工、石油化工等三大产业链为基础，以便利的交通为依托，构建一个完善的循环经济产业体系，辐射带动现代物流、海洋产业、现代服务业、机械等领域的发展，最终实现产品项目上下衔接，公用辅助设施共享，物流传输便捷、环境保护完善，管理服务一流的非炼化一体化产业基地</w:t>
            </w:r>
            <w:r>
              <w:rPr>
                <w:color w:val="000000"/>
                <w:kern w:val="28"/>
              </w:rPr>
              <w:t>”。</w:t>
            </w:r>
          </w:p>
          <w:p w14:paraId="7560865B">
            <w:pPr>
              <w:spacing w:line="360" w:lineRule="auto"/>
              <w:ind w:firstLine="480"/>
              <w:rPr>
                <w:color w:val="000000"/>
                <w:sz w:val="24"/>
              </w:rPr>
            </w:pPr>
            <w:r>
              <w:rPr>
                <w:color w:val="000000"/>
                <w:sz w:val="24"/>
              </w:rPr>
              <w:t>①产业整体格局：依托江阴港和保税区，沿江阴湾、兴化湾设置产业片区，形成临港产业环湾发展的产业格局。其中在江阴湾北部设置滨海商务休闲区，形成城市级的生产性服务业中心，对各产业片区进行有效支撑；依托港口在福州江阴港城经济区南部设置物流园区，建设海西的物流枢纽，形成区域的对外开放窗口。</w:t>
            </w:r>
          </w:p>
          <w:p w14:paraId="307BADBD">
            <w:pPr>
              <w:spacing w:line="360" w:lineRule="auto"/>
              <w:ind w:firstLine="480"/>
              <w:rPr>
                <w:color w:val="000000"/>
                <w:sz w:val="24"/>
              </w:rPr>
            </w:pPr>
            <w:r>
              <w:rPr>
                <w:color w:val="000000"/>
                <w:sz w:val="24"/>
                <w:lang w:eastAsia="ja-JP"/>
              </w:rPr>
              <w:t>②</w:t>
            </w:r>
            <w:r>
              <w:rPr>
                <w:color w:val="000000"/>
                <w:sz w:val="24"/>
              </w:rPr>
              <w:t>产业片区空间布局：规划福州江阴港城经济区重点引导形成8个产业园区，分别为滨海商务休闲区、现代服务业集聚区、商贸物流区、新厝先进制造业基地、月亮湾先进制造业基地、东部临港产业区、西部临港产业区和港口运输物流仓储区，分别承担城市的临港化工产业、现代商贸物流业、现代服务业和先进制。</w:t>
            </w:r>
          </w:p>
          <w:p w14:paraId="27279A20">
            <w:pPr>
              <w:spacing w:line="360" w:lineRule="auto"/>
              <w:ind w:firstLine="480"/>
              <w:rPr>
                <w:color w:val="000000"/>
                <w:sz w:val="24"/>
              </w:rPr>
            </w:pPr>
            <w:r>
              <w:rPr>
                <w:color w:val="000000"/>
                <w:sz w:val="24"/>
              </w:rPr>
              <w:t>A东部临港产业区、西部临港产业区：东部临港产业区位于基地东南部，用地规模为1024.22hm</w:t>
            </w:r>
            <w:r>
              <w:rPr>
                <w:color w:val="000000"/>
                <w:sz w:val="24"/>
                <w:vertAlign w:val="superscript"/>
              </w:rPr>
              <w:t>2</w:t>
            </w:r>
            <w:r>
              <w:rPr>
                <w:color w:val="000000"/>
                <w:sz w:val="24"/>
              </w:rPr>
              <w:t>；西部临港产业区位于基地西南部，用地规模为1307.72hm</w:t>
            </w:r>
            <w:r>
              <w:rPr>
                <w:color w:val="000000"/>
                <w:sz w:val="24"/>
                <w:vertAlign w:val="superscript"/>
              </w:rPr>
              <w:t>2</w:t>
            </w:r>
            <w:r>
              <w:rPr>
                <w:color w:val="000000"/>
                <w:sz w:val="24"/>
              </w:rPr>
              <w:t>。主要承载临港化工产业。在对现状企业进行保留提升的基础上，注重完善重化企业的布局和配套服务体系，促进下游产业的快速形成，形成上下游链条参与竞争合作。</w:t>
            </w:r>
          </w:p>
          <w:p w14:paraId="64F80F6B">
            <w:pPr>
              <w:spacing w:line="360" w:lineRule="auto"/>
              <w:ind w:firstLine="480"/>
              <w:rPr>
                <w:sz w:val="24"/>
              </w:rPr>
            </w:pPr>
            <w:r>
              <w:rPr>
                <w:color w:val="000000"/>
                <w:sz w:val="24"/>
              </w:rPr>
              <w:t>B港口运输物流仓储区、商贸物流区：港口运输物流仓储区和商贸物流区位于福州江阴港城经济区南部，依托江阴港设</w:t>
            </w:r>
            <w:r>
              <w:rPr>
                <w:sz w:val="24"/>
              </w:rPr>
              <w:t>置。其中港口运输物流仓储区用地规模为1641.85hm</w:t>
            </w:r>
            <w:r>
              <w:rPr>
                <w:sz w:val="24"/>
                <w:vertAlign w:val="superscript"/>
              </w:rPr>
              <w:t>2</w:t>
            </w:r>
            <w:r>
              <w:rPr>
                <w:sz w:val="24"/>
              </w:rPr>
              <w:t>，商贸物流区用地规模为509.78hm</w:t>
            </w:r>
            <w:r>
              <w:rPr>
                <w:sz w:val="24"/>
                <w:vertAlign w:val="superscript"/>
              </w:rPr>
              <w:t>2</w:t>
            </w:r>
            <w:r>
              <w:rPr>
                <w:sz w:val="24"/>
              </w:rPr>
              <w:t>。江阴港是福州市重要的集装箱枢纽港，发挥江阴港自身优越条件，通过填海向外扩展，逐步发展通用码头、集装箱码头，发展过陆上交通系统和交通接驳的完善，形成便捷的海陆交通，为港口腹地提供集疏运条件，着力打造现代商贸物流业。结合汽车整车进口的展示商贸区，依托港口物流优势发展航运服务业，促进现代物流业的尽快形成。</w:t>
            </w:r>
          </w:p>
          <w:p w14:paraId="6E318257">
            <w:pPr>
              <w:spacing w:line="360" w:lineRule="auto"/>
              <w:ind w:firstLine="480"/>
              <w:rPr>
                <w:sz w:val="24"/>
              </w:rPr>
            </w:pPr>
            <w:r>
              <w:rPr>
                <w:sz w:val="24"/>
              </w:rPr>
              <w:t>C滨海商务休闲区、现代服务业集聚区：滨海商务休闲区位于基地东部、纬五路以北，用地规模为136.56hm</w:t>
            </w:r>
            <w:r>
              <w:rPr>
                <w:sz w:val="24"/>
                <w:vertAlign w:val="superscript"/>
              </w:rPr>
              <w:t>2</w:t>
            </w:r>
            <w:r>
              <w:rPr>
                <w:sz w:val="24"/>
              </w:rPr>
              <w:t>，现代服务业集聚区位于南港大道以南、新江公路以东、江阴大道以西，用地规模为395.70hm</w:t>
            </w:r>
            <w:r>
              <w:rPr>
                <w:sz w:val="24"/>
                <w:vertAlign w:val="superscript"/>
              </w:rPr>
              <w:t>2</w:t>
            </w:r>
            <w:r>
              <w:rPr>
                <w:sz w:val="24"/>
              </w:rPr>
              <w:t>。在滨海商务休闲区、现代服务业集聚区配套专业服务、展示交易、商业商务等职能，为居民和生产体系服务，成为福州江阴港城经济区的“智核”和服务中心。</w:t>
            </w:r>
          </w:p>
          <w:p w14:paraId="3DB1871D">
            <w:pPr>
              <w:pStyle w:val="138"/>
              <w:ind w:firstLine="480"/>
              <w:rPr>
                <w:szCs w:val="20"/>
              </w:rPr>
            </w:pPr>
            <w:r>
              <w:t>D新厝先进制造业基地、月亮湾先进制造业基地：新厝先进制造业基地位于新厝片区，用地规模为920.39hm</w:t>
            </w:r>
            <w:r>
              <w:rPr>
                <w:vertAlign w:val="superscript"/>
              </w:rPr>
              <w:t>2</w:t>
            </w:r>
            <w:r>
              <w:t>；月亮湾先进制造业基地位于江阴湾沿线，用地规模为1083.32hm</w:t>
            </w:r>
            <w:r>
              <w:rPr>
                <w:vertAlign w:val="superscript"/>
              </w:rPr>
              <w:t>2</w:t>
            </w:r>
            <w:r>
              <w:t>。利用福州江阴港城经济区优越的地理区位和运输条件，形成相对集中、有一定规模的高新技术产业区，分别发展新材料、新能源、生物医药、装备制造、飞机零配件制造等先进制造业</w:t>
            </w:r>
          </w:p>
          <w:p w14:paraId="02E134DD">
            <w:pPr>
              <w:pStyle w:val="138"/>
              <w:ind w:firstLine="482"/>
            </w:pPr>
            <w:r>
              <w:rPr>
                <w:b/>
                <w:bCs/>
                <w:kern w:val="28"/>
              </w:rPr>
              <w:t>符合性分析：</w:t>
            </w:r>
            <w:r>
              <w:rPr>
                <w:kern w:val="28"/>
              </w:rPr>
              <w:t>本项目位于</w:t>
            </w:r>
            <w:r>
              <w:rPr>
                <w:rFonts w:hint="eastAsia"/>
              </w:rPr>
              <w:t>江阴港城经济区</w:t>
            </w:r>
            <w:r>
              <w:rPr>
                <w:szCs w:val="20"/>
              </w:rPr>
              <w:t>东部临港产业区，</w:t>
            </w:r>
            <w:r>
              <w:rPr>
                <w:kern w:val="28"/>
              </w:rPr>
              <w:t>产品为</w:t>
            </w:r>
            <w:r>
              <w:rPr>
                <w:rFonts w:hint="eastAsia"/>
                <w:kern w:val="28"/>
              </w:rPr>
              <w:t>水泥制品（水泥顶管、水泥排水管、检查井）</w:t>
            </w:r>
            <w:r>
              <w:rPr>
                <w:kern w:val="28"/>
              </w:rPr>
              <w:t>，属于</w:t>
            </w:r>
            <w:r>
              <w:rPr>
                <w:rFonts w:hint="eastAsia"/>
              </w:rPr>
              <w:t>55石膏、水泥制品及类似制品制造，不属于</w:t>
            </w:r>
            <w:r>
              <w:t>规划中的禁止行业，</w:t>
            </w:r>
            <w:r>
              <w:rPr>
                <w:kern w:val="28"/>
              </w:rPr>
              <w:t>与</w:t>
            </w:r>
            <w:r>
              <w:t>规划中的行业定位不冲突，因此，本项目建设符合</w:t>
            </w:r>
            <w:r>
              <w:rPr>
                <w:rFonts w:hint="eastAsia"/>
              </w:rPr>
              <w:t>江阴港城经济区</w:t>
            </w:r>
            <w:r>
              <w:t>产业入驻条件。</w:t>
            </w:r>
          </w:p>
          <w:p w14:paraId="682B1387">
            <w:pPr>
              <w:pStyle w:val="139"/>
              <w:spacing w:beforeLines="0" w:afterLines="0"/>
              <w:ind w:firstLine="482"/>
              <w:rPr>
                <w:b/>
                <w:bCs/>
              </w:rPr>
            </w:pPr>
            <w:r>
              <w:rPr>
                <w:rFonts w:hint="eastAsia"/>
                <w:b/>
                <w:bCs/>
                <w:color w:val="auto"/>
                <w:kern w:val="0"/>
              </w:rPr>
              <w:t>(2)与《福州江阴港城</w:t>
            </w:r>
            <w:bookmarkStart w:id="1" w:name="OLE_LINK2"/>
            <w:r>
              <w:rPr>
                <w:rFonts w:hint="eastAsia"/>
                <w:b/>
                <w:bCs/>
                <w:color w:val="auto"/>
                <w:kern w:val="0"/>
              </w:rPr>
              <w:t>总体规划（2018-2035年）环境影响报告书》</w:t>
            </w:r>
            <w:bookmarkEnd w:id="1"/>
            <w:r>
              <w:rPr>
                <w:rFonts w:hint="eastAsia"/>
                <w:b/>
                <w:bCs/>
                <w:color w:val="auto"/>
                <w:kern w:val="0"/>
              </w:rPr>
              <w:t>及其审查意见</w:t>
            </w:r>
            <w:r>
              <w:rPr>
                <w:b/>
                <w:bCs/>
              </w:rPr>
              <w:t>符合性分析</w:t>
            </w:r>
          </w:p>
          <w:p w14:paraId="4B36C11A">
            <w:pPr>
              <w:pStyle w:val="138"/>
              <w:ind w:firstLine="480"/>
              <w:rPr>
                <w:color w:val="000000"/>
                <w:kern w:val="28"/>
                <w:lang w:val="en-GB"/>
              </w:rPr>
            </w:pPr>
            <w:r>
              <w:rPr>
                <w:kern w:val="28"/>
              </w:rPr>
              <w:t>《福州江阴港城总体规划（2018-2035）环境</w:t>
            </w:r>
            <w:r>
              <w:rPr>
                <w:color w:val="000000"/>
                <w:kern w:val="28"/>
              </w:rPr>
              <w:t>影响报告书》（以下简“规划环评”）于2018年5月22日取得福州市环保局的审查意见（榕环保评[2018]55号）。</w:t>
            </w:r>
          </w:p>
          <w:p w14:paraId="1BDC7B3B">
            <w:pPr>
              <w:pStyle w:val="140"/>
              <w:ind w:firstLine="480"/>
              <w:rPr>
                <w:color w:val="000000"/>
                <w:kern w:val="28"/>
                <w:sz w:val="24"/>
                <w:szCs w:val="24"/>
              </w:rPr>
            </w:pPr>
            <w:r>
              <w:rPr>
                <w:rFonts w:hint="eastAsia"/>
                <w:color w:val="000000"/>
                <w:kern w:val="28"/>
                <w:sz w:val="24"/>
                <w:szCs w:val="24"/>
                <w:lang w:val="en-GB"/>
              </w:rPr>
              <w:t>对照</w:t>
            </w:r>
            <w:r>
              <w:rPr>
                <w:color w:val="000000"/>
                <w:kern w:val="28"/>
                <w:sz w:val="24"/>
                <w:szCs w:val="24"/>
                <w:lang w:val="en-GB"/>
              </w:rPr>
              <w:t>《</w:t>
            </w:r>
            <w:r>
              <w:rPr>
                <w:rFonts w:hint="eastAsia"/>
                <w:color w:val="000000"/>
                <w:kern w:val="28"/>
                <w:sz w:val="24"/>
                <w:szCs w:val="24"/>
                <w:lang w:val="en-GB"/>
              </w:rPr>
              <w:t>江阴港城总体规划（2018～20</w:t>
            </w:r>
            <w:r>
              <w:rPr>
                <w:color w:val="000000"/>
                <w:kern w:val="28"/>
                <w:sz w:val="24"/>
                <w:szCs w:val="24"/>
                <w:lang w:val="en-GB"/>
              </w:rPr>
              <w:t>35</w:t>
            </w:r>
            <w:r>
              <w:rPr>
                <w:rFonts w:hint="eastAsia"/>
                <w:color w:val="000000"/>
                <w:kern w:val="28"/>
                <w:sz w:val="24"/>
                <w:szCs w:val="24"/>
                <w:lang w:val="en-GB"/>
              </w:rPr>
              <w:t>年）环境影响报告书（报批本）</w:t>
            </w:r>
            <w:r>
              <w:rPr>
                <w:color w:val="000000"/>
                <w:kern w:val="28"/>
                <w:sz w:val="24"/>
                <w:szCs w:val="24"/>
                <w:lang w:val="en-GB"/>
              </w:rPr>
              <w:t>》</w:t>
            </w:r>
            <w:r>
              <w:rPr>
                <w:rFonts w:hint="eastAsia"/>
                <w:color w:val="000000"/>
                <w:kern w:val="28"/>
                <w:sz w:val="24"/>
                <w:szCs w:val="24"/>
              </w:rPr>
              <w:t>中海港新城规划布局的产业项目环境准入条件必须满足以下条件：①不属于《国家产业结构调整指导目录（2011）》及2013年修改决定中的淘汰类；②满足《市场准入负面清单草案（试点版）》（发改经体〔2016〕442号）；③满足各行业准入条件；④不属于《福建省人民政府关于加强重点流域水环境综和整治的意见》中禁止的产业；⑤满足《福建省工业建设项目投资强度控制指标》相关要求。</w:t>
            </w:r>
          </w:p>
          <w:p w14:paraId="6A6A8860">
            <w:pPr>
              <w:pStyle w:val="140"/>
              <w:ind w:firstLine="482"/>
              <w:rPr>
                <w:color w:val="000000"/>
                <w:kern w:val="28"/>
                <w:sz w:val="24"/>
                <w:szCs w:val="24"/>
              </w:rPr>
            </w:pPr>
            <w:r>
              <w:rPr>
                <w:rFonts w:hint="eastAsia"/>
                <w:b/>
                <w:bCs/>
                <w:color w:val="000000"/>
                <w:kern w:val="28"/>
                <w:sz w:val="24"/>
                <w:szCs w:val="24"/>
                <w:lang w:val="en-GB"/>
              </w:rPr>
              <w:t>符合性分析：</w:t>
            </w:r>
            <w:r>
              <w:rPr>
                <w:color w:val="000000"/>
                <w:kern w:val="28"/>
                <w:sz w:val="24"/>
                <w:szCs w:val="24"/>
                <w:lang w:val="en-GB"/>
              </w:rPr>
              <w:t>本项目</w:t>
            </w:r>
            <w:r>
              <w:rPr>
                <w:color w:val="000000"/>
                <w:kern w:val="28"/>
                <w:sz w:val="24"/>
                <w:szCs w:val="24"/>
              </w:rPr>
              <w:t>产品为</w:t>
            </w:r>
            <w:r>
              <w:rPr>
                <w:rFonts w:hint="eastAsia"/>
                <w:color w:val="000000"/>
                <w:kern w:val="28"/>
                <w:sz w:val="24"/>
                <w:szCs w:val="24"/>
              </w:rPr>
              <w:t>水泥制品（水泥顶管、水泥排水管、检查井），属于C3021水泥制品制造，主要为园区及园区周边企业做配套服务；项目不属于《产业结构调整指导目录（2024年本）》中的鼓励、限制和淘汰类项目，属于允许建设类项目；不属于《福建省人民政府关于加强重点流域水环境综和整治的意见》中禁止的产业；项目满足行业准入条件；根据《市场准入负面清单草案（试点版）》，本项目未列入该目录禁止准入类和限制准入类，属于允许建设类项目。本项目符合国家清洁生产标准要求，废气废水均可以做到达标排放，耗水也满足相关规范要求，项目的建设符合江阴港城产业引进环保准入条件中的相关要求。</w:t>
            </w:r>
          </w:p>
          <w:p w14:paraId="4CA5695C">
            <w:pPr>
              <w:wordWrap w:val="0"/>
              <w:spacing w:line="360" w:lineRule="auto"/>
              <w:ind w:firstLine="480" w:firstLineChars="200"/>
              <w:jc w:val="left"/>
              <w:rPr>
                <w:color w:val="000000"/>
                <w:kern w:val="28"/>
                <w:sz w:val="24"/>
              </w:rPr>
            </w:pPr>
            <w:r>
              <w:rPr>
                <w:rFonts w:hint="eastAsia"/>
                <w:color w:val="000000"/>
                <w:kern w:val="28"/>
                <w:sz w:val="24"/>
              </w:rPr>
              <w:t>由此可见，项目符合《江阴港城总体规划（2018～2035年）环境影响报告书（报批本）》及其审查小组意见中的相关要求。</w:t>
            </w:r>
          </w:p>
          <w:p w14:paraId="296D0270">
            <w:pPr>
              <w:pStyle w:val="139"/>
              <w:spacing w:beforeLines="0" w:afterLines="0"/>
              <w:ind w:firstLine="482"/>
              <w:rPr>
                <w:rFonts w:hAnsi="宋体"/>
                <w:b/>
                <w:bCs/>
                <w:color w:val="auto"/>
              </w:rPr>
            </w:pPr>
            <w:r>
              <w:rPr>
                <w:rFonts w:hint="eastAsia"/>
                <w:b/>
                <w:bCs/>
                <w:color w:val="auto"/>
                <w:kern w:val="0"/>
              </w:rPr>
              <w:t>(3)</w:t>
            </w:r>
            <w:r>
              <w:rPr>
                <w:b/>
                <w:bCs/>
                <w:color w:val="auto"/>
                <w:kern w:val="0"/>
              </w:rPr>
              <w:t>规划</w:t>
            </w:r>
            <w:r>
              <w:rPr>
                <w:rFonts w:hint="eastAsia"/>
                <w:b/>
                <w:bCs/>
                <w:color w:val="auto"/>
                <w:kern w:val="0"/>
              </w:rPr>
              <w:t>文件</w:t>
            </w:r>
            <w:r>
              <w:rPr>
                <w:b/>
                <w:bCs/>
                <w:color w:val="auto"/>
                <w:kern w:val="0"/>
              </w:rPr>
              <w:t>名称：</w:t>
            </w:r>
            <w:r>
              <w:rPr>
                <w:rFonts w:hint="eastAsia"/>
                <w:b/>
                <w:bCs/>
                <w:color w:val="auto"/>
                <w:kern w:val="0"/>
              </w:rPr>
              <w:t>与</w:t>
            </w:r>
            <w:r>
              <w:rPr>
                <w:rFonts w:hint="eastAsia" w:hAnsi="宋体"/>
                <w:b/>
                <w:bCs/>
                <w:color w:val="auto"/>
              </w:rPr>
              <w:t>《福州江阴港城经济区产业发展规划（2022-2035）》符合性分析</w:t>
            </w:r>
          </w:p>
          <w:p w14:paraId="6229CA92">
            <w:pPr>
              <w:pStyle w:val="139"/>
              <w:spacing w:beforeLines="0" w:afterLines="0"/>
              <w:ind w:firstLine="480"/>
              <w:rPr>
                <w:rFonts w:hAnsi="宋体"/>
                <w:color w:val="auto"/>
              </w:rPr>
            </w:pPr>
            <w:r>
              <w:rPr>
                <w:rFonts w:hint="eastAsia"/>
                <w:kern w:val="28"/>
              </w:rPr>
              <w:t>一、</w:t>
            </w:r>
            <w:r>
              <w:rPr>
                <w:kern w:val="28"/>
              </w:rPr>
              <w:t>规划的</w:t>
            </w:r>
            <w:r>
              <w:rPr>
                <w:rFonts w:hint="eastAsia" w:hAnsi="宋体"/>
                <w:color w:val="auto"/>
              </w:rPr>
              <w:t>产业方案</w:t>
            </w:r>
          </w:p>
          <w:p w14:paraId="4E888D3D">
            <w:pPr>
              <w:pStyle w:val="139"/>
              <w:spacing w:beforeLines="0" w:afterLines="0"/>
              <w:ind w:firstLine="480"/>
              <w:rPr>
                <w:rFonts w:hAnsi="宋体"/>
                <w:bCs/>
                <w:color w:val="auto"/>
              </w:rPr>
            </w:pPr>
            <w:r>
              <w:rPr>
                <w:rFonts w:hint="eastAsia" w:hAnsi="宋体"/>
                <w:bCs/>
                <w:color w:val="auto"/>
              </w:rPr>
              <w:t>1、主导产业</w:t>
            </w:r>
          </w:p>
          <w:p w14:paraId="67469A0D">
            <w:pPr>
              <w:pStyle w:val="139"/>
              <w:spacing w:beforeLines="0" w:afterLines="0"/>
              <w:ind w:firstLine="480"/>
              <w:rPr>
                <w:rFonts w:hAnsi="宋体"/>
                <w:bCs/>
                <w:color w:val="auto"/>
              </w:rPr>
            </w:pPr>
            <w:r>
              <w:rPr>
                <w:rFonts w:hint="eastAsia" w:hAnsi="宋体"/>
                <w:bCs/>
                <w:color w:val="auto"/>
              </w:rPr>
              <w:t>1)新材料</w:t>
            </w:r>
          </w:p>
          <w:p w14:paraId="515906F9">
            <w:pPr>
              <w:pStyle w:val="139"/>
              <w:spacing w:beforeLines="0" w:afterLines="0"/>
              <w:ind w:firstLine="480"/>
              <w:rPr>
                <w:rFonts w:hAnsi="宋体"/>
                <w:bCs/>
                <w:color w:val="auto"/>
              </w:rPr>
            </w:pPr>
            <w:r>
              <w:rPr>
                <w:rFonts w:hint="eastAsia" w:hAnsi="宋体"/>
                <w:bCs/>
                <w:color w:val="auto"/>
              </w:rPr>
              <w:t>福州江阴港城经济区化工产业发展规划将结合现有产业基础，充分依托现有主力生产企业，顺利推进在建、拟建项目，延伸发展产业链，拓展发展产业板块，同时完善基础原料供应体系的配套能力。结合园区现有产业基础、原料条件、市场环境等因素，重点发展五大产业板块。</w:t>
            </w:r>
          </w:p>
          <w:p w14:paraId="6F7F56C5">
            <w:pPr>
              <w:pStyle w:val="139"/>
              <w:spacing w:beforeLines="0" w:afterLines="0"/>
              <w:ind w:firstLine="480"/>
              <w:rPr>
                <w:rFonts w:hAnsi="宋体"/>
                <w:bCs/>
                <w:color w:val="auto"/>
              </w:rPr>
            </w:pPr>
            <w:r>
              <w:rPr>
                <w:rFonts w:hint="eastAsia" w:hAnsi="宋体"/>
                <w:bCs/>
                <w:color w:val="auto"/>
              </w:rPr>
              <w:t>通过发展五大产业板块，注重产业板块间的融合发展，同时结合发展与五大板块存在关联关系的高水平化工项目，使福州江阴港城经济区化工产业形成高端发展格局，最终，将福州江阴港城经济区建设成国内顶级、世界知名的化工生产基地，并有效支撑福州江阴港城经济区全产业发展。</w:t>
            </w:r>
          </w:p>
          <w:p w14:paraId="06223B09">
            <w:pPr>
              <w:pStyle w:val="139"/>
              <w:spacing w:beforeLines="0" w:afterLines="0"/>
              <w:ind w:firstLine="480"/>
              <w:rPr>
                <w:rFonts w:hAnsi="宋体"/>
                <w:bCs/>
                <w:color w:val="auto"/>
              </w:rPr>
            </w:pPr>
            <w:r>
              <w:rPr>
                <w:rFonts w:hint="eastAsia" w:hAnsi="宋体"/>
                <w:bCs/>
                <w:color w:val="auto"/>
              </w:rPr>
              <w:t>2)生物医药</w:t>
            </w:r>
          </w:p>
          <w:p w14:paraId="025F09DC">
            <w:pPr>
              <w:pStyle w:val="139"/>
              <w:spacing w:beforeLines="0" w:afterLines="0"/>
              <w:ind w:firstLine="480"/>
              <w:rPr>
                <w:rFonts w:hAnsi="宋体"/>
                <w:bCs/>
                <w:color w:val="auto"/>
              </w:rPr>
            </w:pPr>
            <w:r>
              <w:rPr>
                <w:rFonts w:hint="eastAsia" w:hAnsi="宋体"/>
                <w:bCs/>
                <w:color w:val="auto"/>
              </w:rPr>
              <w:t>结合园区现有生物医药产业发展情况及国内外生物医药发展现状和趋势，规划福州江阴港城经济区发展生物医药产业，构建生物医药生产体系，并配套生物医药包装材料产业，通过发展生物医药产业体系，完善高端新材料产业链。</w:t>
            </w:r>
          </w:p>
          <w:p w14:paraId="6D8C92D0">
            <w:pPr>
              <w:pStyle w:val="139"/>
              <w:spacing w:beforeLines="0" w:afterLines="0"/>
              <w:ind w:firstLine="480"/>
              <w:rPr>
                <w:rFonts w:hAnsi="宋体"/>
                <w:bCs/>
                <w:color w:val="auto"/>
              </w:rPr>
            </w:pPr>
            <w:r>
              <w:rPr>
                <w:rFonts w:hint="eastAsia" w:hAnsi="宋体"/>
                <w:bCs/>
                <w:color w:val="auto"/>
              </w:rPr>
              <w:t>3)装备制造</w:t>
            </w:r>
          </w:p>
          <w:p w14:paraId="04530EAA">
            <w:pPr>
              <w:pStyle w:val="139"/>
              <w:spacing w:beforeLines="0" w:afterLines="0"/>
              <w:ind w:firstLine="480"/>
              <w:rPr>
                <w:bCs/>
                <w:color w:val="auto"/>
              </w:rPr>
            </w:pPr>
            <w:r>
              <w:rPr>
                <w:bCs/>
                <w:color w:val="auto"/>
              </w:rPr>
              <w:t>①智能制造</w:t>
            </w:r>
          </w:p>
          <w:p w14:paraId="08A2890E">
            <w:pPr>
              <w:pStyle w:val="139"/>
              <w:spacing w:beforeLines="0" w:afterLines="0"/>
              <w:ind w:firstLine="480"/>
              <w:rPr>
                <w:rFonts w:hAnsi="宋体"/>
                <w:bCs/>
                <w:color w:val="auto"/>
              </w:rPr>
            </w:pPr>
            <w:r>
              <w:rPr>
                <w:rFonts w:hint="eastAsia" w:hAnsi="宋体"/>
                <w:bCs/>
                <w:color w:val="auto"/>
              </w:rPr>
              <w:t>提升产业智能化水平，增强产业核心竞争力，力争形成能成熟服务于主导产业的智能制造板块。该板块重点规划发展高端专用装备、智能成套系统、智能工业机器人三个发展方向。</w:t>
            </w:r>
          </w:p>
          <w:p w14:paraId="4CED15C0">
            <w:pPr>
              <w:pStyle w:val="139"/>
              <w:spacing w:beforeLines="0" w:afterLines="0"/>
              <w:ind w:firstLine="480"/>
              <w:rPr>
                <w:rFonts w:hAnsi="宋体"/>
                <w:bCs/>
                <w:color w:val="auto"/>
              </w:rPr>
            </w:pPr>
            <w:r>
              <w:rPr>
                <w:bCs/>
                <w:color w:val="auto"/>
              </w:rPr>
              <w:t>②</w:t>
            </w:r>
            <w:r>
              <w:rPr>
                <w:rFonts w:hint="eastAsia" w:hAnsi="宋体"/>
                <w:bCs/>
                <w:color w:val="auto"/>
              </w:rPr>
              <w:t>新能源及相关装备制造</w:t>
            </w:r>
          </w:p>
          <w:p w14:paraId="0C836C58">
            <w:pPr>
              <w:pStyle w:val="139"/>
              <w:spacing w:beforeLines="0" w:afterLines="0"/>
              <w:ind w:firstLine="480"/>
              <w:rPr>
                <w:rFonts w:hAnsi="宋体"/>
                <w:bCs/>
                <w:color w:val="auto"/>
              </w:rPr>
            </w:pPr>
            <w:r>
              <w:rPr>
                <w:rFonts w:hint="eastAsia" w:hAnsi="宋体"/>
                <w:bCs/>
                <w:color w:val="auto"/>
              </w:rPr>
              <w:t>福州江阴港城经济区发展新能源产业已经初见成效，三峡产业园的风电产业发展已经初具规模，此外新福兴玻璃具备发展光伏玻璃的产业基础，园区目前已经具备风电和光电的发展基础。未来在此基础上，进一步发展风电和光电产业，同时结合新规划发展的锂电新材料板块以及规划项目副产的氢资源，推进发展新能源电池产业和氢能产业。</w:t>
            </w:r>
          </w:p>
          <w:p w14:paraId="01260EFE">
            <w:pPr>
              <w:pStyle w:val="139"/>
              <w:spacing w:beforeLines="0" w:afterLines="0"/>
              <w:ind w:firstLine="480"/>
              <w:rPr>
                <w:rFonts w:hAnsi="宋体"/>
                <w:bCs/>
                <w:color w:val="auto"/>
              </w:rPr>
            </w:pPr>
            <w:r>
              <w:rPr>
                <w:rFonts w:hint="eastAsia" w:hAnsi="宋体"/>
                <w:bCs/>
                <w:color w:val="auto"/>
              </w:rPr>
              <w:t>2、配套产业及其他产业</w:t>
            </w:r>
          </w:p>
          <w:p w14:paraId="24F98E21">
            <w:pPr>
              <w:pStyle w:val="139"/>
              <w:spacing w:beforeLines="0" w:afterLines="0"/>
              <w:ind w:firstLine="480"/>
              <w:rPr>
                <w:rFonts w:hAnsi="宋体"/>
                <w:bCs/>
                <w:color w:val="auto"/>
              </w:rPr>
            </w:pPr>
            <w:r>
              <w:rPr>
                <w:rFonts w:hint="eastAsia" w:hAnsi="宋体"/>
                <w:bCs/>
                <w:color w:val="auto"/>
              </w:rPr>
              <w:t>福州江阴港城经济区的配套产业发展重点围绕主导产业展开，构建与主导产业协同发展的产业格局，同时在配套及其他产业成熟发展的基础上，主导产业才能具备高水平发展的条件。主要的产业发展方案如下所述。</w:t>
            </w:r>
          </w:p>
          <w:p w14:paraId="7C6FD460">
            <w:pPr>
              <w:pStyle w:val="139"/>
              <w:spacing w:beforeLines="0" w:afterLines="0"/>
              <w:ind w:firstLine="480"/>
              <w:rPr>
                <w:rFonts w:hAnsi="宋体"/>
                <w:bCs/>
                <w:color w:val="auto"/>
              </w:rPr>
            </w:pPr>
            <w:r>
              <w:rPr>
                <w:rFonts w:hint="eastAsia" w:hAnsi="宋体"/>
                <w:bCs/>
                <w:color w:val="auto"/>
              </w:rPr>
              <w:t>1)节能环保</w:t>
            </w:r>
          </w:p>
          <w:p w14:paraId="2068C060">
            <w:pPr>
              <w:pStyle w:val="139"/>
              <w:spacing w:beforeLines="0" w:afterLines="0"/>
              <w:ind w:firstLine="480"/>
              <w:rPr>
                <w:rFonts w:hAnsi="宋体"/>
                <w:bCs/>
                <w:color w:val="auto"/>
              </w:rPr>
            </w:pPr>
            <w:r>
              <w:rPr>
                <w:rFonts w:hint="eastAsia" w:hAnsi="宋体"/>
                <w:bCs/>
                <w:color w:val="auto"/>
              </w:rPr>
              <w:t>鼓励高效节能产业、资源循环利用产业等领域的发展，从而提高资源环境的利用效率，提升绿色发展和循环发展水平。</w:t>
            </w:r>
          </w:p>
          <w:p w14:paraId="233FE4BE">
            <w:pPr>
              <w:pStyle w:val="139"/>
              <w:spacing w:beforeLines="0" w:afterLines="0"/>
              <w:ind w:firstLine="480"/>
              <w:rPr>
                <w:rFonts w:hAnsi="宋体"/>
                <w:bCs/>
                <w:color w:val="auto"/>
              </w:rPr>
            </w:pPr>
            <w:r>
              <w:rPr>
                <w:rFonts w:hint="eastAsia" w:hAnsi="宋体"/>
                <w:bCs/>
                <w:color w:val="auto"/>
              </w:rPr>
              <w:t>2)生产性服务业</w:t>
            </w:r>
          </w:p>
          <w:p w14:paraId="688E3BE5">
            <w:pPr>
              <w:pStyle w:val="139"/>
              <w:spacing w:beforeLines="0" w:afterLines="0"/>
              <w:ind w:firstLine="480"/>
              <w:rPr>
                <w:rFonts w:hAnsi="宋体"/>
                <w:bCs/>
                <w:color w:val="auto"/>
              </w:rPr>
            </w:pPr>
            <w:r>
              <w:rPr>
                <w:rFonts w:hint="eastAsia" w:hAnsi="宋体"/>
                <w:bCs/>
                <w:color w:val="auto"/>
              </w:rPr>
              <w:t>重点规划发展研发服务、知识产权服务、检验检测服务、标准化服务四大领域，构建具有专业性、全面性、多元化的生产性服务板块。</w:t>
            </w:r>
          </w:p>
          <w:p w14:paraId="65B9EEED">
            <w:pPr>
              <w:pStyle w:val="139"/>
              <w:spacing w:beforeLines="0" w:afterLines="0"/>
              <w:ind w:firstLine="480"/>
              <w:rPr>
                <w:rFonts w:hAnsi="宋体"/>
                <w:bCs/>
                <w:color w:val="auto"/>
              </w:rPr>
            </w:pPr>
            <w:r>
              <w:rPr>
                <w:rFonts w:hint="eastAsia" w:hAnsi="宋体"/>
                <w:bCs/>
                <w:color w:val="auto"/>
              </w:rPr>
              <w:t>3)港口物流</w:t>
            </w:r>
          </w:p>
          <w:p w14:paraId="2C7C6524">
            <w:pPr>
              <w:pStyle w:val="139"/>
              <w:spacing w:beforeLines="0" w:afterLines="0"/>
              <w:ind w:firstLine="480"/>
              <w:rPr>
                <w:rFonts w:hAnsi="宋体"/>
                <w:bCs/>
                <w:color w:val="auto"/>
              </w:rPr>
            </w:pPr>
            <w:r>
              <w:rPr>
                <w:rFonts w:hint="eastAsia" w:hAnsi="宋体"/>
                <w:bCs/>
                <w:color w:val="auto"/>
              </w:rPr>
              <w:t>福州江阴港综合保税区2020年经国务院批复由福州保税港区升级而成，是目前全国唯一一个先行开展内外贸智能监管试点的综合保税区。在进一步发挥现有发展优势的同时，福州江阴港将打造标准化、高端化、专业化、多元化的港口物流产业发展体系。</w:t>
            </w:r>
          </w:p>
          <w:p w14:paraId="6E017619">
            <w:pPr>
              <w:pStyle w:val="139"/>
              <w:numPr>
                <w:ilvl w:val="0"/>
                <w:numId w:val="2"/>
              </w:numPr>
              <w:spacing w:beforeLines="0" w:afterLines="0"/>
              <w:ind w:firstLine="480"/>
              <w:rPr>
                <w:kern w:val="28"/>
              </w:rPr>
            </w:pPr>
            <w:r>
              <w:rPr>
                <w:rFonts w:hint="eastAsia"/>
                <w:kern w:val="28"/>
              </w:rPr>
              <w:t>入园准入条件</w:t>
            </w:r>
          </w:p>
          <w:p w14:paraId="41CFA385">
            <w:pPr>
              <w:pStyle w:val="139"/>
              <w:numPr>
                <w:ilvl w:val="0"/>
                <w:numId w:val="3"/>
              </w:numPr>
              <w:spacing w:beforeLines="0" w:afterLines="0"/>
              <w:ind w:firstLine="480"/>
              <w:rPr>
                <w:kern w:val="28"/>
              </w:rPr>
            </w:pPr>
            <w:r>
              <w:rPr>
                <w:kern w:val="28"/>
              </w:rPr>
              <w:t>入区项目必须与国家产业政策相符，优先引进《产业结构调整指导目录》鼓励类项目，禁止引进限制类、淘汰类项目。禁止引进属于国家发改委、商务部联合发布的《外商投资产业指导目录》所列的禁止外商投资产业目录中的产业；禁止引进属于国土资源部、国家发改委联合发布的《禁止用地项目目录》中的产业；禁止引进属于国家及福建省已发布的各行业“行业准入条件”、“淘汰落后生产能力”、“产业发展政策”、“结构调整指导意见”、“‘十四五’规划”、“中长期规划”、“专项规划”、“调整振兴规划”等明文淘汰类的产业。</w:t>
            </w:r>
          </w:p>
          <w:p w14:paraId="1BE592C1">
            <w:pPr>
              <w:pStyle w:val="139"/>
              <w:spacing w:beforeLines="0" w:afterLines="0"/>
              <w:ind w:firstLine="480"/>
              <w:rPr>
                <w:kern w:val="28"/>
              </w:rPr>
            </w:pPr>
            <w:r>
              <w:rPr>
                <w:rFonts w:hint="eastAsia"/>
                <w:kern w:val="28"/>
              </w:rPr>
              <w:t>2、优先引进土地资源集约利用、资源能源消耗小、污染物排放少、产品附加值高的工艺技术、产品或项目；引进的项目必须具备完善、有效的“三废”治理措施，能够实现废水、废气等污染物的稳定达标排放，保障区域环境功能区达标；强化污染物排放强度指标约束，引进项目污染物排放总量必须在园区允许排放总量范围内；引进的项目环境风险必须可控，优先引进环境风险小的项目。</w:t>
            </w:r>
          </w:p>
          <w:p w14:paraId="7366E99A">
            <w:pPr>
              <w:pStyle w:val="139"/>
              <w:spacing w:beforeLines="0" w:afterLines="0"/>
              <w:ind w:firstLine="482"/>
              <w:rPr>
                <w:rFonts w:hAnsi="宋体"/>
                <w:b/>
                <w:color w:val="auto"/>
              </w:rPr>
            </w:pPr>
            <w:r>
              <w:rPr>
                <w:rFonts w:hint="eastAsia" w:hAnsi="宋体"/>
                <w:b/>
                <w:color w:val="auto"/>
              </w:rPr>
              <w:t>符合性分析：</w:t>
            </w:r>
          </w:p>
          <w:p w14:paraId="3CB2588B">
            <w:pPr>
              <w:pStyle w:val="139"/>
              <w:spacing w:beforeLines="0" w:afterLines="0"/>
              <w:ind w:firstLine="480"/>
              <w:rPr>
                <w:kern w:val="28"/>
              </w:rPr>
            </w:pPr>
            <w:r>
              <w:rPr>
                <w:kern w:val="28"/>
                <w:lang w:val="en-GB"/>
              </w:rPr>
              <w:t>本项目</w:t>
            </w:r>
            <w:r>
              <w:rPr>
                <w:kern w:val="28"/>
              </w:rPr>
              <w:t>产品为</w:t>
            </w:r>
            <w:r>
              <w:rPr>
                <w:rFonts w:hint="eastAsia"/>
                <w:kern w:val="28"/>
              </w:rPr>
              <w:t>水泥制品（水泥顶管、水泥排水管、检查井），属于C3021水泥制品制造，主要为园区及园区周边企业做配套服务，</w:t>
            </w:r>
            <w:r>
              <w:rPr>
                <w:rFonts w:hint="eastAsia"/>
                <w:color w:val="auto"/>
                <w:kern w:val="28"/>
              </w:rPr>
              <w:t>不属于《产业结构调整指导目录（2024年本）》中的鼓励、限制和淘汰类项目，属于允许建设类项目，且项目已于2024年11月06日通过福清市发展和改革局备案，备案编号：</w:t>
            </w:r>
            <w:r>
              <w:rPr>
                <w:color w:val="auto"/>
              </w:rPr>
              <w:t>闽发改备[202</w:t>
            </w:r>
            <w:r>
              <w:rPr>
                <w:rFonts w:hint="eastAsia"/>
                <w:color w:val="auto"/>
              </w:rPr>
              <w:t>2</w:t>
            </w:r>
            <w:r>
              <w:rPr>
                <w:color w:val="auto"/>
              </w:rPr>
              <w:t>]</w:t>
            </w:r>
            <w:r>
              <w:rPr>
                <w:rFonts w:hint="eastAsia"/>
                <w:color w:val="auto"/>
              </w:rPr>
              <w:t>A</w:t>
            </w:r>
            <w:r>
              <w:rPr>
                <w:color w:val="auto"/>
              </w:rPr>
              <w:t>0</w:t>
            </w:r>
            <w:r>
              <w:rPr>
                <w:rFonts w:hint="eastAsia"/>
                <w:color w:val="auto"/>
              </w:rPr>
              <w:t>6</w:t>
            </w:r>
            <w:r>
              <w:rPr>
                <w:color w:val="auto"/>
              </w:rPr>
              <w:t>0</w:t>
            </w:r>
            <w:r>
              <w:rPr>
                <w:rFonts w:hint="eastAsia"/>
                <w:color w:val="auto"/>
              </w:rPr>
              <w:t>248</w:t>
            </w:r>
            <w:r>
              <w:rPr>
                <w:color w:val="auto"/>
              </w:rPr>
              <w:t>号</w:t>
            </w:r>
            <w:r>
              <w:rPr>
                <w:rFonts w:hint="eastAsia"/>
                <w:bCs/>
                <w:color w:val="auto"/>
              </w:rPr>
              <w:t>；</w:t>
            </w:r>
            <w:r>
              <w:rPr>
                <w:rFonts w:hint="eastAsia"/>
                <w:kern w:val="28"/>
              </w:rPr>
              <w:t>不</w:t>
            </w:r>
            <w:r>
              <w:rPr>
                <w:kern w:val="28"/>
              </w:rPr>
              <w:t>属于国家发改委、商务部联合发布的《外商投资产业指导目录》所列的禁止外商投资产业目录中的产业</w:t>
            </w:r>
            <w:r>
              <w:rPr>
                <w:rFonts w:hint="eastAsia"/>
                <w:kern w:val="28"/>
              </w:rPr>
              <w:t>；不</w:t>
            </w:r>
            <w:r>
              <w:rPr>
                <w:kern w:val="28"/>
              </w:rPr>
              <w:t>属于国土资源部、国家发改委联合发布的《禁止用地项目目录》中的产业；</w:t>
            </w:r>
            <w:r>
              <w:rPr>
                <w:rFonts w:hint="eastAsia"/>
                <w:kern w:val="28"/>
              </w:rPr>
              <w:t>不</w:t>
            </w:r>
            <w:r>
              <w:rPr>
                <w:kern w:val="28"/>
              </w:rPr>
              <w:t>属于国家及福建省已发布的各行业“行业准入条件”、“淘汰落后生产能力”、“产业发展政策”、“结构调整指导意见”、“‘十四五’规划”、“中长期规划”、“专项规划”、“调整振兴规划”等明文淘汰类的产业</w:t>
            </w:r>
            <w:r>
              <w:rPr>
                <w:rFonts w:hint="eastAsia"/>
                <w:kern w:val="28"/>
              </w:rPr>
              <w:t>。</w:t>
            </w:r>
            <w:r>
              <w:rPr>
                <w:rFonts w:hint="eastAsia"/>
                <w:bCs/>
                <w:color w:val="auto"/>
              </w:rPr>
              <w:t>因此，本</w:t>
            </w:r>
            <w:r>
              <w:rPr>
                <w:bCs/>
                <w:color w:val="auto"/>
              </w:rPr>
              <w:t>项目符合当前国家产业政策</w:t>
            </w:r>
            <w:r>
              <w:rPr>
                <w:rFonts w:hint="eastAsia"/>
                <w:bCs/>
                <w:color w:val="auto"/>
              </w:rPr>
              <w:t>要求。</w:t>
            </w:r>
          </w:p>
          <w:p w14:paraId="77720497">
            <w:pPr>
              <w:pStyle w:val="139"/>
              <w:spacing w:beforeLines="0" w:afterLines="0"/>
              <w:ind w:firstLine="480"/>
              <w:rPr>
                <w:kern w:val="28"/>
              </w:rPr>
            </w:pPr>
            <w:r>
              <w:rPr>
                <w:rFonts w:hint="eastAsia"/>
                <w:kern w:val="28"/>
              </w:rPr>
              <w:t>根据表1.1-2可知，本项目属于土地资源集约利用、资源能源消耗小、污染物排放少、产品附加值高的工艺技术及产品；有有效的“三废”治理措施，能够实现废水、废气等污染物的稳定达标排放，保障区域环境功能区达标；污染物排放总量符合园区允许排放总量范围内；不涉及有毒有害、危化品的使用，属于环境风险小的项目。</w:t>
            </w:r>
          </w:p>
          <w:p w14:paraId="764F3F21">
            <w:pPr>
              <w:pStyle w:val="138"/>
              <w:ind w:firstLine="480"/>
              <w:rPr>
                <w:color w:val="000000"/>
                <w:kern w:val="28"/>
              </w:rPr>
            </w:pPr>
            <w:r>
              <w:rPr>
                <w:rFonts w:hint="eastAsia"/>
              </w:rPr>
              <w:t>因此</w:t>
            </w:r>
            <w:r>
              <w:t>，本项目建设符合</w:t>
            </w:r>
            <w:r>
              <w:rPr>
                <w:rFonts w:hint="eastAsia"/>
              </w:rPr>
              <w:t>江阴港城经济区园区入驻条件。</w:t>
            </w:r>
          </w:p>
          <w:p w14:paraId="64C898C3">
            <w:pPr>
              <w:pStyle w:val="139"/>
              <w:spacing w:beforeLines="0" w:afterLines="0"/>
              <w:ind w:firstLine="482"/>
              <w:rPr>
                <w:b/>
                <w:bCs/>
              </w:rPr>
            </w:pPr>
            <w:r>
              <w:rPr>
                <w:rFonts w:hint="eastAsia"/>
                <w:b/>
                <w:bCs/>
                <w:color w:val="auto"/>
                <w:kern w:val="0"/>
              </w:rPr>
              <w:t>(4)与《福州江阴港城经济区产业发展规划环境影响评价报告书》及其审查意见</w:t>
            </w:r>
            <w:r>
              <w:rPr>
                <w:b/>
                <w:bCs/>
              </w:rPr>
              <w:t>符合性分析</w:t>
            </w:r>
          </w:p>
          <w:p w14:paraId="5A38DDE0">
            <w:pPr>
              <w:pStyle w:val="138"/>
              <w:ind w:firstLine="480"/>
              <w:rPr>
                <w:color w:val="000000"/>
                <w:kern w:val="28"/>
              </w:rPr>
            </w:pPr>
            <w:r>
              <w:rPr>
                <w:kern w:val="28"/>
              </w:rPr>
              <w:t>《福州江阴港城经济区产业发展规划环境影响评价报告书</w:t>
            </w:r>
            <w:r>
              <w:rPr>
                <w:color w:val="000000"/>
                <w:kern w:val="28"/>
              </w:rPr>
              <w:t>》（以下简“规划环评”）于20</w:t>
            </w:r>
            <w:r>
              <w:rPr>
                <w:rFonts w:hint="eastAsia"/>
                <w:color w:val="000000"/>
                <w:kern w:val="28"/>
              </w:rPr>
              <w:t>24</w:t>
            </w:r>
            <w:r>
              <w:rPr>
                <w:color w:val="000000"/>
                <w:kern w:val="28"/>
              </w:rPr>
              <w:t>年</w:t>
            </w:r>
            <w:r>
              <w:rPr>
                <w:rFonts w:hint="eastAsia"/>
                <w:color w:val="000000"/>
                <w:kern w:val="28"/>
              </w:rPr>
              <w:t>12</w:t>
            </w:r>
            <w:r>
              <w:rPr>
                <w:color w:val="000000"/>
                <w:kern w:val="28"/>
              </w:rPr>
              <w:t>月</w:t>
            </w:r>
            <w:r>
              <w:rPr>
                <w:rFonts w:hint="eastAsia"/>
                <w:color w:val="000000"/>
                <w:kern w:val="28"/>
              </w:rPr>
              <w:t>16</w:t>
            </w:r>
            <w:r>
              <w:rPr>
                <w:color w:val="000000"/>
                <w:kern w:val="28"/>
              </w:rPr>
              <w:t>日取得福州市</w:t>
            </w:r>
            <w:r>
              <w:rPr>
                <w:rFonts w:hint="eastAsia"/>
                <w:color w:val="000000"/>
                <w:kern w:val="28"/>
              </w:rPr>
              <w:t>生态环境局</w:t>
            </w:r>
            <w:r>
              <w:rPr>
                <w:color w:val="000000"/>
                <w:kern w:val="28"/>
              </w:rPr>
              <w:t>的审查意见（榕环保评[20</w:t>
            </w:r>
            <w:r>
              <w:rPr>
                <w:rFonts w:hint="eastAsia"/>
                <w:color w:val="000000"/>
                <w:kern w:val="28"/>
              </w:rPr>
              <w:t>24</w:t>
            </w:r>
            <w:r>
              <w:rPr>
                <w:color w:val="000000"/>
                <w:kern w:val="28"/>
              </w:rPr>
              <w:t>]</w:t>
            </w:r>
            <w:r>
              <w:rPr>
                <w:rFonts w:hint="eastAsia"/>
                <w:color w:val="000000"/>
                <w:kern w:val="28"/>
              </w:rPr>
              <w:t>33</w:t>
            </w:r>
            <w:r>
              <w:rPr>
                <w:color w:val="000000"/>
                <w:kern w:val="28"/>
              </w:rPr>
              <w:t>号）。</w:t>
            </w:r>
          </w:p>
          <w:p w14:paraId="26E1F380">
            <w:pPr>
              <w:pStyle w:val="138"/>
              <w:ind w:firstLine="480"/>
              <w:rPr>
                <w:color w:val="000000"/>
                <w:kern w:val="28"/>
              </w:rPr>
            </w:pPr>
            <w:r>
              <w:rPr>
                <w:rFonts w:hint="eastAsia"/>
                <w:color w:val="000000"/>
                <w:kern w:val="28"/>
                <w:lang w:val="en-GB"/>
              </w:rPr>
              <w:t>对照《福州江阴港城经济区产业发展规划环境影响评价报告书（报批本）》中规划范围内的生态环境准入清单，本项目符合其生态环境准入清单要求。具体详见表</w:t>
            </w:r>
            <w:r>
              <w:rPr>
                <w:rFonts w:hint="eastAsia"/>
                <w:color w:val="000000"/>
                <w:kern w:val="28"/>
              </w:rPr>
              <w:t>1.1-2。</w:t>
            </w:r>
          </w:p>
        </w:tc>
      </w:tr>
      <w:tr w14:paraId="145CC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7" w:type="dxa"/>
            <w:vAlign w:val="center"/>
          </w:tcPr>
          <w:p w14:paraId="3D543F41">
            <w:pPr>
              <w:autoSpaceDE w:val="0"/>
              <w:autoSpaceDN w:val="0"/>
              <w:jc w:val="center"/>
              <w:rPr>
                <w:kern w:val="21"/>
                <w:sz w:val="24"/>
              </w:rPr>
            </w:pPr>
            <w:r>
              <w:rPr>
                <w:kern w:val="21"/>
                <w:sz w:val="24"/>
              </w:rPr>
              <w:t>其他符合性</w:t>
            </w:r>
          </w:p>
          <w:p w14:paraId="38D4A6B0">
            <w:pPr>
              <w:autoSpaceDE w:val="0"/>
              <w:autoSpaceDN w:val="0"/>
              <w:jc w:val="center"/>
              <w:rPr>
                <w:color w:val="FF0000"/>
                <w:kern w:val="21"/>
                <w:szCs w:val="21"/>
              </w:rPr>
            </w:pPr>
            <w:r>
              <w:rPr>
                <w:kern w:val="21"/>
                <w:sz w:val="24"/>
              </w:rPr>
              <w:t>分析</w:t>
            </w:r>
          </w:p>
        </w:tc>
        <w:tc>
          <w:tcPr>
            <w:tcW w:w="6867" w:type="dxa"/>
            <w:gridSpan w:val="3"/>
            <w:vAlign w:val="center"/>
          </w:tcPr>
          <w:p w14:paraId="256C86AD">
            <w:pPr>
              <w:pStyle w:val="139"/>
              <w:spacing w:beforeLines="0" w:afterLines="0"/>
              <w:ind w:firstLine="0" w:firstLineChars="0"/>
              <w:rPr>
                <w:b/>
                <w:bCs/>
              </w:rPr>
            </w:pPr>
            <w:r>
              <w:rPr>
                <w:rFonts w:hint="eastAsia"/>
                <w:b/>
                <w:bCs/>
              </w:rPr>
              <w:t>（一）与《江阴港城经济区（暨江阴镇、新厝镇）国土空间总体规划（2021-2035年）》符合性分析</w:t>
            </w:r>
          </w:p>
          <w:p w14:paraId="2B7848E2">
            <w:pPr>
              <w:pStyle w:val="139"/>
              <w:spacing w:beforeLines="0" w:afterLines="0"/>
              <w:ind w:firstLine="480"/>
              <w:rPr>
                <w:color w:val="auto"/>
                <w:kern w:val="28"/>
              </w:rPr>
            </w:pPr>
            <w:r>
              <w:rPr>
                <w:kern w:val="28"/>
              </w:rPr>
              <w:t>本项目</w:t>
            </w:r>
            <w:r>
              <w:rPr>
                <w:rFonts w:hint="eastAsia"/>
                <w:kern w:val="28"/>
              </w:rPr>
              <w:t>位于</w:t>
            </w:r>
            <w:r>
              <w:rPr>
                <w:rFonts w:hint="eastAsia"/>
                <w:color w:val="auto"/>
              </w:rPr>
              <w:t>江阴港城经济区</w:t>
            </w:r>
            <w:r>
              <w:rPr>
                <w:rFonts w:hint="eastAsia"/>
                <w:szCs w:val="20"/>
              </w:rPr>
              <w:t>东部临港产业区</w:t>
            </w:r>
            <w:r>
              <w:rPr>
                <w:rFonts w:hint="eastAsia"/>
                <w:kern w:val="28"/>
              </w:rPr>
              <w:t>，根据《江阴港城经济区（暨江阴镇、新厝镇）国土空间总体规划（2021-2035年）》，本项目所在地用地布局为工业用地，且已取得建设项目规划条件函（见附件7），因此项目建设符合江阴港城经济区（暨江阴镇、新厝镇）国土空间总体规划，</w:t>
            </w:r>
            <w:r>
              <w:t>用地布局</w:t>
            </w:r>
            <w:r>
              <w:rPr>
                <w:rFonts w:hint="eastAsia"/>
                <w:color w:val="auto"/>
              </w:rPr>
              <w:t>规划</w:t>
            </w:r>
            <w:r>
              <w:rPr>
                <w:color w:val="auto"/>
              </w:rPr>
              <w:t>见附图</w:t>
            </w:r>
            <w:r>
              <w:rPr>
                <w:rFonts w:hint="eastAsia"/>
                <w:color w:val="auto"/>
              </w:rPr>
              <w:t>5</w:t>
            </w:r>
            <w:r>
              <w:rPr>
                <w:color w:val="auto"/>
              </w:rPr>
              <w:t>。</w:t>
            </w:r>
          </w:p>
          <w:p w14:paraId="4F5144E0">
            <w:pPr>
              <w:pStyle w:val="139"/>
              <w:spacing w:beforeLines="0" w:afterLines="0"/>
              <w:ind w:firstLine="0" w:firstLineChars="0"/>
              <w:rPr>
                <w:b/>
                <w:bCs/>
                <w:color w:val="auto"/>
              </w:rPr>
            </w:pPr>
            <w:r>
              <w:rPr>
                <w:b/>
                <w:bCs/>
                <w:color w:val="auto"/>
              </w:rPr>
              <w:t>（</w:t>
            </w:r>
            <w:r>
              <w:rPr>
                <w:rFonts w:hint="eastAsia"/>
                <w:b/>
                <w:bCs/>
                <w:color w:val="auto"/>
              </w:rPr>
              <w:t>二</w:t>
            </w:r>
            <w:r>
              <w:rPr>
                <w:b/>
                <w:bCs/>
                <w:color w:val="auto"/>
              </w:rPr>
              <w:t>）与福州市“三线一单”相关管控要求协调性分析</w:t>
            </w:r>
          </w:p>
          <w:p w14:paraId="1B21C0CA">
            <w:pPr>
              <w:spacing w:line="360" w:lineRule="auto"/>
              <w:ind w:firstLine="482" w:firstLineChars="200"/>
              <w:rPr>
                <w:b/>
                <w:bCs/>
                <w:sz w:val="24"/>
              </w:rPr>
            </w:pPr>
            <w:r>
              <w:rPr>
                <w:rFonts w:hint="eastAsia"/>
                <w:b/>
                <w:bCs/>
                <w:sz w:val="24"/>
              </w:rPr>
              <w:t>1.</w:t>
            </w:r>
            <w:r>
              <w:rPr>
                <w:b/>
                <w:bCs/>
                <w:sz w:val="24"/>
              </w:rPr>
              <w:t>生态保护红线符合性分析</w:t>
            </w:r>
          </w:p>
          <w:p w14:paraId="52F24C53">
            <w:pPr>
              <w:pStyle w:val="15"/>
              <w:topLinePunct/>
              <w:spacing w:beforeLines="0" w:line="360" w:lineRule="auto"/>
              <w:ind w:firstLine="480"/>
              <w:jc w:val="both"/>
              <w:rPr>
                <w:rFonts w:ascii="Times New Roman" w:eastAsia="宋体"/>
                <w:color w:val="000000"/>
                <w:kern w:val="28"/>
                <w:szCs w:val="24"/>
              </w:rPr>
            </w:pPr>
            <w:r>
              <w:rPr>
                <w:rFonts w:ascii="Times New Roman" w:eastAsia="宋体"/>
                <w:color w:val="000000"/>
                <w:kern w:val="28"/>
                <w:szCs w:val="24"/>
              </w:rPr>
              <w:t>对照福州市人民政府办公厅关于印发《福州市生态环境分区管控方案（2023年更新）》的通知</w:t>
            </w:r>
            <w:r>
              <w:rPr>
                <w:rFonts w:hint="eastAsia" w:ascii="Times New Roman" w:eastAsia="宋体"/>
                <w:color w:val="000000"/>
                <w:kern w:val="28"/>
                <w:szCs w:val="24"/>
              </w:rPr>
              <w:t>（榕政办规〔2024〕20号）</w:t>
            </w:r>
            <w:r>
              <w:rPr>
                <w:rFonts w:ascii="Times New Roman" w:eastAsia="宋体"/>
                <w:color w:val="000000"/>
                <w:kern w:val="28"/>
                <w:szCs w:val="24"/>
              </w:rPr>
              <w:t>，本项目位于</w:t>
            </w:r>
            <w:r>
              <w:rPr>
                <w:rFonts w:hint="eastAsia" w:ascii="Times New Roman" w:eastAsia="宋体"/>
                <w:color w:val="000000"/>
                <w:kern w:val="28"/>
                <w:szCs w:val="24"/>
              </w:rPr>
              <w:t>福州江阴港城经济区，根据本项目占地范围与“三线一单”分区管控单元叠图情况，本项目占地范围不涉及生态保护红线，</w:t>
            </w:r>
            <w:r>
              <w:rPr>
                <w:rFonts w:ascii="Times New Roman" w:eastAsia="宋体"/>
                <w:color w:val="000000"/>
                <w:kern w:val="28"/>
                <w:szCs w:val="24"/>
              </w:rPr>
              <w:t>项目建设符合生态红线控制的要求</w:t>
            </w:r>
            <w:r>
              <w:rPr>
                <w:rFonts w:hint="eastAsia" w:ascii="Times New Roman" w:eastAsia="宋体"/>
                <w:color w:val="000000"/>
                <w:kern w:val="28"/>
                <w:szCs w:val="24"/>
              </w:rPr>
              <w:t>。</w:t>
            </w:r>
          </w:p>
          <w:p w14:paraId="39888795">
            <w:pPr>
              <w:pStyle w:val="15"/>
              <w:topLinePunct/>
              <w:spacing w:beforeLines="0" w:line="360" w:lineRule="auto"/>
              <w:ind w:firstLine="482"/>
              <w:jc w:val="both"/>
              <w:rPr>
                <w:rFonts w:ascii="Times New Roman" w:eastAsia="宋体"/>
                <w:b/>
                <w:bCs/>
                <w:szCs w:val="24"/>
              </w:rPr>
            </w:pPr>
            <w:r>
              <w:rPr>
                <w:rFonts w:hint="eastAsia" w:ascii="Times New Roman" w:eastAsia="宋体"/>
                <w:b/>
                <w:bCs/>
                <w:szCs w:val="24"/>
              </w:rPr>
              <w:t>2.</w:t>
            </w:r>
            <w:r>
              <w:rPr>
                <w:rFonts w:ascii="Times New Roman" w:eastAsia="宋体"/>
                <w:b/>
                <w:bCs/>
                <w:szCs w:val="24"/>
              </w:rPr>
              <w:t>环境质量底线符合性分析</w:t>
            </w:r>
          </w:p>
          <w:p w14:paraId="7C9C8722">
            <w:pPr>
              <w:topLinePunct/>
              <w:spacing w:line="360" w:lineRule="auto"/>
              <w:ind w:firstLine="480"/>
              <w:rPr>
                <w:sz w:val="24"/>
              </w:rPr>
            </w:pPr>
            <w:r>
              <w:rPr>
                <w:sz w:val="24"/>
              </w:rPr>
              <w:t>本项目位于福州江阴港城经济区，根据《福州江阴港城经济区管委会关于2023年环境状况公报的公示》，2023年，福州江阴港城经济区环境质量总体稳定，全年空气优良率达99.4%</w:t>
            </w:r>
            <w:r>
              <w:rPr>
                <w:rFonts w:hint="eastAsia"/>
                <w:sz w:val="24"/>
              </w:rPr>
              <w:t>，</w:t>
            </w:r>
            <w:r>
              <w:rPr>
                <w:sz w:val="24"/>
              </w:rPr>
              <w:t>2023年附近海域水质处于《海水水质标准》（GB3097-1997）中第二类和第四类之间，近岸海域海水水质情况较好。</w:t>
            </w:r>
          </w:p>
          <w:p w14:paraId="6E0018C3">
            <w:pPr>
              <w:topLinePunct/>
              <w:spacing w:line="360" w:lineRule="auto"/>
              <w:ind w:firstLine="480"/>
              <w:rPr>
                <w:sz w:val="24"/>
              </w:rPr>
            </w:pPr>
            <w:r>
              <w:rPr>
                <w:sz w:val="24"/>
              </w:rPr>
              <w:t>本项目</w:t>
            </w:r>
            <w:r>
              <w:rPr>
                <w:rFonts w:hint="eastAsia"/>
                <w:sz w:val="24"/>
              </w:rPr>
              <w:t>无生产废水排放，生活污水</w:t>
            </w:r>
            <w:r>
              <w:rPr>
                <w:sz w:val="24"/>
              </w:rPr>
              <w:t>经厂区</w:t>
            </w:r>
            <w:r>
              <w:rPr>
                <w:rFonts w:hint="eastAsia"/>
                <w:sz w:val="24"/>
              </w:rPr>
              <w:t>化粪池预处理</w:t>
            </w:r>
            <w:r>
              <w:rPr>
                <w:sz w:val="24"/>
              </w:rPr>
              <w:t>达标后排入江阴</w:t>
            </w:r>
            <w:r>
              <w:rPr>
                <w:rFonts w:hint="eastAsia"/>
                <w:sz w:val="24"/>
              </w:rPr>
              <w:t>集中区</w:t>
            </w:r>
            <w:r>
              <w:rPr>
                <w:sz w:val="24"/>
              </w:rPr>
              <w:t>污水处理厂进一步处理后排放，对地表水环境影响很小；项目废气经处理达标后对周围大气环境影响较小；</w:t>
            </w:r>
            <w:r>
              <w:rPr>
                <w:rFonts w:hint="eastAsia"/>
                <w:sz w:val="24"/>
              </w:rPr>
              <w:t>高噪声</w:t>
            </w:r>
            <w:r>
              <w:rPr>
                <w:sz w:val="24"/>
              </w:rPr>
              <w:t>设备产生的噪声经隔声、减震等降噪措施处理后也不会对周边声环境造成重大影响。综上分析，项目在采取本环评提出的防治措施后，运营期排放的污染物不会对区域环境质量底线造成冲击。</w:t>
            </w:r>
          </w:p>
          <w:p w14:paraId="3C66ADEF">
            <w:pPr>
              <w:pStyle w:val="15"/>
              <w:topLinePunct/>
              <w:spacing w:beforeLines="0" w:line="360" w:lineRule="auto"/>
              <w:ind w:firstLine="480"/>
              <w:jc w:val="both"/>
              <w:rPr>
                <w:rFonts w:ascii="Times New Roman" w:eastAsia="宋体"/>
                <w:b/>
                <w:bCs/>
                <w:szCs w:val="24"/>
              </w:rPr>
            </w:pPr>
            <w:r>
              <w:rPr>
                <w:rFonts w:ascii="Times New Roman" w:eastAsia="宋体"/>
                <w:b/>
                <w:bCs/>
                <w:szCs w:val="24"/>
              </w:rPr>
              <w:t>3.资源利用上线符合性分析</w:t>
            </w:r>
          </w:p>
          <w:p w14:paraId="53D9DE6D">
            <w:pPr>
              <w:pStyle w:val="15"/>
              <w:topLinePunct/>
              <w:spacing w:beforeLines="0" w:line="360" w:lineRule="auto"/>
              <w:ind w:left="480"/>
              <w:jc w:val="both"/>
              <w:rPr>
                <w:rFonts w:ascii="Times New Roman" w:eastAsia="宋体"/>
                <w:kern w:val="0"/>
              </w:rPr>
            </w:pPr>
            <w:r>
              <w:rPr>
                <w:rFonts w:hint="eastAsia" w:ascii="Times New Roman" w:eastAsia="宋体"/>
                <w:kern w:val="0"/>
              </w:rPr>
              <w:t>(1)</w:t>
            </w:r>
            <w:r>
              <w:rPr>
                <w:rFonts w:ascii="Times New Roman" w:eastAsia="宋体"/>
                <w:kern w:val="0"/>
              </w:rPr>
              <w:t>水资源利用上线</w:t>
            </w:r>
          </w:p>
          <w:p w14:paraId="0A15256E">
            <w:pPr>
              <w:pStyle w:val="15"/>
              <w:topLinePunct/>
              <w:spacing w:beforeLines="0" w:line="360" w:lineRule="auto"/>
              <w:ind w:firstLine="480"/>
              <w:jc w:val="both"/>
              <w:rPr>
                <w:rFonts w:ascii="Times New Roman" w:eastAsia="宋体"/>
                <w:kern w:val="0"/>
                <w:szCs w:val="24"/>
              </w:rPr>
            </w:pPr>
            <w:r>
              <w:rPr>
                <w:rFonts w:ascii="Times New Roman" w:eastAsia="宋体"/>
                <w:kern w:val="0"/>
              </w:rPr>
              <w:t>项目用水包括生产用水和生活污水，由市政管网供给，用水量较</w:t>
            </w:r>
            <w:r>
              <w:rPr>
                <w:rFonts w:ascii="Times New Roman" w:eastAsia="宋体"/>
                <w:kern w:val="0"/>
                <w:szCs w:val="24"/>
              </w:rPr>
              <w:t>小，不会突破当地资源利用上</w:t>
            </w:r>
            <w:r>
              <w:rPr>
                <w:rFonts w:ascii="Times New Roman" w:eastAsia="宋体"/>
                <w:kern w:val="0"/>
              </w:rPr>
              <w:t>线</w:t>
            </w:r>
            <w:r>
              <w:rPr>
                <w:rFonts w:ascii="Times New Roman" w:eastAsia="宋体"/>
                <w:kern w:val="0"/>
                <w:szCs w:val="24"/>
              </w:rPr>
              <w:t>。</w:t>
            </w:r>
          </w:p>
          <w:p w14:paraId="05CAD059">
            <w:pPr>
              <w:spacing w:line="360" w:lineRule="auto"/>
              <w:ind w:firstLine="480" w:firstLineChars="200"/>
              <w:rPr>
                <w:kern w:val="0"/>
                <w:sz w:val="24"/>
              </w:rPr>
            </w:pPr>
            <w:r>
              <w:rPr>
                <w:rFonts w:hint="eastAsia"/>
                <w:kern w:val="0"/>
                <w:sz w:val="24"/>
              </w:rPr>
              <w:t>(2)</w:t>
            </w:r>
            <w:r>
              <w:rPr>
                <w:kern w:val="0"/>
                <w:sz w:val="24"/>
              </w:rPr>
              <w:t>土地资源利用上线</w:t>
            </w:r>
          </w:p>
          <w:p w14:paraId="28E24A4D">
            <w:pPr>
              <w:spacing w:line="360" w:lineRule="auto"/>
              <w:ind w:firstLine="480" w:firstLineChars="200"/>
              <w:rPr>
                <w:kern w:val="0"/>
                <w:sz w:val="24"/>
              </w:rPr>
            </w:pPr>
            <w:r>
              <w:rPr>
                <w:kern w:val="0"/>
                <w:sz w:val="24"/>
              </w:rPr>
              <w:t>项目占地面积4</w:t>
            </w:r>
            <w:r>
              <w:rPr>
                <w:rFonts w:hint="eastAsia"/>
                <w:kern w:val="0"/>
                <w:sz w:val="24"/>
              </w:rPr>
              <w:t>0000</w:t>
            </w:r>
            <w:r>
              <w:rPr>
                <w:kern w:val="0"/>
                <w:sz w:val="24"/>
              </w:rPr>
              <w:t>m</w:t>
            </w:r>
            <w:r>
              <w:rPr>
                <w:kern w:val="0"/>
                <w:sz w:val="24"/>
                <w:vertAlign w:val="superscript"/>
              </w:rPr>
              <w:t>2</w:t>
            </w:r>
            <w:r>
              <w:rPr>
                <w:kern w:val="0"/>
                <w:sz w:val="24"/>
              </w:rPr>
              <w:t>，</w:t>
            </w:r>
            <w:r>
              <w:rPr>
                <w:sz w:val="24"/>
              </w:rPr>
              <w:t>已纳入区域工业用地指标</w:t>
            </w:r>
            <w:r>
              <w:rPr>
                <w:kern w:val="0"/>
                <w:sz w:val="24"/>
              </w:rPr>
              <w:t>，项目占地范围不涉及生态红线和基本农田，项目占地不会突破当地土地资源利用上线。</w:t>
            </w:r>
          </w:p>
          <w:p w14:paraId="275B8F62">
            <w:pPr>
              <w:spacing w:line="360" w:lineRule="auto"/>
              <w:ind w:firstLine="480" w:firstLineChars="200"/>
              <w:rPr>
                <w:kern w:val="0"/>
                <w:sz w:val="24"/>
              </w:rPr>
            </w:pPr>
            <w:r>
              <w:rPr>
                <w:rFonts w:hint="eastAsia"/>
                <w:kern w:val="0"/>
                <w:sz w:val="24"/>
              </w:rPr>
              <w:t>(3)</w:t>
            </w:r>
            <w:r>
              <w:rPr>
                <w:kern w:val="0"/>
                <w:sz w:val="24"/>
              </w:rPr>
              <w:t>能源资源利用上线</w:t>
            </w:r>
          </w:p>
          <w:p w14:paraId="7E13832C">
            <w:pPr>
              <w:pStyle w:val="15"/>
              <w:topLinePunct/>
              <w:spacing w:beforeLines="0" w:line="360" w:lineRule="auto"/>
              <w:ind w:firstLine="480"/>
              <w:jc w:val="both"/>
              <w:rPr>
                <w:rFonts w:ascii="Times New Roman" w:eastAsia="宋体"/>
                <w:kern w:val="0"/>
                <w:szCs w:val="24"/>
              </w:rPr>
            </w:pPr>
            <w:r>
              <w:rPr>
                <w:rFonts w:ascii="Times New Roman" w:eastAsia="宋体"/>
                <w:kern w:val="0"/>
              </w:rPr>
              <w:t>项目用电量较小，由电力公司供给，</w:t>
            </w:r>
            <w:r>
              <w:rPr>
                <w:rFonts w:ascii="Times New Roman" w:eastAsia="宋体"/>
                <w:kern w:val="0"/>
                <w:szCs w:val="24"/>
              </w:rPr>
              <w:t>不会突破当地能源资源利用上</w:t>
            </w:r>
            <w:r>
              <w:rPr>
                <w:rFonts w:ascii="Times New Roman" w:eastAsia="宋体"/>
                <w:kern w:val="0"/>
              </w:rPr>
              <w:t>线</w:t>
            </w:r>
            <w:r>
              <w:rPr>
                <w:rFonts w:ascii="Times New Roman" w:eastAsia="宋体"/>
                <w:kern w:val="0"/>
                <w:szCs w:val="24"/>
              </w:rPr>
              <w:t>。</w:t>
            </w:r>
          </w:p>
          <w:p w14:paraId="0DE3641C">
            <w:pPr>
              <w:keepNext/>
              <w:keepLines/>
              <w:numPr>
                <w:ilvl w:val="3"/>
                <w:numId w:val="0"/>
              </w:numPr>
              <w:spacing w:line="360" w:lineRule="auto"/>
              <w:ind w:firstLine="316" w:firstLineChars="131"/>
              <w:outlineLvl w:val="3"/>
              <w:rPr>
                <w:b/>
                <w:bCs/>
                <w:sz w:val="24"/>
                <w:szCs w:val="28"/>
              </w:rPr>
            </w:pPr>
            <w:r>
              <w:rPr>
                <w:b/>
                <w:bCs/>
                <w:sz w:val="24"/>
                <w:szCs w:val="28"/>
              </w:rPr>
              <w:t>4.生态环境准入清单</w:t>
            </w:r>
          </w:p>
          <w:p w14:paraId="7AF637AF">
            <w:pPr>
              <w:spacing w:line="360" w:lineRule="auto"/>
              <w:ind w:firstLine="480" w:firstLineChars="200"/>
              <w:rPr>
                <w:color w:val="FF0000"/>
                <w:kern w:val="21"/>
                <w:szCs w:val="21"/>
              </w:rPr>
            </w:pPr>
            <w:r>
              <w:rPr>
                <w:kern w:val="0"/>
                <w:sz w:val="24"/>
              </w:rPr>
              <w:t>查询福建省生态环境分区管控数据应用平台，</w:t>
            </w:r>
            <w:r>
              <w:rPr>
                <w:sz w:val="24"/>
              </w:rPr>
              <w:t>项目所在地块属于福州市陆域区域，涉及2个生态环境管控单元，分别为福州江阴港城经济区（ZH35018120001）重点管控单元和福清市重点管控单元2（ZH35018120009），</w:t>
            </w:r>
            <w:r>
              <w:rPr>
                <w:kern w:val="0"/>
                <w:sz w:val="24"/>
              </w:rPr>
              <w:t>项目与环境管控单元准入要求符合性分析详见下表</w:t>
            </w:r>
            <w:r>
              <w:rPr>
                <w:rFonts w:hint="eastAsia"/>
                <w:kern w:val="0"/>
                <w:sz w:val="24"/>
              </w:rPr>
              <w:t>1.1-3</w:t>
            </w:r>
            <w:r>
              <w:rPr>
                <w:kern w:val="0"/>
                <w:sz w:val="24"/>
              </w:rPr>
              <w:t>。</w:t>
            </w:r>
          </w:p>
        </w:tc>
      </w:tr>
    </w:tbl>
    <w:p w14:paraId="123F019A">
      <w:pPr>
        <w:sectPr>
          <w:pgSz w:w="11906" w:h="16838"/>
          <w:pgMar w:top="1440" w:right="1800" w:bottom="1440" w:left="1800" w:header="851" w:footer="1077" w:gutter="0"/>
          <w:pgNumType w:start="1"/>
          <w:cols w:space="720" w:num="1"/>
          <w:docGrid w:linePitch="312" w:charSpace="0"/>
        </w:sectPr>
      </w:pPr>
    </w:p>
    <w:tbl>
      <w:tblPr>
        <w:tblStyle w:val="34"/>
        <w:tblW w:w="141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14:paraId="6BF25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173" w:type="dxa"/>
            <w:vAlign w:val="center"/>
          </w:tcPr>
          <w:p w14:paraId="3D2F1870">
            <w:pPr>
              <w:spacing w:beforeLines="50"/>
              <w:jc w:val="center"/>
              <w:rPr>
                <w:b/>
                <w:bCs/>
                <w:sz w:val="24"/>
              </w:rPr>
            </w:pPr>
            <w:r>
              <w:rPr>
                <w:b/>
                <w:bCs/>
                <w:sz w:val="24"/>
              </w:rPr>
              <w:t>表1.1-</w:t>
            </w:r>
            <w:r>
              <w:rPr>
                <w:rFonts w:hint="eastAsia"/>
                <w:b/>
                <w:bCs/>
                <w:sz w:val="24"/>
              </w:rPr>
              <w:t>2</w:t>
            </w:r>
            <w:r>
              <w:rPr>
                <w:b/>
                <w:bCs/>
                <w:sz w:val="24"/>
              </w:rPr>
              <w:t xml:space="preserve">  </w:t>
            </w:r>
            <w:r>
              <w:rPr>
                <w:rFonts w:hint="eastAsia"/>
                <w:b/>
                <w:bCs/>
                <w:sz w:val="24"/>
              </w:rPr>
              <w:t>《</w:t>
            </w:r>
            <w:r>
              <w:rPr>
                <w:b/>
                <w:bCs/>
                <w:sz w:val="24"/>
              </w:rPr>
              <w:t>福州江阴港城经济区产业发展规划环境影响评价报告书（报批本）》中规划范围内生态环境准入清单符合性分析一览表</w:t>
            </w:r>
          </w:p>
          <w:tbl>
            <w:tblPr>
              <w:tblStyle w:val="35"/>
              <w:tblW w:w="139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108" w:type="dxa"/>
                <w:bottom w:w="28" w:type="dxa"/>
                <w:right w:w="108" w:type="dxa"/>
              </w:tblCellMar>
            </w:tblPr>
            <w:tblGrid>
              <w:gridCol w:w="1795"/>
              <w:gridCol w:w="8949"/>
              <w:gridCol w:w="3239"/>
            </w:tblGrid>
            <w:tr w14:paraId="56815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tblHeader/>
                <w:jc w:val="center"/>
              </w:trPr>
              <w:tc>
                <w:tcPr>
                  <w:tcW w:w="1795" w:type="dxa"/>
                  <w:tcBorders>
                    <w:tl2br w:val="nil"/>
                    <w:tr2bl w:val="nil"/>
                  </w:tcBorders>
                  <w:vAlign w:val="center"/>
                </w:tcPr>
                <w:p w14:paraId="332099B2">
                  <w:pPr>
                    <w:pStyle w:val="19"/>
                    <w:widowControl w:val="0"/>
                    <w:adjustRightInd/>
                    <w:snapToGrid/>
                    <w:spacing w:before="0" w:after="0" w:line="240" w:lineRule="auto"/>
                    <w:ind w:right="0"/>
                    <w:jc w:val="center"/>
                    <w:rPr>
                      <w:sz w:val="21"/>
                      <w:szCs w:val="21"/>
                    </w:rPr>
                  </w:pPr>
                  <w:r>
                    <w:rPr>
                      <w:sz w:val="21"/>
                      <w:szCs w:val="21"/>
                    </w:rPr>
                    <w:t>清单类型</w:t>
                  </w:r>
                </w:p>
              </w:tc>
              <w:tc>
                <w:tcPr>
                  <w:tcW w:w="8949" w:type="dxa"/>
                  <w:tcBorders>
                    <w:tl2br w:val="nil"/>
                    <w:tr2bl w:val="nil"/>
                  </w:tcBorders>
                  <w:vAlign w:val="center"/>
                </w:tcPr>
                <w:p w14:paraId="44548CB4">
                  <w:pPr>
                    <w:pStyle w:val="19"/>
                    <w:widowControl w:val="0"/>
                    <w:adjustRightInd/>
                    <w:snapToGrid/>
                    <w:spacing w:before="0" w:after="0" w:line="240" w:lineRule="auto"/>
                    <w:ind w:right="0"/>
                    <w:jc w:val="center"/>
                    <w:rPr>
                      <w:sz w:val="21"/>
                      <w:szCs w:val="21"/>
                    </w:rPr>
                  </w:pPr>
                  <w:r>
                    <w:rPr>
                      <w:sz w:val="21"/>
                      <w:szCs w:val="21"/>
                    </w:rPr>
                    <w:t>环境管控要求</w:t>
                  </w:r>
                </w:p>
              </w:tc>
              <w:tc>
                <w:tcPr>
                  <w:tcW w:w="3239" w:type="dxa"/>
                  <w:tcBorders>
                    <w:tl2br w:val="nil"/>
                    <w:tr2bl w:val="nil"/>
                  </w:tcBorders>
                  <w:vAlign w:val="center"/>
                </w:tcPr>
                <w:p w14:paraId="3188F083">
                  <w:pPr>
                    <w:pStyle w:val="19"/>
                    <w:widowControl w:val="0"/>
                    <w:adjustRightInd/>
                    <w:snapToGrid/>
                    <w:spacing w:before="0" w:after="0" w:line="240" w:lineRule="auto"/>
                    <w:ind w:right="0"/>
                    <w:jc w:val="center"/>
                    <w:rPr>
                      <w:sz w:val="21"/>
                      <w:szCs w:val="21"/>
                    </w:rPr>
                  </w:pPr>
                  <w:r>
                    <w:rPr>
                      <w:rFonts w:hint="eastAsia"/>
                      <w:sz w:val="21"/>
                      <w:szCs w:val="21"/>
                    </w:rPr>
                    <w:t>符合性分析</w:t>
                  </w:r>
                </w:p>
              </w:tc>
            </w:tr>
            <w:tr w14:paraId="43F9E0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1795" w:type="dxa"/>
                  <w:tcBorders>
                    <w:tl2br w:val="nil"/>
                    <w:tr2bl w:val="nil"/>
                  </w:tcBorders>
                  <w:vAlign w:val="center"/>
                </w:tcPr>
                <w:p w14:paraId="7A3DD176">
                  <w:pPr>
                    <w:pStyle w:val="19"/>
                    <w:widowControl w:val="0"/>
                    <w:adjustRightInd/>
                    <w:snapToGrid/>
                    <w:spacing w:before="0" w:after="0" w:line="240" w:lineRule="auto"/>
                    <w:ind w:right="0"/>
                    <w:jc w:val="center"/>
                    <w:rPr>
                      <w:sz w:val="21"/>
                      <w:szCs w:val="21"/>
                    </w:rPr>
                  </w:pPr>
                  <w:r>
                    <w:rPr>
                      <w:sz w:val="21"/>
                      <w:szCs w:val="21"/>
                    </w:rPr>
                    <w:t>空间布局约束</w:t>
                  </w:r>
                </w:p>
              </w:tc>
              <w:tc>
                <w:tcPr>
                  <w:tcW w:w="8949" w:type="dxa"/>
                  <w:tcBorders>
                    <w:tl2br w:val="nil"/>
                    <w:tr2bl w:val="nil"/>
                  </w:tcBorders>
                  <w:vAlign w:val="center"/>
                </w:tcPr>
                <w:p w14:paraId="320F4538">
                  <w:pPr>
                    <w:pStyle w:val="19"/>
                    <w:widowControl w:val="0"/>
                    <w:adjustRightInd/>
                    <w:snapToGrid/>
                    <w:spacing w:before="0" w:after="0" w:line="240" w:lineRule="auto"/>
                    <w:ind w:right="0"/>
                    <w:rPr>
                      <w:sz w:val="21"/>
                      <w:szCs w:val="21"/>
                    </w:rPr>
                  </w:pPr>
                  <w:r>
                    <w:rPr>
                      <w:sz w:val="21"/>
                      <w:szCs w:val="21"/>
                    </w:rPr>
                    <w:t>1.优化规划开发时序，规划范围内现有永久基本农田0.27394km</w:t>
                  </w:r>
                  <w:r>
                    <w:rPr>
                      <w:sz w:val="21"/>
                      <w:szCs w:val="21"/>
                      <w:vertAlign w:val="superscript"/>
                    </w:rPr>
                    <w:t>2</w:t>
                  </w:r>
                  <w:r>
                    <w:rPr>
                      <w:sz w:val="21"/>
                      <w:szCs w:val="21"/>
                    </w:rPr>
                    <w:t>，要求占用永久基本农田的地块禁止开发建设。对未纳入城镇开发边界的区域应严格落实《自然资源部关于做好城镇开发边界管理的通知（试行）》（自然资发〔2023〕193号）要求，暂不开发。</w:t>
                  </w:r>
                </w:p>
                <w:p w14:paraId="09FDC1AE">
                  <w:pPr>
                    <w:pStyle w:val="19"/>
                    <w:widowControl w:val="0"/>
                    <w:adjustRightInd/>
                    <w:snapToGrid/>
                    <w:spacing w:before="0" w:after="0" w:line="240" w:lineRule="auto"/>
                    <w:ind w:right="0"/>
                    <w:rPr>
                      <w:sz w:val="21"/>
                      <w:szCs w:val="21"/>
                    </w:rPr>
                  </w:pPr>
                  <w:r>
                    <w:rPr>
                      <w:sz w:val="21"/>
                      <w:szCs w:val="21"/>
                    </w:rPr>
                    <w:t>2.对未纳入化工园区认定范围的用地，严格落实《福建省化工园区建设标准和认定管理实施细则》要求，“未通过化工园区认定前不得新建、改扩建化工项目（安全、环保、节能和智能化改造项目除外）”。</w:t>
                  </w:r>
                </w:p>
                <w:p w14:paraId="339377B0">
                  <w:pPr>
                    <w:pStyle w:val="19"/>
                    <w:widowControl w:val="0"/>
                    <w:adjustRightInd/>
                    <w:snapToGrid/>
                    <w:spacing w:before="0" w:after="0" w:line="240" w:lineRule="auto"/>
                    <w:ind w:right="0"/>
                    <w:rPr>
                      <w:sz w:val="21"/>
                      <w:szCs w:val="21"/>
                    </w:rPr>
                  </w:pPr>
                  <w:r>
                    <w:rPr>
                      <w:sz w:val="21"/>
                      <w:szCs w:val="21"/>
                    </w:rPr>
                    <w:t>3.优化园区内部工业用地布局，将大气污染较严重、环境风险较大的项目或装置（特别是涉及“三致”、恶臭等有毒有害物质的）尽可能远离居民区等敏感目标布置，或布置于主导风向的侧向。</w:t>
                  </w:r>
                </w:p>
                <w:p w14:paraId="25D40832">
                  <w:pPr>
                    <w:pStyle w:val="19"/>
                    <w:widowControl w:val="0"/>
                    <w:adjustRightInd/>
                    <w:snapToGrid/>
                    <w:spacing w:before="0" w:after="0" w:line="240" w:lineRule="auto"/>
                    <w:ind w:right="0"/>
                    <w:rPr>
                      <w:sz w:val="21"/>
                      <w:szCs w:val="21"/>
                    </w:rPr>
                  </w:pPr>
                  <w:r>
                    <w:rPr>
                      <w:sz w:val="21"/>
                      <w:szCs w:val="21"/>
                    </w:rPr>
                    <w:t>4.新厝拓展区原保税港区A区不得引进燃煤锅炉、生产工艺产生恶臭的企业。</w:t>
                  </w:r>
                </w:p>
                <w:p w14:paraId="47FDE4EA">
                  <w:pPr>
                    <w:pStyle w:val="19"/>
                    <w:widowControl w:val="0"/>
                    <w:adjustRightInd/>
                    <w:snapToGrid/>
                    <w:spacing w:before="0" w:after="0" w:line="240" w:lineRule="auto"/>
                    <w:ind w:right="0"/>
                    <w:rPr>
                      <w:sz w:val="21"/>
                      <w:szCs w:val="21"/>
                    </w:rPr>
                  </w:pPr>
                  <w:r>
                    <w:rPr>
                      <w:sz w:val="21"/>
                      <w:szCs w:val="21"/>
                    </w:rPr>
                    <w:t>5.落实环境防护距离：</w:t>
                  </w:r>
                  <w:bookmarkStart w:id="2" w:name="OLE_LINK21"/>
                </w:p>
                <w:bookmarkEnd w:id="2"/>
                <w:p w14:paraId="2808664D">
                  <w:pPr>
                    <w:adjustRightInd/>
                    <w:snapToGrid/>
                    <w:ind w:firstLine="420" w:firstLineChars="200"/>
                    <w:rPr>
                      <w:szCs w:val="21"/>
                    </w:rPr>
                  </w:pPr>
                  <w:r>
                    <w:rPr>
                      <w:szCs w:val="21"/>
                    </w:rPr>
                    <w:t>（1）以本次福州江阴港城经济区规划的化工产业所在片区（包括：医疗、尼龙新材料、高端异氰酸酯、氯循环发展、轻烃深加工等产业板块以及其他涉及化工的发展预留板块）边界外扩500米范围（海域除外）设置为环保隔离带。西部环保隔离带与西部化工区最大风险事故应急疏散范围（5000米）包络线之间设置为环保控制带，中部、东部环保隔离带外扩1500米范围设置为环保控制带。后续有环境防护距离设置要求的项目按环评批复从严执行。</w:t>
                  </w:r>
                </w:p>
                <w:p w14:paraId="004DC35F">
                  <w:pPr>
                    <w:adjustRightInd/>
                    <w:snapToGrid/>
                    <w:ind w:firstLine="420" w:firstLineChars="200"/>
                    <w:rPr>
                      <w:szCs w:val="21"/>
                    </w:rPr>
                  </w:pPr>
                  <w:r>
                    <w:rPr>
                      <w:szCs w:val="21"/>
                    </w:rPr>
                    <w:t>（2）环保隔离带内不得有集中式居民区、学校、医院等敏感目标。其中，对于现有及规划扩建的涉光气项目以光气及光气化装置，应以装置边界外扩2000m设置安全防护距离。安全防护距离严格执行《光气及光气化产品生产安全规程》（GB19041-2024）有关要求。</w:t>
                  </w:r>
                </w:p>
                <w:p w14:paraId="0AA1288F">
                  <w:pPr>
                    <w:pStyle w:val="19"/>
                    <w:widowControl w:val="0"/>
                    <w:adjustRightInd/>
                    <w:snapToGrid/>
                    <w:spacing w:before="0" w:after="0" w:line="240" w:lineRule="auto"/>
                    <w:ind w:right="0" w:firstLine="420" w:firstLineChars="200"/>
                    <w:rPr>
                      <w:sz w:val="21"/>
                      <w:szCs w:val="21"/>
                    </w:rPr>
                  </w:pPr>
                  <w:r>
                    <w:rPr>
                      <w:sz w:val="21"/>
                      <w:szCs w:val="21"/>
                    </w:rPr>
                    <w:t>（3）环保控制带内不得新增居住建筑，规划用地可作为港口及产业区配套的商业、办公、宿舍、研发、测试等用地。</w:t>
                  </w:r>
                </w:p>
                <w:p w14:paraId="2C50B3A6">
                  <w:pPr>
                    <w:pStyle w:val="19"/>
                    <w:widowControl w:val="0"/>
                    <w:adjustRightInd/>
                    <w:snapToGrid/>
                    <w:spacing w:before="0" w:after="0" w:line="240" w:lineRule="auto"/>
                    <w:ind w:right="0"/>
                  </w:pPr>
                  <w:r>
                    <w:rPr>
                      <w:sz w:val="21"/>
                      <w:szCs w:val="21"/>
                    </w:rPr>
                    <w:t>6.东江水厂库周50米范围禁止工业企业生产过程使用危化品、新建项目应达到国内清洁生产先进水平。</w:t>
                  </w:r>
                </w:p>
              </w:tc>
              <w:tc>
                <w:tcPr>
                  <w:tcW w:w="3239" w:type="dxa"/>
                  <w:tcBorders>
                    <w:tl2br w:val="nil"/>
                    <w:tr2bl w:val="nil"/>
                  </w:tcBorders>
                  <w:vAlign w:val="center"/>
                </w:tcPr>
                <w:p w14:paraId="0A7F2187">
                  <w:pPr>
                    <w:pStyle w:val="19"/>
                    <w:widowControl w:val="0"/>
                    <w:adjustRightInd/>
                    <w:snapToGrid/>
                    <w:spacing w:before="0" w:after="0" w:line="240" w:lineRule="auto"/>
                    <w:ind w:right="0"/>
                    <w:jc w:val="left"/>
                    <w:rPr>
                      <w:sz w:val="21"/>
                      <w:szCs w:val="21"/>
                    </w:rPr>
                  </w:pPr>
                  <w:r>
                    <w:rPr>
                      <w:rFonts w:hint="eastAsia"/>
                      <w:sz w:val="21"/>
                      <w:szCs w:val="21"/>
                    </w:rPr>
                    <w:t>1.本项目用地地块为工业储备地2022-021号，取得建设项目规划条件函（见附件7）。</w:t>
                  </w:r>
                </w:p>
                <w:p w14:paraId="2263806E">
                  <w:pPr>
                    <w:pStyle w:val="9"/>
                    <w:jc w:val="left"/>
                  </w:pPr>
                  <w:r>
                    <w:rPr>
                      <w:rFonts w:hint="eastAsia"/>
                    </w:rPr>
                    <w:t>2.本项目</w:t>
                  </w:r>
                  <w:r>
                    <w:rPr>
                      <w:szCs w:val="21"/>
                    </w:rPr>
                    <w:t>产品为</w:t>
                  </w:r>
                  <w:r>
                    <w:rPr>
                      <w:rFonts w:hint="eastAsia"/>
                      <w:szCs w:val="21"/>
                    </w:rPr>
                    <w:t>水泥制品（水泥顶管、水泥排水管、检查井），不属于化工项目。</w:t>
                  </w:r>
                </w:p>
                <w:p w14:paraId="110D25FC">
                  <w:pPr>
                    <w:pStyle w:val="9"/>
                    <w:jc w:val="left"/>
                    <w:rPr>
                      <w:szCs w:val="21"/>
                    </w:rPr>
                  </w:pPr>
                  <w:r>
                    <w:rPr>
                      <w:rFonts w:hint="eastAsia"/>
                      <w:szCs w:val="21"/>
                    </w:rPr>
                    <w:t>3.本项目位于福清市主导风向的下风向，也不属于大气重污染企业。</w:t>
                  </w:r>
                </w:p>
                <w:p w14:paraId="157193FB">
                  <w:pPr>
                    <w:rPr>
                      <w:szCs w:val="21"/>
                    </w:rPr>
                  </w:pPr>
                  <w:r>
                    <w:rPr>
                      <w:rFonts w:hint="eastAsia"/>
                      <w:szCs w:val="21"/>
                    </w:rPr>
                    <w:t>4.本项目不涉及燃煤锅炉，也不涉及产生恶臭。</w:t>
                  </w:r>
                </w:p>
                <w:p w14:paraId="4D310187">
                  <w:pPr>
                    <w:rPr>
                      <w:szCs w:val="21"/>
                    </w:rPr>
                  </w:pPr>
                  <w:r>
                    <w:rPr>
                      <w:rFonts w:hint="eastAsia"/>
                      <w:szCs w:val="21"/>
                    </w:rPr>
                    <w:t>5.本项目用地不涉及环保控制带和环保隔离带。</w:t>
                  </w:r>
                </w:p>
                <w:p w14:paraId="67DD3B38">
                  <w:pPr>
                    <w:rPr>
                      <w:szCs w:val="21"/>
                    </w:rPr>
                  </w:pPr>
                  <w:r>
                    <w:rPr>
                      <w:rFonts w:hint="eastAsia"/>
                      <w:szCs w:val="21"/>
                    </w:rPr>
                    <w:t>6.本项目不涉及危化品的使用。</w:t>
                  </w:r>
                </w:p>
              </w:tc>
            </w:tr>
            <w:tr w14:paraId="0F1B2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1795" w:type="dxa"/>
                  <w:tcBorders>
                    <w:tl2br w:val="nil"/>
                    <w:tr2bl w:val="nil"/>
                  </w:tcBorders>
                  <w:vAlign w:val="center"/>
                </w:tcPr>
                <w:p w14:paraId="44E85851">
                  <w:pPr>
                    <w:pStyle w:val="19"/>
                    <w:widowControl w:val="0"/>
                    <w:adjustRightInd/>
                    <w:snapToGrid/>
                    <w:spacing w:before="0" w:after="0" w:line="240" w:lineRule="auto"/>
                    <w:ind w:right="0"/>
                    <w:jc w:val="center"/>
                    <w:rPr>
                      <w:sz w:val="21"/>
                      <w:szCs w:val="21"/>
                    </w:rPr>
                  </w:pPr>
                  <w:r>
                    <w:rPr>
                      <w:sz w:val="21"/>
                      <w:szCs w:val="21"/>
                    </w:rPr>
                    <w:t>污染物排放管控</w:t>
                  </w:r>
                </w:p>
              </w:tc>
              <w:tc>
                <w:tcPr>
                  <w:tcW w:w="8949" w:type="dxa"/>
                  <w:tcBorders>
                    <w:tl2br w:val="nil"/>
                    <w:tr2bl w:val="nil"/>
                  </w:tcBorders>
                  <w:vAlign w:val="center"/>
                </w:tcPr>
                <w:p w14:paraId="43D4FAB8">
                  <w:pPr>
                    <w:pStyle w:val="19"/>
                    <w:widowControl w:val="0"/>
                    <w:adjustRightInd/>
                    <w:snapToGrid/>
                    <w:spacing w:before="0" w:after="0" w:line="240" w:lineRule="auto"/>
                    <w:ind w:right="0"/>
                    <w:rPr>
                      <w:sz w:val="21"/>
                      <w:szCs w:val="21"/>
                    </w:rPr>
                  </w:pPr>
                  <w:r>
                    <w:rPr>
                      <w:sz w:val="21"/>
                      <w:szCs w:val="21"/>
                    </w:rPr>
                    <w:t>1.严格环境准入，主导产业MDI、TDI、轻烃裂解等重大项目清洁生产需达到同行业先进水平，其它项目应达到国内先进水平；配套产业及其他产业各项目，其生产工艺、设备、污染治理技术，以及单位产品能耗、物耗、污染物排放和资源利用效率应满足行业准入要求。</w:t>
                  </w:r>
                </w:p>
                <w:p w14:paraId="5A9CF955">
                  <w:pPr>
                    <w:pStyle w:val="19"/>
                    <w:widowControl w:val="0"/>
                    <w:adjustRightInd/>
                    <w:snapToGrid/>
                    <w:spacing w:before="0" w:after="0" w:line="240" w:lineRule="auto"/>
                    <w:ind w:right="0"/>
                    <w:rPr>
                      <w:sz w:val="21"/>
                      <w:szCs w:val="21"/>
                    </w:rPr>
                  </w:pPr>
                  <w:r>
                    <w:rPr>
                      <w:sz w:val="21"/>
                      <w:szCs w:val="21"/>
                    </w:rPr>
                    <w:t>2.优化能源结构，逐步提高清洁能源使用比例。</w:t>
                  </w:r>
                </w:p>
                <w:p w14:paraId="1F0E8599">
                  <w:pPr>
                    <w:pStyle w:val="19"/>
                    <w:widowControl w:val="0"/>
                    <w:adjustRightInd/>
                    <w:snapToGrid/>
                    <w:spacing w:before="0" w:after="0" w:line="240" w:lineRule="auto"/>
                    <w:ind w:right="0"/>
                    <w:rPr>
                      <w:sz w:val="21"/>
                      <w:szCs w:val="21"/>
                    </w:rPr>
                  </w:pPr>
                  <w:r>
                    <w:rPr>
                      <w:sz w:val="21"/>
                      <w:szCs w:val="21"/>
                    </w:rPr>
                    <w:t>3.从严执行污染物排放标准：</w:t>
                  </w:r>
                </w:p>
                <w:p w14:paraId="5D07BEE3">
                  <w:pPr>
                    <w:pStyle w:val="19"/>
                    <w:widowControl w:val="0"/>
                    <w:adjustRightInd/>
                    <w:snapToGrid/>
                    <w:spacing w:before="0" w:after="0" w:line="240" w:lineRule="auto"/>
                    <w:ind w:right="0" w:firstLine="210" w:firstLineChars="100"/>
                    <w:rPr>
                      <w:sz w:val="21"/>
                      <w:szCs w:val="21"/>
                    </w:rPr>
                  </w:pPr>
                  <w:r>
                    <w:rPr>
                      <w:sz w:val="21"/>
                      <w:szCs w:val="21"/>
                    </w:rPr>
                    <w:t>（1）江阴工业区污水处理厂尾水执行《城镇污水处理厂污染物排放标准》（GB18918-2002）中一级A 标准；未规定的污染物，排放浓度对照《城镇污水处理厂污染物排放标准》（GB18918-2002）中表2、表3最高允许排放浓度要求和《污水综合排放标准》（GB8978-1996）表4中一级标准要求，从严执行。</w:t>
                  </w:r>
                </w:p>
                <w:p w14:paraId="7BAAC4DB">
                  <w:pPr>
                    <w:pStyle w:val="19"/>
                    <w:widowControl w:val="0"/>
                    <w:adjustRightInd/>
                    <w:snapToGrid/>
                    <w:spacing w:before="0" w:after="0" w:line="240" w:lineRule="auto"/>
                    <w:ind w:right="0" w:firstLine="210" w:firstLineChars="100"/>
                    <w:rPr>
                      <w:sz w:val="21"/>
                      <w:szCs w:val="21"/>
                    </w:rPr>
                  </w:pPr>
                  <w:r>
                    <w:rPr>
                      <w:sz w:val="21"/>
                      <w:szCs w:val="21"/>
                    </w:rPr>
                    <w:t>（2）工业企业废水进入园区污水处理厂处理的，工业企业废水排放执行标准：取行业废水间接排放标准、《污水综合排放标准》（GB8978-1996）、《污水排入城镇下水道水质标准》（GB/T31965-2015）中B级标准、企业与园区污水厂商定的标准限值（江阴污水厂纳管标准）中最严格的浓度限值；工业企业废水无法进入园区污水处理厂处理，由工业企业自行处理后经园区废水深海排放口排放的，工业企业废水排放执行标准：取行业废水直接排放标准、《污水综合排放标准》（GB8978-1996）、《城镇污水处理厂污染物排放标准》（GB18918-2002）表1一级A标准中最严格的浓度限值。</w:t>
                  </w:r>
                </w:p>
                <w:p w14:paraId="013E91F1">
                  <w:pPr>
                    <w:pStyle w:val="19"/>
                    <w:widowControl w:val="0"/>
                    <w:adjustRightInd/>
                    <w:snapToGrid/>
                    <w:spacing w:before="0" w:after="0" w:line="240" w:lineRule="auto"/>
                    <w:ind w:right="0" w:firstLine="210" w:firstLineChars="100"/>
                    <w:rPr>
                      <w:sz w:val="21"/>
                      <w:szCs w:val="21"/>
                    </w:rPr>
                  </w:pPr>
                  <w:r>
                    <w:rPr>
                      <w:sz w:val="21"/>
                      <w:szCs w:val="21"/>
                    </w:rPr>
                    <w:t>（3）规划区内石化、化工等行业以及燃煤锅炉等项目执行大气污染物特别排放限值。</w:t>
                  </w:r>
                </w:p>
                <w:p w14:paraId="46D63C9A">
                  <w:pPr>
                    <w:pStyle w:val="19"/>
                    <w:widowControl w:val="0"/>
                    <w:adjustRightInd/>
                    <w:snapToGrid/>
                    <w:spacing w:before="0" w:after="0" w:line="240" w:lineRule="auto"/>
                    <w:ind w:right="0" w:firstLine="210" w:firstLineChars="100"/>
                    <w:rPr>
                      <w:sz w:val="21"/>
                      <w:szCs w:val="21"/>
                    </w:rPr>
                  </w:pPr>
                  <w:r>
                    <w:rPr>
                      <w:sz w:val="21"/>
                      <w:szCs w:val="21"/>
                    </w:rPr>
                    <w:t>（4）规划区新增主要水、大气污染物排放总量不得突破本规划环评的建议指标；涉新增VOCs排放项目，应优先依托园区企业自身实现替代削减。严格控制企业废气无组织排放。</w:t>
                  </w:r>
                </w:p>
                <w:p w14:paraId="5AB4A26F">
                  <w:pPr>
                    <w:pStyle w:val="19"/>
                    <w:widowControl w:val="0"/>
                    <w:adjustRightInd/>
                    <w:snapToGrid/>
                    <w:spacing w:before="0" w:after="0" w:line="240" w:lineRule="auto"/>
                    <w:ind w:right="0" w:firstLine="210" w:firstLineChars="100"/>
                    <w:rPr>
                      <w:sz w:val="21"/>
                      <w:szCs w:val="21"/>
                    </w:rPr>
                  </w:pPr>
                  <w:r>
                    <w:rPr>
                      <w:sz w:val="21"/>
                      <w:szCs w:val="21"/>
                    </w:rPr>
                    <w:t>（5）各入园企业严格按照项目环评要求做好企业内部分区防渗，应采取有效措施防止建设对区域地下水、土壤造成污染。建设涉及有毒有害物质的生产装置、储罐和管道，或者建设污水处理池、应急池、固体废物处置设施等存在土壤污染风险的设施，应当按照国家和地方有关标准和规范的要求，设计、建设和安装有关防腐蚀、防泄漏设施和泄漏监测装置，防止有毒有害物质污染土壤和地下水。</w:t>
                  </w:r>
                </w:p>
                <w:p w14:paraId="36B9F9FC">
                  <w:pPr>
                    <w:pStyle w:val="19"/>
                    <w:widowControl w:val="0"/>
                    <w:adjustRightInd/>
                    <w:snapToGrid/>
                    <w:spacing w:before="0" w:after="0" w:line="240" w:lineRule="auto"/>
                    <w:ind w:right="0" w:firstLine="210" w:firstLineChars="100"/>
                    <w:rPr>
                      <w:sz w:val="21"/>
                      <w:szCs w:val="21"/>
                    </w:rPr>
                  </w:pPr>
                  <w:r>
                    <w:rPr>
                      <w:sz w:val="21"/>
                      <w:szCs w:val="21"/>
                    </w:rPr>
                    <w:t>（6）除符合规划产业发展方向的锂电新材料板块外，严禁引入其他排放重金属污染物的企业。</w:t>
                  </w:r>
                </w:p>
                <w:p w14:paraId="39334006">
                  <w:pPr>
                    <w:pStyle w:val="19"/>
                    <w:widowControl w:val="0"/>
                    <w:adjustRightInd/>
                    <w:snapToGrid/>
                    <w:spacing w:before="0" w:after="0" w:line="240" w:lineRule="auto"/>
                    <w:ind w:right="0"/>
                  </w:pPr>
                  <w:r>
                    <w:rPr>
                      <w:sz w:val="21"/>
                      <w:szCs w:val="21"/>
                    </w:rPr>
                    <w:t>4.建立健全温室气体排放管理体系，推动园区绿色低碳发展。园区及企业的碳排放应符合国家、地方下达的指标。</w:t>
                  </w:r>
                </w:p>
              </w:tc>
              <w:tc>
                <w:tcPr>
                  <w:tcW w:w="3239" w:type="dxa"/>
                  <w:tcBorders>
                    <w:tl2br w:val="nil"/>
                    <w:tr2bl w:val="nil"/>
                  </w:tcBorders>
                  <w:vAlign w:val="center"/>
                </w:tcPr>
                <w:p w14:paraId="45083F2F">
                  <w:pPr>
                    <w:pStyle w:val="19"/>
                    <w:widowControl w:val="0"/>
                    <w:adjustRightInd/>
                    <w:snapToGrid/>
                    <w:spacing w:before="0" w:after="0" w:line="240" w:lineRule="auto"/>
                    <w:ind w:right="0"/>
                    <w:jc w:val="left"/>
                    <w:rPr>
                      <w:sz w:val="21"/>
                      <w:szCs w:val="21"/>
                    </w:rPr>
                  </w:pPr>
                  <w:r>
                    <w:rPr>
                      <w:rFonts w:hint="eastAsia"/>
                      <w:sz w:val="21"/>
                      <w:szCs w:val="21"/>
                    </w:rPr>
                    <w:t>1.本项目初期雨水、搅拌清洗废水、道路清洗废水沉淀后均循环使用，水耗小；能源使用电，属于清洁能源，原辅料不涉及有毒有害物质，生产工艺、设备、污染治理技术均不属于淘汰类，因此项目符合严格准入要求。</w:t>
                  </w:r>
                </w:p>
                <w:p w14:paraId="5BB837AC">
                  <w:pPr>
                    <w:pStyle w:val="9"/>
                    <w:jc w:val="both"/>
                    <w:rPr>
                      <w:szCs w:val="21"/>
                    </w:rPr>
                  </w:pPr>
                  <w:r>
                    <w:rPr>
                      <w:rFonts w:hint="eastAsia"/>
                      <w:szCs w:val="21"/>
                    </w:rPr>
                    <w:t>2.项目设备均用电，使用清洁能源。</w:t>
                  </w:r>
                </w:p>
                <w:p w14:paraId="303F0518">
                  <w:pPr>
                    <w:rPr>
                      <w:szCs w:val="21"/>
                    </w:rPr>
                  </w:pPr>
                  <w:r>
                    <w:rPr>
                      <w:rFonts w:hint="eastAsia"/>
                      <w:szCs w:val="21"/>
                    </w:rPr>
                    <w:t>3.本项目无生产废水排放，主要排放生活污水，污染物主要为pH、CODcr、BOD</w:t>
                  </w:r>
                  <w:r>
                    <w:rPr>
                      <w:rFonts w:hint="eastAsia"/>
                      <w:szCs w:val="21"/>
                      <w:vertAlign w:val="subscript"/>
                    </w:rPr>
                    <w:t>5</w:t>
                  </w:r>
                  <w:r>
                    <w:rPr>
                      <w:rFonts w:hint="eastAsia"/>
                      <w:szCs w:val="21"/>
                    </w:rPr>
                    <w:t>、SS、NH</w:t>
                  </w:r>
                  <w:r>
                    <w:rPr>
                      <w:rFonts w:hint="eastAsia"/>
                      <w:szCs w:val="21"/>
                      <w:vertAlign w:val="subscript"/>
                    </w:rPr>
                    <w:t>3</w:t>
                  </w:r>
                  <w:r>
                    <w:rPr>
                      <w:rFonts w:hint="eastAsia"/>
                      <w:szCs w:val="21"/>
                    </w:rPr>
                    <w:t>-N等，经化粪池处理后排入市政污水管网进入</w:t>
                  </w:r>
                  <w:r>
                    <w:rPr>
                      <w:szCs w:val="21"/>
                    </w:rPr>
                    <w:t>江阴工业区污水处理厂</w:t>
                  </w:r>
                  <w:r>
                    <w:rPr>
                      <w:rFonts w:hint="eastAsia"/>
                      <w:szCs w:val="21"/>
                    </w:rPr>
                    <w:t>处理，</w:t>
                  </w:r>
                  <w:r>
                    <w:rPr>
                      <w:szCs w:val="21"/>
                    </w:rPr>
                    <w:t>尾水执行《城镇污水处理厂污染物排放标准》（GB18918-2002）中一级A标准</w:t>
                  </w:r>
                  <w:r>
                    <w:rPr>
                      <w:rFonts w:hint="eastAsia"/>
                      <w:szCs w:val="21"/>
                    </w:rPr>
                    <w:t>；本项目不属于石化、化工行业，也不涉及锅炉使用；.本项目不涉及水和大气污染物排放总量指标，不涉及排放</w:t>
                  </w:r>
                  <w:r>
                    <w:rPr>
                      <w:szCs w:val="21"/>
                    </w:rPr>
                    <w:t>VOCs</w:t>
                  </w:r>
                  <w:r>
                    <w:rPr>
                      <w:rFonts w:hint="eastAsia"/>
                      <w:szCs w:val="21"/>
                    </w:rPr>
                    <w:t>；本项目厂区地面、道路、生产车间地面、沉淀池、初期雨水池均水泥硬化处理；本项目进沉淀池的废水和初期雨水池的雨水主要含SS，不涉及有毒有害物质，不存在土壤和地下水污染风险设施；本项目不涉及重金属污染物排放。</w:t>
                  </w:r>
                </w:p>
                <w:p w14:paraId="75FBE5DB">
                  <w:pPr>
                    <w:rPr>
                      <w:szCs w:val="21"/>
                    </w:rPr>
                  </w:pPr>
                  <w:r>
                    <w:rPr>
                      <w:rFonts w:hint="eastAsia"/>
                      <w:szCs w:val="21"/>
                    </w:rPr>
                    <w:t>4.本项目碳排放量少，符合</w:t>
                  </w:r>
                  <w:r>
                    <w:rPr>
                      <w:szCs w:val="21"/>
                    </w:rPr>
                    <w:t>国家、地方下达的指标。</w:t>
                  </w:r>
                </w:p>
              </w:tc>
            </w:tr>
            <w:tr w14:paraId="38515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1795" w:type="dxa"/>
                  <w:tcBorders>
                    <w:tl2br w:val="nil"/>
                    <w:tr2bl w:val="nil"/>
                  </w:tcBorders>
                  <w:vAlign w:val="center"/>
                </w:tcPr>
                <w:p w14:paraId="3EE48F47">
                  <w:pPr>
                    <w:pStyle w:val="19"/>
                    <w:widowControl w:val="0"/>
                    <w:adjustRightInd/>
                    <w:snapToGrid/>
                    <w:spacing w:before="0" w:after="0" w:line="240" w:lineRule="auto"/>
                    <w:ind w:right="0" w:firstLine="210" w:firstLineChars="100"/>
                    <w:rPr>
                      <w:sz w:val="21"/>
                      <w:szCs w:val="21"/>
                    </w:rPr>
                  </w:pPr>
                  <w:r>
                    <w:rPr>
                      <w:sz w:val="21"/>
                      <w:szCs w:val="21"/>
                    </w:rPr>
                    <w:t>环境风险防控</w:t>
                  </w:r>
                </w:p>
              </w:tc>
              <w:tc>
                <w:tcPr>
                  <w:tcW w:w="8949" w:type="dxa"/>
                  <w:tcBorders>
                    <w:tl2br w:val="nil"/>
                    <w:tr2bl w:val="nil"/>
                  </w:tcBorders>
                  <w:vAlign w:val="center"/>
                </w:tcPr>
                <w:p w14:paraId="39807434">
                  <w:pPr>
                    <w:pStyle w:val="9"/>
                    <w:adjustRightInd/>
                    <w:snapToGrid/>
                    <w:ind w:firstLine="420" w:firstLineChars="200"/>
                    <w:jc w:val="left"/>
                  </w:pPr>
                  <w:r>
                    <w:t>1.完善装置/单元-企业-园区-区域四级环境风险防控体系，完善江阴产业区西部企业与已建的公共事故应急池的联通工作；根据东部片区入驻实际核实公共事故应急池建设要求，并推进东部公共事故应急池及事故污水输送管道建设。加快满足联通条件的相邻石化、化工企业应急池互联互通工程的建设。</w:t>
                  </w:r>
                </w:p>
                <w:p w14:paraId="0F3739FF">
                  <w:pPr>
                    <w:pStyle w:val="9"/>
                    <w:adjustRightInd/>
                    <w:snapToGrid/>
                    <w:ind w:firstLine="420" w:firstLineChars="200"/>
                    <w:jc w:val="left"/>
                  </w:pPr>
                  <w:r>
                    <w:rPr>
                      <w:szCs w:val="21"/>
                    </w:rPr>
                    <w:t>2</w:t>
                  </w:r>
                  <w:r>
                    <w:rPr>
                      <w:rFonts w:eastAsia="TimesNewRoman"/>
                    </w:rPr>
                    <w:t>.</w:t>
                  </w:r>
                  <w:r>
                    <w:t>入园企业必须按照安评及环评的要求，严格落实与周边人群的防护距离。企业需加强管理，对于环境污染防治措施，尤其是废气处理措施，按时检修，做好日常维护，保证处理设备的正常运行，防止由于设备问题导致的废气事故排放，对周边居民生产生活造成影响。</w:t>
                  </w:r>
                </w:p>
                <w:p w14:paraId="005370B8">
                  <w:pPr>
                    <w:adjustRightInd/>
                    <w:snapToGrid/>
                    <w:ind w:firstLine="420" w:firstLineChars="200"/>
                    <w:jc w:val="left"/>
                  </w:pPr>
                  <w:r>
                    <w:rPr>
                      <w:szCs w:val="21"/>
                    </w:rPr>
                    <w:t>3</w:t>
                  </w:r>
                  <w:r>
                    <w:rPr>
                      <w:rFonts w:eastAsia="TimesNewRoman"/>
                    </w:rPr>
                    <w:t>.</w:t>
                  </w:r>
                  <w:r>
                    <w:t>江阴港城经济区管委会应加强日常巡视和风险演练，涉及危险品的项目的设计施工、储存、运输、生产使用等各个环节必须高度重视安全生产，事故防范和减少环境风险，严格要求各企业针对各自重点环保设施的运行安全隐患进行定期排查，禁止违规作业。</w:t>
                  </w:r>
                </w:p>
                <w:p w14:paraId="6098DFC0">
                  <w:pPr>
                    <w:adjustRightInd/>
                    <w:snapToGrid/>
                    <w:ind w:firstLine="420" w:firstLineChars="200"/>
                    <w:jc w:val="left"/>
                  </w:pPr>
                  <w:r>
                    <w:rPr>
                      <w:szCs w:val="21"/>
                    </w:rPr>
                    <w:t>4</w:t>
                  </w:r>
                  <w:r>
                    <w:t>.建议应急机构和指挥协调机构每年组织1~2次区内企业联动综合应急演练和环境事故专项演练，不断完善和提高园区环境风险防控能力。健全风险事故应急监测和监控能力。</w:t>
                  </w:r>
                </w:p>
                <w:p w14:paraId="4505CC83">
                  <w:pPr>
                    <w:adjustRightInd/>
                    <w:snapToGrid/>
                    <w:ind w:firstLine="420" w:firstLineChars="200"/>
                    <w:jc w:val="left"/>
                  </w:pPr>
                  <w:r>
                    <w:rPr>
                      <w:szCs w:val="21"/>
                    </w:rPr>
                    <w:t>5</w:t>
                  </w:r>
                  <w:r>
                    <w:t>.规划区及区内未来入驻企业应按照有关要求编制开发区及企业应急预案，应对园区运营及企业自身生产运营期间的突发环境事件，并与上位各层级预案做好衔接。</w:t>
                  </w:r>
                </w:p>
                <w:p w14:paraId="1B1FBB6F">
                  <w:pPr>
                    <w:adjustRightInd/>
                    <w:snapToGrid/>
                    <w:ind w:firstLine="420" w:firstLineChars="200"/>
                    <w:jc w:val="left"/>
                  </w:pPr>
                  <w:r>
                    <w:t>6</w:t>
                  </w:r>
                  <w:r>
                    <w:rPr>
                      <w:rFonts w:eastAsia="TimesNewRoman"/>
                    </w:rPr>
                    <w:t>.化工园区</w:t>
                  </w:r>
                  <w:r>
                    <w:rPr>
                      <w:szCs w:val="21"/>
                      <w:shd w:val="clear" w:color="auto" w:fill="FFFFFF"/>
                      <w:lang w:val="zh-CN"/>
                    </w:rPr>
                    <w:t>实行封闭化管理，建立门禁系统和视频监控系统，对涉易燃易爆、有毒有害化学品物料、车辆等进出实施全过程监管。</w:t>
                  </w:r>
                </w:p>
              </w:tc>
              <w:tc>
                <w:tcPr>
                  <w:tcW w:w="3239" w:type="dxa"/>
                  <w:tcBorders>
                    <w:tl2br w:val="nil"/>
                    <w:tr2bl w:val="nil"/>
                  </w:tcBorders>
                  <w:vAlign w:val="center"/>
                </w:tcPr>
                <w:p w14:paraId="67389145">
                  <w:pPr>
                    <w:adjustRightInd/>
                    <w:snapToGrid/>
                    <w:jc w:val="left"/>
                  </w:pPr>
                  <w:r>
                    <w:rPr>
                      <w:rFonts w:hint="eastAsia"/>
                    </w:rPr>
                    <w:t>1.本项目生活污水能排入市政污水管道进入江阴污水处理厂处理。</w:t>
                  </w:r>
                </w:p>
                <w:p w14:paraId="604CD8F5">
                  <w:pPr>
                    <w:pStyle w:val="9"/>
                    <w:adjustRightInd/>
                    <w:snapToGrid/>
                    <w:jc w:val="left"/>
                  </w:pPr>
                  <w:r>
                    <w:rPr>
                      <w:rFonts w:hint="eastAsia"/>
                    </w:rPr>
                    <w:t>2.本项目距离下堡村约250m，距离较远，符合卫生防护距离要求，企业各废气经处理后达标排放；</w:t>
                  </w:r>
                  <w:r>
                    <w:t>废气处理措施</w:t>
                  </w:r>
                  <w:r>
                    <w:rPr>
                      <w:rFonts w:hint="eastAsia"/>
                    </w:rPr>
                    <w:t>应</w:t>
                  </w:r>
                  <w:r>
                    <w:t>按时检修，做好日常维护，保证处理设备的正常运行，防止由于设备问题导致的废气事故排放，对周边居民生产生活造成影响。</w:t>
                  </w:r>
                </w:p>
                <w:p w14:paraId="471F8250">
                  <w:pPr>
                    <w:adjustRightInd/>
                    <w:snapToGrid/>
                    <w:jc w:val="left"/>
                  </w:pPr>
                  <w:r>
                    <w:rPr>
                      <w:rFonts w:hint="eastAsia"/>
                    </w:rPr>
                    <w:t>3.本项目不涉及危险品，企业应</w:t>
                  </w:r>
                  <w:r>
                    <w:t>针对各自重点环保设施的运行安全隐患进行定期排查，禁止违规作业。</w:t>
                  </w:r>
                </w:p>
                <w:p w14:paraId="2D5292EA">
                  <w:pPr>
                    <w:adjustRightInd/>
                    <w:snapToGrid/>
                    <w:jc w:val="left"/>
                  </w:pPr>
                  <w:r>
                    <w:rPr>
                      <w:rFonts w:hint="eastAsia"/>
                    </w:rPr>
                    <w:t>5.企业不涉及危化品及有毒有害物质使用，也不涉及危险废物，环境风险小。</w:t>
                  </w:r>
                </w:p>
                <w:p w14:paraId="7FC45F50">
                  <w:pPr>
                    <w:adjustRightInd/>
                    <w:snapToGrid/>
                    <w:jc w:val="left"/>
                  </w:pPr>
                  <w:r>
                    <w:rPr>
                      <w:rFonts w:hint="eastAsia"/>
                    </w:rPr>
                    <w:t>6.本项目不涉及易燃易爆、有毒有害化学品物料及车辆。</w:t>
                  </w:r>
                </w:p>
              </w:tc>
            </w:tr>
            <w:tr w14:paraId="53AA7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1795" w:type="dxa"/>
                  <w:tcBorders>
                    <w:tl2br w:val="nil"/>
                    <w:tr2bl w:val="nil"/>
                  </w:tcBorders>
                  <w:vAlign w:val="center"/>
                </w:tcPr>
                <w:p w14:paraId="5EE2FFB0">
                  <w:pPr>
                    <w:pStyle w:val="19"/>
                    <w:widowControl w:val="0"/>
                    <w:adjustRightInd/>
                    <w:snapToGrid/>
                    <w:spacing w:before="0" w:after="0" w:line="240" w:lineRule="auto"/>
                    <w:ind w:right="0"/>
                    <w:jc w:val="center"/>
                    <w:rPr>
                      <w:sz w:val="21"/>
                      <w:szCs w:val="21"/>
                    </w:rPr>
                  </w:pPr>
                  <w:r>
                    <w:rPr>
                      <w:sz w:val="21"/>
                      <w:szCs w:val="21"/>
                    </w:rPr>
                    <w:t>资源开发利用</w:t>
                  </w:r>
                </w:p>
                <w:p w14:paraId="2A02AC09">
                  <w:pPr>
                    <w:pStyle w:val="19"/>
                    <w:widowControl w:val="0"/>
                    <w:adjustRightInd/>
                    <w:snapToGrid/>
                    <w:spacing w:before="0" w:after="0" w:line="240" w:lineRule="auto"/>
                    <w:ind w:right="0"/>
                    <w:jc w:val="center"/>
                    <w:rPr>
                      <w:sz w:val="21"/>
                      <w:szCs w:val="21"/>
                    </w:rPr>
                  </w:pPr>
                  <w:r>
                    <w:rPr>
                      <w:sz w:val="21"/>
                      <w:szCs w:val="21"/>
                    </w:rPr>
                    <w:t>管控</w:t>
                  </w:r>
                </w:p>
              </w:tc>
              <w:tc>
                <w:tcPr>
                  <w:tcW w:w="8949" w:type="dxa"/>
                  <w:tcBorders>
                    <w:tl2br w:val="nil"/>
                    <w:tr2bl w:val="nil"/>
                  </w:tcBorders>
                  <w:vAlign w:val="center"/>
                </w:tcPr>
                <w:p w14:paraId="6DD2AB11">
                  <w:pPr>
                    <w:pStyle w:val="19"/>
                    <w:widowControl w:val="0"/>
                    <w:adjustRightInd/>
                    <w:snapToGrid/>
                    <w:spacing w:before="0" w:after="0" w:line="240" w:lineRule="auto"/>
                    <w:ind w:right="0" w:firstLine="420" w:firstLineChars="200"/>
                    <w:rPr>
                      <w:sz w:val="21"/>
                      <w:szCs w:val="21"/>
                    </w:rPr>
                  </w:pPr>
                  <w:r>
                    <w:rPr>
                      <w:sz w:val="21"/>
                      <w:szCs w:val="21"/>
                    </w:rPr>
                    <w:t>1.土地资源利用总量：规划范围内建设用地规模不突破40.32km</w:t>
                  </w:r>
                  <w:r>
                    <w:rPr>
                      <w:sz w:val="21"/>
                      <w:szCs w:val="21"/>
                      <w:vertAlign w:val="superscript"/>
                    </w:rPr>
                    <w:t>2</w:t>
                  </w:r>
                  <w:r>
                    <w:rPr>
                      <w:sz w:val="21"/>
                      <w:szCs w:val="21"/>
                    </w:rPr>
                    <w:t>。规划近期单位工业用地工业增加值达到6亿元/km</w:t>
                  </w:r>
                  <w:r>
                    <w:rPr>
                      <w:sz w:val="21"/>
                      <w:szCs w:val="21"/>
                      <w:vertAlign w:val="superscript"/>
                    </w:rPr>
                    <w:t>2</w:t>
                  </w:r>
                  <w:r>
                    <w:rPr>
                      <w:sz w:val="21"/>
                      <w:szCs w:val="21"/>
                    </w:rPr>
                    <w:t>，规划远期单位工业用地工业增加值达到9亿元/km</w:t>
                  </w:r>
                  <w:r>
                    <w:rPr>
                      <w:sz w:val="21"/>
                      <w:szCs w:val="21"/>
                      <w:vertAlign w:val="superscript"/>
                    </w:rPr>
                    <w:t>2</w:t>
                  </w:r>
                  <w:r>
                    <w:rPr>
                      <w:sz w:val="21"/>
                      <w:szCs w:val="21"/>
                    </w:rPr>
                    <w:t>。</w:t>
                  </w:r>
                </w:p>
                <w:p w14:paraId="169B4769">
                  <w:pPr>
                    <w:pStyle w:val="19"/>
                    <w:widowControl w:val="0"/>
                    <w:adjustRightInd/>
                    <w:snapToGrid/>
                    <w:spacing w:before="0" w:after="0" w:line="240" w:lineRule="auto"/>
                    <w:ind w:right="0" w:firstLine="420" w:firstLineChars="200"/>
                    <w:rPr>
                      <w:sz w:val="21"/>
                      <w:szCs w:val="21"/>
                    </w:rPr>
                  </w:pPr>
                  <w:r>
                    <w:rPr>
                      <w:sz w:val="21"/>
                      <w:szCs w:val="21"/>
                    </w:rPr>
                    <w:t>2.水资源利用：规划区规划近期、远期工业用水重复利用率达到75%以上；规划近期再生水（中水）回用率≥10%，规划远期再生水（中水）回用率≥20%；规划近期单位工业增加值新鲜水耗≤20m</w:t>
                  </w:r>
                  <w:r>
                    <w:rPr>
                      <w:sz w:val="21"/>
                      <w:szCs w:val="21"/>
                      <w:vertAlign w:val="superscript"/>
                    </w:rPr>
                    <w:t>3</w:t>
                  </w:r>
                  <w:r>
                    <w:rPr>
                      <w:sz w:val="21"/>
                      <w:szCs w:val="21"/>
                    </w:rPr>
                    <w:t>/万元，规划远期单位工业增加值新鲜水耗≤8m</w:t>
                  </w:r>
                  <w:r>
                    <w:rPr>
                      <w:sz w:val="21"/>
                      <w:szCs w:val="21"/>
                      <w:vertAlign w:val="superscript"/>
                    </w:rPr>
                    <w:t>3</w:t>
                  </w:r>
                  <w:r>
                    <w:rPr>
                      <w:sz w:val="21"/>
                      <w:szCs w:val="21"/>
                    </w:rPr>
                    <w:t>/万元；规划近期、远期单位工业增加值废水排放量≤7吨/万元。</w:t>
                  </w:r>
                </w:p>
                <w:p w14:paraId="31B776F1">
                  <w:pPr>
                    <w:pStyle w:val="19"/>
                    <w:widowControl w:val="0"/>
                    <w:adjustRightInd/>
                    <w:snapToGrid/>
                    <w:spacing w:before="0" w:after="0" w:line="240" w:lineRule="auto"/>
                    <w:ind w:right="0" w:firstLine="420" w:firstLineChars="200"/>
                    <w:rPr>
                      <w:sz w:val="21"/>
                      <w:szCs w:val="21"/>
                    </w:rPr>
                  </w:pPr>
                  <w:r>
                    <w:rPr>
                      <w:sz w:val="21"/>
                      <w:szCs w:val="21"/>
                    </w:rPr>
                    <w:t>3.能源利用总量及效率要求：规划区规划远期单位工业增加值综合能耗不高于0.5吨标煤/万元；单位工业增加值二氧化碳排放量年均削减率≥3%。</w:t>
                  </w:r>
                </w:p>
                <w:p w14:paraId="6FAB4821">
                  <w:pPr>
                    <w:pStyle w:val="19"/>
                    <w:widowControl w:val="0"/>
                    <w:adjustRightInd/>
                    <w:snapToGrid/>
                    <w:spacing w:before="0" w:after="0" w:line="240" w:lineRule="auto"/>
                    <w:ind w:right="0" w:firstLine="420" w:firstLineChars="200"/>
                    <w:rPr>
                      <w:sz w:val="21"/>
                      <w:szCs w:val="21"/>
                    </w:rPr>
                  </w:pPr>
                  <w:r>
                    <w:rPr>
                      <w:sz w:val="21"/>
                      <w:szCs w:val="21"/>
                    </w:rPr>
                    <w:t>4.能源使用要求：扩大集中供热范围，集中供热管网覆盖范围内原则上禁止新建、扩建分散燃煤、燃油等供热锅炉。</w:t>
                  </w:r>
                </w:p>
                <w:p w14:paraId="2D657743">
                  <w:pPr>
                    <w:pStyle w:val="19"/>
                    <w:widowControl w:val="0"/>
                    <w:adjustRightInd/>
                    <w:snapToGrid/>
                    <w:spacing w:before="0" w:after="0" w:line="240" w:lineRule="auto"/>
                    <w:ind w:right="0" w:firstLine="420" w:firstLineChars="200"/>
                    <w:rPr>
                      <w:sz w:val="21"/>
                      <w:szCs w:val="21"/>
                    </w:rPr>
                  </w:pPr>
                  <w:r>
                    <w:rPr>
                      <w:sz w:val="21"/>
                      <w:szCs w:val="21"/>
                    </w:rPr>
                    <w:t>5.入园企业的单位土地投资强度、产出效益应符合福建省、福州市及园区的要求。</w:t>
                  </w:r>
                </w:p>
              </w:tc>
              <w:tc>
                <w:tcPr>
                  <w:tcW w:w="3239" w:type="dxa"/>
                  <w:tcBorders>
                    <w:tl2br w:val="nil"/>
                    <w:tr2bl w:val="nil"/>
                  </w:tcBorders>
                  <w:vAlign w:val="center"/>
                </w:tcPr>
                <w:p w14:paraId="17FA4A4E">
                  <w:pPr>
                    <w:pStyle w:val="19"/>
                    <w:widowControl w:val="0"/>
                    <w:adjustRightInd/>
                    <w:snapToGrid/>
                    <w:spacing w:before="0" w:after="0" w:line="240" w:lineRule="auto"/>
                    <w:ind w:right="0"/>
                    <w:jc w:val="left"/>
                    <w:rPr>
                      <w:sz w:val="21"/>
                      <w:szCs w:val="21"/>
                    </w:rPr>
                  </w:pPr>
                  <w:r>
                    <w:rPr>
                      <w:sz w:val="21"/>
                      <w:szCs w:val="21"/>
                    </w:rPr>
                    <w:t>1.土地资源利用总量：</w:t>
                  </w:r>
                  <w:r>
                    <w:rPr>
                      <w:rFonts w:hint="eastAsia"/>
                      <w:sz w:val="21"/>
                      <w:szCs w:val="21"/>
                    </w:rPr>
                    <w:t>本项目用地面积40000m</w:t>
                  </w:r>
                  <w:r>
                    <w:rPr>
                      <w:rFonts w:hint="eastAsia"/>
                      <w:sz w:val="21"/>
                      <w:szCs w:val="21"/>
                      <w:vertAlign w:val="superscript"/>
                    </w:rPr>
                    <w:t>2</w:t>
                  </w:r>
                  <w:r>
                    <w:rPr>
                      <w:rFonts w:hint="eastAsia"/>
                      <w:sz w:val="21"/>
                      <w:szCs w:val="21"/>
                    </w:rPr>
                    <w:t>（0.04km</w:t>
                  </w:r>
                  <w:r>
                    <w:rPr>
                      <w:rFonts w:hint="eastAsia"/>
                      <w:sz w:val="21"/>
                      <w:szCs w:val="21"/>
                      <w:vertAlign w:val="superscript"/>
                    </w:rPr>
                    <w:t>2</w:t>
                  </w:r>
                  <w:r>
                    <w:rPr>
                      <w:rFonts w:hint="eastAsia"/>
                      <w:sz w:val="21"/>
                      <w:szCs w:val="21"/>
                    </w:rPr>
                    <w:t>），产值约3000万，工业用地增加值为7.5亿元/km</w:t>
                  </w:r>
                  <w:r>
                    <w:rPr>
                      <w:rFonts w:hint="eastAsia"/>
                      <w:sz w:val="21"/>
                      <w:szCs w:val="21"/>
                      <w:vertAlign w:val="superscript"/>
                    </w:rPr>
                    <w:t>2</w:t>
                  </w:r>
                  <w:r>
                    <w:rPr>
                      <w:rFonts w:hint="eastAsia"/>
                      <w:sz w:val="21"/>
                      <w:szCs w:val="21"/>
                    </w:rPr>
                    <w:t>，符合近期单位工业用地工业增加值的要求。</w:t>
                  </w:r>
                </w:p>
                <w:p w14:paraId="57B1224F">
                  <w:pPr>
                    <w:pStyle w:val="19"/>
                    <w:widowControl w:val="0"/>
                    <w:adjustRightInd/>
                    <w:snapToGrid/>
                    <w:spacing w:before="0" w:after="0" w:line="240" w:lineRule="auto"/>
                    <w:ind w:right="0"/>
                    <w:rPr>
                      <w:sz w:val="21"/>
                      <w:szCs w:val="21"/>
                    </w:rPr>
                  </w:pPr>
                  <w:r>
                    <w:rPr>
                      <w:rFonts w:hint="eastAsia"/>
                      <w:sz w:val="21"/>
                      <w:szCs w:val="21"/>
                    </w:rPr>
                    <w:t>2.</w:t>
                  </w:r>
                  <w:r>
                    <w:rPr>
                      <w:sz w:val="21"/>
                      <w:szCs w:val="21"/>
                    </w:rPr>
                    <w:t>水资源利用：</w:t>
                  </w:r>
                  <w:r>
                    <w:rPr>
                      <w:rFonts w:hint="eastAsia"/>
                      <w:sz w:val="21"/>
                      <w:szCs w:val="21"/>
                    </w:rPr>
                    <w:t>本项目工业用水重复利用率100%，达75%以上；本项目再生水量为10.63t/d，全部回用，再生水回用率100%，符合</w:t>
                  </w:r>
                  <w:r>
                    <w:rPr>
                      <w:sz w:val="21"/>
                      <w:szCs w:val="21"/>
                    </w:rPr>
                    <w:t>规划远期再生水（中水）回用率≥20%</w:t>
                  </w:r>
                  <w:r>
                    <w:rPr>
                      <w:rFonts w:hint="eastAsia"/>
                      <w:sz w:val="21"/>
                      <w:szCs w:val="21"/>
                    </w:rPr>
                    <w:t>；本项目新鲜水耗量35553m</w:t>
                  </w:r>
                  <w:r>
                    <w:rPr>
                      <w:rFonts w:hint="eastAsia"/>
                      <w:sz w:val="21"/>
                      <w:szCs w:val="21"/>
                      <w:vertAlign w:val="superscript"/>
                    </w:rPr>
                    <w:t>3</w:t>
                  </w:r>
                  <w:r>
                    <w:rPr>
                      <w:rFonts w:hint="eastAsia"/>
                      <w:sz w:val="21"/>
                      <w:szCs w:val="21"/>
                    </w:rPr>
                    <w:t>/a，则</w:t>
                  </w:r>
                  <w:r>
                    <w:rPr>
                      <w:sz w:val="21"/>
                      <w:szCs w:val="21"/>
                    </w:rPr>
                    <w:t>单位工业增加值新鲜水耗</w:t>
                  </w:r>
                  <w:r>
                    <w:rPr>
                      <w:rFonts w:hint="eastAsia"/>
                      <w:sz w:val="21"/>
                      <w:szCs w:val="21"/>
                    </w:rPr>
                    <w:t>为11.851m</w:t>
                  </w:r>
                  <w:r>
                    <w:rPr>
                      <w:rFonts w:hint="eastAsia"/>
                      <w:sz w:val="21"/>
                      <w:szCs w:val="21"/>
                      <w:vertAlign w:val="superscript"/>
                    </w:rPr>
                    <w:t>3</w:t>
                  </w:r>
                  <w:r>
                    <w:rPr>
                      <w:rFonts w:hint="eastAsia"/>
                      <w:sz w:val="21"/>
                      <w:szCs w:val="21"/>
                    </w:rPr>
                    <w:t>/万元，符合</w:t>
                  </w:r>
                  <w:r>
                    <w:rPr>
                      <w:sz w:val="21"/>
                      <w:szCs w:val="21"/>
                    </w:rPr>
                    <w:t>规划近期单位工业增加值新鲜水耗≤20m</w:t>
                  </w:r>
                  <w:r>
                    <w:rPr>
                      <w:sz w:val="21"/>
                      <w:szCs w:val="21"/>
                      <w:vertAlign w:val="superscript"/>
                    </w:rPr>
                    <w:t>3</w:t>
                  </w:r>
                  <w:r>
                    <w:rPr>
                      <w:sz w:val="21"/>
                      <w:szCs w:val="21"/>
                    </w:rPr>
                    <w:t>/万元</w:t>
                  </w:r>
                  <w:r>
                    <w:rPr>
                      <w:rFonts w:hint="eastAsia"/>
                      <w:sz w:val="21"/>
                      <w:szCs w:val="21"/>
                    </w:rPr>
                    <w:t>；本项目生活污水排放量为1680t/a，则</w:t>
                  </w:r>
                  <w:r>
                    <w:rPr>
                      <w:sz w:val="21"/>
                      <w:szCs w:val="21"/>
                    </w:rPr>
                    <w:t>单位工业增加值</w:t>
                  </w:r>
                  <w:r>
                    <w:rPr>
                      <w:rFonts w:hint="eastAsia"/>
                      <w:sz w:val="21"/>
                      <w:szCs w:val="21"/>
                    </w:rPr>
                    <w:t>废水排放量为0.56t/万元，符合</w:t>
                  </w:r>
                  <w:r>
                    <w:rPr>
                      <w:sz w:val="21"/>
                      <w:szCs w:val="21"/>
                    </w:rPr>
                    <w:t>规划近期、远期单位工业增加值废水排放量≤7吨/万元。</w:t>
                  </w:r>
                </w:p>
                <w:p w14:paraId="6034FD1A">
                  <w:pPr>
                    <w:pStyle w:val="9"/>
                    <w:jc w:val="both"/>
                    <w:rPr>
                      <w:szCs w:val="21"/>
                    </w:rPr>
                  </w:pPr>
                  <w:r>
                    <w:rPr>
                      <w:szCs w:val="21"/>
                    </w:rPr>
                    <w:t>3.能源利用总量及效率要求：电力</w:t>
                  </w:r>
                  <w:r>
                    <w:rPr>
                      <w:rFonts w:hint="eastAsia"/>
                      <w:szCs w:val="21"/>
                    </w:rPr>
                    <w:t>折算标煤系数0.1229</w:t>
                  </w:r>
                  <w:r>
                    <w:rPr>
                      <w:szCs w:val="21"/>
                    </w:rPr>
                    <w:t>kg/KW·</w:t>
                  </w:r>
                  <w:r>
                    <w:rPr>
                      <w:rFonts w:hint="eastAsia"/>
                      <w:szCs w:val="21"/>
                    </w:rPr>
                    <w:t>h-电</w:t>
                  </w:r>
                  <w:r>
                    <w:rPr>
                      <w:szCs w:val="21"/>
                    </w:rPr>
                    <w:t>、新水0.0857kg/t</w:t>
                  </w:r>
                  <w:r>
                    <w:rPr>
                      <w:rFonts w:hint="eastAsia"/>
                      <w:szCs w:val="21"/>
                    </w:rPr>
                    <w:t>-新水，</w:t>
                  </w:r>
                  <w:r>
                    <w:rPr>
                      <w:szCs w:val="21"/>
                    </w:rPr>
                    <w:t>本项目用电量</w:t>
                  </w:r>
                  <w:r>
                    <w:rPr>
                      <w:rFonts w:hint="eastAsia"/>
                      <w:szCs w:val="21"/>
                    </w:rPr>
                    <w:t>约</w:t>
                  </w:r>
                  <w:r>
                    <w:rPr>
                      <w:szCs w:val="21"/>
                    </w:rPr>
                    <w:t>100</w:t>
                  </w:r>
                  <w:r>
                    <w:rPr>
                      <w:rFonts w:hint="eastAsia"/>
                      <w:szCs w:val="21"/>
                    </w:rPr>
                    <w:t>万</w:t>
                  </w:r>
                  <w:r>
                    <w:rPr>
                      <w:szCs w:val="21"/>
                    </w:rPr>
                    <w:t>KW·h/a，</w:t>
                  </w:r>
                  <w:r>
                    <w:rPr>
                      <w:rFonts w:hint="eastAsia"/>
                      <w:szCs w:val="21"/>
                    </w:rPr>
                    <w:t>用水量约35553m</w:t>
                  </w:r>
                  <w:r>
                    <w:rPr>
                      <w:rFonts w:hint="eastAsia"/>
                      <w:szCs w:val="21"/>
                      <w:vertAlign w:val="superscript"/>
                    </w:rPr>
                    <w:t>3</w:t>
                  </w:r>
                  <w:r>
                    <w:rPr>
                      <w:rFonts w:hint="eastAsia"/>
                      <w:szCs w:val="21"/>
                    </w:rPr>
                    <w:t>/a，则</w:t>
                  </w:r>
                  <w:r>
                    <w:rPr>
                      <w:szCs w:val="21"/>
                    </w:rPr>
                    <w:t>综合能耗</w:t>
                  </w:r>
                  <w:r>
                    <w:rPr>
                      <w:rFonts w:hint="eastAsia"/>
                      <w:szCs w:val="21"/>
                    </w:rPr>
                    <w:t>折算成标煤为126吨标煤，</w:t>
                  </w:r>
                  <w:r>
                    <w:rPr>
                      <w:szCs w:val="21"/>
                    </w:rPr>
                    <w:t>工业增加值综合能耗</w:t>
                  </w:r>
                  <w:r>
                    <w:rPr>
                      <w:rFonts w:hint="eastAsia"/>
                      <w:szCs w:val="21"/>
                    </w:rPr>
                    <w:t>为0.042</w:t>
                  </w:r>
                  <w:r>
                    <w:rPr>
                      <w:szCs w:val="21"/>
                    </w:rPr>
                    <w:t>吨标煤/万元</w:t>
                  </w:r>
                  <w:r>
                    <w:rPr>
                      <w:rFonts w:hint="eastAsia"/>
                      <w:szCs w:val="21"/>
                    </w:rPr>
                    <w:t>，符合</w:t>
                  </w:r>
                  <w:r>
                    <w:rPr>
                      <w:szCs w:val="21"/>
                    </w:rPr>
                    <w:t>规划区规划远期单位工业增加值综合能耗不高于0.5吨标煤/万元</w:t>
                  </w:r>
                  <w:r>
                    <w:rPr>
                      <w:rFonts w:hint="eastAsia"/>
                      <w:szCs w:val="21"/>
                    </w:rPr>
                    <w:t>。</w:t>
                  </w:r>
                </w:p>
                <w:p w14:paraId="30B48971">
                  <w:pPr>
                    <w:rPr>
                      <w:szCs w:val="21"/>
                    </w:rPr>
                  </w:pPr>
                  <w:r>
                    <w:rPr>
                      <w:rFonts w:hint="eastAsia"/>
                      <w:szCs w:val="21"/>
                    </w:rPr>
                    <w:t>4.本项目不涉及供热锅炉。</w:t>
                  </w:r>
                </w:p>
                <w:p w14:paraId="6B54D92B">
                  <w:pPr>
                    <w:rPr>
                      <w:szCs w:val="21"/>
                    </w:rPr>
                  </w:pPr>
                  <w:r>
                    <w:rPr>
                      <w:rFonts w:hint="eastAsia"/>
                      <w:szCs w:val="21"/>
                    </w:rPr>
                    <w:t>5.本企业的单位土地强度、产出效益符合福建省、福州市及园区的要求。</w:t>
                  </w:r>
                </w:p>
              </w:tc>
            </w:tr>
          </w:tbl>
          <w:p w14:paraId="2E1844AF">
            <w:pPr>
              <w:spacing w:beforeLines="50"/>
              <w:jc w:val="center"/>
              <w:rPr>
                <w:b/>
                <w:bCs/>
                <w:sz w:val="24"/>
              </w:rPr>
            </w:pPr>
            <w:r>
              <w:rPr>
                <w:b/>
                <w:bCs/>
                <w:sz w:val="24"/>
              </w:rPr>
              <w:t>表1.1-</w:t>
            </w:r>
            <w:r>
              <w:rPr>
                <w:rFonts w:hint="eastAsia"/>
                <w:b/>
                <w:bCs/>
                <w:sz w:val="24"/>
              </w:rPr>
              <w:t>3</w:t>
            </w:r>
            <w:r>
              <w:rPr>
                <w:b/>
                <w:bCs/>
                <w:sz w:val="24"/>
              </w:rPr>
              <w:t xml:space="preserve">  与福州市“三线一单”符合性分析一览表</w:t>
            </w:r>
          </w:p>
          <w:tbl>
            <w:tblPr>
              <w:tblStyle w:val="34"/>
              <w:tblW w:w="139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1211"/>
              <w:gridCol w:w="1063"/>
              <w:gridCol w:w="5913"/>
              <w:gridCol w:w="4085"/>
            </w:tblGrid>
            <w:tr w14:paraId="2FB98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8" w:type="dxa"/>
                  <w:gridSpan w:val="2"/>
                  <w:tcBorders>
                    <w:tl2br w:val="nil"/>
                    <w:tr2bl w:val="nil"/>
                  </w:tcBorders>
                  <w:vAlign w:val="center"/>
                </w:tcPr>
                <w:p w14:paraId="0647BBB6">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适用范围</w:t>
                  </w:r>
                </w:p>
              </w:tc>
              <w:tc>
                <w:tcPr>
                  <w:tcW w:w="6976" w:type="dxa"/>
                  <w:gridSpan w:val="2"/>
                  <w:tcBorders>
                    <w:tl2br w:val="nil"/>
                    <w:tr2bl w:val="nil"/>
                  </w:tcBorders>
                  <w:vAlign w:val="center"/>
                </w:tcPr>
                <w:p w14:paraId="50FDD859">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准入要求</w:t>
                  </w:r>
                </w:p>
              </w:tc>
              <w:tc>
                <w:tcPr>
                  <w:tcW w:w="4085" w:type="dxa"/>
                  <w:tcBorders>
                    <w:tl2br w:val="nil"/>
                    <w:tr2bl w:val="nil"/>
                  </w:tcBorders>
                  <w:vAlign w:val="center"/>
                </w:tcPr>
                <w:p w14:paraId="2EDC90E1">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符合性分析</w:t>
                  </w:r>
                </w:p>
              </w:tc>
            </w:tr>
            <w:tr w14:paraId="626FF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7" w:type="dxa"/>
                  <w:vMerge w:val="restart"/>
                  <w:tcBorders>
                    <w:tl2br w:val="nil"/>
                    <w:tr2bl w:val="nil"/>
                  </w:tcBorders>
                  <w:vAlign w:val="center"/>
                </w:tcPr>
                <w:p w14:paraId="6722FDBB">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福州市陆域</w:t>
                  </w:r>
                </w:p>
              </w:tc>
              <w:tc>
                <w:tcPr>
                  <w:tcW w:w="1211" w:type="dxa"/>
                  <w:vMerge w:val="restart"/>
                  <w:tcBorders>
                    <w:tl2br w:val="nil"/>
                    <w:tr2bl w:val="nil"/>
                  </w:tcBorders>
                  <w:vAlign w:val="center"/>
                </w:tcPr>
                <w:p w14:paraId="7900FCA3">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区域总体管控</w:t>
                  </w:r>
                </w:p>
              </w:tc>
              <w:tc>
                <w:tcPr>
                  <w:tcW w:w="1063" w:type="dxa"/>
                  <w:tcBorders>
                    <w:tl2br w:val="nil"/>
                    <w:tr2bl w:val="nil"/>
                  </w:tcBorders>
                  <w:vAlign w:val="center"/>
                </w:tcPr>
                <w:p w14:paraId="107DE2A4">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空间布局约束</w:t>
                  </w:r>
                </w:p>
              </w:tc>
              <w:tc>
                <w:tcPr>
                  <w:tcW w:w="5913" w:type="dxa"/>
                  <w:tcBorders>
                    <w:tl2br w:val="nil"/>
                    <w:tr2bl w:val="nil"/>
                  </w:tcBorders>
                  <w:vAlign w:val="center"/>
                </w:tcPr>
                <w:p w14:paraId="2B31E389">
                  <w:pPr>
                    <w:pStyle w:val="29"/>
                    <w:widowControl w:val="0"/>
                    <w:spacing w:before="0" w:beforeAutospacing="0" w:after="0" w:afterAutospacing="0"/>
                    <w:jc w:val="both"/>
                    <w:rPr>
                      <w:rFonts w:ascii="Times New Roman" w:hAnsi="Times New Roman"/>
                      <w:kern w:val="2"/>
                      <w:sz w:val="21"/>
                      <w:szCs w:val="21"/>
                    </w:rPr>
                  </w:pPr>
                  <w:r>
                    <w:rPr>
                      <w:rFonts w:ascii="Times New Roman" w:hAnsi="Times New Roman"/>
                      <w:kern w:val="2"/>
                      <w:sz w:val="21"/>
                      <w:szCs w:val="21"/>
                    </w:rPr>
                    <w:t>1、福州市石化中上游项目重点在福州江阴港城经济区、可门港经济区化工新材料产业园布局。</w:t>
                  </w:r>
                </w:p>
                <w:p w14:paraId="42A859A8">
                  <w:pPr>
                    <w:pStyle w:val="29"/>
                    <w:widowControl w:val="0"/>
                    <w:spacing w:before="0" w:beforeAutospacing="0" w:after="0" w:afterAutospacing="0"/>
                    <w:jc w:val="both"/>
                    <w:rPr>
                      <w:rFonts w:ascii="Times New Roman" w:hAnsi="Times New Roman"/>
                      <w:kern w:val="2"/>
                      <w:sz w:val="21"/>
                      <w:szCs w:val="21"/>
                    </w:rPr>
                  </w:pPr>
                  <w:r>
                    <w:rPr>
                      <w:rFonts w:ascii="Times New Roman" w:hAnsi="Times New Roman"/>
                      <w:kern w:val="2"/>
                      <w:sz w:val="21"/>
                      <w:szCs w:val="21"/>
                    </w:rPr>
                    <w:t>2、禁止在闽江马尾罗星塔以上流域范围新、扩建制革项目，严控新（扩）建植物制浆、印染、合成革及人造革、电镀项目。</w:t>
                  </w:r>
                </w:p>
                <w:p w14:paraId="094BBABA">
                  <w:pPr>
                    <w:pStyle w:val="29"/>
                    <w:widowControl w:val="0"/>
                    <w:spacing w:before="0" w:beforeAutospacing="0" w:after="0" w:afterAutospacing="0"/>
                    <w:jc w:val="both"/>
                    <w:rPr>
                      <w:rFonts w:ascii="Times New Roman" w:hAnsi="Times New Roman"/>
                      <w:kern w:val="2"/>
                      <w:sz w:val="21"/>
                      <w:szCs w:val="21"/>
                    </w:rPr>
                  </w:pPr>
                  <w:r>
                    <w:rPr>
                      <w:rFonts w:ascii="Times New Roman" w:hAnsi="Times New Roman"/>
                      <w:kern w:val="2"/>
                      <w:sz w:val="21"/>
                      <w:szCs w:val="21"/>
                    </w:rPr>
                    <w:t>3、禁止在通风廊道和主导风向的上风向布局大气重污染企业，推进建成区大气重污染企业搬迁或升级改造、环境风险企业搬迁或关闭退出。</w:t>
                  </w:r>
                </w:p>
                <w:p w14:paraId="6183FF54">
                  <w:pPr>
                    <w:pStyle w:val="29"/>
                    <w:widowControl w:val="0"/>
                    <w:spacing w:before="0" w:beforeAutospacing="0" w:after="0" w:afterAutospacing="0"/>
                    <w:jc w:val="both"/>
                    <w:rPr>
                      <w:rFonts w:ascii="Times New Roman" w:hAnsi="Times New Roman"/>
                      <w:kern w:val="2"/>
                      <w:sz w:val="21"/>
                      <w:szCs w:val="21"/>
                    </w:rPr>
                  </w:pPr>
                  <w:r>
                    <w:rPr>
                      <w:rFonts w:ascii="Times New Roman" w:hAnsi="Times New Roman"/>
                      <w:kern w:val="2"/>
                      <w:sz w:val="21"/>
                      <w:szCs w:val="21"/>
                    </w:rPr>
                    <w:t>4、禁止新、改、扩建生产高VOCs含量有机溶剂型涂料、油墨和胶黏剂的项目。</w:t>
                  </w:r>
                </w:p>
                <w:p w14:paraId="119F45C1">
                  <w:pPr>
                    <w:pStyle w:val="29"/>
                    <w:widowControl w:val="0"/>
                    <w:spacing w:before="0" w:beforeAutospacing="0" w:after="0" w:afterAutospacing="0"/>
                    <w:jc w:val="both"/>
                    <w:rPr>
                      <w:rFonts w:ascii="Times New Roman" w:hAnsi="Times New Roman"/>
                      <w:kern w:val="2"/>
                      <w:sz w:val="21"/>
                      <w:szCs w:val="21"/>
                    </w:rPr>
                  </w:pPr>
                  <w:r>
                    <w:rPr>
                      <w:rFonts w:ascii="Times New Roman" w:hAnsi="Times New Roman"/>
                      <w:kern w:val="2"/>
                      <w:sz w:val="21"/>
                      <w:szCs w:val="21"/>
                    </w:rPr>
                    <w:t>5、持续加强闽清等地建陶产业的环境综合治理，充分衔接国土空间规划和生态环境分区管控，并对照产业政策、城市总体发展规划等要求，进一步明确发展定位，优化产业布局和规模。</w:t>
                  </w:r>
                </w:p>
                <w:p w14:paraId="146AB4B0">
                  <w:pPr>
                    <w:pStyle w:val="29"/>
                    <w:widowControl w:val="0"/>
                    <w:spacing w:before="0" w:beforeAutospacing="0" w:after="0" w:afterAutospacing="0"/>
                    <w:jc w:val="both"/>
                    <w:rPr>
                      <w:rFonts w:ascii="Times New Roman" w:hAnsi="Times New Roman"/>
                      <w:kern w:val="2"/>
                      <w:sz w:val="21"/>
                      <w:szCs w:val="21"/>
                    </w:rPr>
                  </w:pPr>
                  <w:r>
                    <w:rPr>
                      <w:rFonts w:ascii="Times New Roman" w:hAnsi="Times New Roman"/>
                      <w:kern w:val="2"/>
                      <w:sz w:val="21"/>
                      <w:szCs w:val="21"/>
                    </w:rPr>
                    <w:t>6、新建、扩建的涉及重点重金属污染物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695337C0">
                  <w:pPr>
                    <w:pStyle w:val="29"/>
                    <w:widowControl w:val="0"/>
                    <w:spacing w:before="0" w:beforeAutospacing="0" w:after="0" w:afterAutospacing="0"/>
                    <w:jc w:val="both"/>
                    <w:rPr>
                      <w:rFonts w:ascii="Times New Roman" w:hAnsi="Times New Roman"/>
                      <w:kern w:val="2"/>
                      <w:sz w:val="21"/>
                      <w:szCs w:val="21"/>
                    </w:rPr>
                  </w:pPr>
                  <w:r>
                    <w:rPr>
                      <w:rFonts w:ascii="Times New Roman" w:hAnsi="Times New Roman"/>
                      <w:kern w:val="2"/>
                      <w:sz w:val="21"/>
                      <w:szCs w:val="21"/>
                    </w:rPr>
                    <w:t>7、禁止在流域上游新建、扩建重污染企业和项目。</w:t>
                  </w:r>
                </w:p>
                <w:p w14:paraId="7157EFF8">
                  <w:pPr>
                    <w:pStyle w:val="29"/>
                    <w:widowControl w:val="0"/>
                    <w:spacing w:before="0" w:beforeAutospacing="0" w:after="0" w:afterAutospacing="0"/>
                    <w:jc w:val="both"/>
                    <w:rPr>
                      <w:rFonts w:ascii="Times New Roman" w:hAnsi="Times New Roman"/>
                      <w:kern w:val="2"/>
                      <w:sz w:val="21"/>
                      <w:szCs w:val="21"/>
                    </w:rPr>
                  </w:pPr>
                  <w:r>
                    <w:rPr>
                      <w:rFonts w:ascii="Times New Roman" w:hAnsi="Times New Roman"/>
                      <w:kern w:val="2"/>
                      <w:sz w:val="21"/>
                      <w:szCs w:val="21"/>
                    </w:rPr>
                    <w:t>8、重要敏感水体及富营养化湖库生态缓冲带除相关政府部门批准的科学研究活动外，禁止其它可能对保护区构成危害或不良影响的大规模生产、建设活动。</w:t>
                  </w:r>
                </w:p>
                <w:p w14:paraId="295B8798">
                  <w:pPr>
                    <w:pStyle w:val="29"/>
                    <w:widowControl w:val="0"/>
                    <w:spacing w:before="0" w:beforeAutospacing="0" w:after="0" w:afterAutospacing="0"/>
                    <w:jc w:val="both"/>
                    <w:rPr>
                      <w:rFonts w:ascii="Times New Roman" w:hAnsi="Times New Roman"/>
                      <w:kern w:val="2"/>
                      <w:sz w:val="21"/>
                      <w:szCs w:val="21"/>
                    </w:rPr>
                  </w:pPr>
                  <w:r>
                    <w:rPr>
                      <w:rFonts w:ascii="Times New Roman" w:hAnsi="Times New Roman"/>
                      <w:kern w:val="2"/>
                      <w:sz w:val="21"/>
                      <w:szCs w:val="21"/>
                    </w:rPr>
                    <w:t>9、新、改、扩建煤电、钢铁、建材、石化、化工等“两高”项目，严格落实国家、省、市产业规划、产业政策、“三线一单”、规划环评，以及产能置换、煤炭消费减量替代、区域污染削减等相关要求。</w:t>
                  </w:r>
                </w:p>
              </w:tc>
              <w:tc>
                <w:tcPr>
                  <w:tcW w:w="4085" w:type="dxa"/>
                  <w:tcBorders>
                    <w:tl2br w:val="nil"/>
                    <w:tr2bl w:val="nil"/>
                  </w:tcBorders>
                  <w:vAlign w:val="center"/>
                </w:tcPr>
                <w:p w14:paraId="34B6A97A">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1.</w:t>
                  </w:r>
                  <w:r>
                    <w:rPr>
                      <w:rFonts w:ascii="Times New Roman" w:hAnsi="Times New Roman"/>
                      <w:kern w:val="2"/>
                      <w:sz w:val="21"/>
                      <w:szCs w:val="21"/>
                    </w:rPr>
                    <w:t>本项目位于福州江阴港城经济区东部临港产业区</w:t>
                  </w:r>
                  <w:r>
                    <w:rPr>
                      <w:rFonts w:hint="eastAsia" w:ascii="Times New Roman" w:hAnsi="Times New Roman"/>
                      <w:kern w:val="2"/>
                      <w:sz w:val="21"/>
                      <w:szCs w:val="21"/>
                    </w:rPr>
                    <w:t>。</w:t>
                  </w:r>
                </w:p>
                <w:p w14:paraId="3B1058BD">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2.本项目属于迁建</w:t>
                  </w:r>
                  <w:r>
                    <w:rPr>
                      <w:rFonts w:ascii="Times New Roman" w:hAnsi="Times New Roman"/>
                      <w:kern w:val="2"/>
                      <w:sz w:val="21"/>
                      <w:szCs w:val="21"/>
                    </w:rPr>
                    <w:t>项目，产品为</w:t>
                  </w:r>
                  <w:r>
                    <w:rPr>
                      <w:rFonts w:hint="eastAsia" w:ascii="Times New Roman" w:hAnsi="Times New Roman"/>
                      <w:kern w:val="2"/>
                      <w:sz w:val="21"/>
                      <w:szCs w:val="21"/>
                    </w:rPr>
                    <w:t>水泥制品（水泥顶管、水泥排水管、检查井），</w:t>
                  </w:r>
                  <w:r>
                    <w:rPr>
                      <w:rFonts w:ascii="Times New Roman" w:hAnsi="Times New Roman"/>
                      <w:kern w:val="2"/>
                      <w:sz w:val="21"/>
                      <w:szCs w:val="21"/>
                    </w:rPr>
                    <w:t>不属于植物制浆、印染、合成革及人造革、电镀</w:t>
                  </w:r>
                  <w:r>
                    <w:rPr>
                      <w:rFonts w:hint="eastAsia" w:ascii="Times New Roman" w:hAnsi="Times New Roman"/>
                      <w:kern w:val="2"/>
                      <w:sz w:val="21"/>
                      <w:szCs w:val="21"/>
                    </w:rPr>
                    <w:t>项目。</w:t>
                  </w:r>
                </w:p>
                <w:p w14:paraId="345D1FB5">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3.本项目位于福清市主导风向的下风向，也不属于大气重污染企业。</w:t>
                  </w:r>
                </w:p>
                <w:p w14:paraId="43FF2085">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4.本项目</w:t>
                  </w:r>
                  <w:r>
                    <w:rPr>
                      <w:rFonts w:ascii="Times New Roman" w:hAnsi="Times New Roman"/>
                      <w:kern w:val="2"/>
                      <w:sz w:val="21"/>
                      <w:szCs w:val="21"/>
                    </w:rPr>
                    <w:t>产品为</w:t>
                  </w:r>
                  <w:r>
                    <w:rPr>
                      <w:rFonts w:hint="eastAsia" w:ascii="Times New Roman" w:hAnsi="Times New Roman"/>
                      <w:kern w:val="2"/>
                      <w:sz w:val="21"/>
                      <w:szCs w:val="21"/>
                    </w:rPr>
                    <w:t>水泥制品（水泥顶管、水泥排水管、检查井），不属于生产高VOCs含量有机溶剂型涂料、油墨和胶黏剂项目。</w:t>
                  </w:r>
                </w:p>
                <w:p w14:paraId="142C7EA6">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5.本项目位于福清市，也不属于建陶产业。</w:t>
                  </w:r>
                </w:p>
                <w:p w14:paraId="6A38458C">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6.本项目</w:t>
                  </w:r>
                  <w:r>
                    <w:rPr>
                      <w:rFonts w:ascii="Times New Roman" w:hAnsi="Times New Roman"/>
                      <w:kern w:val="2"/>
                      <w:sz w:val="21"/>
                      <w:szCs w:val="21"/>
                    </w:rPr>
                    <w:t>产品为</w:t>
                  </w:r>
                  <w:r>
                    <w:rPr>
                      <w:rFonts w:hint="eastAsia" w:ascii="Times New Roman" w:hAnsi="Times New Roman"/>
                      <w:kern w:val="2"/>
                      <w:sz w:val="21"/>
                      <w:szCs w:val="21"/>
                    </w:rPr>
                    <w:t>水泥制品（水泥顶管、水泥排水管、检查井），不属于</w:t>
                  </w:r>
                  <w:r>
                    <w:rPr>
                      <w:rFonts w:ascii="Times New Roman" w:hAnsi="Times New Roman"/>
                      <w:kern w:val="2"/>
                      <w:sz w:val="21"/>
                      <w:szCs w:val="21"/>
                    </w:rPr>
                    <w:t>涉及重点重金属污染物的有色金属冶炼、电镀、制革、铅蓄电池制造企业</w:t>
                  </w:r>
                  <w:r>
                    <w:rPr>
                      <w:rFonts w:hint="eastAsia" w:ascii="Times New Roman" w:hAnsi="Times New Roman"/>
                      <w:kern w:val="2"/>
                      <w:sz w:val="21"/>
                      <w:szCs w:val="21"/>
                    </w:rPr>
                    <w:t>。</w:t>
                  </w:r>
                </w:p>
                <w:p w14:paraId="7020FE9F">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7.本项目位于</w:t>
                  </w:r>
                  <w:r>
                    <w:rPr>
                      <w:rFonts w:ascii="Times New Roman" w:hAnsi="Times New Roman"/>
                      <w:kern w:val="2"/>
                      <w:sz w:val="21"/>
                      <w:szCs w:val="21"/>
                    </w:rPr>
                    <w:t>福州江阴港城经济区东部临港产业区，</w:t>
                  </w:r>
                  <w:r>
                    <w:rPr>
                      <w:rFonts w:hint="eastAsia" w:ascii="Times New Roman" w:hAnsi="Times New Roman"/>
                      <w:kern w:val="2"/>
                      <w:sz w:val="21"/>
                      <w:szCs w:val="21"/>
                    </w:rPr>
                    <w:t>附近水域为占泽渠，附近海域为兴化湾，不属于流域上游。</w:t>
                  </w:r>
                </w:p>
                <w:p w14:paraId="7D762C4C">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8.本项目附近水域为占泽渠，附近海域为兴化湾，不属于</w:t>
                  </w:r>
                  <w:r>
                    <w:rPr>
                      <w:rFonts w:ascii="Times New Roman" w:hAnsi="Times New Roman"/>
                      <w:kern w:val="2"/>
                      <w:sz w:val="21"/>
                      <w:szCs w:val="21"/>
                    </w:rPr>
                    <w:t>重要敏感水体及富营养化湖库生态缓冲带</w:t>
                  </w:r>
                  <w:r>
                    <w:rPr>
                      <w:rFonts w:hint="eastAsia" w:ascii="Times New Roman" w:hAnsi="Times New Roman"/>
                      <w:kern w:val="2"/>
                      <w:sz w:val="21"/>
                      <w:szCs w:val="21"/>
                    </w:rPr>
                    <w:t>。</w:t>
                  </w:r>
                </w:p>
                <w:p w14:paraId="37B1F40A">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9.本项目</w:t>
                  </w:r>
                  <w:r>
                    <w:rPr>
                      <w:rFonts w:ascii="Times New Roman" w:hAnsi="Times New Roman"/>
                      <w:kern w:val="2"/>
                      <w:sz w:val="21"/>
                      <w:szCs w:val="21"/>
                    </w:rPr>
                    <w:t>属于</w:t>
                  </w:r>
                  <w:r>
                    <w:rPr>
                      <w:rFonts w:hint="eastAsia" w:ascii="Times New Roman" w:hAnsi="Times New Roman"/>
                      <w:kern w:val="2"/>
                      <w:sz w:val="21"/>
                      <w:szCs w:val="21"/>
                    </w:rPr>
                    <w:t>C3021水泥制品</w:t>
                  </w:r>
                  <w:r>
                    <w:rPr>
                      <w:rFonts w:ascii="Times New Roman" w:hAnsi="Times New Roman"/>
                      <w:kern w:val="2"/>
                      <w:sz w:val="21"/>
                      <w:szCs w:val="21"/>
                    </w:rPr>
                    <w:t>，</w:t>
                  </w:r>
                  <w:r>
                    <w:rPr>
                      <w:rFonts w:hint="eastAsia" w:ascii="Times New Roman" w:hAnsi="Times New Roman"/>
                      <w:kern w:val="2"/>
                      <w:sz w:val="21"/>
                      <w:szCs w:val="21"/>
                    </w:rPr>
                    <w:t>不属于</w:t>
                  </w:r>
                  <w:r>
                    <w:rPr>
                      <w:rFonts w:ascii="Times New Roman" w:hAnsi="Times New Roman"/>
                      <w:kern w:val="2"/>
                      <w:sz w:val="21"/>
                      <w:szCs w:val="21"/>
                    </w:rPr>
                    <w:t>煤电、钢铁、建材、石化、化工等“两高”项目</w:t>
                  </w:r>
                  <w:r>
                    <w:rPr>
                      <w:rFonts w:hint="eastAsia" w:ascii="Times New Roman" w:hAnsi="Times New Roman"/>
                      <w:kern w:val="2"/>
                      <w:sz w:val="21"/>
                      <w:szCs w:val="21"/>
                    </w:rPr>
                    <w:t>。</w:t>
                  </w:r>
                </w:p>
              </w:tc>
            </w:tr>
            <w:tr w14:paraId="22439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7" w:type="dxa"/>
                  <w:vMerge w:val="continue"/>
                  <w:tcBorders>
                    <w:tl2br w:val="nil"/>
                    <w:tr2bl w:val="nil"/>
                  </w:tcBorders>
                  <w:vAlign w:val="center"/>
                </w:tcPr>
                <w:p w14:paraId="2D03CD60">
                  <w:pPr>
                    <w:pStyle w:val="29"/>
                    <w:widowControl w:val="0"/>
                    <w:spacing w:before="0" w:beforeAutospacing="0" w:after="0" w:afterAutospacing="0"/>
                    <w:jc w:val="center"/>
                    <w:rPr>
                      <w:rFonts w:ascii="Times New Roman" w:hAnsi="Times New Roman"/>
                      <w:kern w:val="2"/>
                      <w:sz w:val="21"/>
                      <w:szCs w:val="21"/>
                    </w:rPr>
                  </w:pPr>
                </w:p>
              </w:tc>
              <w:tc>
                <w:tcPr>
                  <w:tcW w:w="1211" w:type="dxa"/>
                  <w:vMerge w:val="continue"/>
                  <w:tcBorders>
                    <w:tl2br w:val="nil"/>
                    <w:tr2bl w:val="nil"/>
                  </w:tcBorders>
                  <w:vAlign w:val="center"/>
                </w:tcPr>
                <w:p w14:paraId="438466AB">
                  <w:pPr>
                    <w:pStyle w:val="29"/>
                    <w:widowControl w:val="0"/>
                    <w:spacing w:before="0" w:beforeAutospacing="0" w:after="0" w:afterAutospacing="0"/>
                    <w:jc w:val="center"/>
                    <w:rPr>
                      <w:rFonts w:ascii="Times New Roman" w:hAnsi="Times New Roman"/>
                      <w:kern w:val="2"/>
                      <w:sz w:val="21"/>
                      <w:szCs w:val="21"/>
                    </w:rPr>
                  </w:pPr>
                </w:p>
              </w:tc>
              <w:tc>
                <w:tcPr>
                  <w:tcW w:w="1063" w:type="dxa"/>
                  <w:tcBorders>
                    <w:tl2br w:val="nil"/>
                    <w:tr2bl w:val="nil"/>
                  </w:tcBorders>
                  <w:vAlign w:val="center"/>
                </w:tcPr>
                <w:p w14:paraId="7650FF3E">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污染物排放管控</w:t>
                  </w:r>
                </w:p>
              </w:tc>
              <w:tc>
                <w:tcPr>
                  <w:tcW w:w="5913" w:type="dxa"/>
                  <w:tcBorders>
                    <w:tl2br w:val="nil"/>
                    <w:tr2bl w:val="nil"/>
                  </w:tcBorders>
                  <w:vAlign w:val="center"/>
                </w:tcPr>
                <w:p w14:paraId="197D3A67">
                  <w:pPr>
                    <w:pStyle w:val="29"/>
                    <w:widowControl w:val="0"/>
                    <w:spacing w:before="0" w:beforeAutospacing="0" w:after="0" w:afterAutospacing="0"/>
                    <w:jc w:val="both"/>
                    <w:rPr>
                      <w:rFonts w:ascii="Times New Roman" w:hAnsi="Times New Roman"/>
                      <w:kern w:val="2"/>
                      <w:sz w:val="21"/>
                      <w:szCs w:val="21"/>
                    </w:rPr>
                  </w:pPr>
                  <w:r>
                    <w:rPr>
                      <w:rFonts w:hint="eastAsia" w:ascii="Times New Roman" w:hAnsi="Times New Roman"/>
                      <w:kern w:val="2"/>
                      <w:sz w:val="21"/>
                      <w:szCs w:val="21"/>
                    </w:rPr>
                    <w:t>1、</w:t>
                  </w:r>
                  <w:r>
                    <w:rPr>
                      <w:rFonts w:ascii="Times New Roman" w:hAnsi="Times New Roman"/>
                      <w:kern w:val="2"/>
                      <w:sz w:val="21"/>
                      <w:szCs w:val="21"/>
                    </w:rPr>
                    <w:t>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2346E4B3">
                  <w:pPr>
                    <w:pStyle w:val="29"/>
                    <w:widowControl w:val="0"/>
                    <w:spacing w:before="0" w:beforeAutospacing="0" w:after="0" w:afterAutospacing="0"/>
                    <w:jc w:val="both"/>
                    <w:rPr>
                      <w:rFonts w:ascii="Times New Roman" w:hAnsi="Times New Roman"/>
                      <w:kern w:val="2"/>
                      <w:sz w:val="21"/>
                      <w:szCs w:val="21"/>
                    </w:rPr>
                  </w:pPr>
                  <w:r>
                    <w:rPr>
                      <w:rFonts w:hint="eastAsia" w:ascii="Times New Roman" w:hAnsi="Times New Roman"/>
                      <w:kern w:val="2"/>
                      <w:sz w:val="21"/>
                      <w:szCs w:val="21"/>
                    </w:rPr>
                    <w:t>2、新、改、扩建涉VOCs排放项目污染物排放量应满足《福州市“十四五”空气质量持续改善计划》（榕环保综〔2023〕40 号），应从源头加强控制，使用低（无）VOCs含量的原辅材料</w:t>
                  </w:r>
                  <w:r>
                    <w:rPr>
                      <w:rFonts w:ascii="Times New Roman" w:hAnsi="Times New Roman"/>
                      <w:kern w:val="2"/>
                      <w:sz w:val="21"/>
                      <w:szCs w:val="21"/>
                    </w:rPr>
                    <w:t>。</w:t>
                  </w:r>
                </w:p>
                <w:p w14:paraId="417248E9">
                  <w:pPr>
                    <w:pStyle w:val="29"/>
                    <w:widowControl w:val="0"/>
                    <w:spacing w:before="0" w:beforeAutospacing="0" w:after="0" w:afterAutospacing="0"/>
                    <w:jc w:val="both"/>
                    <w:rPr>
                      <w:rFonts w:ascii="Times New Roman" w:hAnsi="Times New Roman"/>
                      <w:kern w:val="2"/>
                      <w:sz w:val="21"/>
                      <w:szCs w:val="21"/>
                    </w:rPr>
                  </w:pPr>
                  <w:r>
                    <w:rPr>
                      <w:rFonts w:hint="eastAsia" w:ascii="Times New Roman" w:hAnsi="Times New Roman"/>
                      <w:kern w:val="2"/>
                      <w:sz w:val="21"/>
                      <w:szCs w:val="21"/>
                    </w:rPr>
                    <w:t>3、</w:t>
                  </w:r>
                  <w:r>
                    <w:rPr>
                      <w:rFonts w:ascii="Times New Roman" w:hAnsi="Times New Roman"/>
                      <w:kern w:val="2"/>
                      <w:sz w:val="21"/>
                      <w:szCs w:val="21"/>
                    </w:rPr>
                    <w:t>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4AF05176">
                  <w:pPr>
                    <w:pStyle w:val="29"/>
                    <w:widowControl w:val="0"/>
                    <w:spacing w:before="0" w:beforeAutospacing="0" w:after="0" w:afterAutospacing="0"/>
                    <w:jc w:val="both"/>
                    <w:rPr>
                      <w:rFonts w:ascii="Times New Roman" w:hAnsi="Times New Roman"/>
                      <w:kern w:val="2"/>
                      <w:sz w:val="21"/>
                      <w:szCs w:val="21"/>
                    </w:rPr>
                  </w:pPr>
                  <w:r>
                    <w:rPr>
                      <w:rFonts w:hint="eastAsia" w:ascii="Times New Roman" w:hAnsi="Times New Roman"/>
                      <w:kern w:val="2"/>
                      <w:sz w:val="21"/>
                      <w:szCs w:val="21"/>
                    </w:rPr>
                    <w:t>4、</w:t>
                  </w:r>
                  <w:r>
                    <w:rPr>
                      <w:rFonts w:ascii="Times New Roman" w:hAnsi="Times New Roman"/>
                      <w:kern w:val="2"/>
                      <w:sz w:val="21"/>
                      <w:szCs w:val="21"/>
                    </w:rPr>
                    <w:t>氟化工、印染、电镀等行业企业实行水污染物特别排放限值。</w:t>
                  </w:r>
                </w:p>
                <w:p w14:paraId="02B79AF5">
                  <w:pPr>
                    <w:pStyle w:val="29"/>
                    <w:widowControl w:val="0"/>
                    <w:spacing w:before="0" w:beforeAutospacing="0" w:after="0" w:afterAutospacing="0"/>
                    <w:jc w:val="both"/>
                    <w:rPr>
                      <w:rFonts w:ascii="Times New Roman" w:hAnsi="Times New Roman"/>
                      <w:kern w:val="2"/>
                      <w:sz w:val="21"/>
                      <w:szCs w:val="21"/>
                    </w:rPr>
                  </w:pPr>
                  <w:r>
                    <w:rPr>
                      <w:rFonts w:hint="eastAsia" w:ascii="Times New Roman" w:hAnsi="Times New Roman"/>
                      <w:kern w:val="2"/>
                      <w:sz w:val="21"/>
                      <w:szCs w:val="21"/>
                    </w:rPr>
                    <w:t>5、</w:t>
                  </w:r>
                  <w:r>
                    <w:rPr>
                      <w:rFonts w:ascii="Times New Roman" w:hAnsi="Times New Roman"/>
                      <w:kern w:val="2"/>
                      <w:sz w:val="21"/>
                      <w:szCs w:val="21"/>
                    </w:rPr>
                    <w:t>新、改、扩建重点行业建设项目要遵循重点重金属污染物排放“等量替代”原则，总量来源原则上应是同一重点行业内的削减量，当同一重点行业无法满足时可从其他重点行业调剂。</w:t>
                  </w:r>
                </w:p>
                <w:p w14:paraId="06DDF1A0">
                  <w:pPr>
                    <w:pStyle w:val="29"/>
                    <w:widowControl w:val="0"/>
                    <w:spacing w:before="0" w:beforeAutospacing="0" w:after="0" w:afterAutospacing="0"/>
                    <w:jc w:val="both"/>
                    <w:rPr>
                      <w:rFonts w:ascii="Times New Roman" w:hAnsi="Times New Roman"/>
                      <w:kern w:val="2"/>
                      <w:sz w:val="21"/>
                      <w:szCs w:val="21"/>
                    </w:rPr>
                  </w:pPr>
                  <w:r>
                    <w:rPr>
                      <w:rFonts w:hint="eastAsia" w:ascii="Times New Roman" w:hAnsi="Times New Roman"/>
                      <w:kern w:val="2"/>
                      <w:sz w:val="21"/>
                      <w:szCs w:val="21"/>
                    </w:rPr>
                    <w:t>6、</w:t>
                  </w:r>
                  <w:r>
                    <w:rPr>
                      <w:rFonts w:ascii="Times New Roman" w:hAnsi="Times New Roman"/>
                      <w:kern w:val="2"/>
                      <w:sz w:val="21"/>
                      <w:szCs w:val="21"/>
                    </w:rPr>
                    <w:t>每小时35（含）—65蒸吨燃煤锅炉和位于县级及以上城市建成区内保留的燃煤、燃油、燃生物质锅炉，原则上2024年底前必须全面实现超低排放。</w:t>
                  </w:r>
                </w:p>
                <w:p w14:paraId="300AADC8">
                  <w:pPr>
                    <w:pStyle w:val="29"/>
                    <w:widowControl w:val="0"/>
                    <w:spacing w:before="0" w:beforeAutospacing="0" w:after="0" w:afterAutospacing="0"/>
                    <w:jc w:val="both"/>
                    <w:rPr>
                      <w:rFonts w:ascii="Times New Roman" w:hAnsi="Times New Roman"/>
                      <w:kern w:val="2"/>
                      <w:sz w:val="21"/>
                      <w:szCs w:val="21"/>
                    </w:rPr>
                  </w:pPr>
                  <w:r>
                    <w:rPr>
                      <w:rFonts w:hint="eastAsia" w:ascii="Times New Roman" w:hAnsi="Times New Roman"/>
                      <w:kern w:val="2"/>
                      <w:sz w:val="21"/>
                      <w:szCs w:val="21"/>
                    </w:rPr>
                    <w:t>7、</w:t>
                  </w:r>
                  <w:r>
                    <w:rPr>
                      <w:rFonts w:ascii="Times New Roman" w:hAnsi="Times New Roman"/>
                      <w:kern w:val="2"/>
                      <w:sz w:val="21"/>
                      <w:szCs w:val="21"/>
                    </w:rPr>
                    <w:t>水泥行业新改扩建项目严格对照超低排放、能效标杆水平建设实施；现有项目超低排放改造应按文件（闽环规〔2023〕2号）的时限要求分步推进，2025年底前全面完成。</w:t>
                  </w:r>
                </w:p>
                <w:p w14:paraId="2968CCC3">
                  <w:pPr>
                    <w:pStyle w:val="29"/>
                    <w:widowControl w:val="0"/>
                    <w:spacing w:before="0" w:beforeAutospacing="0" w:after="0" w:afterAutospacing="0"/>
                    <w:jc w:val="both"/>
                    <w:rPr>
                      <w:rFonts w:ascii="Times New Roman" w:hAnsi="Times New Roman"/>
                      <w:kern w:val="2"/>
                      <w:sz w:val="21"/>
                      <w:szCs w:val="21"/>
                    </w:rPr>
                  </w:pPr>
                  <w:r>
                    <w:rPr>
                      <w:rFonts w:ascii="Times New Roman" w:hAnsi="Times New Roman"/>
                      <w:kern w:val="2"/>
                      <w:sz w:val="21"/>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4085" w:type="dxa"/>
                  <w:tcBorders>
                    <w:tl2br w:val="nil"/>
                    <w:tr2bl w:val="nil"/>
                  </w:tcBorders>
                  <w:vAlign w:val="center"/>
                </w:tcPr>
                <w:p w14:paraId="09A3CD6D">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1.</w:t>
                  </w:r>
                  <w:r>
                    <w:rPr>
                      <w:rFonts w:ascii="Times New Roman" w:hAnsi="Times New Roman"/>
                      <w:kern w:val="2"/>
                      <w:sz w:val="21"/>
                      <w:szCs w:val="21"/>
                    </w:rPr>
                    <w:t>本项目</w:t>
                  </w:r>
                  <w:r>
                    <w:rPr>
                      <w:rFonts w:hint="eastAsia" w:ascii="Times New Roman" w:hAnsi="Times New Roman"/>
                      <w:kern w:val="2"/>
                      <w:sz w:val="21"/>
                      <w:szCs w:val="21"/>
                    </w:rPr>
                    <w:t>为迁建项目，不排放生产废水，废气污染物主要为颗粒物，不涉及</w:t>
                  </w:r>
                  <w:r>
                    <w:rPr>
                      <w:rFonts w:ascii="Times New Roman" w:hAnsi="Times New Roman"/>
                      <w:kern w:val="2"/>
                      <w:sz w:val="21"/>
                      <w:szCs w:val="21"/>
                    </w:rPr>
                    <w:t>新增主要污染物（水污染物化学需氧量、氨氮和大气污染物二氧化硫、氮氧化物</w:t>
                  </w:r>
                  <w:r>
                    <w:rPr>
                      <w:rFonts w:hint="eastAsia" w:ascii="Times New Roman" w:hAnsi="Times New Roman"/>
                      <w:kern w:val="2"/>
                      <w:sz w:val="21"/>
                      <w:szCs w:val="21"/>
                    </w:rPr>
                    <w:t>）</w:t>
                  </w:r>
                  <w:r>
                    <w:rPr>
                      <w:rFonts w:ascii="Times New Roman" w:hAnsi="Times New Roman"/>
                      <w:kern w:val="2"/>
                      <w:sz w:val="21"/>
                      <w:szCs w:val="21"/>
                    </w:rPr>
                    <w:t>排放总量指标</w:t>
                  </w:r>
                  <w:r>
                    <w:rPr>
                      <w:rFonts w:hint="eastAsia" w:ascii="Times New Roman" w:hAnsi="Times New Roman"/>
                      <w:kern w:val="2"/>
                      <w:sz w:val="21"/>
                      <w:szCs w:val="21"/>
                    </w:rPr>
                    <w:t>。</w:t>
                  </w:r>
                </w:p>
                <w:p w14:paraId="48A06453">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2.本项目废气污染物主要为颗粒物，不涉及VOCs排放。</w:t>
                  </w:r>
                </w:p>
                <w:p w14:paraId="36383324">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3.本项目产品为水泥制品（水泥顶管、水泥排水管、检查井），</w:t>
                  </w:r>
                  <w:r>
                    <w:rPr>
                      <w:rFonts w:ascii="Times New Roman" w:hAnsi="Times New Roman"/>
                      <w:kern w:val="2"/>
                      <w:sz w:val="21"/>
                      <w:szCs w:val="21"/>
                    </w:rPr>
                    <w:t>属于</w:t>
                  </w:r>
                  <w:r>
                    <w:rPr>
                      <w:rFonts w:hint="eastAsia" w:ascii="Times New Roman" w:hAnsi="Times New Roman"/>
                      <w:kern w:val="2"/>
                      <w:sz w:val="21"/>
                      <w:szCs w:val="21"/>
                    </w:rPr>
                    <w:t>C3021水泥制品</w:t>
                  </w:r>
                  <w:r>
                    <w:rPr>
                      <w:rFonts w:ascii="Times New Roman" w:hAnsi="Times New Roman"/>
                      <w:kern w:val="2"/>
                      <w:sz w:val="21"/>
                      <w:szCs w:val="21"/>
                    </w:rPr>
                    <w:t>，</w:t>
                  </w:r>
                  <w:r>
                    <w:rPr>
                      <w:rFonts w:hint="eastAsia" w:ascii="Times New Roman" w:hAnsi="Times New Roman"/>
                      <w:kern w:val="2"/>
                      <w:sz w:val="21"/>
                      <w:szCs w:val="21"/>
                    </w:rPr>
                    <w:t>不属于</w:t>
                  </w:r>
                  <w:r>
                    <w:rPr>
                      <w:rFonts w:ascii="Times New Roman" w:hAnsi="Times New Roman"/>
                      <w:kern w:val="2"/>
                      <w:sz w:val="21"/>
                      <w:szCs w:val="21"/>
                    </w:rPr>
                    <w:t>钢铁、水泥、平板玻璃、有色金属冶炼、化工等工业项目</w:t>
                  </w:r>
                  <w:r>
                    <w:rPr>
                      <w:rFonts w:hint="eastAsia" w:ascii="Times New Roman" w:hAnsi="Times New Roman"/>
                      <w:kern w:val="2"/>
                      <w:sz w:val="21"/>
                      <w:szCs w:val="21"/>
                    </w:rPr>
                    <w:t>。</w:t>
                  </w:r>
                </w:p>
                <w:p w14:paraId="7C227008">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4.本项目不属于</w:t>
                  </w:r>
                  <w:r>
                    <w:rPr>
                      <w:rFonts w:ascii="Times New Roman" w:hAnsi="Times New Roman"/>
                      <w:kern w:val="2"/>
                      <w:sz w:val="21"/>
                      <w:szCs w:val="21"/>
                    </w:rPr>
                    <w:t>氟化工、印染、电镀等行业</w:t>
                  </w:r>
                  <w:r>
                    <w:rPr>
                      <w:rFonts w:hint="eastAsia" w:ascii="Times New Roman" w:hAnsi="Times New Roman"/>
                      <w:kern w:val="2"/>
                      <w:sz w:val="21"/>
                      <w:szCs w:val="21"/>
                    </w:rPr>
                    <w:t>。</w:t>
                  </w:r>
                </w:p>
                <w:p w14:paraId="6E5B6E38">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5.本项目产品为水泥制品（水泥顶管、水泥排水管、检查井），</w:t>
                  </w:r>
                  <w:r>
                    <w:rPr>
                      <w:rFonts w:ascii="Times New Roman" w:hAnsi="Times New Roman"/>
                      <w:kern w:val="2"/>
                      <w:sz w:val="21"/>
                      <w:szCs w:val="21"/>
                    </w:rPr>
                    <w:t>属于</w:t>
                  </w:r>
                  <w:r>
                    <w:rPr>
                      <w:rFonts w:hint="eastAsia" w:ascii="Times New Roman" w:hAnsi="Times New Roman"/>
                      <w:kern w:val="2"/>
                      <w:sz w:val="21"/>
                      <w:szCs w:val="21"/>
                    </w:rPr>
                    <w:t>C3021水泥制品</w:t>
                  </w:r>
                  <w:r>
                    <w:rPr>
                      <w:rFonts w:ascii="Times New Roman" w:hAnsi="Times New Roman"/>
                      <w:kern w:val="2"/>
                      <w:sz w:val="21"/>
                      <w:szCs w:val="21"/>
                    </w:rPr>
                    <w:t>，</w:t>
                  </w:r>
                  <w:r>
                    <w:rPr>
                      <w:rFonts w:hint="eastAsia" w:ascii="Times New Roman" w:hAnsi="Times New Roman"/>
                      <w:kern w:val="2"/>
                      <w:sz w:val="21"/>
                      <w:szCs w:val="21"/>
                    </w:rPr>
                    <w:t>不属于重大行业，也不涉及重金属污染物排放。</w:t>
                  </w:r>
                </w:p>
                <w:p w14:paraId="1EEB6AFC">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6.本项目不涉及锅炉。</w:t>
                  </w:r>
                </w:p>
                <w:p w14:paraId="479915C0">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7.本项目</w:t>
                  </w:r>
                  <w:r>
                    <w:rPr>
                      <w:rFonts w:ascii="Times New Roman" w:hAnsi="Times New Roman"/>
                      <w:kern w:val="2"/>
                      <w:sz w:val="21"/>
                      <w:szCs w:val="21"/>
                    </w:rPr>
                    <w:t>属于</w:t>
                  </w:r>
                  <w:r>
                    <w:rPr>
                      <w:rFonts w:hint="eastAsia" w:ascii="Times New Roman" w:hAnsi="Times New Roman"/>
                      <w:kern w:val="2"/>
                      <w:sz w:val="21"/>
                      <w:szCs w:val="21"/>
                    </w:rPr>
                    <w:t>C3021水泥制品</w:t>
                  </w:r>
                  <w:r>
                    <w:rPr>
                      <w:rFonts w:ascii="Times New Roman" w:hAnsi="Times New Roman"/>
                      <w:kern w:val="2"/>
                      <w:sz w:val="21"/>
                      <w:szCs w:val="21"/>
                    </w:rPr>
                    <w:t>，</w:t>
                  </w:r>
                  <w:r>
                    <w:rPr>
                      <w:rFonts w:hint="eastAsia" w:ascii="Times New Roman" w:hAnsi="Times New Roman"/>
                      <w:kern w:val="2"/>
                      <w:sz w:val="21"/>
                      <w:szCs w:val="21"/>
                    </w:rPr>
                    <w:t>不属于水泥行业。</w:t>
                  </w:r>
                </w:p>
                <w:p w14:paraId="54D97C24">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8.本项目位于</w:t>
                  </w:r>
                  <w:r>
                    <w:rPr>
                      <w:rFonts w:ascii="Times New Roman" w:hAnsi="Times New Roman"/>
                      <w:kern w:val="2"/>
                      <w:sz w:val="21"/>
                      <w:szCs w:val="21"/>
                    </w:rPr>
                    <w:t>福州江阴港城经济区东部临港产业区，</w:t>
                  </w:r>
                  <w:r>
                    <w:rPr>
                      <w:rFonts w:hint="eastAsia" w:ascii="Times New Roman" w:hAnsi="Times New Roman"/>
                      <w:kern w:val="2"/>
                      <w:sz w:val="21"/>
                      <w:szCs w:val="21"/>
                    </w:rPr>
                    <w:t>产品为水泥制品（水泥顶管、水泥排水管、检查井），</w:t>
                  </w:r>
                  <w:r>
                    <w:rPr>
                      <w:rFonts w:ascii="Times New Roman" w:hAnsi="Times New Roman"/>
                      <w:kern w:val="2"/>
                      <w:sz w:val="21"/>
                      <w:szCs w:val="21"/>
                    </w:rPr>
                    <w:t>属于</w:t>
                  </w:r>
                  <w:r>
                    <w:rPr>
                      <w:rFonts w:hint="eastAsia" w:ascii="Times New Roman" w:hAnsi="Times New Roman"/>
                      <w:kern w:val="2"/>
                      <w:sz w:val="21"/>
                      <w:szCs w:val="21"/>
                    </w:rPr>
                    <w:t>C3021水泥制品，不属于</w:t>
                  </w:r>
                  <w:r>
                    <w:rPr>
                      <w:rFonts w:ascii="Times New Roman" w:hAnsi="Times New Roman"/>
                      <w:kern w:val="2"/>
                      <w:sz w:val="21"/>
                      <w:szCs w:val="21"/>
                    </w:rPr>
                    <w:t>印染、皮革、农药、医药、涂料等行业</w:t>
                  </w:r>
                  <w:r>
                    <w:rPr>
                      <w:rFonts w:hint="eastAsia" w:ascii="Times New Roman" w:hAnsi="Times New Roman"/>
                      <w:kern w:val="2"/>
                      <w:sz w:val="21"/>
                      <w:szCs w:val="21"/>
                    </w:rPr>
                    <w:t>，也不涉及化学物质、农药和抗生素。</w:t>
                  </w:r>
                </w:p>
              </w:tc>
            </w:tr>
            <w:tr w14:paraId="514FC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7" w:type="dxa"/>
                  <w:vMerge w:val="restart"/>
                  <w:tcBorders>
                    <w:tl2br w:val="nil"/>
                    <w:tr2bl w:val="nil"/>
                  </w:tcBorders>
                  <w:vAlign w:val="center"/>
                </w:tcPr>
                <w:p w14:paraId="0A88C2A7">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福州江阴港城经济区（ZH35018120001）</w:t>
                  </w:r>
                </w:p>
              </w:tc>
              <w:tc>
                <w:tcPr>
                  <w:tcW w:w="1211" w:type="dxa"/>
                  <w:vMerge w:val="restart"/>
                  <w:tcBorders>
                    <w:tl2br w:val="nil"/>
                    <w:tr2bl w:val="nil"/>
                  </w:tcBorders>
                  <w:vAlign w:val="center"/>
                </w:tcPr>
                <w:p w14:paraId="197B4EF3">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重点管控单元</w:t>
                  </w:r>
                </w:p>
              </w:tc>
              <w:tc>
                <w:tcPr>
                  <w:tcW w:w="1063" w:type="dxa"/>
                  <w:tcBorders>
                    <w:tl2br w:val="nil"/>
                    <w:tr2bl w:val="nil"/>
                  </w:tcBorders>
                  <w:vAlign w:val="center"/>
                </w:tcPr>
                <w:p w14:paraId="4C53A4BC">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空间布局约束</w:t>
                  </w:r>
                </w:p>
              </w:tc>
              <w:tc>
                <w:tcPr>
                  <w:tcW w:w="5913" w:type="dxa"/>
                  <w:tcBorders>
                    <w:tl2br w:val="nil"/>
                    <w:tr2bl w:val="nil"/>
                  </w:tcBorders>
                  <w:vAlign w:val="center"/>
                </w:tcPr>
                <w:p w14:paraId="4258CBFE">
                  <w:pPr>
                    <w:pStyle w:val="29"/>
                    <w:widowControl w:val="0"/>
                    <w:spacing w:before="0" w:beforeAutospacing="0" w:after="0" w:afterAutospacing="0"/>
                    <w:rPr>
                      <w:rFonts w:ascii="Times New Roman" w:hAnsi="Times New Roman"/>
                      <w:kern w:val="2"/>
                      <w:sz w:val="21"/>
                      <w:szCs w:val="21"/>
                    </w:rPr>
                  </w:pPr>
                  <w:r>
                    <w:rPr>
                      <w:rFonts w:ascii="Times New Roman" w:hAnsi="Times New Roman"/>
                      <w:kern w:val="2"/>
                      <w:sz w:val="21"/>
                      <w:szCs w:val="21"/>
                    </w:rPr>
                    <w:t>1、禁止新建、扩建合成革企业；禁止新建集中电镀项目，企业配套电镀工序必须达到废水零排放；严格控制排放重金属和持久性有机污染物的项目。</w:t>
                  </w:r>
                </w:p>
                <w:p w14:paraId="37B07CB4">
                  <w:pPr>
                    <w:pStyle w:val="29"/>
                    <w:widowControl w:val="0"/>
                    <w:spacing w:before="0" w:beforeAutospacing="0" w:after="0" w:afterAutospacing="0"/>
                    <w:rPr>
                      <w:rFonts w:ascii="Times New Roman" w:hAnsi="Times New Roman"/>
                      <w:kern w:val="2"/>
                      <w:sz w:val="21"/>
                      <w:szCs w:val="21"/>
                    </w:rPr>
                  </w:pPr>
                  <w:r>
                    <w:rPr>
                      <w:rFonts w:ascii="Times New Roman" w:hAnsi="Times New Roman"/>
                      <w:kern w:val="2"/>
                      <w:sz w:val="21"/>
                      <w:szCs w:val="21"/>
                    </w:rPr>
                    <w:t>2、禁止在新厝和月亮湾先进制造业基地的工业用地引入大气污染为主的产业。</w:t>
                  </w:r>
                </w:p>
                <w:p w14:paraId="66A7FBFB">
                  <w:pPr>
                    <w:pStyle w:val="29"/>
                    <w:widowControl w:val="0"/>
                    <w:spacing w:before="0" w:beforeAutospacing="0" w:after="0" w:afterAutospacing="0"/>
                    <w:rPr>
                      <w:rFonts w:ascii="Times New Roman" w:hAnsi="Times New Roman"/>
                      <w:kern w:val="2"/>
                      <w:sz w:val="21"/>
                      <w:szCs w:val="21"/>
                    </w:rPr>
                  </w:pPr>
                  <w:r>
                    <w:rPr>
                      <w:rFonts w:ascii="Times New Roman" w:hAnsi="Times New Roman"/>
                      <w:kern w:val="2"/>
                      <w:sz w:val="21"/>
                      <w:szCs w:val="21"/>
                    </w:rPr>
                    <w:t>3、污染重、环境风险大的生产装置、储罐应远离居民区；设置必要的环保隔离带和环境风险防范环保控制线，环保隔离带内不得有居民区、学校、医院等敏感目标，环保控制带应控制人口规模，不新增居民区、学校、医院等敏感目标。</w:t>
                  </w:r>
                </w:p>
              </w:tc>
              <w:tc>
                <w:tcPr>
                  <w:tcW w:w="4085" w:type="dxa"/>
                  <w:tcBorders>
                    <w:tl2br w:val="nil"/>
                    <w:tr2bl w:val="nil"/>
                  </w:tcBorders>
                  <w:vAlign w:val="center"/>
                </w:tcPr>
                <w:p w14:paraId="2110DE2F">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1.本项目属于C3021水泥制品</w:t>
                  </w:r>
                  <w:r>
                    <w:rPr>
                      <w:rFonts w:ascii="Times New Roman" w:hAnsi="Times New Roman"/>
                      <w:kern w:val="2"/>
                      <w:sz w:val="21"/>
                      <w:szCs w:val="21"/>
                    </w:rPr>
                    <w:t>，</w:t>
                  </w:r>
                  <w:r>
                    <w:rPr>
                      <w:rFonts w:hint="eastAsia" w:ascii="Times New Roman" w:hAnsi="Times New Roman"/>
                      <w:kern w:val="2"/>
                      <w:sz w:val="21"/>
                      <w:szCs w:val="21"/>
                    </w:rPr>
                    <w:t>不属于合成革、电镀项目；也不排放重金属和持久性有机污染物。</w:t>
                  </w:r>
                </w:p>
                <w:p w14:paraId="7ED86B65">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2.本项目</w:t>
                  </w:r>
                  <w:r>
                    <w:rPr>
                      <w:rFonts w:ascii="Times New Roman" w:hAnsi="Times New Roman"/>
                      <w:kern w:val="2"/>
                      <w:sz w:val="21"/>
                      <w:szCs w:val="21"/>
                    </w:rPr>
                    <w:t>位于东部临港产业区</w:t>
                  </w:r>
                  <w:r>
                    <w:rPr>
                      <w:rFonts w:hint="eastAsia" w:ascii="Times New Roman" w:hAnsi="Times New Roman"/>
                      <w:kern w:val="2"/>
                      <w:sz w:val="21"/>
                      <w:szCs w:val="21"/>
                    </w:rPr>
                    <w:t>。</w:t>
                  </w:r>
                </w:p>
                <w:p w14:paraId="1030829D">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3.本项目不涉及污染重、环境风险大的生产装置、储罐；根据附图7，项目所在地不涉及环保隔离带和环保控制带，</w:t>
                  </w:r>
                  <w:r>
                    <w:rPr>
                      <w:rFonts w:ascii="Times New Roman" w:hAnsi="Times New Roman"/>
                      <w:kern w:val="2"/>
                      <w:sz w:val="21"/>
                      <w:szCs w:val="21"/>
                    </w:rPr>
                    <w:t>距离项目最近的居民区为西北方向的下堡村，距离约</w:t>
                  </w:r>
                  <w:r>
                    <w:rPr>
                      <w:rFonts w:hint="eastAsia" w:ascii="Times New Roman" w:hAnsi="Times New Roman"/>
                      <w:kern w:val="2"/>
                      <w:sz w:val="21"/>
                      <w:szCs w:val="21"/>
                    </w:rPr>
                    <w:t>250</w:t>
                  </w:r>
                  <w:r>
                    <w:rPr>
                      <w:rFonts w:ascii="Times New Roman" w:hAnsi="Times New Roman"/>
                      <w:kern w:val="2"/>
                      <w:sz w:val="21"/>
                      <w:szCs w:val="21"/>
                    </w:rPr>
                    <w:t>米</w:t>
                  </w:r>
                  <w:r>
                    <w:rPr>
                      <w:rFonts w:hint="eastAsia" w:ascii="Times New Roman" w:hAnsi="Times New Roman"/>
                      <w:kern w:val="2"/>
                      <w:sz w:val="21"/>
                      <w:szCs w:val="21"/>
                    </w:rPr>
                    <w:t>。</w:t>
                  </w:r>
                </w:p>
              </w:tc>
            </w:tr>
            <w:tr w14:paraId="5E06C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7" w:type="dxa"/>
                  <w:vMerge w:val="continue"/>
                  <w:tcBorders>
                    <w:tl2br w:val="nil"/>
                    <w:tr2bl w:val="nil"/>
                  </w:tcBorders>
                  <w:vAlign w:val="center"/>
                </w:tcPr>
                <w:p w14:paraId="09D2701A">
                  <w:pPr>
                    <w:rPr>
                      <w:szCs w:val="21"/>
                    </w:rPr>
                  </w:pPr>
                </w:p>
              </w:tc>
              <w:tc>
                <w:tcPr>
                  <w:tcW w:w="1211" w:type="dxa"/>
                  <w:vMerge w:val="continue"/>
                  <w:tcBorders>
                    <w:tl2br w:val="nil"/>
                    <w:tr2bl w:val="nil"/>
                  </w:tcBorders>
                  <w:vAlign w:val="center"/>
                </w:tcPr>
                <w:p w14:paraId="475BE41F">
                  <w:pPr>
                    <w:rPr>
                      <w:szCs w:val="21"/>
                    </w:rPr>
                  </w:pPr>
                </w:p>
              </w:tc>
              <w:tc>
                <w:tcPr>
                  <w:tcW w:w="1063" w:type="dxa"/>
                  <w:tcBorders>
                    <w:tl2br w:val="nil"/>
                    <w:tr2bl w:val="nil"/>
                  </w:tcBorders>
                  <w:vAlign w:val="center"/>
                </w:tcPr>
                <w:p w14:paraId="06EC2CB9">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污染物排放管控</w:t>
                  </w:r>
                </w:p>
              </w:tc>
              <w:tc>
                <w:tcPr>
                  <w:tcW w:w="5913" w:type="dxa"/>
                  <w:tcBorders>
                    <w:tl2br w:val="nil"/>
                    <w:tr2bl w:val="nil"/>
                  </w:tcBorders>
                  <w:vAlign w:val="center"/>
                </w:tcPr>
                <w:p w14:paraId="3EF3BC30">
                  <w:pPr>
                    <w:pStyle w:val="29"/>
                    <w:widowControl w:val="0"/>
                    <w:spacing w:before="0" w:beforeAutospacing="0" w:after="0" w:afterAutospacing="0"/>
                    <w:rPr>
                      <w:rFonts w:ascii="Times New Roman" w:hAnsi="Times New Roman"/>
                      <w:kern w:val="2"/>
                      <w:sz w:val="21"/>
                      <w:szCs w:val="21"/>
                    </w:rPr>
                  </w:pPr>
                  <w:r>
                    <w:rPr>
                      <w:rFonts w:ascii="Times New Roman" w:hAnsi="Times New Roman"/>
                      <w:kern w:val="2"/>
                      <w:sz w:val="21"/>
                      <w:szCs w:val="21"/>
                    </w:rPr>
                    <w:t>1.加快推进江阴污水处理厂、配套污水收集管网和排海工程建设。</w:t>
                  </w:r>
                </w:p>
                <w:p w14:paraId="412C26E5">
                  <w:pPr>
                    <w:pStyle w:val="29"/>
                    <w:widowControl w:val="0"/>
                    <w:spacing w:before="0" w:beforeAutospacing="0" w:after="0" w:afterAutospacing="0"/>
                    <w:rPr>
                      <w:rFonts w:ascii="Times New Roman" w:hAnsi="Times New Roman"/>
                      <w:kern w:val="2"/>
                      <w:sz w:val="21"/>
                      <w:szCs w:val="21"/>
                    </w:rPr>
                  </w:pPr>
                  <w:r>
                    <w:rPr>
                      <w:rFonts w:ascii="Times New Roman" w:hAnsi="Times New Roman"/>
                      <w:kern w:val="2"/>
                      <w:sz w:val="21"/>
                      <w:szCs w:val="21"/>
                    </w:rPr>
                    <w:t>2.落实新增二氧化硫、氮氧化物和VOCs排放总量控制要求。</w:t>
                  </w:r>
                </w:p>
              </w:tc>
              <w:tc>
                <w:tcPr>
                  <w:tcW w:w="4085" w:type="dxa"/>
                  <w:tcBorders>
                    <w:tl2br w:val="nil"/>
                    <w:tr2bl w:val="nil"/>
                  </w:tcBorders>
                  <w:vAlign w:val="center"/>
                </w:tcPr>
                <w:p w14:paraId="662742A2">
                  <w:pPr>
                    <w:pStyle w:val="29"/>
                    <w:widowControl w:val="0"/>
                    <w:spacing w:before="0" w:beforeAutospacing="0" w:after="0" w:afterAutospacing="0"/>
                    <w:jc w:val="both"/>
                    <w:rPr>
                      <w:rFonts w:ascii="Times New Roman" w:hAnsi="Times New Roman"/>
                      <w:kern w:val="2"/>
                      <w:sz w:val="21"/>
                      <w:szCs w:val="21"/>
                    </w:rPr>
                  </w:pPr>
                  <w:r>
                    <w:rPr>
                      <w:rFonts w:hint="eastAsia" w:ascii="Times New Roman" w:hAnsi="Times New Roman"/>
                      <w:kern w:val="2"/>
                      <w:sz w:val="21"/>
                      <w:szCs w:val="21"/>
                    </w:rPr>
                    <w:t>1.</w:t>
                  </w:r>
                  <w:r>
                    <w:rPr>
                      <w:rFonts w:ascii="Times New Roman" w:hAnsi="Times New Roman"/>
                      <w:kern w:val="2"/>
                      <w:sz w:val="21"/>
                      <w:szCs w:val="21"/>
                    </w:rPr>
                    <w:t>江阴污水处理厂已投入运行，本项目</w:t>
                  </w:r>
                  <w:r>
                    <w:rPr>
                      <w:rFonts w:hint="eastAsia" w:ascii="Times New Roman" w:hAnsi="Times New Roman"/>
                      <w:kern w:val="2"/>
                      <w:sz w:val="21"/>
                      <w:szCs w:val="21"/>
                    </w:rPr>
                    <w:t>生活污水</w:t>
                  </w:r>
                  <w:r>
                    <w:rPr>
                      <w:rFonts w:ascii="Times New Roman" w:hAnsi="Times New Roman"/>
                      <w:kern w:val="2"/>
                      <w:sz w:val="21"/>
                      <w:szCs w:val="21"/>
                    </w:rPr>
                    <w:t>依托江阴污水处理厂进一步处理后排放；</w:t>
                  </w:r>
                </w:p>
                <w:p w14:paraId="0D74F80A">
                  <w:pPr>
                    <w:pStyle w:val="29"/>
                    <w:widowControl w:val="0"/>
                    <w:spacing w:before="0" w:beforeAutospacing="0" w:after="0" w:afterAutospacing="0"/>
                    <w:jc w:val="both"/>
                    <w:rPr>
                      <w:rFonts w:ascii="Times New Roman" w:hAnsi="Times New Roman"/>
                      <w:kern w:val="2"/>
                      <w:sz w:val="21"/>
                      <w:szCs w:val="21"/>
                    </w:rPr>
                  </w:pPr>
                  <w:r>
                    <w:rPr>
                      <w:rFonts w:hint="eastAsia" w:ascii="Times New Roman" w:hAnsi="Times New Roman"/>
                      <w:kern w:val="2"/>
                      <w:sz w:val="21"/>
                      <w:szCs w:val="21"/>
                    </w:rPr>
                    <w:t>2.项目排放的废气污染物主要为颗粒物，不涉及二氧化硫、氮氧化物和VOCs排放。</w:t>
                  </w:r>
                </w:p>
              </w:tc>
            </w:tr>
            <w:tr w14:paraId="5E117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7" w:type="dxa"/>
                  <w:vMerge w:val="continue"/>
                  <w:tcBorders>
                    <w:tl2br w:val="nil"/>
                    <w:tr2bl w:val="nil"/>
                  </w:tcBorders>
                  <w:vAlign w:val="center"/>
                </w:tcPr>
                <w:p w14:paraId="51AA7248">
                  <w:pPr>
                    <w:rPr>
                      <w:szCs w:val="21"/>
                    </w:rPr>
                  </w:pPr>
                </w:p>
              </w:tc>
              <w:tc>
                <w:tcPr>
                  <w:tcW w:w="1211" w:type="dxa"/>
                  <w:vMerge w:val="continue"/>
                  <w:tcBorders>
                    <w:tl2br w:val="nil"/>
                    <w:tr2bl w:val="nil"/>
                  </w:tcBorders>
                  <w:vAlign w:val="center"/>
                </w:tcPr>
                <w:p w14:paraId="63ACDCE5">
                  <w:pPr>
                    <w:rPr>
                      <w:szCs w:val="21"/>
                    </w:rPr>
                  </w:pPr>
                </w:p>
              </w:tc>
              <w:tc>
                <w:tcPr>
                  <w:tcW w:w="1063" w:type="dxa"/>
                  <w:tcBorders>
                    <w:tl2br w:val="nil"/>
                    <w:tr2bl w:val="nil"/>
                  </w:tcBorders>
                  <w:vAlign w:val="center"/>
                </w:tcPr>
                <w:p w14:paraId="31F7705C">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环境风险防控</w:t>
                  </w:r>
                </w:p>
              </w:tc>
              <w:tc>
                <w:tcPr>
                  <w:tcW w:w="5913" w:type="dxa"/>
                  <w:tcBorders>
                    <w:tl2br w:val="nil"/>
                    <w:tr2bl w:val="nil"/>
                  </w:tcBorders>
                  <w:vAlign w:val="center"/>
                </w:tcPr>
                <w:p w14:paraId="1B405F28">
                  <w:pPr>
                    <w:pStyle w:val="29"/>
                    <w:widowControl w:val="0"/>
                    <w:spacing w:before="0" w:beforeAutospacing="0" w:after="0" w:afterAutospacing="0"/>
                    <w:rPr>
                      <w:rFonts w:ascii="Times New Roman" w:hAnsi="Times New Roman"/>
                      <w:kern w:val="2"/>
                      <w:sz w:val="21"/>
                      <w:szCs w:val="21"/>
                    </w:rPr>
                  </w:pPr>
                  <w:r>
                    <w:rPr>
                      <w:rFonts w:ascii="Times New Roman" w:hAnsi="Times New Roman"/>
                      <w:kern w:val="2"/>
                      <w:sz w:val="21"/>
                      <w:szCs w:val="21"/>
                    </w:rPr>
                    <w:t>1.切实加强化工等重污染行业、企业污染及应急防控，所有化工企业企业，要配套建设事故应急池和雨水总排口切换阀，配备应急救援物资，安装特征污染物在线监控设施。</w:t>
                  </w:r>
                </w:p>
                <w:p w14:paraId="61D67547">
                  <w:pPr>
                    <w:pStyle w:val="29"/>
                    <w:widowControl w:val="0"/>
                    <w:spacing w:before="0" w:beforeAutospacing="0" w:after="0" w:afterAutospacing="0"/>
                    <w:rPr>
                      <w:rFonts w:ascii="Times New Roman" w:hAnsi="Times New Roman"/>
                      <w:kern w:val="2"/>
                      <w:sz w:val="21"/>
                      <w:szCs w:val="21"/>
                    </w:rPr>
                  </w:pPr>
                  <w:r>
                    <w:rPr>
                      <w:rFonts w:ascii="Times New Roman" w:hAnsi="Times New Roman"/>
                      <w:kern w:val="2"/>
                      <w:sz w:val="21"/>
                      <w:szCs w:val="21"/>
                    </w:rPr>
                    <w:t>2.建设企业、园区和周边水系三级环境风险防控工程，确保有效拦截、降污和导流；受园区排污影响的周边水系应建设应急闸门，防止泄漏物和消防水等排入外环境。</w:t>
                  </w:r>
                </w:p>
                <w:p w14:paraId="3AEC2E37">
                  <w:pPr>
                    <w:pStyle w:val="29"/>
                    <w:widowControl w:val="0"/>
                    <w:spacing w:before="0" w:beforeAutospacing="0" w:after="0" w:afterAutospacing="0"/>
                    <w:rPr>
                      <w:rFonts w:ascii="Times New Roman" w:hAnsi="Times New Roman"/>
                      <w:kern w:val="2"/>
                      <w:sz w:val="21"/>
                      <w:szCs w:val="21"/>
                    </w:rPr>
                  </w:pPr>
                  <w:r>
                    <w:rPr>
                      <w:rFonts w:ascii="Times New Roman" w:hAnsi="Times New Roman"/>
                      <w:kern w:val="2"/>
                      <w:sz w:val="21"/>
                      <w:szCs w:val="21"/>
                    </w:rPr>
                    <w:t>3.应采取有效措施防止园区建设对区域地下水、土壤造成污染。</w:t>
                  </w:r>
                </w:p>
              </w:tc>
              <w:tc>
                <w:tcPr>
                  <w:tcW w:w="4085" w:type="dxa"/>
                  <w:tcBorders>
                    <w:tl2br w:val="nil"/>
                    <w:tr2bl w:val="nil"/>
                  </w:tcBorders>
                  <w:vAlign w:val="center"/>
                </w:tcPr>
                <w:p w14:paraId="4BB85226">
                  <w:pPr>
                    <w:rPr>
                      <w:szCs w:val="21"/>
                    </w:rPr>
                  </w:pPr>
                  <w:r>
                    <w:rPr>
                      <w:rFonts w:hint="eastAsia"/>
                      <w:szCs w:val="21"/>
                    </w:rPr>
                    <w:t>1.</w:t>
                  </w:r>
                  <w:r>
                    <w:rPr>
                      <w:szCs w:val="21"/>
                    </w:rPr>
                    <w:t>本项目</w:t>
                  </w:r>
                  <w:r>
                    <w:rPr>
                      <w:rFonts w:hint="eastAsia"/>
                      <w:szCs w:val="21"/>
                    </w:rPr>
                    <w:t>属于C3021水泥制品</w:t>
                  </w:r>
                  <w:r>
                    <w:rPr>
                      <w:szCs w:val="21"/>
                    </w:rPr>
                    <w:t>，</w:t>
                  </w:r>
                  <w:r>
                    <w:rPr>
                      <w:rFonts w:hint="eastAsia"/>
                      <w:szCs w:val="21"/>
                    </w:rPr>
                    <w:t>不属于化工等重污染行业。</w:t>
                  </w:r>
                </w:p>
                <w:p w14:paraId="518D437E">
                  <w:pPr>
                    <w:rPr>
                      <w:szCs w:val="21"/>
                    </w:rPr>
                  </w:pPr>
                  <w:r>
                    <w:rPr>
                      <w:rFonts w:hint="eastAsia"/>
                      <w:szCs w:val="21"/>
                    </w:rPr>
                    <w:t>2.企业拟建设</w:t>
                  </w:r>
                  <w:r>
                    <w:rPr>
                      <w:szCs w:val="21"/>
                    </w:rPr>
                    <w:t>雨水总排口切换阀，配备应急救援物资，厂区和园区联动，实现“三级防控”，防止泄漏物和消防水等排入外环境。</w:t>
                  </w:r>
                </w:p>
                <w:p w14:paraId="254731B6">
                  <w:pPr>
                    <w:rPr>
                      <w:szCs w:val="21"/>
                    </w:rPr>
                  </w:pPr>
                  <w:r>
                    <w:rPr>
                      <w:rFonts w:hint="eastAsia"/>
                      <w:szCs w:val="21"/>
                    </w:rPr>
                    <w:t>3.</w:t>
                  </w:r>
                  <w:r>
                    <w:rPr>
                      <w:szCs w:val="21"/>
                    </w:rPr>
                    <w:t>建设单位采取</w:t>
                  </w:r>
                  <w:r>
                    <w:rPr>
                      <w:rFonts w:hint="eastAsia"/>
                      <w:szCs w:val="21"/>
                    </w:rPr>
                    <w:t>地面硬化</w:t>
                  </w:r>
                  <w:r>
                    <w:rPr>
                      <w:szCs w:val="21"/>
                    </w:rPr>
                    <w:t>措施，防止项目对</w:t>
                  </w:r>
                  <w:r>
                    <w:rPr>
                      <w:rFonts w:hint="eastAsia"/>
                      <w:szCs w:val="21"/>
                    </w:rPr>
                    <w:t>区域</w:t>
                  </w:r>
                  <w:r>
                    <w:rPr>
                      <w:szCs w:val="21"/>
                    </w:rPr>
                    <w:t>地下水、土壤</w:t>
                  </w:r>
                  <w:r>
                    <w:rPr>
                      <w:rFonts w:hint="eastAsia"/>
                      <w:szCs w:val="21"/>
                    </w:rPr>
                    <w:t>造成</w:t>
                  </w:r>
                  <w:r>
                    <w:rPr>
                      <w:szCs w:val="21"/>
                    </w:rPr>
                    <w:t>污染</w:t>
                  </w:r>
                  <w:r>
                    <w:rPr>
                      <w:rFonts w:hint="eastAsia"/>
                      <w:szCs w:val="21"/>
                    </w:rPr>
                    <w:t>。</w:t>
                  </w:r>
                </w:p>
              </w:tc>
            </w:tr>
            <w:tr w14:paraId="322C8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7" w:type="dxa"/>
                  <w:vMerge w:val="continue"/>
                  <w:tcBorders>
                    <w:tl2br w:val="nil"/>
                    <w:tr2bl w:val="nil"/>
                  </w:tcBorders>
                  <w:vAlign w:val="center"/>
                </w:tcPr>
                <w:p w14:paraId="6618C492">
                  <w:pPr>
                    <w:rPr>
                      <w:szCs w:val="21"/>
                    </w:rPr>
                  </w:pPr>
                </w:p>
              </w:tc>
              <w:tc>
                <w:tcPr>
                  <w:tcW w:w="1211" w:type="dxa"/>
                  <w:vMerge w:val="continue"/>
                  <w:tcBorders>
                    <w:tl2br w:val="nil"/>
                    <w:tr2bl w:val="nil"/>
                  </w:tcBorders>
                  <w:vAlign w:val="center"/>
                </w:tcPr>
                <w:p w14:paraId="450530E8">
                  <w:pPr>
                    <w:rPr>
                      <w:szCs w:val="21"/>
                    </w:rPr>
                  </w:pPr>
                </w:p>
              </w:tc>
              <w:tc>
                <w:tcPr>
                  <w:tcW w:w="1063" w:type="dxa"/>
                  <w:tcBorders>
                    <w:tl2br w:val="nil"/>
                    <w:tr2bl w:val="nil"/>
                  </w:tcBorders>
                  <w:vAlign w:val="center"/>
                </w:tcPr>
                <w:p w14:paraId="01C1D383">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资源开发效率要求</w:t>
                  </w:r>
                </w:p>
              </w:tc>
              <w:tc>
                <w:tcPr>
                  <w:tcW w:w="5913" w:type="dxa"/>
                  <w:tcBorders>
                    <w:tl2br w:val="nil"/>
                    <w:tr2bl w:val="nil"/>
                  </w:tcBorders>
                  <w:vAlign w:val="center"/>
                </w:tcPr>
                <w:p w14:paraId="77584099">
                  <w:pPr>
                    <w:pStyle w:val="29"/>
                    <w:widowControl w:val="0"/>
                    <w:spacing w:before="0" w:beforeAutospacing="0" w:after="0" w:afterAutospacing="0"/>
                    <w:rPr>
                      <w:rFonts w:ascii="Times New Roman" w:hAnsi="Times New Roman"/>
                      <w:sz w:val="21"/>
                      <w:szCs w:val="21"/>
                    </w:rPr>
                  </w:pPr>
                  <w:r>
                    <w:rPr>
                      <w:rFonts w:ascii="Times New Roman" w:hAnsi="Times New Roman"/>
                      <w:sz w:val="21"/>
                      <w:szCs w:val="21"/>
                    </w:rPr>
                    <w:t>推进园区集中供热，扩大产业区集中供热覆盖范围。</w:t>
                  </w:r>
                </w:p>
              </w:tc>
              <w:tc>
                <w:tcPr>
                  <w:tcW w:w="4085" w:type="dxa"/>
                  <w:tcBorders>
                    <w:tl2br w:val="nil"/>
                    <w:tr2bl w:val="nil"/>
                  </w:tcBorders>
                  <w:vAlign w:val="center"/>
                </w:tcPr>
                <w:p w14:paraId="2BDFDF87">
                  <w:pPr>
                    <w:pStyle w:val="29"/>
                    <w:widowControl w:val="0"/>
                    <w:spacing w:before="0" w:beforeAutospacing="0" w:after="0" w:afterAutospacing="0"/>
                    <w:jc w:val="both"/>
                    <w:rPr>
                      <w:rFonts w:ascii="Times New Roman" w:hAnsi="Times New Roman"/>
                      <w:sz w:val="21"/>
                      <w:szCs w:val="21"/>
                    </w:rPr>
                  </w:pPr>
                  <w:r>
                    <w:rPr>
                      <w:rFonts w:ascii="Times New Roman" w:hAnsi="Times New Roman"/>
                      <w:sz w:val="21"/>
                      <w:szCs w:val="21"/>
                    </w:rPr>
                    <w:t>本项目不涉及蒸汽的使用</w:t>
                  </w:r>
                  <w:r>
                    <w:rPr>
                      <w:rFonts w:hint="eastAsia" w:ascii="Times New Roman" w:hAnsi="Times New Roman"/>
                      <w:sz w:val="21"/>
                      <w:szCs w:val="21"/>
                    </w:rPr>
                    <w:t>。</w:t>
                  </w:r>
                </w:p>
              </w:tc>
            </w:tr>
            <w:tr w14:paraId="1D947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7" w:type="dxa"/>
                  <w:vMerge w:val="restart"/>
                  <w:tcBorders>
                    <w:tl2br w:val="nil"/>
                    <w:tr2bl w:val="nil"/>
                  </w:tcBorders>
                  <w:vAlign w:val="center"/>
                </w:tcPr>
                <w:p w14:paraId="015FDD72">
                  <w:pPr>
                    <w:pStyle w:val="29"/>
                    <w:widowControl w:val="0"/>
                    <w:spacing w:before="0" w:beforeAutospacing="0" w:after="0" w:afterAutospacing="0"/>
                    <w:jc w:val="center"/>
                    <w:rPr>
                      <w:rFonts w:ascii="Times New Roman" w:hAnsi="Times New Roman"/>
                      <w:sz w:val="21"/>
                      <w:szCs w:val="21"/>
                    </w:rPr>
                  </w:pPr>
                  <w:r>
                    <w:rPr>
                      <w:rFonts w:ascii="Times New Roman" w:hAnsi="Times New Roman"/>
                      <w:sz w:val="21"/>
                      <w:szCs w:val="21"/>
                      <w:lang w:val="en-GB"/>
                    </w:rPr>
                    <w:t>福清市重点管控单元2（ZH35018120009）</w:t>
                  </w:r>
                </w:p>
              </w:tc>
              <w:tc>
                <w:tcPr>
                  <w:tcW w:w="1211" w:type="dxa"/>
                  <w:vMerge w:val="restart"/>
                  <w:tcBorders>
                    <w:tl2br w:val="nil"/>
                    <w:tr2bl w:val="nil"/>
                  </w:tcBorders>
                  <w:vAlign w:val="center"/>
                </w:tcPr>
                <w:p w14:paraId="0C2E865A">
                  <w:pPr>
                    <w:pStyle w:val="29"/>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重点管控单元</w:t>
                  </w:r>
                </w:p>
              </w:tc>
              <w:tc>
                <w:tcPr>
                  <w:tcW w:w="1063" w:type="dxa"/>
                  <w:tcBorders>
                    <w:tl2br w:val="nil"/>
                    <w:tr2bl w:val="nil"/>
                  </w:tcBorders>
                  <w:vAlign w:val="center"/>
                </w:tcPr>
                <w:p w14:paraId="6CC1C7AE">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空间布局约束</w:t>
                  </w:r>
                </w:p>
              </w:tc>
              <w:tc>
                <w:tcPr>
                  <w:tcW w:w="5913" w:type="dxa"/>
                  <w:tcBorders>
                    <w:tl2br w:val="nil"/>
                    <w:tr2bl w:val="nil"/>
                  </w:tcBorders>
                  <w:vAlign w:val="center"/>
                </w:tcPr>
                <w:p w14:paraId="29291BB8">
                  <w:pPr>
                    <w:pStyle w:val="29"/>
                    <w:widowControl w:val="0"/>
                    <w:spacing w:before="0" w:beforeAutospacing="0" w:after="0" w:afterAutospacing="0"/>
                    <w:rPr>
                      <w:rFonts w:ascii="Times New Roman" w:hAnsi="Times New Roman"/>
                      <w:sz w:val="21"/>
                      <w:szCs w:val="21"/>
                    </w:rPr>
                  </w:pPr>
                  <w:r>
                    <w:rPr>
                      <w:rFonts w:ascii="Times New Roman" w:hAnsi="Times New Roman"/>
                      <w:sz w:val="21"/>
                      <w:szCs w:val="21"/>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3EEF0E22">
                  <w:pPr>
                    <w:pStyle w:val="29"/>
                    <w:widowControl w:val="0"/>
                    <w:spacing w:before="0" w:beforeAutospacing="0" w:after="0" w:afterAutospacing="0"/>
                    <w:rPr>
                      <w:rFonts w:ascii="Times New Roman" w:hAnsi="Times New Roman"/>
                      <w:sz w:val="21"/>
                      <w:szCs w:val="21"/>
                    </w:rPr>
                  </w:pPr>
                  <w:r>
                    <w:rPr>
                      <w:rFonts w:ascii="Times New Roman" w:hAnsi="Times New Roman"/>
                      <w:sz w:val="21"/>
                      <w:szCs w:val="21"/>
                    </w:rPr>
                    <w:t>2.严格控制包装印刷、工业涂装、制鞋等高VOCs排放的项目建设，相关新建项目必须进入工业园区。</w:t>
                  </w:r>
                </w:p>
                <w:p w14:paraId="4C1207AC">
                  <w:pPr>
                    <w:pStyle w:val="29"/>
                    <w:widowControl w:val="0"/>
                    <w:spacing w:before="0" w:beforeAutospacing="0" w:after="0" w:afterAutospacing="0"/>
                    <w:rPr>
                      <w:rFonts w:ascii="Times New Roman" w:hAnsi="Times New Roman"/>
                      <w:sz w:val="21"/>
                      <w:szCs w:val="21"/>
                    </w:rPr>
                  </w:pPr>
                  <w:r>
                    <w:rPr>
                      <w:rFonts w:ascii="Times New Roman" w:hAnsi="Times New Roman"/>
                      <w:sz w:val="21"/>
                      <w:szCs w:val="21"/>
                    </w:rPr>
                    <w:t>3.禁止开发利用未经评估和无害化处理的列入建设用地污染地块名录及开发利用负面清单的土地。</w:t>
                  </w:r>
                </w:p>
              </w:tc>
              <w:tc>
                <w:tcPr>
                  <w:tcW w:w="4085" w:type="dxa"/>
                  <w:tcBorders>
                    <w:tl2br w:val="nil"/>
                    <w:tr2bl w:val="nil"/>
                  </w:tcBorders>
                  <w:vAlign w:val="center"/>
                </w:tcPr>
                <w:p w14:paraId="20B6AFDA">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1.本项目属于C3021水泥制品</w:t>
                  </w:r>
                  <w:r>
                    <w:rPr>
                      <w:rFonts w:ascii="Times New Roman" w:hAnsi="Times New Roman"/>
                      <w:kern w:val="2"/>
                      <w:sz w:val="21"/>
                      <w:szCs w:val="21"/>
                    </w:rPr>
                    <w:t>，位于东部临港产业区，</w:t>
                  </w:r>
                  <w:r>
                    <w:rPr>
                      <w:rFonts w:hint="eastAsia" w:ascii="Times New Roman" w:hAnsi="Times New Roman"/>
                      <w:kern w:val="2"/>
                      <w:sz w:val="21"/>
                      <w:szCs w:val="21"/>
                    </w:rPr>
                    <w:t>不属于</w:t>
                  </w:r>
                  <w:r>
                    <w:rPr>
                      <w:rFonts w:ascii="Times New Roman" w:hAnsi="Times New Roman"/>
                      <w:sz w:val="21"/>
                      <w:szCs w:val="21"/>
                    </w:rPr>
                    <w:t>新建危险化学品生产企业</w:t>
                  </w:r>
                  <w:r>
                    <w:rPr>
                      <w:rFonts w:hint="eastAsia" w:ascii="Times New Roman" w:hAnsi="Times New Roman"/>
                      <w:sz w:val="21"/>
                      <w:szCs w:val="21"/>
                    </w:rPr>
                    <w:t>，也不属于</w:t>
                  </w:r>
                  <w:r>
                    <w:rPr>
                      <w:rFonts w:ascii="Times New Roman" w:hAnsi="Times New Roman"/>
                      <w:sz w:val="21"/>
                      <w:szCs w:val="21"/>
                    </w:rPr>
                    <w:t>城市建成区内现有有色金属、印染、原料药制造、化工等污染较重的企业</w:t>
                  </w:r>
                  <w:r>
                    <w:rPr>
                      <w:rFonts w:hint="eastAsia" w:ascii="Times New Roman" w:hAnsi="Times New Roman"/>
                      <w:sz w:val="21"/>
                      <w:szCs w:val="21"/>
                    </w:rPr>
                    <w:t>。</w:t>
                  </w:r>
                </w:p>
                <w:p w14:paraId="5EACC486">
                  <w:pPr>
                    <w:pStyle w:val="29"/>
                    <w:widowControl w:val="0"/>
                    <w:spacing w:before="0" w:beforeAutospacing="0" w:after="0" w:afterAutospacing="0"/>
                    <w:rPr>
                      <w:rFonts w:ascii="Times New Roman" w:hAnsi="Times New Roman"/>
                      <w:kern w:val="2"/>
                      <w:sz w:val="21"/>
                      <w:szCs w:val="21"/>
                    </w:rPr>
                  </w:pPr>
                  <w:r>
                    <w:rPr>
                      <w:rFonts w:hint="eastAsia" w:ascii="Times New Roman" w:hAnsi="Times New Roman"/>
                      <w:kern w:val="2"/>
                      <w:sz w:val="21"/>
                      <w:szCs w:val="21"/>
                    </w:rPr>
                    <w:t>2.本项目属于C3021水泥制品</w:t>
                  </w:r>
                  <w:r>
                    <w:rPr>
                      <w:rFonts w:ascii="Times New Roman" w:hAnsi="Times New Roman"/>
                      <w:kern w:val="2"/>
                      <w:sz w:val="21"/>
                      <w:szCs w:val="21"/>
                    </w:rPr>
                    <w:t>，</w:t>
                  </w:r>
                  <w:r>
                    <w:rPr>
                      <w:rFonts w:hint="eastAsia" w:ascii="Times New Roman" w:hAnsi="Times New Roman"/>
                      <w:kern w:val="2"/>
                      <w:sz w:val="21"/>
                      <w:szCs w:val="21"/>
                    </w:rPr>
                    <w:t>不属于</w:t>
                  </w:r>
                  <w:r>
                    <w:rPr>
                      <w:rFonts w:ascii="Times New Roman" w:hAnsi="Times New Roman"/>
                      <w:sz w:val="21"/>
                      <w:szCs w:val="21"/>
                    </w:rPr>
                    <w:t>包装印刷、工业涂装、制鞋等高VOCs排放的项目</w:t>
                  </w:r>
                  <w:r>
                    <w:rPr>
                      <w:rFonts w:hint="eastAsia" w:ascii="Times New Roman" w:hAnsi="Times New Roman"/>
                      <w:sz w:val="21"/>
                      <w:szCs w:val="21"/>
                    </w:rPr>
                    <w:t>。</w:t>
                  </w:r>
                </w:p>
                <w:p w14:paraId="08C37B4A">
                  <w:pPr>
                    <w:pStyle w:val="29"/>
                    <w:widowControl w:val="0"/>
                    <w:spacing w:before="0" w:beforeAutospacing="0" w:after="0" w:afterAutospacing="0"/>
                    <w:rPr>
                      <w:rFonts w:ascii="Times New Roman" w:hAnsi="Times New Roman"/>
                      <w:sz w:val="21"/>
                      <w:szCs w:val="21"/>
                    </w:rPr>
                  </w:pPr>
                  <w:r>
                    <w:rPr>
                      <w:rFonts w:hint="eastAsia" w:ascii="Times New Roman" w:hAnsi="Times New Roman"/>
                      <w:kern w:val="2"/>
                      <w:sz w:val="21"/>
                      <w:szCs w:val="21"/>
                    </w:rPr>
                    <w:t>3.本项目地块已取得福清市建设项目规划条件函，属于工业用地。</w:t>
                  </w:r>
                </w:p>
              </w:tc>
            </w:tr>
            <w:tr w14:paraId="6B02A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7" w:type="dxa"/>
                  <w:vMerge w:val="continue"/>
                  <w:tcBorders>
                    <w:tl2br w:val="nil"/>
                    <w:tr2bl w:val="nil"/>
                  </w:tcBorders>
                  <w:vAlign w:val="center"/>
                </w:tcPr>
                <w:p w14:paraId="1CCD71AE">
                  <w:pPr>
                    <w:rPr>
                      <w:szCs w:val="21"/>
                    </w:rPr>
                  </w:pPr>
                </w:p>
              </w:tc>
              <w:tc>
                <w:tcPr>
                  <w:tcW w:w="1211" w:type="dxa"/>
                  <w:vMerge w:val="continue"/>
                  <w:tcBorders>
                    <w:tl2br w:val="nil"/>
                    <w:tr2bl w:val="nil"/>
                  </w:tcBorders>
                  <w:vAlign w:val="center"/>
                </w:tcPr>
                <w:p w14:paraId="6A42E4E5">
                  <w:pPr>
                    <w:rPr>
                      <w:szCs w:val="21"/>
                    </w:rPr>
                  </w:pPr>
                </w:p>
              </w:tc>
              <w:tc>
                <w:tcPr>
                  <w:tcW w:w="1063" w:type="dxa"/>
                  <w:tcBorders>
                    <w:tl2br w:val="nil"/>
                    <w:tr2bl w:val="nil"/>
                  </w:tcBorders>
                  <w:vAlign w:val="center"/>
                </w:tcPr>
                <w:p w14:paraId="47788968">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污染物排放管控</w:t>
                  </w:r>
                </w:p>
              </w:tc>
              <w:tc>
                <w:tcPr>
                  <w:tcW w:w="5913" w:type="dxa"/>
                  <w:tcBorders>
                    <w:tl2br w:val="nil"/>
                    <w:tr2bl w:val="nil"/>
                  </w:tcBorders>
                  <w:vAlign w:val="center"/>
                </w:tcPr>
                <w:p w14:paraId="156A54A7">
                  <w:pPr>
                    <w:pStyle w:val="29"/>
                    <w:widowControl w:val="0"/>
                    <w:spacing w:before="0" w:beforeAutospacing="0" w:after="0" w:afterAutospacing="0"/>
                    <w:rPr>
                      <w:rFonts w:ascii="Times New Roman" w:hAnsi="Times New Roman"/>
                      <w:sz w:val="21"/>
                      <w:szCs w:val="21"/>
                    </w:rPr>
                  </w:pPr>
                  <w:r>
                    <w:rPr>
                      <w:rFonts w:ascii="Times New Roman" w:hAnsi="Times New Roman"/>
                      <w:sz w:val="21"/>
                      <w:szCs w:val="21"/>
                    </w:rPr>
                    <w:t>落实新增二氧化硫、氮氧化物和VOCs排放总量控制要求。</w:t>
                  </w:r>
                </w:p>
              </w:tc>
              <w:tc>
                <w:tcPr>
                  <w:tcW w:w="4085" w:type="dxa"/>
                  <w:tcBorders>
                    <w:tl2br w:val="nil"/>
                    <w:tr2bl w:val="nil"/>
                  </w:tcBorders>
                  <w:vAlign w:val="center"/>
                </w:tcPr>
                <w:p w14:paraId="2574A9DD">
                  <w:pPr>
                    <w:pStyle w:val="29"/>
                    <w:widowControl w:val="0"/>
                    <w:spacing w:before="0" w:beforeAutospacing="0" w:after="0" w:afterAutospacing="0"/>
                    <w:rPr>
                      <w:rFonts w:ascii="Times New Roman" w:hAnsi="Times New Roman"/>
                      <w:sz w:val="21"/>
                      <w:szCs w:val="21"/>
                    </w:rPr>
                  </w:pPr>
                  <w:r>
                    <w:rPr>
                      <w:rFonts w:hint="eastAsia" w:ascii="Times New Roman" w:hAnsi="Times New Roman"/>
                      <w:kern w:val="2"/>
                      <w:sz w:val="21"/>
                      <w:szCs w:val="21"/>
                    </w:rPr>
                    <w:t>本项目排放的废气污染物主要为颗粒物，不涉及二氧化硫、氮氧化物和VOCs排放。</w:t>
                  </w:r>
                </w:p>
              </w:tc>
            </w:tr>
            <w:tr w14:paraId="30727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7" w:type="dxa"/>
                  <w:vMerge w:val="continue"/>
                  <w:tcBorders>
                    <w:tl2br w:val="nil"/>
                    <w:tr2bl w:val="nil"/>
                  </w:tcBorders>
                  <w:vAlign w:val="center"/>
                </w:tcPr>
                <w:p w14:paraId="2F283E44">
                  <w:pPr>
                    <w:rPr>
                      <w:szCs w:val="21"/>
                    </w:rPr>
                  </w:pPr>
                </w:p>
              </w:tc>
              <w:tc>
                <w:tcPr>
                  <w:tcW w:w="1211" w:type="dxa"/>
                  <w:vMerge w:val="continue"/>
                  <w:tcBorders>
                    <w:tl2br w:val="nil"/>
                    <w:tr2bl w:val="nil"/>
                  </w:tcBorders>
                  <w:vAlign w:val="center"/>
                </w:tcPr>
                <w:p w14:paraId="30CC022B">
                  <w:pPr>
                    <w:rPr>
                      <w:szCs w:val="21"/>
                    </w:rPr>
                  </w:pPr>
                </w:p>
              </w:tc>
              <w:tc>
                <w:tcPr>
                  <w:tcW w:w="1063" w:type="dxa"/>
                  <w:tcBorders>
                    <w:tl2br w:val="nil"/>
                    <w:tr2bl w:val="nil"/>
                  </w:tcBorders>
                  <w:vAlign w:val="center"/>
                </w:tcPr>
                <w:p w14:paraId="0C6D90F0">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环境风险防控</w:t>
                  </w:r>
                </w:p>
              </w:tc>
              <w:tc>
                <w:tcPr>
                  <w:tcW w:w="5913" w:type="dxa"/>
                  <w:tcBorders>
                    <w:tl2br w:val="nil"/>
                    <w:tr2bl w:val="nil"/>
                  </w:tcBorders>
                  <w:vAlign w:val="center"/>
                </w:tcPr>
                <w:p w14:paraId="03D612FB">
                  <w:pPr>
                    <w:pStyle w:val="29"/>
                    <w:widowControl w:val="0"/>
                    <w:spacing w:before="0" w:beforeAutospacing="0" w:after="0" w:afterAutospacing="0"/>
                    <w:rPr>
                      <w:rFonts w:ascii="Times New Roman" w:hAnsi="Times New Roman"/>
                      <w:sz w:val="21"/>
                      <w:szCs w:val="21"/>
                    </w:rPr>
                  </w:pPr>
                  <w:r>
                    <w:rPr>
                      <w:rFonts w:ascii="Times New Roman" w:hAnsi="Times New Roman"/>
                      <w:sz w:val="21"/>
                      <w:szCs w:val="21"/>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4085" w:type="dxa"/>
                  <w:tcBorders>
                    <w:tl2br w:val="nil"/>
                    <w:tr2bl w:val="nil"/>
                  </w:tcBorders>
                  <w:vAlign w:val="center"/>
                </w:tcPr>
                <w:p w14:paraId="5EA35C45">
                  <w:pPr>
                    <w:jc w:val="left"/>
                    <w:rPr>
                      <w:kern w:val="0"/>
                      <w:szCs w:val="21"/>
                    </w:rPr>
                  </w:pPr>
                  <w:r>
                    <w:rPr>
                      <w:rFonts w:hint="eastAsia"/>
                      <w:szCs w:val="21"/>
                    </w:rPr>
                    <w:t>本</w:t>
                  </w:r>
                  <w:r>
                    <w:rPr>
                      <w:szCs w:val="21"/>
                    </w:rPr>
                    <w:t>项目为</w:t>
                  </w:r>
                  <w:r>
                    <w:rPr>
                      <w:rFonts w:hint="eastAsia"/>
                      <w:szCs w:val="21"/>
                    </w:rPr>
                    <w:t>迁建</w:t>
                  </w:r>
                  <w:r>
                    <w:rPr>
                      <w:szCs w:val="21"/>
                    </w:rPr>
                    <w:t>项目</w:t>
                  </w:r>
                  <w:r>
                    <w:rPr>
                      <w:rFonts w:hint="eastAsia"/>
                      <w:szCs w:val="21"/>
                    </w:rPr>
                    <w:t>，不属于</w:t>
                  </w:r>
                  <w:r>
                    <w:rPr>
                      <w:szCs w:val="21"/>
                    </w:rPr>
                    <w:t>单元内现有化学原料和化学制品制造业、有色金属冶炼和压延加工业</w:t>
                  </w:r>
                  <w:r>
                    <w:rPr>
                      <w:rFonts w:hint="eastAsia"/>
                      <w:szCs w:val="21"/>
                    </w:rPr>
                    <w:t>。</w:t>
                  </w:r>
                </w:p>
              </w:tc>
            </w:tr>
            <w:tr w14:paraId="4A12F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7" w:type="dxa"/>
                  <w:vMerge w:val="continue"/>
                  <w:tcBorders>
                    <w:tl2br w:val="nil"/>
                    <w:tr2bl w:val="nil"/>
                  </w:tcBorders>
                  <w:vAlign w:val="center"/>
                </w:tcPr>
                <w:p w14:paraId="6E456E02">
                  <w:pPr>
                    <w:rPr>
                      <w:szCs w:val="21"/>
                    </w:rPr>
                  </w:pPr>
                </w:p>
              </w:tc>
              <w:tc>
                <w:tcPr>
                  <w:tcW w:w="1211" w:type="dxa"/>
                  <w:vMerge w:val="continue"/>
                  <w:tcBorders>
                    <w:tl2br w:val="nil"/>
                    <w:tr2bl w:val="nil"/>
                  </w:tcBorders>
                  <w:vAlign w:val="center"/>
                </w:tcPr>
                <w:p w14:paraId="4EBBA076">
                  <w:pPr>
                    <w:rPr>
                      <w:szCs w:val="21"/>
                    </w:rPr>
                  </w:pPr>
                </w:p>
              </w:tc>
              <w:tc>
                <w:tcPr>
                  <w:tcW w:w="1063" w:type="dxa"/>
                  <w:tcBorders>
                    <w:tl2br w:val="nil"/>
                    <w:tr2bl w:val="nil"/>
                  </w:tcBorders>
                  <w:vAlign w:val="center"/>
                </w:tcPr>
                <w:p w14:paraId="4B255687">
                  <w:pPr>
                    <w:pStyle w:val="29"/>
                    <w:widowControl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资源开发效率要求</w:t>
                  </w:r>
                </w:p>
              </w:tc>
              <w:tc>
                <w:tcPr>
                  <w:tcW w:w="5913" w:type="dxa"/>
                  <w:tcBorders>
                    <w:tl2br w:val="nil"/>
                    <w:tr2bl w:val="nil"/>
                  </w:tcBorders>
                  <w:vAlign w:val="center"/>
                </w:tcPr>
                <w:p w14:paraId="3D9D1A13">
                  <w:pPr>
                    <w:pStyle w:val="29"/>
                    <w:widowControl w:val="0"/>
                    <w:spacing w:before="0" w:beforeAutospacing="0" w:after="0" w:afterAutospacing="0"/>
                    <w:rPr>
                      <w:rFonts w:ascii="Times New Roman" w:hAnsi="Times New Roman"/>
                      <w:sz w:val="21"/>
                      <w:szCs w:val="21"/>
                    </w:rPr>
                  </w:pPr>
                  <w:r>
                    <w:rPr>
                      <w:rFonts w:ascii="Times New Roman" w:hAnsi="Times New Roman"/>
                      <w:sz w:val="21"/>
                      <w:szCs w:val="21"/>
                    </w:rPr>
                    <w:t>高污染燃料禁燃区内禁止燃用高污染燃料，禁止新建、扩建燃用高污染燃料的设施。已建的燃用高污染燃料设施，限期改用电、天然气、液化石油气等清洁能源。</w:t>
                  </w:r>
                </w:p>
              </w:tc>
              <w:tc>
                <w:tcPr>
                  <w:tcW w:w="4085" w:type="dxa"/>
                  <w:tcBorders>
                    <w:tl2br w:val="nil"/>
                    <w:tr2bl w:val="nil"/>
                  </w:tcBorders>
                  <w:vAlign w:val="center"/>
                </w:tcPr>
                <w:p w14:paraId="582A0437">
                  <w:pPr>
                    <w:pStyle w:val="29"/>
                    <w:widowControl w:val="0"/>
                    <w:spacing w:before="0" w:beforeAutospacing="0" w:after="0" w:afterAutospacing="0"/>
                    <w:rPr>
                      <w:rFonts w:ascii="Times New Roman" w:hAnsi="Times New Roman"/>
                      <w:sz w:val="21"/>
                      <w:szCs w:val="21"/>
                    </w:rPr>
                  </w:pPr>
                  <w:r>
                    <w:rPr>
                      <w:rFonts w:ascii="Times New Roman" w:hAnsi="Times New Roman"/>
                      <w:sz w:val="21"/>
                      <w:szCs w:val="21"/>
                    </w:rPr>
                    <w:t>本项目不涉及</w:t>
                  </w:r>
                  <w:r>
                    <w:rPr>
                      <w:rFonts w:hint="eastAsia" w:ascii="Times New Roman" w:hAnsi="Times New Roman"/>
                      <w:sz w:val="21"/>
                      <w:szCs w:val="21"/>
                    </w:rPr>
                    <w:t>高污染燃料及其设施。</w:t>
                  </w:r>
                </w:p>
              </w:tc>
            </w:tr>
          </w:tbl>
          <w:p w14:paraId="051DF8DD">
            <w:pPr>
              <w:spacing w:line="360" w:lineRule="auto"/>
              <w:jc w:val="center"/>
              <w:rPr>
                <w:kern w:val="0"/>
                <w:sz w:val="24"/>
              </w:rPr>
            </w:pPr>
          </w:p>
        </w:tc>
      </w:tr>
    </w:tbl>
    <w:p w14:paraId="74315B16">
      <w:pPr>
        <w:sectPr>
          <w:pgSz w:w="16838" w:h="11906" w:orient="landscape"/>
          <w:pgMar w:top="1800" w:right="1440" w:bottom="1800" w:left="1440" w:header="851" w:footer="1077" w:gutter="0"/>
          <w:pgNumType w:start="1"/>
          <w:cols w:space="720" w:num="1"/>
          <w:docGrid w:linePitch="312" w:charSpace="0"/>
        </w:sectPr>
      </w:pPr>
    </w:p>
    <w:tbl>
      <w:tblPr>
        <w:tblStyle w:val="34"/>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7155"/>
      </w:tblGrid>
      <w:tr w14:paraId="0F57E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49" w:type="dxa"/>
            <w:vAlign w:val="center"/>
          </w:tcPr>
          <w:p w14:paraId="36014A1A">
            <w:pPr>
              <w:autoSpaceDE w:val="0"/>
              <w:autoSpaceDN w:val="0"/>
              <w:jc w:val="center"/>
              <w:rPr>
                <w:color w:val="000000"/>
                <w:kern w:val="0"/>
                <w:sz w:val="24"/>
              </w:rPr>
            </w:pPr>
            <w:r>
              <w:rPr>
                <w:color w:val="000000"/>
                <w:kern w:val="0"/>
                <w:sz w:val="24"/>
              </w:rPr>
              <w:t>其他符合性分析</w:t>
            </w:r>
          </w:p>
        </w:tc>
        <w:tc>
          <w:tcPr>
            <w:tcW w:w="7155" w:type="dxa"/>
            <w:vAlign w:val="center"/>
          </w:tcPr>
          <w:p w14:paraId="53D7CD43">
            <w:pPr>
              <w:pStyle w:val="139"/>
              <w:spacing w:beforeLines="0" w:afterLines="0"/>
              <w:ind w:firstLine="0" w:firstLineChars="0"/>
              <w:rPr>
                <w:b/>
                <w:bCs/>
              </w:rPr>
            </w:pPr>
            <w:r>
              <w:rPr>
                <w:b/>
                <w:bCs/>
              </w:rPr>
              <w:t>（二）产业政策的符合性分析</w:t>
            </w:r>
          </w:p>
          <w:p w14:paraId="4862A21D">
            <w:pPr>
              <w:pStyle w:val="141"/>
              <w:spacing w:after="0" w:line="360" w:lineRule="auto"/>
              <w:ind w:firstLine="480" w:firstLineChars="200"/>
              <w:rPr>
                <w:bCs/>
                <w:sz w:val="24"/>
                <w:szCs w:val="24"/>
              </w:rPr>
            </w:pPr>
            <w:bookmarkStart w:id="3" w:name="_Hlk490420179"/>
            <w:r>
              <w:rPr>
                <w:rFonts w:hint="eastAsia"/>
                <w:kern w:val="28"/>
                <w:sz w:val="24"/>
                <w:szCs w:val="24"/>
              </w:rPr>
              <w:t>本项目属于C3021水泥制品，不属于《产业结构调整指导目录（2024年本）》中的鼓励、限制和淘汰类项目，属于允许建设类项目，且项目已于2024年11月06日通过福清市发展和改革局备案，备案编号：</w:t>
            </w:r>
            <w:r>
              <w:rPr>
                <w:sz w:val="24"/>
              </w:rPr>
              <w:t>闽发改备[202</w:t>
            </w:r>
            <w:r>
              <w:rPr>
                <w:rFonts w:hint="eastAsia"/>
                <w:sz w:val="24"/>
              </w:rPr>
              <w:t>2</w:t>
            </w:r>
            <w:r>
              <w:rPr>
                <w:sz w:val="24"/>
              </w:rPr>
              <w:t>]</w:t>
            </w:r>
            <w:r>
              <w:rPr>
                <w:rFonts w:hint="eastAsia"/>
                <w:sz w:val="24"/>
              </w:rPr>
              <w:t>A</w:t>
            </w:r>
            <w:r>
              <w:rPr>
                <w:sz w:val="24"/>
              </w:rPr>
              <w:t>0</w:t>
            </w:r>
            <w:r>
              <w:rPr>
                <w:rFonts w:hint="eastAsia"/>
                <w:sz w:val="24"/>
              </w:rPr>
              <w:t>6</w:t>
            </w:r>
            <w:r>
              <w:rPr>
                <w:sz w:val="24"/>
              </w:rPr>
              <w:t>0</w:t>
            </w:r>
            <w:r>
              <w:rPr>
                <w:rFonts w:hint="eastAsia"/>
                <w:sz w:val="24"/>
              </w:rPr>
              <w:t>248</w:t>
            </w:r>
            <w:r>
              <w:rPr>
                <w:sz w:val="24"/>
              </w:rPr>
              <w:t>号</w:t>
            </w:r>
            <w:r>
              <w:rPr>
                <w:bCs/>
                <w:sz w:val="24"/>
                <w:szCs w:val="24"/>
              </w:rPr>
              <w:t>，</w:t>
            </w:r>
            <w:r>
              <w:rPr>
                <w:rFonts w:hint="eastAsia"/>
                <w:bCs/>
                <w:sz w:val="24"/>
                <w:szCs w:val="24"/>
              </w:rPr>
              <w:t>因此，本</w:t>
            </w:r>
            <w:r>
              <w:rPr>
                <w:bCs/>
                <w:sz w:val="24"/>
                <w:szCs w:val="24"/>
              </w:rPr>
              <w:t>项目符合当前国家产业政策</w:t>
            </w:r>
            <w:r>
              <w:rPr>
                <w:rFonts w:hint="eastAsia"/>
                <w:bCs/>
                <w:sz w:val="24"/>
                <w:szCs w:val="24"/>
              </w:rPr>
              <w:t>要求</w:t>
            </w:r>
            <w:r>
              <w:rPr>
                <w:bCs/>
                <w:sz w:val="24"/>
                <w:szCs w:val="24"/>
              </w:rPr>
              <w:t>。</w:t>
            </w:r>
          </w:p>
          <w:bookmarkEnd w:id="3"/>
          <w:p w14:paraId="506DFA0D">
            <w:pPr>
              <w:pStyle w:val="139"/>
              <w:spacing w:beforeLines="0" w:afterLines="0"/>
              <w:ind w:firstLine="0" w:firstLineChars="0"/>
              <w:rPr>
                <w:b/>
                <w:bCs/>
              </w:rPr>
            </w:pPr>
            <w:r>
              <w:rPr>
                <w:b/>
                <w:bCs/>
                <w:color w:val="auto"/>
              </w:rPr>
              <w:t>（三）与相关生态环境</w:t>
            </w:r>
            <w:r>
              <w:rPr>
                <w:b/>
                <w:bCs/>
              </w:rPr>
              <w:t>保护法律法规政策、生态环境保护规划的符合性</w:t>
            </w:r>
          </w:p>
          <w:p w14:paraId="24FE1051">
            <w:pPr>
              <w:pStyle w:val="141"/>
              <w:spacing w:after="0" w:line="360" w:lineRule="auto"/>
              <w:ind w:firstLine="480" w:firstLineChars="200"/>
              <w:rPr>
                <w:bCs/>
                <w:color w:val="000000"/>
                <w:sz w:val="24"/>
                <w:szCs w:val="24"/>
              </w:rPr>
            </w:pPr>
            <w:r>
              <w:rPr>
                <w:rFonts w:hint="eastAsia"/>
                <w:bCs/>
                <w:color w:val="000000"/>
                <w:sz w:val="24"/>
                <w:szCs w:val="24"/>
              </w:rPr>
              <w:t>(1)</w:t>
            </w:r>
            <w:r>
              <w:rPr>
                <w:bCs/>
                <w:color w:val="000000"/>
                <w:sz w:val="24"/>
                <w:szCs w:val="24"/>
              </w:rPr>
              <w:t>与《福建省水污染防治条例》的符合性分析</w:t>
            </w:r>
          </w:p>
          <w:p w14:paraId="5A3F6E6A">
            <w:pPr>
              <w:pStyle w:val="141"/>
              <w:spacing w:after="0" w:line="360" w:lineRule="auto"/>
              <w:ind w:firstLine="480" w:firstLineChars="200"/>
              <w:rPr>
                <w:bCs/>
                <w:color w:val="000000"/>
                <w:sz w:val="24"/>
                <w:szCs w:val="24"/>
              </w:rPr>
            </w:pPr>
            <w:r>
              <w:rPr>
                <w:bCs/>
                <w:color w:val="000000"/>
                <w:sz w:val="24"/>
                <w:szCs w:val="24"/>
              </w:rPr>
              <w:t>2021年7月29日福建省第十三届人民代表大会常务委员会第二十八次会议通过《福建省水污染防治条例》，本项目与条例的符合性分析如下</w:t>
            </w:r>
            <w:r>
              <w:rPr>
                <w:rFonts w:hint="eastAsia"/>
                <w:bCs/>
                <w:color w:val="000000"/>
                <w:sz w:val="24"/>
                <w:szCs w:val="24"/>
              </w:rPr>
              <w:t>表1.1-3。</w:t>
            </w:r>
          </w:p>
          <w:p w14:paraId="7E58016D">
            <w:pPr>
              <w:pStyle w:val="142"/>
              <w:rPr>
                <w:color w:val="000000"/>
              </w:rPr>
            </w:pPr>
            <w:r>
              <w:rPr>
                <w:rFonts w:eastAsia="宋体"/>
                <w:bCs/>
              </w:rPr>
              <w:t>表1.</w:t>
            </w:r>
            <w:r>
              <w:rPr>
                <w:rFonts w:hint="eastAsia" w:eastAsia="宋体"/>
                <w:bCs/>
              </w:rPr>
              <w:t>1-3</w:t>
            </w:r>
            <w:r>
              <w:rPr>
                <w:rFonts w:eastAsia="宋体"/>
                <w:bCs/>
              </w:rPr>
              <w:t xml:space="preserve"> </w:t>
            </w:r>
            <w:r>
              <w:rPr>
                <w:rFonts w:hint="eastAsia" w:eastAsia="宋体"/>
                <w:bCs/>
              </w:rPr>
              <w:t xml:space="preserve"> </w:t>
            </w:r>
            <w:r>
              <w:rPr>
                <w:rFonts w:eastAsia="宋体"/>
                <w:bCs/>
              </w:rPr>
              <w:t>与《福建省水污染防治条例》的符合性分析一览表</w:t>
            </w:r>
          </w:p>
          <w:tbl>
            <w:tblPr>
              <w:tblStyle w:val="34"/>
              <w:tblW w:w="70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79"/>
              <w:gridCol w:w="3426"/>
              <w:gridCol w:w="782"/>
            </w:tblGrid>
            <w:tr w14:paraId="7F3BE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9" w:type="dxa"/>
                  <w:tcBorders>
                    <w:tl2br w:val="nil"/>
                    <w:tr2bl w:val="nil"/>
                  </w:tcBorders>
                  <w:vAlign w:val="center"/>
                </w:tcPr>
                <w:p w14:paraId="7CE94D91">
                  <w:pPr>
                    <w:pStyle w:val="133"/>
                    <w:rPr>
                      <w:color w:val="000000"/>
                      <w:szCs w:val="21"/>
                    </w:rPr>
                  </w:pPr>
                  <w:r>
                    <w:rPr>
                      <w:color w:val="000000"/>
                      <w:szCs w:val="21"/>
                    </w:rPr>
                    <w:t>《福建省水污染防治条例》</w:t>
                  </w:r>
                </w:p>
                <w:p w14:paraId="23711DE6">
                  <w:pPr>
                    <w:pStyle w:val="133"/>
                    <w:rPr>
                      <w:color w:val="000000"/>
                      <w:szCs w:val="21"/>
                    </w:rPr>
                  </w:pPr>
                  <w:r>
                    <w:rPr>
                      <w:color w:val="000000"/>
                      <w:szCs w:val="21"/>
                    </w:rPr>
                    <w:t>相关内容</w:t>
                  </w:r>
                </w:p>
              </w:tc>
              <w:tc>
                <w:tcPr>
                  <w:tcW w:w="3426" w:type="dxa"/>
                  <w:tcBorders>
                    <w:tl2br w:val="nil"/>
                    <w:tr2bl w:val="nil"/>
                  </w:tcBorders>
                  <w:vAlign w:val="center"/>
                </w:tcPr>
                <w:p w14:paraId="54B7970D">
                  <w:pPr>
                    <w:pStyle w:val="133"/>
                    <w:rPr>
                      <w:color w:val="000000"/>
                      <w:szCs w:val="21"/>
                    </w:rPr>
                  </w:pPr>
                  <w:r>
                    <w:rPr>
                      <w:color w:val="000000"/>
                      <w:szCs w:val="21"/>
                    </w:rPr>
                    <w:t>本项目落实情况</w:t>
                  </w:r>
                </w:p>
              </w:tc>
              <w:tc>
                <w:tcPr>
                  <w:tcW w:w="782" w:type="dxa"/>
                  <w:tcBorders>
                    <w:tl2br w:val="nil"/>
                    <w:tr2bl w:val="nil"/>
                  </w:tcBorders>
                  <w:vAlign w:val="center"/>
                </w:tcPr>
                <w:p w14:paraId="0D359A79">
                  <w:pPr>
                    <w:pStyle w:val="133"/>
                    <w:rPr>
                      <w:color w:val="000000"/>
                      <w:szCs w:val="21"/>
                    </w:rPr>
                  </w:pPr>
                  <w:r>
                    <w:rPr>
                      <w:color w:val="000000"/>
                      <w:szCs w:val="21"/>
                    </w:rPr>
                    <w:t>是否符合</w:t>
                  </w:r>
                </w:p>
              </w:tc>
            </w:tr>
            <w:tr w14:paraId="13FAB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9" w:type="dxa"/>
                  <w:tcBorders>
                    <w:tl2br w:val="nil"/>
                    <w:tr2bl w:val="nil"/>
                  </w:tcBorders>
                  <w:vAlign w:val="center"/>
                </w:tcPr>
                <w:p w14:paraId="4946DAD5">
                  <w:pPr>
                    <w:pStyle w:val="133"/>
                    <w:jc w:val="left"/>
                    <w:rPr>
                      <w:color w:val="000000"/>
                      <w:szCs w:val="21"/>
                    </w:rPr>
                  </w:pPr>
                  <w:r>
                    <w:rPr>
                      <w:rFonts w:hint="eastAsia"/>
                      <w:color w:val="000000"/>
                      <w:szCs w:val="21"/>
                    </w:rPr>
                    <w:t>1.</w:t>
                  </w:r>
                  <w:r>
                    <w:rPr>
                      <w:color w:val="000000"/>
                      <w:szCs w:val="21"/>
                    </w:rPr>
                    <w:t>县级以上地方人民政府应当按照国家有关规定规划建设工业集聚区，引导工业企业入驻工业集聚区。</w:t>
                  </w:r>
                </w:p>
                <w:p w14:paraId="00361B9C">
                  <w:pPr>
                    <w:pStyle w:val="133"/>
                    <w:jc w:val="left"/>
                    <w:rPr>
                      <w:color w:val="000000"/>
                      <w:szCs w:val="21"/>
                    </w:rPr>
                  </w:pPr>
                  <w:r>
                    <w:rPr>
                      <w:rFonts w:hint="eastAsia"/>
                      <w:color w:val="000000"/>
                      <w:szCs w:val="21"/>
                    </w:rPr>
                    <w:t>2.</w:t>
                  </w:r>
                  <w:r>
                    <w:rPr>
                      <w:color w:val="000000"/>
                      <w:szCs w:val="21"/>
                    </w:rPr>
                    <w:t>工业集聚区应当配套建设污水集中处理设施及其管网，安装污染源自动监测设备，与生态环境主管部门的监控设备联网并保证正常运行；对不符合要求的，生态环境主管部门应当暂停审批该工业集聚区新增水污染物排放总量的建设项目环境影响评价文件。</w:t>
                  </w:r>
                </w:p>
                <w:p w14:paraId="79E1F19A">
                  <w:pPr>
                    <w:pStyle w:val="133"/>
                    <w:jc w:val="left"/>
                    <w:rPr>
                      <w:color w:val="000000"/>
                      <w:szCs w:val="21"/>
                    </w:rPr>
                  </w:pPr>
                  <w:r>
                    <w:rPr>
                      <w:rFonts w:hint="eastAsia"/>
                      <w:color w:val="000000"/>
                      <w:szCs w:val="21"/>
                    </w:rPr>
                    <w:t>3.</w:t>
                  </w:r>
                  <w:r>
                    <w:rPr>
                      <w:color w:val="000000"/>
                      <w:szCs w:val="21"/>
                    </w:rPr>
                    <w:t>化工、电镀、制革、印染等行业企业产生的废水应当按照分质分流的要求进行预处理，达到污水集中处理设施处理工艺要求后方可向处理设施排放。</w:t>
                  </w:r>
                </w:p>
              </w:tc>
              <w:tc>
                <w:tcPr>
                  <w:tcW w:w="3426" w:type="dxa"/>
                  <w:tcBorders>
                    <w:tl2br w:val="nil"/>
                    <w:tr2bl w:val="nil"/>
                  </w:tcBorders>
                  <w:vAlign w:val="center"/>
                </w:tcPr>
                <w:p w14:paraId="348ABEF1">
                  <w:pPr>
                    <w:pStyle w:val="133"/>
                    <w:jc w:val="both"/>
                    <w:rPr>
                      <w:color w:val="000000"/>
                      <w:szCs w:val="21"/>
                    </w:rPr>
                  </w:pPr>
                  <w:r>
                    <w:rPr>
                      <w:rFonts w:hint="eastAsia"/>
                      <w:color w:val="000000"/>
                      <w:szCs w:val="21"/>
                    </w:rPr>
                    <w:t>1.</w:t>
                  </w:r>
                  <w:r>
                    <w:rPr>
                      <w:color w:val="000000"/>
                      <w:szCs w:val="21"/>
                    </w:rPr>
                    <w:t>本项目选址于</w:t>
                  </w:r>
                  <w:r>
                    <w:rPr>
                      <w:szCs w:val="21"/>
                    </w:rPr>
                    <w:t>福州江阴港城经济区东部临港产业区</w:t>
                  </w:r>
                  <w:r>
                    <w:rPr>
                      <w:color w:val="000000"/>
                      <w:szCs w:val="21"/>
                    </w:rPr>
                    <w:t>，属规划建设的工业集聚区。</w:t>
                  </w:r>
                </w:p>
                <w:p w14:paraId="2B07F2C7">
                  <w:pPr>
                    <w:pStyle w:val="133"/>
                    <w:jc w:val="both"/>
                    <w:rPr>
                      <w:color w:val="000000"/>
                      <w:szCs w:val="21"/>
                    </w:rPr>
                  </w:pPr>
                  <w:r>
                    <w:rPr>
                      <w:rFonts w:hint="eastAsia"/>
                      <w:color w:val="000000"/>
                      <w:szCs w:val="21"/>
                    </w:rPr>
                    <w:t>2.</w:t>
                  </w:r>
                  <w:r>
                    <w:rPr>
                      <w:color w:val="000000"/>
                      <w:szCs w:val="21"/>
                    </w:rPr>
                    <w:t>本项目实施</w:t>
                  </w:r>
                  <w:r>
                    <w:rPr>
                      <w:rFonts w:hint="eastAsia"/>
                      <w:color w:val="000000"/>
                      <w:szCs w:val="21"/>
                    </w:rPr>
                    <w:t>雨</w:t>
                  </w:r>
                  <w:r>
                    <w:rPr>
                      <w:color w:val="000000"/>
                      <w:szCs w:val="21"/>
                    </w:rPr>
                    <w:t>污分流、污污分流，</w:t>
                  </w:r>
                  <w:r>
                    <w:rPr>
                      <w:rFonts w:hint="eastAsia"/>
                      <w:color w:val="000000"/>
                      <w:szCs w:val="21"/>
                    </w:rPr>
                    <w:t>不排放生产废水，生活污水经厂区内化粪池处理</w:t>
                  </w:r>
                  <w:r>
                    <w:rPr>
                      <w:color w:val="000000"/>
                      <w:szCs w:val="21"/>
                    </w:rPr>
                    <w:t>达标后</w:t>
                  </w:r>
                  <w:r>
                    <w:rPr>
                      <w:rFonts w:hint="eastAsia"/>
                      <w:color w:val="000000"/>
                      <w:szCs w:val="21"/>
                    </w:rPr>
                    <w:t>排入市政污水管网接入</w:t>
                  </w:r>
                  <w:r>
                    <w:rPr>
                      <w:color w:val="000000"/>
                      <w:szCs w:val="21"/>
                    </w:rPr>
                    <w:t>园区污水处理厂</w:t>
                  </w:r>
                  <w:r>
                    <w:rPr>
                      <w:rFonts w:hint="eastAsia"/>
                      <w:color w:val="000000"/>
                      <w:szCs w:val="21"/>
                    </w:rPr>
                    <w:t>（</w:t>
                  </w:r>
                  <w:r>
                    <w:rPr>
                      <w:szCs w:val="21"/>
                    </w:rPr>
                    <w:t>江阴污水处理厂</w:t>
                  </w:r>
                  <w:r>
                    <w:rPr>
                      <w:rFonts w:hint="eastAsia"/>
                      <w:color w:val="000000"/>
                      <w:szCs w:val="21"/>
                    </w:rPr>
                    <w:t>）</w:t>
                  </w:r>
                  <w:r>
                    <w:rPr>
                      <w:color w:val="000000"/>
                      <w:szCs w:val="21"/>
                    </w:rPr>
                    <w:t>进一步处理后排放</w:t>
                  </w:r>
                  <w:r>
                    <w:rPr>
                      <w:rFonts w:hint="eastAsia"/>
                      <w:color w:val="000000"/>
                      <w:szCs w:val="21"/>
                    </w:rPr>
                    <w:t>至兴化湾</w:t>
                  </w:r>
                  <w:r>
                    <w:rPr>
                      <w:color w:val="000000"/>
                      <w:szCs w:val="21"/>
                    </w:rPr>
                    <w:t>，</w:t>
                  </w:r>
                  <w:r>
                    <w:rPr>
                      <w:rFonts w:hint="eastAsia"/>
                      <w:color w:val="000000"/>
                      <w:szCs w:val="21"/>
                    </w:rPr>
                    <w:t>园区</w:t>
                  </w:r>
                  <w:r>
                    <w:rPr>
                      <w:color w:val="000000"/>
                      <w:szCs w:val="21"/>
                    </w:rPr>
                    <w:t>污水处理厂安装</w:t>
                  </w:r>
                  <w:r>
                    <w:rPr>
                      <w:rFonts w:hint="eastAsia"/>
                      <w:color w:val="000000"/>
                      <w:szCs w:val="21"/>
                    </w:rPr>
                    <w:t>了</w:t>
                  </w:r>
                  <w:r>
                    <w:rPr>
                      <w:color w:val="000000"/>
                      <w:szCs w:val="21"/>
                    </w:rPr>
                    <w:t>污染源自动监测设备并与</w:t>
                  </w:r>
                  <w:r>
                    <w:rPr>
                      <w:rFonts w:hint="eastAsia"/>
                      <w:color w:val="000000"/>
                      <w:szCs w:val="21"/>
                    </w:rPr>
                    <w:t>生态环境主管部门</w:t>
                  </w:r>
                  <w:r>
                    <w:rPr>
                      <w:color w:val="000000"/>
                      <w:szCs w:val="21"/>
                    </w:rPr>
                    <w:t>联网</w:t>
                  </w:r>
                  <w:r>
                    <w:rPr>
                      <w:rFonts w:hint="eastAsia"/>
                      <w:color w:val="000000"/>
                      <w:szCs w:val="21"/>
                    </w:rPr>
                    <w:t>。</w:t>
                  </w:r>
                </w:p>
                <w:p w14:paraId="290C9F19">
                  <w:pPr>
                    <w:pStyle w:val="133"/>
                    <w:jc w:val="both"/>
                    <w:rPr>
                      <w:color w:val="000000"/>
                      <w:szCs w:val="21"/>
                    </w:rPr>
                  </w:pPr>
                  <w:r>
                    <w:rPr>
                      <w:rFonts w:hint="eastAsia"/>
                      <w:color w:val="000000"/>
                      <w:szCs w:val="21"/>
                    </w:rPr>
                    <w:t>3.本项目属于</w:t>
                  </w:r>
                  <w:r>
                    <w:rPr>
                      <w:rFonts w:hint="eastAsia"/>
                      <w:szCs w:val="21"/>
                    </w:rPr>
                    <w:t>C3021水泥制品</w:t>
                  </w:r>
                  <w:r>
                    <w:rPr>
                      <w:szCs w:val="21"/>
                    </w:rPr>
                    <w:t>，</w:t>
                  </w:r>
                  <w:r>
                    <w:rPr>
                      <w:rFonts w:hint="eastAsia"/>
                      <w:szCs w:val="21"/>
                    </w:rPr>
                    <w:t>不属于化工、电镀、制革、印染等行业企业。</w:t>
                  </w:r>
                </w:p>
              </w:tc>
              <w:tc>
                <w:tcPr>
                  <w:tcW w:w="782" w:type="dxa"/>
                  <w:tcBorders>
                    <w:tl2br w:val="nil"/>
                    <w:tr2bl w:val="nil"/>
                  </w:tcBorders>
                  <w:vAlign w:val="center"/>
                </w:tcPr>
                <w:p w14:paraId="2063FA30">
                  <w:pPr>
                    <w:pStyle w:val="133"/>
                    <w:rPr>
                      <w:color w:val="000000"/>
                      <w:szCs w:val="21"/>
                    </w:rPr>
                  </w:pPr>
                  <w:r>
                    <w:rPr>
                      <w:color w:val="000000"/>
                      <w:szCs w:val="21"/>
                    </w:rPr>
                    <w:t>基本</w:t>
                  </w:r>
                </w:p>
                <w:p w14:paraId="76BE4BCE">
                  <w:pPr>
                    <w:pStyle w:val="133"/>
                    <w:rPr>
                      <w:color w:val="000000"/>
                      <w:szCs w:val="21"/>
                    </w:rPr>
                  </w:pPr>
                  <w:r>
                    <w:rPr>
                      <w:color w:val="000000"/>
                      <w:szCs w:val="21"/>
                    </w:rPr>
                    <w:t>符合</w:t>
                  </w:r>
                </w:p>
              </w:tc>
            </w:tr>
          </w:tbl>
          <w:p w14:paraId="6D67171B">
            <w:pPr>
              <w:pStyle w:val="141"/>
              <w:spacing w:after="0" w:line="360" w:lineRule="auto"/>
              <w:ind w:firstLine="480" w:firstLineChars="200"/>
              <w:rPr>
                <w:bCs/>
                <w:color w:val="000000"/>
                <w:sz w:val="24"/>
                <w:szCs w:val="24"/>
              </w:rPr>
            </w:pPr>
            <w:r>
              <w:rPr>
                <w:rFonts w:hint="eastAsia"/>
                <w:bCs/>
                <w:color w:val="000000"/>
                <w:sz w:val="24"/>
                <w:szCs w:val="24"/>
              </w:rPr>
              <w:t>(2)</w:t>
            </w:r>
            <w:r>
              <w:rPr>
                <w:bCs/>
                <w:color w:val="000000"/>
                <w:sz w:val="24"/>
                <w:szCs w:val="24"/>
              </w:rPr>
              <w:t>与《福建省土壤污染防治行动计划实施方案》的符合性</w:t>
            </w:r>
          </w:p>
          <w:p w14:paraId="538CCF82">
            <w:pPr>
              <w:pStyle w:val="141"/>
              <w:spacing w:after="0" w:line="360" w:lineRule="auto"/>
              <w:ind w:firstLine="480" w:firstLineChars="200"/>
              <w:rPr>
                <w:bCs/>
                <w:color w:val="000000"/>
                <w:sz w:val="24"/>
                <w:szCs w:val="24"/>
              </w:rPr>
            </w:pPr>
            <w:r>
              <w:rPr>
                <w:bCs/>
                <w:color w:val="000000"/>
                <w:sz w:val="24"/>
                <w:szCs w:val="24"/>
              </w:rPr>
              <w:t>2016年10月15日福建省人民政府发布《福建省土壤污染防治行动计划实施方案》（闽政[2016]45号）。本项目与《福建省土壤污染防治行动计划实施方案》符合性分别见表1.</w:t>
            </w:r>
            <w:r>
              <w:rPr>
                <w:rFonts w:hint="eastAsia"/>
                <w:bCs/>
                <w:color w:val="000000"/>
                <w:sz w:val="24"/>
                <w:szCs w:val="24"/>
              </w:rPr>
              <w:t>1-4</w:t>
            </w:r>
            <w:r>
              <w:rPr>
                <w:bCs/>
                <w:color w:val="000000"/>
                <w:sz w:val="24"/>
                <w:szCs w:val="24"/>
              </w:rPr>
              <w:t>。</w:t>
            </w:r>
          </w:p>
          <w:p w14:paraId="2825E912">
            <w:pPr>
              <w:jc w:val="center"/>
              <w:rPr>
                <w:rFonts w:eastAsia="黑体"/>
                <w:b/>
                <w:color w:val="000000"/>
                <w:sz w:val="24"/>
              </w:rPr>
            </w:pPr>
            <w:r>
              <w:rPr>
                <w:rFonts w:eastAsia="黑体"/>
                <w:b/>
                <w:color w:val="000000"/>
                <w:sz w:val="24"/>
              </w:rPr>
              <w:t>表1.</w:t>
            </w:r>
            <w:r>
              <w:rPr>
                <w:rFonts w:hint="eastAsia" w:eastAsia="黑体"/>
                <w:b/>
                <w:color w:val="000000"/>
                <w:sz w:val="24"/>
              </w:rPr>
              <w:t>1-4</w:t>
            </w:r>
            <w:r>
              <w:rPr>
                <w:rFonts w:eastAsia="黑体"/>
                <w:b/>
                <w:color w:val="000000"/>
                <w:sz w:val="24"/>
              </w:rPr>
              <w:t xml:space="preserve"> </w:t>
            </w:r>
            <w:r>
              <w:rPr>
                <w:rFonts w:hint="eastAsia" w:eastAsia="黑体"/>
                <w:b/>
                <w:color w:val="000000"/>
                <w:sz w:val="24"/>
              </w:rPr>
              <w:t xml:space="preserve"> </w:t>
            </w:r>
            <w:r>
              <w:rPr>
                <w:rFonts w:eastAsia="黑体"/>
                <w:b/>
                <w:color w:val="000000"/>
                <w:sz w:val="24"/>
              </w:rPr>
              <w:t>与福建省土壤污染防治行动计划实施方案的符合性分析</w:t>
            </w:r>
          </w:p>
          <w:tbl>
            <w:tblPr>
              <w:tblStyle w:val="34"/>
              <w:tblW w:w="70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9"/>
              <w:gridCol w:w="3846"/>
              <w:gridCol w:w="1968"/>
              <w:gridCol w:w="584"/>
            </w:tblGrid>
            <w:tr w14:paraId="725E6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gridSpan w:val="2"/>
                  <w:tcBorders>
                    <w:tl2br w:val="nil"/>
                    <w:tr2bl w:val="nil"/>
                  </w:tcBorders>
                  <w:tcMar>
                    <w:left w:w="28" w:type="dxa"/>
                    <w:right w:w="28" w:type="dxa"/>
                  </w:tcMar>
                  <w:vAlign w:val="center"/>
                </w:tcPr>
                <w:p w14:paraId="50A7C9D0">
                  <w:pPr>
                    <w:ind w:right="17" w:rightChars="8"/>
                    <w:jc w:val="center"/>
                    <w:rPr>
                      <w:color w:val="000000"/>
                      <w:szCs w:val="21"/>
                    </w:rPr>
                  </w:pPr>
                  <w:r>
                    <w:rPr>
                      <w:color w:val="000000"/>
                      <w:szCs w:val="21"/>
                    </w:rPr>
                    <w:t>闽政[2016]45号</w:t>
                  </w:r>
                </w:p>
              </w:tc>
              <w:tc>
                <w:tcPr>
                  <w:tcW w:w="1968" w:type="dxa"/>
                  <w:tcBorders>
                    <w:tl2br w:val="nil"/>
                    <w:tr2bl w:val="nil"/>
                  </w:tcBorders>
                  <w:tcMar>
                    <w:left w:w="28" w:type="dxa"/>
                    <w:right w:w="28" w:type="dxa"/>
                  </w:tcMar>
                  <w:vAlign w:val="center"/>
                </w:tcPr>
                <w:p w14:paraId="7AF92F55">
                  <w:pPr>
                    <w:ind w:right="17" w:rightChars="8"/>
                    <w:jc w:val="center"/>
                    <w:rPr>
                      <w:color w:val="000000"/>
                      <w:szCs w:val="21"/>
                    </w:rPr>
                  </w:pPr>
                  <w:r>
                    <w:rPr>
                      <w:color w:val="000000"/>
                      <w:szCs w:val="21"/>
                    </w:rPr>
                    <w:t>本项目</w:t>
                  </w:r>
                </w:p>
              </w:tc>
              <w:tc>
                <w:tcPr>
                  <w:tcW w:w="584" w:type="dxa"/>
                  <w:tcBorders>
                    <w:tl2br w:val="nil"/>
                    <w:tr2bl w:val="nil"/>
                  </w:tcBorders>
                  <w:tcMar>
                    <w:left w:w="28" w:type="dxa"/>
                    <w:right w:w="28" w:type="dxa"/>
                  </w:tcMar>
                  <w:vAlign w:val="center"/>
                </w:tcPr>
                <w:p w14:paraId="2C4C6B51">
                  <w:pPr>
                    <w:ind w:right="17" w:rightChars="8"/>
                    <w:jc w:val="center"/>
                    <w:rPr>
                      <w:color w:val="000000"/>
                      <w:szCs w:val="21"/>
                    </w:rPr>
                  </w:pPr>
                  <w:r>
                    <w:rPr>
                      <w:color w:val="000000"/>
                      <w:szCs w:val="21"/>
                    </w:rPr>
                    <w:t>符合性</w:t>
                  </w:r>
                </w:p>
              </w:tc>
            </w:tr>
            <w:tr w14:paraId="0F25AF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dxa"/>
                  <w:tcBorders>
                    <w:tl2br w:val="nil"/>
                    <w:tr2bl w:val="nil"/>
                  </w:tcBorders>
                  <w:tcMar>
                    <w:left w:w="28" w:type="dxa"/>
                    <w:right w:w="28" w:type="dxa"/>
                  </w:tcMar>
                  <w:vAlign w:val="center"/>
                </w:tcPr>
                <w:p w14:paraId="5B1A138D">
                  <w:pPr>
                    <w:ind w:right="17" w:rightChars="8"/>
                    <w:jc w:val="center"/>
                    <w:rPr>
                      <w:color w:val="000000"/>
                      <w:szCs w:val="21"/>
                    </w:rPr>
                  </w:pPr>
                  <w:r>
                    <w:rPr>
                      <w:color w:val="000000"/>
                      <w:szCs w:val="21"/>
                    </w:rPr>
                    <w:t>规范废物处理处置活动</w:t>
                  </w:r>
                </w:p>
              </w:tc>
              <w:tc>
                <w:tcPr>
                  <w:tcW w:w="3846" w:type="dxa"/>
                  <w:tcBorders>
                    <w:tl2br w:val="nil"/>
                    <w:tr2bl w:val="nil"/>
                  </w:tcBorders>
                  <w:tcMar>
                    <w:left w:w="28" w:type="dxa"/>
                    <w:right w:w="28" w:type="dxa"/>
                  </w:tcMar>
                  <w:vAlign w:val="center"/>
                </w:tcPr>
                <w:p w14:paraId="068D0E4E">
                  <w:pPr>
                    <w:ind w:right="17" w:rightChars="8"/>
                    <w:jc w:val="center"/>
                    <w:rPr>
                      <w:color w:val="000000"/>
                      <w:szCs w:val="21"/>
                    </w:rPr>
                  </w:pPr>
                  <w:r>
                    <w:rPr>
                      <w:color w:val="000000"/>
                      <w:szCs w:val="21"/>
                    </w:rPr>
                    <w:t>由各市、县负责开展重点行业企业及大宗固体废物的堆存场所排查和整治，完善防扬散、防流失、防渗漏等设施，2017年底前制定完成整治方案并有序实施。进一步健全危险废物源头管控、规范化管理和处置等工作机制，科学规划和建设危险废物处置设施。在大型石化产业基地、以化工为主导行业的工业园区，以及规模化的皮革、合成革、电镀专业集中区，配套建设危险废物贮存处置设施。</w:t>
                  </w:r>
                </w:p>
              </w:tc>
              <w:tc>
                <w:tcPr>
                  <w:tcW w:w="1968" w:type="dxa"/>
                  <w:tcBorders>
                    <w:tl2br w:val="nil"/>
                    <w:tr2bl w:val="nil"/>
                  </w:tcBorders>
                  <w:tcMar>
                    <w:left w:w="28" w:type="dxa"/>
                    <w:right w:w="28" w:type="dxa"/>
                  </w:tcMar>
                  <w:vAlign w:val="center"/>
                </w:tcPr>
                <w:p w14:paraId="71C71D08">
                  <w:pPr>
                    <w:ind w:right="17" w:rightChars="8"/>
                    <w:jc w:val="center"/>
                    <w:rPr>
                      <w:color w:val="000000"/>
                      <w:szCs w:val="21"/>
                    </w:rPr>
                  </w:pPr>
                  <w:r>
                    <w:rPr>
                      <w:color w:val="000000"/>
                      <w:szCs w:val="21"/>
                    </w:rPr>
                    <w:t>厂区内</w:t>
                  </w:r>
                  <w:r>
                    <w:rPr>
                      <w:rFonts w:hint="eastAsia"/>
                      <w:color w:val="000000"/>
                      <w:szCs w:val="21"/>
                    </w:rPr>
                    <w:t>拟</w:t>
                  </w:r>
                  <w:r>
                    <w:rPr>
                      <w:color w:val="000000"/>
                      <w:szCs w:val="21"/>
                    </w:rPr>
                    <w:t>设置一般工业固废仓库、并按要求采取了防风、防雨、防日晒和防渗措施。</w:t>
                  </w:r>
                </w:p>
              </w:tc>
              <w:tc>
                <w:tcPr>
                  <w:tcW w:w="584" w:type="dxa"/>
                  <w:tcBorders>
                    <w:tl2br w:val="nil"/>
                    <w:tr2bl w:val="nil"/>
                  </w:tcBorders>
                  <w:tcMar>
                    <w:left w:w="28" w:type="dxa"/>
                    <w:right w:w="28" w:type="dxa"/>
                  </w:tcMar>
                  <w:vAlign w:val="center"/>
                </w:tcPr>
                <w:p w14:paraId="79AA4ABD">
                  <w:pPr>
                    <w:ind w:right="17" w:rightChars="8"/>
                    <w:jc w:val="center"/>
                    <w:rPr>
                      <w:color w:val="000000"/>
                      <w:szCs w:val="21"/>
                    </w:rPr>
                  </w:pPr>
                  <w:r>
                    <w:rPr>
                      <w:color w:val="000000"/>
                      <w:szCs w:val="21"/>
                    </w:rPr>
                    <w:t>符合</w:t>
                  </w:r>
                </w:p>
              </w:tc>
            </w:tr>
            <w:tr w14:paraId="5FD1A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dxa"/>
                  <w:tcBorders>
                    <w:tl2br w:val="nil"/>
                    <w:tr2bl w:val="nil"/>
                  </w:tcBorders>
                  <w:tcMar>
                    <w:left w:w="28" w:type="dxa"/>
                    <w:right w:w="28" w:type="dxa"/>
                  </w:tcMar>
                  <w:vAlign w:val="center"/>
                </w:tcPr>
                <w:p w14:paraId="4C9F77B3">
                  <w:pPr>
                    <w:ind w:right="17" w:rightChars="8"/>
                    <w:jc w:val="center"/>
                    <w:rPr>
                      <w:color w:val="000000"/>
                      <w:szCs w:val="21"/>
                    </w:rPr>
                  </w:pPr>
                  <w:r>
                    <w:rPr>
                      <w:color w:val="000000"/>
                      <w:szCs w:val="21"/>
                    </w:rPr>
                    <w:t>加强空间布局管控</w:t>
                  </w:r>
                </w:p>
              </w:tc>
              <w:tc>
                <w:tcPr>
                  <w:tcW w:w="3846" w:type="dxa"/>
                  <w:tcBorders>
                    <w:tl2br w:val="nil"/>
                    <w:tr2bl w:val="nil"/>
                  </w:tcBorders>
                  <w:tcMar>
                    <w:left w:w="28" w:type="dxa"/>
                    <w:right w:w="28" w:type="dxa"/>
                  </w:tcMar>
                  <w:vAlign w:val="center"/>
                </w:tcPr>
                <w:p w14:paraId="74AF0F36">
                  <w:pPr>
                    <w:ind w:right="17" w:rightChars="8"/>
                    <w:jc w:val="center"/>
                    <w:rPr>
                      <w:color w:val="000000"/>
                      <w:szCs w:val="21"/>
                    </w:rPr>
                  </w:pPr>
                  <w:r>
                    <w:rPr>
                      <w:color w:val="000000"/>
                      <w:szCs w:val="21"/>
                    </w:rPr>
                    <w:t>严守生态保护红线，在红线区域实施最严格的土地用途管制和产业退出制度。全面落实主体功能区规划，合理布局重点行业企业，实行规划环评与建设项目环评联动机制，加强规划区划和建设项目布局论证，根据土壤环境等资源环境承载能力，合理确定区域功能定位和空间布局。</w:t>
                  </w:r>
                </w:p>
              </w:tc>
              <w:tc>
                <w:tcPr>
                  <w:tcW w:w="1968" w:type="dxa"/>
                  <w:tcBorders>
                    <w:tl2br w:val="nil"/>
                    <w:tr2bl w:val="nil"/>
                  </w:tcBorders>
                  <w:tcMar>
                    <w:left w:w="28" w:type="dxa"/>
                    <w:right w:w="28" w:type="dxa"/>
                  </w:tcMar>
                  <w:vAlign w:val="center"/>
                </w:tcPr>
                <w:p w14:paraId="69A7C1B0">
                  <w:pPr>
                    <w:ind w:right="17" w:rightChars="8"/>
                    <w:jc w:val="center"/>
                    <w:rPr>
                      <w:color w:val="000000"/>
                      <w:szCs w:val="21"/>
                    </w:rPr>
                  </w:pPr>
                  <w:r>
                    <w:rPr>
                      <w:color w:val="000000"/>
                      <w:szCs w:val="21"/>
                    </w:rPr>
                    <w:t>本项目位于</w:t>
                  </w:r>
                  <w:r>
                    <w:rPr>
                      <w:szCs w:val="21"/>
                    </w:rPr>
                    <w:t>福州江阴港城经济区东部临港产业区</w:t>
                  </w:r>
                  <w:r>
                    <w:rPr>
                      <w:color w:val="000000"/>
                      <w:szCs w:val="21"/>
                    </w:rPr>
                    <w:t>，用地未占用生态保护红线。</w:t>
                  </w:r>
                </w:p>
              </w:tc>
              <w:tc>
                <w:tcPr>
                  <w:tcW w:w="584" w:type="dxa"/>
                  <w:tcBorders>
                    <w:tl2br w:val="nil"/>
                    <w:tr2bl w:val="nil"/>
                  </w:tcBorders>
                  <w:tcMar>
                    <w:left w:w="28" w:type="dxa"/>
                    <w:right w:w="28" w:type="dxa"/>
                  </w:tcMar>
                  <w:vAlign w:val="center"/>
                </w:tcPr>
                <w:p w14:paraId="796BE902">
                  <w:pPr>
                    <w:ind w:right="17" w:rightChars="8"/>
                    <w:jc w:val="center"/>
                    <w:rPr>
                      <w:color w:val="000000"/>
                      <w:szCs w:val="21"/>
                    </w:rPr>
                  </w:pPr>
                  <w:r>
                    <w:rPr>
                      <w:color w:val="000000"/>
                      <w:szCs w:val="21"/>
                    </w:rPr>
                    <w:t>符合</w:t>
                  </w:r>
                </w:p>
              </w:tc>
            </w:tr>
          </w:tbl>
          <w:p w14:paraId="61C0070E">
            <w:pPr>
              <w:keepNext/>
              <w:keepLines/>
              <w:numPr>
                <w:ilvl w:val="3"/>
                <w:numId w:val="0"/>
              </w:numPr>
              <w:spacing w:line="360" w:lineRule="auto"/>
              <w:ind w:left="220" w:leftChars="105" w:firstLine="76" w:firstLineChars="32"/>
              <w:outlineLvl w:val="3"/>
              <w:rPr>
                <w:sz w:val="24"/>
                <w:szCs w:val="28"/>
              </w:rPr>
            </w:pPr>
            <w:bookmarkStart w:id="4" w:name="_Toc37888111"/>
            <w:bookmarkStart w:id="5" w:name="_Toc42004097"/>
            <w:bookmarkStart w:id="6" w:name="_Toc40028181"/>
            <w:r>
              <w:rPr>
                <w:rFonts w:hint="eastAsia"/>
                <w:sz w:val="24"/>
                <w:szCs w:val="28"/>
              </w:rPr>
              <w:t>(3)</w:t>
            </w:r>
            <w:r>
              <w:rPr>
                <w:sz w:val="24"/>
                <w:szCs w:val="28"/>
              </w:rPr>
              <w:t>与《大气污染防治行动计划》符合性分析</w:t>
            </w:r>
          </w:p>
          <w:p w14:paraId="659D93E5">
            <w:pPr>
              <w:spacing w:line="360" w:lineRule="auto"/>
              <w:ind w:firstLine="480" w:firstLineChars="200"/>
              <w:rPr>
                <w:color w:val="000000"/>
                <w:kern w:val="0"/>
                <w:sz w:val="24"/>
              </w:rPr>
            </w:pPr>
            <w:r>
              <w:rPr>
                <w:kern w:val="0"/>
                <w:sz w:val="24"/>
              </w:rPr>
              <w:t>2013年9月10日，国务院以国发[2013]37号《国务院关于印发大气污染防治行动</w:t>
            </w:r>
            <w:r>
              <w:rPr>
                <w:color w:val="000000"/>
                <w:kern w:val="0"/>
                <w:sz w:val="24"/>
              </w:rPr>
              <w:t>计划的通知》印发了大气污染防治行动计划。《大气污染防治行动计划》中“京津冀、长三角、珠三角区域以及辽宁中部、山东、武汉及其周边、长株潭、成渝、海峡西岸、山西中北部、陕西关中、甘宁、乌鲁木齐城市群等“三区十群”的47个城市，新建火电、钢铁、石化、水泥、有色、化工等企业以及燃煤锅炉项目要执行大气污染物特别排放限值”的要求。</w:t>
            </w:r>
          </w:p>
          <w:p w14:paraId="4A167312">
            <w:pPr>
              <w:spacing w:line="360" w:lineRule="auto"/>
              <w:ind w:firstLine="480" w:firstLineChars="200"/>
              <w:rPr>
                <w:kern w:val="0"/>
                <w:sz w:val="24"/>
              </w:rPr>
            </w:pPr>
            <w:r>
              <w:rPr>
                <w:color w:val="000000"/>
                <w:kern w:val="0"/>
                <w:sz w:val="24"/>
              </w:rPr>
              <w:t>本工程拟选址于</w:t>
            </w:r>
            <w:r>
              <w:rPr>
                <w:rFonts w:hint="eastAsia"/>
                <w:color w:val="000000"/>
                <w:kern w:val="0"/>
                <w:sz w:val="24"/>
              </w:rPr>
              <w:t>福州江阴港城经济区东部临港产业区，属于C3021水泥制品，不属于</w:t>
            </w:r>
            <w:r>
              <w:rPr>
                <w:color w:val="000000"/>
                <w:kern w:val="0"/>
                <w:sz w:val="24"/>
              </w:rPr>
              <w:t>新建火电、钢铁、石化、水泥、有色、化工等企业以及燃煤锅炉项目</w:t>
            </w:r>
            <w:r>
              <w:rPr>
                <w:rFonts w:hint="eastAsia"/>
                <w:color w:val="000000"/>
                <w:kern w:val="0"/>
                <w:sz w:val="24"/>
              </w:rPr>
              <w:t>，大气污染物不需要执行特别排放限值要求，本项目</w:t>
            </w:r>
            <w:r>
              <w:rPr>
                <w:color w:val="000000"/>
                <w:kern w:val="0"/>
                <w:sz w:val="24"/>
              </w:rPr>
              <w:t>产生的</w:t>
            </w:r>
            <w:r>
              <w:rPr>
                <w:rFonts w:hint="eastAsia"/>
                <w:color w:val="000000"/>
                <w:kern w:val="0"/>
                <w:sz w:val="24"/>
              </w:rPr>
              <w:t>粉尘</w:t>
            </w:r>
            <w:r>
              <w:rPr>
                <w:color w:val="000000"/>
                <w:kern w:val="0"/>
                <w:sz w:val="24"/>
              </w:rPr>
              <w:t>废气通过处理均能满足排放限值要求</w:t>
            </w:r>
            <w:r>
              <w:rPr>
                <w:rFonts w:hint="eastAsia"/>
                <w:color w:val="000000"/>
                <w:kern w:val="0"/>
                <w:sz w:val="24"/>
              </w:rPr>
              <w:t>。</w:t>
            </w:r>
            <w:r>
              <w:rPr>
                <w:color w:val="000000"/>
                <w:kern w:val="0"/>
                <w:sz w:val="24"/>
              </w:rPr>
              <w:t>综上所述，本项目实施符合大气污染防治行动计划相关要</w:t>
            </w:r>
            <w:r>
              <w:rPr>
                <w:kern w:val="0"/>
                <w:sz w:val="24"/>
              </w:rPr>
              <w:t>求。</w:t>
            </w:r>
          </w:p>
          <w:p w14:paraId="36B2C711">
            <w:pPr>
              <w:keepNext/>
              <w:keepLines/>
              <w:numPr>
                <w:ilvl w:val="3"/>
                <w:numId w:val="0"/>
              </w:numPr>
              <w:spacing w:line="360" w:lineRule="auto"/>
              <w:ind w:left="220" w:leftChars="105" w:firstLine="314" w:firstLineChars="131"/>
              <w:outlineLvl w:val="3"/>
              <w:rPr>
                <w:b/>
                <w:bCs/>
                <w:sz w:val="24"/>
                <w:szCs w:val="28"/>
              </w:rPr>
            </w:pPr>
            <w:r>
              <w:rPr>
                <w:rFonts w:hint="eastAsia"/>
                <w:sz w:val="24"/>
                <w:szCs w:val="28"/>
              </w:rPr>
              <w:t>(4)</w:t>
            </w:r>
            <w:r>
              <w:rPr>
                <w:sz w:val="24"/>
                <w:szCs w:val="28"/>
              </w:rPr>
              <w:t>与《福建省大气污染防治行动计划实施细则》符合性分析</w:t>
            </w:r>
          </w:p>
          <w:p w14:paraId="42FC7497">
            <w:pPr>
              <w:spacing w:line="360" w:lineRule="auto"/>
              <w:ind w:firstLine="480" w:firstLineChars="200"/>
              <w:rPr>
                <w:kern w:val="0"/>
                <w:sz w:val="24"/>
              </w:rPr>
            </w:pPr>
            <w:r>
              <w:rPr>
                <w:kern w:val="0"/>
                <w:sz w:val="24"/>
              </w:rPr>
              <w:t>福建省人民政府于2014年1月5日以闽政〔2014〕1号印发了《福建省大气污染防治行动计划实施细则》。细则在严格节能环保准入，优化产业空间布局中提出：石化、冶金等产业应选择大气扩散条件好、远期城镇发展区、生态环境敏感度不高、排水条件较理想的沿海地区布局。</w:t>
            </w:r>
          </w:p>
          <w:p w14:paraId="3B92FFA7">
            <w:pPr>
              <w:spacing w:line="360" w:lineRule="auto"/>
              <w:ind w:firstLine="480" w:firstLineChars="200"/>
              <w:rPr>
                <w:color w:val="000000"/>
                <w:kern w:val="0"/>
                <w:sz w:val="24"/>
              </w:rPr>
            </w:pPr>
            <w:r>
              <w:rPr>
                <w:kern w:val="0"/>
                <w:sz w:val="24"/>
              </w:rPr>
              <w:t>本工程位于</w:t>
            </w:r>
            <w:r>
              <w:rPr>
                <w:rFonts w:hint="eastAsia"/>
                <w:color w:val="000000"/>
                <w:kern w:val="0"/>
                <w:sz w:val="24"/>
              </w:rPr>
              <w:t>福州江阴港城经济区东部临港产业区</w:t>
            </w:r>
            <w:r>
              <w:rPr>
                <w:kern w:val="0"/>
                <w:sz w:val="24"/>
              </w:rPr>
              <w:t>，大气扩散条件好，工业区远离</w:t>
            </w:r>
            <w:r>
              <w:rPr>
                <w:color w:val="000000"/>
                <w:kern w:val="0"/>
                <w:sz w:val="24"/>
              </w:rPr>
              <w:t>城镇发展区、生态环境敏感度不高。因此，项目的选址布局符合细则中对产业空间布局的要求。</w:t>
            </w:r>
          </w:p>
          <w:p w14:paraId="5273D033">
            <w:pPr>
              <w:topLinePunct/>
              <w:spacing w:line="360" w:lineRule="auto"/>
              <w:ind w:firstLine="482" w:firstLineChars="200"/>
              <w:rPr>
                <w:b/>
                <w:bCs/>
                <w:sz w:val="24"/>
              </w:rPr>
            </w:pPr>
            <w:r>
              <w:rPr>
                <w:b/>
                <w:bCs/>
                <w:sz w:val="24"/>
              </w:rPr>
              <w:t>（</w:t>
            </w:r>
            <w:r>
              <w:rPr>
                <w:rFonts w:hint="eastAsia"/>
                <w:b/>
                <w:bCs/>
                <w:sz w:val="24"/>
              </w:rPr>
              <w:t>四</w:t>
            </w:r>
            <w:r>
              <w:rPr>
                <w:b/>
                <w:bCs/>
                <w:sz w:val="24"/>
              </w:rPr>
              <w:t>）项目选址合理性分析</w:t>
            </w:r>
          </w:p>
          <w:p w14:paraId="3FFD3916">
            <w:pPr>
              <w:spacing w:line="360" w:lineRule="auto"/>
              <w:ind w:firstLine="480" w:firstLineChars="200"/>
              <w:contextualSpacing/>
              <w:rPr>
                <w:sz w:val="24"/>
              </w:rPr>
            </w:pPr>
            <w:r>
              <w:rPr>
                <w:sz w:val="24"/>
              </w:rPr>
              <w:t>本项目位于</w:t>
            </w:r>
            <w:r>
              <w:rPr>
                <w:rFonts w:hint="eastAsia"/>
                <w:color w:val="000000"/>
                <w:kern w:val="0"/>
                <w:sz w:val="24"/>
              </w:rPr>
              <w:t>福州江阴港城经济区东部临港产业区</w:t>
            </w:r>
            <w:r>
              <w:rPr>
                <w:sz w:val="24"/>
              </w:rPr>
              <w:t>，属规划建设的工业集聚区。</w:t>
            </w:r>
            <w:r>
              <w:rPr>
                <w:rFonts w:hint="eastAsia"/>
                <w:sz w:val="24"/>
              </w:rPr>
              <w:t>根据《</w:t>
            </w:r>
            <w:bookmarkStart w:id="7" w:name="OLE_LINK1"/>
            <w:r>
              <w:rPr>
                <w:rFonts w:hint="eastAsia"/>
                <w:sz w:val="24"/>
              </w:rPr>
              <w:t>江阴港城总体规划（2018-2035）</w:t>
            </w:r>
            <w:bookmarkEnd w:id="7"/>
            <w:r>
              <w:rPr>
                <w:rFonts w:hint="eastAsia"/>
                <w:sz w:val="24"/>
              </w:rPr>
              <w:t>环境影响报告书》，本次规划环评要求以东部产业区化工区（张厝路以南、江阴东路以东地块）北侧边界以外500m范围设置为环保隔离带，该范围均位于东部产业区内，要求环保隔离带内不涉及敏感目标；在东部产业区环保隔离带以外，至东部产业区化工区风险事故应急疏散范围（东部化工区有害车间外2000m范围）之间，设置为环保控制带，要求环保控制带内不得新增居住建筑，规划用地可作为港口及产业区配套的商业、办公、宿舍、研发、测试等用地。</w:t>
            </w:r>
          </w:p>
          <w:p w14:paraId="1FA8FB04">
            <w:pPr>
              <w:spacing w:line="360" w:lineRule="auto"/>
              <w:ind w:firstLine="480" w:firstLineChars="200"/>
              <w:contextualSpacing/>
              <w:rPr>
                <w:sz w:val="24"/>
              </w:rPr>
            </w:pPr>
            <w:r>
              <w:rPr>
                <w:rFonts w:hint="eastAsia"/>
                <w:sz w:val="24"/>
              </w:rPr>
              <w:t>本项目用地不涉及环保控制带和环保隔离带，且本项目不属于重污染行业，产生的废气经治理后均能达标排放；不排放生产废水，生活污水经厂内化粪池处理后排入江阴污水处理厂进一步处理；选用低噪声设备，厂房隔声、高噪声设备基础减振处理后对周围环境影响小，</w:t>
            </w:r>
            <w:r>
              <w:rPr>
                <w:sz w:val="24"/>
              </w:rPr>
              <w:t>项目建设运营后对周边的环境现状影响较小</w:t>
            </w:r>
            <w:r>
              <w:rPr>
                <w:rFonts w:hint="eastAsia"/>
                <w:sz w:val="24"/>
              </w:rPr>
              <w:t>，与规划环评要求不冲突</w:t>
            </w:r>
            <w:r>
              <w:rPr>
                <w:sz w:val="24"/>
              </w:rPr>
              <w:t>；项目周边区域水、大气、声环境质量现状均能达到相关标准要求，均有一定环境容量；项目建设与周围环境相容。项目选址较为合理</w:t>
            </w:r>
            <w:r>
              <w:rPr>
                <w:rFonts w:hint="eastAsia"/>
                <w:sz w:val="24"/>
              </w:rPr>
              <w:t>。</w:t>
            </w:r>
          </w:p>
          <w:p w14:paraId="567971DE">
            <w:pPr>
              <w:pStyle w:val="141"/>
              <w:spacing w:after="0" w:line="360" w:lineRule="auto"/>
              <w:ind w:firstLineChars="200"/>
              <w:rPr>
                <w:bCs/>
                <w:sz w:val="24"/>
                <w:szCs w:val="24"/>
              </w:rPr>
            </w:pPr>
            <w:r>
              <w:rPr>
                <w:b/>
                <w:bCs/>
                <w:sz w:val="24"/>
                <w:szCs w:val="24"/>
              </w:rPr>
              <w:t>（</w:t>
            </w:r>
            <w:r>
              <w:rPr>
                <w:rFonts w:hint="eastAsia"/>
                <w:b/>
                <w:bCs/>
                <w:sz w:val="24"/>
                <w:szCs w:val="24"/>
              </w:rPr>
              <w:t>五</w:t>
            </w:r>
            <w:r>
              <w:rPr>
                <w:b/>
                <w:bCs/>
                <w:sz w:val="24"/>
                <w:szCs w:val="24"/>
              </w:rPr>
              <w:t>）</w:t>
            </w:r>
            <w:r>
              <w:rPr>
                <w:bCs/>
                <w:sz w:val="24"/>
                <w:szCs w:val="24"/>
              </w:rPr>
              <w:t>小结</w:t>
            </w:r>
            <w:bookmarkEnd w:id="4"/>
            <w:bookmarkEnd w:id="5"/>
            <w:bookmarkEnd w:id="6"/>
          </w:p>
          <w:p w14:paraId="0A484DFB">
            <w:pPr>
              <w:pStyle w:val="141"/>
              <w:spacing w:after="0" w:line="360" w:lineRule="auto"/>
              <w:ind w:firstLine="480" w:firstLineChars="200"/>
              <w:rPr>
                <w:kern w:val="0"/>
              </w:rPr>
            </w:pPr>
            <w:r>
              <w:rPr>
                <w:bCs/>
                <w:sz w:val="24"/>
                <w:szCs w:val="24"/>
              </w:rPr>
              <w:t>本项目的建设符合当前国家产业政策，符合</w:t>
            </w:r>
            <w:r>
              <w:rPr>
                <w:kern w:val="28"/>
                <w:sz w:val="24"/>
                <w:szCs w:val="24"/>
              </w:rPr>
              <w:t>福州江阴港城总体规划</w:t>
            </w:r>
            <w:r>
              <w:rPr>
                <w:bCs/>
                <w:sz w:val="24"/>
                <w:szCs w:val="24"/>
              </w:rPr>
              <w:t>及其规划环评审查意见的要求，符合福建省水污染防治条例、福建省土壤污染防治行动计划实施方案等环保政策及“三线一单”的要求</w:t>
            </w:r>
            <w:r>
              <w:rPr>
                <w:bCs/>
                <w:color w:val="000000"/>
                <w:sz w:val="24"/>
                <w:szCs w:val="24"/>
              </w:rPr>
              <w:t>。</w:t>
            </w:r>
          </w:p>
        </w:tc>
      </w:tr>
    </w:tbl>
    <w:p w14:paraId="70E134DB"/>
    <w:p w14:paraId="5C02D6FD">
      <w:pPr>
        <w:spacing w:line="360" w:lineRule="auto"/>
        <w:outlineLvl w:val="0"/>
        <w:rPr>
          <w:rFonts w:eastAsia="黑体"/>
          <w:color w:val="FF0000"/>
          <w:kern w:val="21"/>
          <w:sz w:val="30"/>
        </w:rPr>
        <w:sectPr>
          <w:pgSz w:w="11906" w:h="16838"/>
          <w:pgMar w:top="1440" w:right="1800" w:bottom="1440" w:left="1800" w:header="851" w:footer="1077" w:gutter="0"/>
          <w:pgNumType w:start="1"/>
          <w:cols w:space="720" w:num="1"/>
          <w:docGrid w:linePitch="312" w:charSpace="0"/>
        </w:sectPr>
      </w:pPr>
    </w:p>
    <w:p w14:paraId="3BC8A731">
      <w:pPr>
        <w:pStyle w:val="29"/>
        <w:jc w:val="center"/>
        <w:outlineLvl w:val="0"/>
        <w:rPr>
          <w:rFonts w:ascii="黑体" w:hAnsi="黑体" w:eastAsia="黑体"/>
          <w:snapToGrid w:val="0"/>
          <w:kern w:val="21"/>
          <w:sz w:val="30"/>
          <w:szCs w:val="30"/>
        </w:rPr>
      </w:pPr>
      <w:r>
        <w:rPr>
          <w:rFonts w:hint="eastAsia" w:ascii="黑体" w:hAnsi="黑体" w:eastAsia="黑体"/>
          <w:snapToGrid w:val="0"/>
          <w:kern w:val="21"/>
          <w:sz w:val="30"/>
          <w:szCs w:val="30"/>
        </w:rPr>
        <w:t>二、建设项目工程分析</w:t>
      </w:r>
    </w:p>
    <w:tbl>
      <w:tblPr>
        <w:tblStyle w:val="34"/>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280"/>
      </w:tblGrid>
      <w:tr w14:paraId="2CA97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41AA1E1A">
            <w:pPr>
              <w:pStyle w:val="29"/>
              <w:spacing w:before="0" w:beforeAutospacing="0" w:after="0" w:afterAutospacing="0"/>
              <w:jc w:val="center"/>
              <w:rPr>
                <w:rFonts w:cs="宋体"/>
                <w:color w:val="FF0000"/>
                <w:kern w:val="21"/>
                <w:sz w:val="21"/>
                <w:szCs w:val="21"/>
              </w:rPr>
            </w:pPr>
            <w:r>
              <w:rPr>
                <w:rFonts w:hint="eastAsia" w:cs="宋体"/>
                <w:kern w:val="21"/>
                <w:szCs w:val="24"/>
              </w:rPr>
              <w:t>建设内容</w:t>
            </w:r>
          </w:p>
        </w:tc>
        <w:tc>
          <w:tcPr>
            <w:tcW w:w="8280" w:type="dxa"/>
            <w:vAlign w:val="center"/>
          </w:tcPr>
          <w:p w14:paraId="1A4B1B47">
            <w:pPr>
              <w:autoSpaceDE w:val="0"/>
              <w:autoSpaceDN w:val="0"/>
              <w:spacing w:line="360" w:lineRule="auto"/>
              <w:rPr>
                <w:b/>
                <w:bCs/>
                <w:kern w:val="21"/>
                <w:sz w:val="24"/>
              </w:rPr>
            </w:pPr>
            <w:r>
              <w:rPr>
                <w:rFonts w:hint="eastAsia"/>
                <w:b/>
                <w:bCs/>
                <w:kern w:val="21"/>
                <w:sz w:val="24"/>
              </w:rPr>
              <w:t>2.1 项目背景介绍</w:t>
            </w:r>
          </w:p>
          <w:p w14:paraId="251AD893">
            <w:pPr>
              <w:pStyle w:val="15"/>
              <w:spacing w:beforeLines="0" w:line="360" w:lineRule="auto"/>
              <w:ind w:firstLine="480" w:firstLineChars="200"/>
              <w:jc w:val="left"/>
              <w:rPr>
                <w:rFonts w:ascii="Times New Roman" w:eastAsia="宋体"/>
              </w:rPr>
            </w:pPr>
            <w:r>
              <w:rPr>
                <w:rFonts w:ascii="Times New Roman" w:eastAsia="宋体"/>
              </w:rPr>
              <w:t>福清市融大水泥制品有限公司成立于</w:t>
            </w:r>
            <w:r>
              <w:rPr>
                <w:rFonts w:hint="eastAsia" w:ascii="Times New Roman" w:eastAsia="宋体"/>
              </w:rPr>
              <w:t>2010年5月21日</w:t>
            </w:r>
            <w:r>
              <w:rPr>
                <w:rFonts w:ascii="Times New Roman" w:eastAsia="宋体"/>
              </w:rPr>
              <w:t>（营业执照见附件2），主要从事</w:t>
            </w:r>
            <w:r>
              <w:rPr>
                <w:rFonts w:hint="eastAsia" w:ascii="Times New Roman" w:eastAsia="宋体"/>
              </w:rPr>
              <w:t>混凝土管道、透水砖、隔热板、水泥制品生产、销售</w:t>
            </w:r>
            <w:r>
              <w:rPr>
                <w:rFonts w:ascii="Times New Roman" w:eastAsia="宋体"/>
              </w:rPr>
              <w:t>。福清市融大水泥制品有限公司</w:t>
            </w:r>
            <w:r>
              <w:rPr>
                <w:rFonts w:hint="eastAsia" w:ascii="Times New Roman" w:eastAsia="宋体"/>
              </w:rPr>
              <w:t>于2018年12月委托湖南大自然环保科技有限公司编制完成了《福清市融大水泥制品有限公司年产钢筋混凝土排水管1万立方项目环境影响报告表》，且于2019年3月8日通过福州市福清生态环境局的审批（融环评表[2019]19号，见附件9）。该项目位于福清市上迳镇官元村，建成后年产钢筋混凝土排水管1万立方，2020年11月，建设单位对该项目进行验收，2020年12月16日通过专家组验收，取得了《福清市融大水泥制品有限公司年产钢筋混凝土排水管1万立方项目竣工环境保护验收意见》（验收意见见附件10）。</w:t>
            </w:r>
          </w:p>
          <w:p w14:paraId="43CB7E1A">
            <w:pPr>
              <w:pStyle w:val="33"/>
              <w:ind w:leftChars="0" w:firstLine="480"/>
              <w:rPr>
                <w:color w:val="FF0000"/>
              </w:rPr>
            </w:pPr>
            <w:r>
              <w:rPr>
                <w:rFonts w:hint="eastAsia"/>
              </w:rPr>
              <w:t>由于市场的需求扩大，建设单位拟增加产品种类及产能，建设单位拟进行搬迁建设，搬迁至福建省福州市福清市江阴镇江阴港城经济区三峡路与兴林路交叉口东南侧，该地块为工业储备地2022-021号，占地面积40000平方米，于2022年10月28日签订该建设地块使用权出让合同（见附件5），于2023年取得该建设地块使用权（闽（2023）福清市不从产权第0048992号，不动产权证见附件6）。搬迁后设备、原辅材料、产品设计产能均发生变化，搬迁前的项目场地均已恢复原状（搬迁前项目场地现状照片见附图3）。</w:t>
            </w:r>
          </w:p>
          <w:p w14:paraId="6ACF5B7A">
            <w:pPr>
              <w:autoSpaceDE w:val="0"/>
              <w:autoSpaceDN w:val="0"/>
              <w:spacing w:line="360" w:lineRule="auto"/>
              <w:rPr>
                <w:b/>
                <w:bCs/>
                <w:kern w:val="21"/>
                <w:sz w:val="24"/>
              </w:rPr>
            </w:pPr>
            <w:r>
              <w:rPr>
                <w:rFonts w:hint="eastAsia"/>
                <w:b/>
                <w:bCs/>
                <w:kern w:val="21"/>
                <w:sz w:val="24"/>
              </w:rPr>
              <w:t>2.2 项目由来</w:t>
            </w:r>
          </w:p>
          <w:p w14:paraId="5D368647">
            <w:pPr>
              <w:pStyle w:val="33"/>
              <w:ind w:leftChars="0" w:firstLine="480"/>
            </w:pPr>
            <w:r>
              <w:t>福清市融大水泥制品有限公司拟投资30200万元</w:t>
            </w:r>
            <w:r>
              <w:rPr>
                <w:rFonts w:hint="eastAsia"/>
              </w:rPr>
              <w:t>在福建省福州市福清市江阴镇江阴港城经济区三峡路与兴林路交叉口东南侧</w:t>
            </w:r>
            <w:r>
              <w:t>建设福清市融大水泥制品有限公司年产30万米水泥预制管项目（以下简称“本项目”）</w:t>
            </w:r>
            <w:r>
              <w:rPr>
                <w:rFonts w:hint="eastAsia"/>
              </w:rPr>
              <w:t>，建设水泥预制管生产线及相应的配套设施等，建成后年产水泥预制管30万米。项目</w:t>
            </w:r>
            <w:r>
              <w:t>已于2024年11月06日经福清市发展和改革局备案（闽发改备[2022]A060248号，见附件</w:t>
            </w:r>
            <w:r>
              <w:rPr>
                <w:rFonts w:hint="eastAsia"/>
              </w:rPr>
              <w:t>4</w:t>
            </w:r>
            <w:r>
              <w:t>），项目代码</w:t>
            </w:r>
            <w:r>
              <w:rPr>
                <w:rFonts w:hint="eastAsia"/>
              </w:rPr>
              <w:t>2209-350181-04-01-222735。</w:t>
            </w:r>
          </w:p>
          <w:p w14:paraId="44EB7C36">
            <w:pPr>
              <w:spacing w:line="360" w:lineRule="auto"/>
              <w:ind w:firstLine="480" w:firstLineChars="200"/>
              <w:rPr>
                <w:color w:val="FF0000"/>
                <w:sz w:val="24"/>
              </w:rPr>
            </w:pPr>
            <w:r>
              <w:rPr>
                <w:sz w:val="24"/>
              </w:rPr>
              <w:t>根据《中华人民共和国环境保护法》（2015年）、《中华人民共和国环境影响评价法》（2018年修正）、《建设项目环境保护管理条例》（2017年）以及《建设项目环境影响评价分类管理名录（2021年）》等规定，本项目产品水泥预制管属于水泥制品，属于名录中“二十七、非金属矿物制品业30—55石膏、水泥制品及类似制品制造302—商品混凝土；砼结构构件制造；水泥制品制造”，具体详见表2.1-1，应编制环境影响报告表。因此，福清市融大水泥制品有限公司于202</w:t>
            </w:r>
            <w:r>
              <w:rPr>
                <w:rFonts w:hint="eastAsia"/>
                <w:sz w:val="24"/>
              </w:rPr>
              <w:t>4</w:t>
            </w:r>
            <w:r>
              <w:rPr>
                <w:sz w:val="24"/>
              </w:rPr>
              <w:t>年</w:t>
            </w:r>
            <w:r>
              <w:rPr>
                <w:rFonts w:hint="eastAsia"/>
                <w:sz w:val="24"/>
              </w:rPr>
              <w:t>11</w:t>
            </w:r>
            <w:r>
              <w:rPr>
                <w:sz w:val="24"/>
              </w:rPr>
              <w:t>月委托</w:t>
            </w:r>
            <w:r>
              <w:rPr>
                <w:rFonts w:hint="eastAsia"/>
                <w:sz w:val="24"/>
              </w:rPr>
              <w:t>深圳市达源生态环境工程有限公司</w:t>
            </w:r>
            <w:r>
              <w:rPr>
                <w:sz w:val="24"/>
              </w:rPr>
              <w:t>对</w:t>
            </w:r>
            <w:r>
              <w:rPr>
                <w:rFonts w:hint="eastAsia"/>
                <w:sz w:val="24"/>
              </w:rPr>
              <w:t>本</w:t>
            </w:r>
            <w:r>
              <w:rPr>
                <w:sz w:val="24"/>
              </w:rPr>
              <w:t>项目进行环境影响评价（委托书见附件1）。</w:t>
            </w:r>
            <w:r>
              <w:rPr>
                <w:rFonts w:hint="eastAsia"/>
                <w:sz w:val="24"/>
              </w:rPr>
              <w:t>深圳市达源生态环境工程有限公司</w:t>
            </w:r>
            <w:r>
              <w:rPr>
                <w:sz w:val="24"/>
              </w:rPr>
              <w:t>接受委托后，立即进行现场踏勘、收集分析有关资料，并按环评有关技术规范编制了《福清市融大水泥制品有限公司年产30万米水泥预制管项目环境影响报告表》，供建设单位上报审批。</w:t>
            </w:r>
          </w:p>
          <w:p w14:paraId="2077D994">
            <w:pPr>
              <w:pStyle w:val="77"/>
              <w:rPr>
                <w:sz w:val="24"/>
                <w:szCs w:val="24"/>
              </w:rPr>
            </w:pPr>
            <w:r>
              <w:rPr>
                <w:rFonts w:hint="eastAsia"/>
                <w:sz w:val="24"/>
                <w:szCs w:val="24"/>
              </w:rPr>
              <w:t>表2.2-1  建设项目环境影响评价分类管理名录（摘录）</w:t>
            </w:r>
          </w:p>
          <w:tbl>
            <w:tblPr>
              <w:tblStyle w:val="35"/>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3"/>
              <w:gridCol w:w="3331"/>
              <w:gridCol w:w="900"/>
              <w:gridCol w:w="2370"/>
              <w:gridCol w:w="996"/>
            </w:tblGrid>
            <w:tr w14:paraId="147F4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954" w:type="dxa"/>
                  <w:gridSpan w:val="2"/>
                  <w:tcBorders>
                    <w:tl2br w:val="nil"/>
                    <w:tr2bl w:val="nil"/>
                  </w:tcBorders>
                  <w:vAlign w:val="center"/>
                </w:tcPr>
                <w:p w14:paraId="099FFF80">
                  <w:pPr>
                    <w:pStyle w:val="120"/>
                    <w:rPr>
                      <w:szCs w:val="21"/>
                    </w:rPr>
                  </w:pPr>
                  <w:r>
                    <w:rPr>
                      <w:rFonts w:hint="eastAsia"/>
                      <w:szCs w:val="21"/>
                    </w:rPr>
                    <w:t xml:space="preserve">               </w:t>
                  </w:r>
                </w:p>
                <w:p w14:paraId="369613C2">
                  <w:pPr>
                    <w:pStyle w:val="120"/>
                    <w:jc w:val="both"/>
                    <w:rPr>
                      <w:szCs w:val="21"/>
                    </w:rPr>
                  </w:pPr>
                  <w:r>
                    <w:rPr>
                      <w:rFonts w:hint="eastAsia"/>
                      <w:szCs w:val="21"/>
                    </w:rPr>
                    <w:t>项目</w:t>
                  </w:r>
                  <w:r>
                    <w:rPr>
                      <w:szCs w:val="21"/>
                    </w:rPr>
                    <w:t>类别</w:t>
                  </w:r>
                </w:p>
                <w:p w14:paraId="3E53281A">
                  <w:pPr>
                    <w:pStyle w:val="120"/>
                    <w:jc w:val="both"/>
                    <w:rPr>
                      <w:szCs w:val="21"/>
                    </w:rPr>
                  </w:pPr>
                  <w:r>
                    <w:rPr>
                      <w:rFonts w:hint="eastAsia"/>
                      <w:szCs w:val="21"/>
                    </w:rPr>
                    <w:t>环评类别</w:t>
                  </w:r>
                </w:p>
              </w:tc>
              <w:tc>
                <w:tcPr>
                  <w:tcW w:w="900" w:type="dxa"/>
                  <w:tcBorders>
                    <w:tl2br w:val="nil"/>
                    <w:tr2bl w:val="nil"/>
                  </w:tcBorders>
                  <w:vAlign w:val="center"/>
                </w:tcPr>
                <w:p w14:paraId="0DC99A4D">
                  <w:pPr>
                    <w:pStyle w:val="120"/>
                    <w:rPr>
                      <w:szCs w:val="21"/>
                    </w:rPr>
                  </w:pPr>
                  <w:r>
                    <w:rPr>
                      <w:rFonts w:hint="eastAsia"/>
                      <w:szCs w:val="21"/>
                    </w:rPr>
                    <w:t>报告</w:t>
                  </w:r>
                  <w:r>
                    <w:rPr>
                      <w:szCs w:val="21"/>
                    </w:rPr>
                    <w:t>书</w:t>
                  </w:r>
                </w:p>
              </w:tc>
              <w:tc>
                <w:tcPr>
                  <w:tcW w:w="2370" w:type="dxa"/>
                  <w:tcBorders>
                    <w:tl2br w:val="nil"/>
                    <w:tr2bl w:val="nil"/>
                  </w:tcBorders>
                  <w:vAlign w:val="center"/>
                </w:tcPr>
                <w:p w14:paraId="32F444F6">
                  <w:pPr>
                    <w:pStyle w:val="120"/>
                    <w:rPr>
                      <w:szCs w:val="21"/>
                    </w:rPr>
                  </w:pPr>
                  <w:r>
                    <w:rPr>
                      <w:rFonts w:hint="eastAsia"/>
                      <w:szCs w:val="21"/>
                    </w:rPr>
                    <w:t>报告</w:t>
                  </w:r>
                  <w:r>
                    <w:rPr>
                      <w:szCs w:val="21"/>
                    </w:rPr>
                    <w:t>表</w:t>
                  </w:r>
                </w:p>
              </w:tc>
              <w:tc>
                <w:tcPr>
                  <w:tcW w:w="996" w:type="dxa"/>
                  <w:tcBorders>
                    <w:tl2br w:val="nil"/>
                    <w:tr2bl w:val="nil"/>
                  </w:tcBorders>
                  <w:vAlign w:val="center"/>
                </w:tcPr>
                <w:p w14:paraId="47D1F9D9">
                  <w:pPr>
                    <w:pStyle w:val="120"/>
                    <w:rPr>
                      <w:szCs w:val="21"/>
                    </w:rPr>
                  </w:pPr>
                  <w:r>
                    <w:rPr>
                      <w:rFonts w:hint="eastAsia"/>
                      <w:szCs w:val="21"/>
                    </w:rPr>
                    <w:t>登记表</w:t>
                  </w:r>
                </w:p>
              </w:tc>
            </w:tr>
            <w:tr w14:paraId="07197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0" w:type="dxa"/>
                  <w:gridSpan w:val="5"/>
                  <w:tcBorders>
                    <w:tl2br w:val="nil"/>
                    <w:tr2bl w:val="nil"/>
                  </w:tcBorders>
                  <w:vAlign w:val="center"/>
                </w:tcPr>
                <w:p w14:paraId="5BAB416F">
                  <w:pPr>
                    <w:pStyle w:val="120"/>
                    <w:jc w:val="left"/>
                    <w:rPr>
                      <w:szCs w:val="21"/>
                    </w:rPr>
                  </w:pPr>
                  <w:r>
                    <w:rPr>
                      <w:rFonts w:hint="eastAsia"/>
                      <w:szCs w:val="21"/>
                    </w:rPr>
                    <w:t>二十七、非金属矿物制品业30</w:t>
                  </w:r>
                </w:p>
              </w:tc>
            </w:tr>
            <w:tr w14:paraId="450A2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dxa"/>
                  <w:tcBorders>
                    <w:tl2br w:val="nil"/>
                    <w:tr2bl w:val="nil"/>
                  </w:tcBorders>
                  <w:shd w:val="clear" w:color="auto" w:fill="auto"/>
                  <w:vAlign w:val="center"/>
                </w:tcPr>
                <w:p w14:paraId="7CE00388">
                  <w:pPr>
                    <w:pStyle w:val="120"/>
                    <w:rPr>
                      <w:szCs w:val="21"/>
                    </w:rPr>
                  </w:pPr>
                  <w:r>
                    <w:rPr>
                      <w:rFonts w:hint="eastAsia"/>
                      <w:szCs w:val="21"/>
                    </w:rPr>
                    <w:t>55</w:t>
                  </w:r>
                </w:p>
              </w:tc>
              <w:tc>
                <w:tcPr>
                  <w:tcW w:w="3331" w:type="dxa"/>
                  <w:tcBorders>
                    <w:tl2br w:val="nil"/>
                    <w:tr2bl w:val="nil"/>
                  </w:tcBorders>
                  <w:shd w:val="clear" w:color="auto" w:fill="auto"/>
                  <w:vAlign w:val="center"/>
                </w:tcPr>
                <w:p w14:paraId="68734BBF">
                  <w:pPr>
                    <w:pStyle w:val="120"/>
                    <w:rPr>
                      <w:szCs w:val="21"/>
                    </w:rPr>
                  </w:pPr>
                  <w:r>
                    <w:rPr>
                      <w:rFonts w:hint="eastAsia"/>
                      <w:szCs w:val="21"/>
                    </w:rPr>
                    <w:t>石膏、水泥制品及类似制品制造302</w:t>
                  </w:r>
                </w:p>
              </w:tc>
              <w:tc>
                <w:tcPr>
                  <w:tcW w:w="900" w:type="dxa"/>
                  <w:tcBorders>
                    <w:tl2br w:val="nil"/>
                    <w:tr2bl w:val="nil"/>
                  </w:tcBorders>
                  <w:shd w:val="clear" w:color="auto" w:fill="auto"/>
                  <w:vAlign w:val="center"/>
                </w:tcPr>
                <w:p w14:paraId="610EF3AE">
                  <w:pPr>
                    <w:pStyle w:val="120"/>
                    <w:rPr>
                      <w:szCs w:val="21"/>
                    </w:rPr>
                  </w:pPr>
                  <w:r>
                    <w:rPr>
                      <w:rFonts w:hint="eastAsia"/>
                      <w:szCs w:val="21"/>
                    </w:rPr>
                    <w:t>/</w:t>
                  </w:r>
                </w:p>
              </w:tc>
              <w:tc>
                <w:tcPr>
                  <w:tcW w:w="2370" w:type="dxa"/>
                  <w:tcBorders>
                    <w:tl2br w:val="nil"/>
                    <w:tr2bl w:val="nil"/>
                  </w:tcBorders>
                  <w:shd w:val="clear" w:color="auto" w:fill="auto"/>
                  <w:vAlign w:val="center"/>
                </w:tcPr>
                <w:p w14:paraId="3FAA3A8F">
                  <w:pPr>
                    <w:pStyle w:val="120"/>
                    <w:rPr>
                      <w:szCs w:val="21"/>
                    </w:rPr>
                  </w:pPr>
                  <w:r>
                    <w:rPr>
                      <w:rFonts w:hint="eastAsia"/>
                      <w:szCs w:val="21"/>
                    </w:rPr>
                    <w:t>商品混凝土；砼结构构件制造；水泥制品制造</w:t>
                  </w:r>
                </w:p>
              </w:tc>
              <w:tc>
                <w:tcPr>
                  <w:tcW w:w="996" w:type="dxa"/>
                  <w:tcBorders>
                    <w:tl2br w:val="nil"/>
                    <w:tr2bl w:val="nil"/>
                  </w:tcBorders>
                  <w:shd w:val="clear" w:color="auto" w:fill="auto"/>
                  <w:vAlign w:val="center"/>
                </w:tcPr>
                <w:p w14:paraId="23E0AAE1">
                  <w:pPr>
                    <w:pStyle w:val="120"/>
                    <w:rPr>
                      <w:szCs w:val="21"/>
                    </w:rPr>
                  </w:pPr>
                  <w:r>
                    <w:rPr>
                      <w:rFonts w:hint="eastAsia"/>
                      <w:szCs w:val="21"/>
                    </w:rPr>
                    <w:t>/</w:t>
                  </w:r>
                </w:p>
              </w:tc>
            </w:tr>
          </w:tbl>
          <w:p w14:paraId="1D002B9D">
            <w:pPr>
              <w:autoSpaceDE w:val="0"/>
              <w:autoSpaceDN w:val="0"/>
              <w:spacing w:line="360" w:lineRule="auto"/>
              <w:rPr>
                <w:b/>
                <w:bCs/>
                <w:kern w:val="21"/>
                <w:sz w:val="24"/>
              </w:rPr>
            </w:pPr>
            <w:r>
              <w:rPr>
                <w:rFonts w:hint="eastAsia"/>
                <w:b/>
                <w:bCs/>
                <w:kern w:val="21"/>
                <w:sz w:val="24"/>
              </w:rPr>
              <w:t>2.3 项目基本情况</w:t>
            </w:r>
          </w:p>
          <w:p w14:paraId="296E7407">
            <w:pPr>
              <w:autoSpaceDE w:val="0"/>
              <w:autoSpaceDN w:val="0"/>
              <w:spacing w:line="360" w:lineRule="auto"/>
              <w:ind w:firstLine="480" w:firstLineChars="200"/>
              <w:rPr>
                <w:sz w:val="24"/>
              </w:rPr>
            </w:pPr>
            <w:r>
              <w:rPr>
                <w:rFonts w:hint="eastAsia"/>
                <w:sz w:val="24"/>
              </w:rPr>
              <w:t>(1)项目名称：福清市融大水泥制品有限公司年产30万米水泥预制管</w:t>
            </w:r>
          </w:p>
          <w:p w14:paraId="4D16AE9B">
            <w:pPr>
              <w:autoSpaceDE w:val="0"/>
              <w:autoSpaceDN w:val="0"/>
              <w:spacing w:line="360" w:lineRule="auto"/>
              <w:ind w:firstLine="480" w:firstLineChars="200"/>
              <w:rPr>
                <w:sz w:val="24"/>
              </w:rPr>
            </w:pPr>
            <w:r>
              <w:rPr>
                <w:rFonts w:hint="eastAsia"/>
                <w:sz w:val="24"/>
              </w:rPr>
              <w:t>(2)建设单位：福清市融大水泥制品有限公司</w:t>
            </w:r>
          </w:p>
          <w:p w14:paraId="36C63CDB">
            <w:pPr>
              <w:autoSpaceDE w:val="0"/>
              <w:autoSpaceDN w:val="0"/>
              <w:spacing w:line="360" w:lineRule="auto"/>
              <w:ind w:firstLine="480" w:firstLineChars="200"/>
              <w:rPr>
                <w:sz w:val="24"/>
              </w:rPr>
            </w:pPr>
            <w:r>
              <w:rPr>
                <w:rFonts w:hint="eastAsia"/>
                <w:sz w:val="24"/>
              </w:rPr>
              <w:t>(3)建设地点：福建省福州市福清市江阴镇江阴港城经济区三峡路与兴林路交叉口东南侧</w:t>
            </w:r>
          </w:p>
          <w:p w14:paraId="49F07002">
            <w:pPr>
              <w:autoSpaceDE w:val="0"/>
              <w:autoSpaceDN w:val="0"/>
              <w:spacing w:line="360" w:lineRule="auto"/>
              <w:ind w:firstLine="480" w:firstLineChars="200"/>
              <w:rPr>
                <w:sz w:val="24"/>
              </w:rPr>
            </w:pPr>
            <w:r>
              <w:rPr>
                <w:rFonts w:hint="eastAsia"/>
                <w:sz w:val="24"/>
              </w:rPr>
              <w:t>(4)项目总投资：30200万元</w:t>
            </w:r>
          </w:p>
          <w:p w14:paraId="7BE92B87">
            <w:pPr>
              <w:autoSpaceDE w:val="0"/>
              <w:autoSpaceDN w:val="0"/>
              <w:spacing w:line="360" w:lineRule="auto"/>
              <w:ind w:firstLine="480" w:firstLineChars="200"/>
              <w:rPr>
                <w:sz w:val="24"/>
              </w:rPr>
            </w:pPr>
            <w:r>
              <w:rPr>
                <w:rFonts w:hint="eastAsia"/>
                <w:sz w:val="24"/>
              </w:rPr>
              <w:t>(5)建设规模：占地面积40000m</w:t>
            </w:r>
            <w:r>
              <w:rPr>
                <w:rFonts w:hint="eastAsia"/>
                <w:sz w:val="24"/>
                <w:vertAlign w:val="superscript"/>
              </w:rPr>
              <w:t>2</w:t>
            </w:r>
            <w:r>
              <w:rPr>
                <w:rFonts w:hint="eastAsia"/>
                <w:sz w:val="24"/>
              </w:rPr>
              <w:t>，建筑面积21098.55m</w:t>
            </w:r>
            <w:r>
              <w:rPr>
                <w:rFonts w:hint="eastAsia"/>
                <w:sz w:val="24"/>
                <w:vertAlign w:val="superscript"/>
              </w:rPr>
              <w:t>2</w:t>
            </w:r>
          </w:p>
          <w:p w14:paraId="6258BC64">
            <w:pPr>
              <w:autoSpaceDE w:val="0"/>
              <w:autoSpaceDN w:val="0"/>
              <w:spacing w:line="360" w:lineRule="auto"/>
              <w:ind w:firstLine="480" w:firstLineChars="200"/>
              <w:rPr>
                <w:sz w:val="24"/>
              </w:rPr>
            </w:pPr>
            <w:r>
              <w:rPr>
                <w:rFonts w:hint="eastAsia"/>
                <w:sz w:val="24"/>
              </w:rPr>
              <w:t>(6)建设工期：6个月</w:t>
            </w:r>
          </w:p>
          <w:p w14:paraId="7E690A0A">
            <w:pPr>
              <w:autoSpaceDE w:val="0"/>
              <w:autoSpaceDN w:val="0"/>
              <w:spacing w:line="360" w:lineRule="auto"/>
              <w:ind w:firstLine="480" w:firstLineChars="200"/>
              <w:rPr>
                <w:sz w:val="24"/>
              </w:rPr>
            </w:pPr>
            <w:r>
              <w:rPr>
                <w:rFonts w:hint="eastAsia"/>
                <w:sz w:val="24"/>
              </w:rPr>
              <w:t>(7)生产规模：年产30万米水泥预制管</w:t>
            </w:r>
          </w:p>
          <w:p w14:paraId="225C5FD2">
            <w:pPr>
              <w:autoSpaceDE w:val="0"/>
              <w:autoSpaceDN w:val="0"/>
              <w:spacing w:line="360" w:lineRule="auto"/>
              <w:ind w:firstLine="480" w:firstLineChars="200"/>
              <w:rPr>
                <w:sz w:val="24"/>
              </w:rPr>
            </w:pPr>
            <w:r>
              <w:rPr>
                <w:rFonts w:hint="eastAsia"/>
                <w:sz w:val="24"/>
              </w:rPr>
              <w:t>(8)职工人数：职工人数80人，其中30人在厂区内食宿</w:t>
            </w:r>
          </w:p>
          <w:p w14:paraId="08593FA1">
            <w:pPr>
              <w:autoSpaceDE w:val="0"/>
              <w:autoSpaceDN w:val="0"/>
              <w:spacing w:line="360" w:lineRule="auto"/>
              <w:ind w:firstLine="480" w:firstLineChars="200"/>
              <w:rPr>
                <w:sz w:val="24"/>
              </w:rPr>
            </w:pPr>
            <w:r>
              <w:rPr>
                <w:rFonts w:hint="eastAsia"/>
                <w:sz w:val="24"/>
              </w:rPr>
              <w:t>(9)工作制度：年工作300天，实行1天1班制，每班工作8小时，昼间生产</w:t>
            </w:r>
          </w:p>
          <w:p w14:paraId="23DCA8AD">
            <w:pPr>
              <w:autoSpaceDE w:val="0"/>
              <w:autoSpaceDN w:val="0"/>
              <w:spacing w:line="360" w:lineRule="auto"/>
              <w:rPr>
                <w:sz w:val="24"/>
              </w:rPr>
            </w:pPr>
            <w:r>
              <w:rPr>
                <w:rFonts w:hint="eastAsia"/>
                <w:b/>
                <w:bCs/>
                <w:kern w:val="21"/>
                <w:sz w:val="24"/>
              </w:rPr>
              <w:t>2.4 项目组成</w:t>
            </w:r>
          </w:p>
          <w:p w14:paraId="6EB3E287">
            <w:pPr>
              <w:pStyle w:val="66"/>
              <w:ind w:firstLine="480"/>
              <w:rPr>
                <w:kern w:val="2"/>
                <w:sz w:val="24"/>
                <w:szCs w:val="24"/>
              </w:rPr>
            </w:pPr>
            <w:r>
              <w:rPr>
                <w:rFonts w:hint="eastAsia"/>
                <w:kern w:val="2"/>
                <w:sz w:val="24"/>
                <w:szCs w:val="24"/>
              </w:rPr>
              <w:t>本项目</w:t>
            </w:r>
            <w:r>
              <w:rPr>
                <w:rFonts w:hint="eastAsia"/>
                <w:sz w:val="24"/>
              </w:rPr>
              <w:t>占地面积40000m</w:t>
            </w:r>
            <w:r>
              <w:rPr>
                <w:rFonts w:hint="eastAsia"/>
                <w:sz w:val="24"/>
                <w:vertAlign w:val="superscript"/>
              </w:rPr>
              <w:t>2</w:t>
            </w:r>
            <w:r>
              <w:rPr>
                <w:rFonts w:hint="eastAsia"/>
                <w:sz w:val="24"/>
              </w:rPr>
              <w:t>，建筑面积21098.55m</w:t>
            </w:r>
            <w:r>
              <w:rPr>
                <w:rFonts w:hint="eastAsia"/>
                <w:sz w:val="24"/>
                <w:vertAlign w:val="superscript"/>
              </w:rPr>
              <w:t>2</w:t>
            </w:r>
            <w:r>
              <w:rPr>
                <w:rFonts w:hint="eastAsia"/>
                <w:kern w:val="2"/>
                <w:sz w:val="24"/>
                <w:szCs w:val="24"/>
              </w:rPr>
              <w:t>，主要由主体工程、辅助工程、公用工程、环保工程等组成，项目主要组成一览表见表2.4-1。</w:t>
            </w:r>
          </w:p>
          <w:p w14:paraId="104435E4">
            <w:pPr>
              <w:pStyle w:val="74"/>
              <w:rPr>
                <w:sz w:val="24"/>
              </w:rPr>
            </w:pPr>
            <w:r>
              <w:rPr>
                <w:rFonts w:hint="eastAsia"/>
                <w:sz w:val="24"/>
              </w:rPr>
              <w:t>表2.4-1</w:t>
            </w:r>
            <w:r>
              <w:rPr>
                <w:sz w:val="24"/>
              </w:rPr>
              <w:t xml:space="preserve"> </w:t>
            </w:r>
            <w:r>
              <w:rPr>
                <w:rFonts w:hint="eastAsia"/>
                <w:sz w:val="24"/>
              </w:rPr>
              <w:t xml:space="preserve"> 项目主要工程组成一览表</w:t>
            </w:r>
          </w:p>
          <w:tbl>
            <w:tblPr>
              <w:tblStyle w:val="34"/>
              <w:tblW w:w="821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95"/>
              <w:gridCol w:w="1125"/>
              <w:gridCol w:w="6299"/>
            </w:tblGrid>
            <w:tr w14:paraId="62A7C1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20" w:type="dxa"/>
                  <w:gridSpan w:val="2"/>
                  <w:vAlign w:val="center"/>
                </w:tcPr>
                <w:p w14:paraId="619A7290">
                  <w:pPr>
                    <w:jc w:val="center"/>
                    <w:rPr>
                      <w:szCs w:val="21"/>
                    </w:rPr>
                  </w:pPr>
                  <w:r>
                    <w:rPr>
                      <w:rFonts w:hint="eastAsia"/>
                      <w:szCs w:val="21"/>
                    </w:rPr>
                    <w:t>项目组成</w:t>
                  </w:r>
                </w:p>
              </w:tc>
              <w:tc>
                <w:tcPr>
                  <w:tcW w:w="6299" w:type="dxa"/>
                  <w:vAlign w:val="center"/>
                </w:tcPr>
                <w:p w14:paraId="7208ED00">
                  <w:pPr>
                    <w:jc w:val="center"/>
                    <w:rPr>
                      <w:szCs w:val="21"/>
                    </w:rPr>
                  </w:pPr>
                  <w:r>
                    <w:rPr>
                      <w:rFonts w:hint="eastAsia"/>
                      <w:szCs w:val="21"/>
                    </w:rPr>
                    <w:t>主要建设内容及规模</w:t>
                  </w:r>
                </w:p>
              </w:tc>
            </w:tr>
            <w:tr w14:paraId="26E3D0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5C23E3D3">
                  <w:pPr>
                    <w:jc w:val="center"/>
                    <w:rPr>
                      <w:szCs w:val="21"/>
                    </w:rPr>
                  </w:pPr>
                  <w:r>
                    <w:rPr>
                      <w:rFonts w:hint="eastAsia"/>
                      <w:szCs w:val="21"/>
                    </w:rPr>
                    <w:t>主体工程</w:t>
                  </w:r>
                </w:p>
              </w:tc>
              <w:tc>
                <w:tcPr>
                  <w:tcW w:w="1125" w:type="dxa"/>
                  <w:vAlign w:val="center"/>
                </w:tcPr>
                <w:p w14:paraId="4E93F48F">
                  <w:pPr>
                    <w:jc w:val="center"/>
                    <w:rPr>
                      <w:szCs w:val="21"/>
                    </w:rPr>
                  </w:pPr>
                  <w:r>
                    <w:rPr>
                      <w:rFonts w:hint="eastAsia"/>
                      <w:szCs w:val="21"/>
                    </w:rPr>
                    <w:t>生产车间</w:t>
                  </w:r>
                </w:p>
              </w:tc>
              <w:tc>
                <w:tcPr>
                  <w:tcW w:w="6299" w:type="dxa"/>
                  <w:vAlign w:val="center"/>
                </w:tcPr>
                <w:p w14:paraId="3BCD6AD1">
                  <w:pPr>
                    <w:jc w:val="center"/>
                    <w:rPr>
                      <w:szCs w:val="21"/>
                    </w:rPr>
                  </w:pPr>
                  <w:r>
                    <w:rPr>
                      <w:rFonts w:hint="eastAsia"/>
                      <w:szCs w:val="21"/>
                    </w:rPr>
                    <w:t>1F、钢结构、H=13.1m，占地面积：16705.45m</w:t>
                  </w:r>
                  <w:r>
                    <w:rPr>
                      <w:rFonts w:hint="eastAsia"/>
                      <w:szCs w:val="21"/>
                      <w:vertAlign w:val="superscript"/>
                    </w:rPr>
                    <w:t>2</w:t>
                  </w:r>
                  <w:r>
                    <w:rPr>
                      <w:rFonts w:hint="eastAsia"/>
                      <w:szCs w:val="21"/>
                    </w:rPr>
                    <w:t>、建筑面积16705.45m</w:t>
                  </w:r>
                  <w:r>
                    <w:rPr>
                      <w:rFonts w:hint="eastAsia"/>
                      <w:szCs w:val="21"/>
                      <w:vertAlign w:val="superscript"/>
                    </w:rPr>
                    <w:t>2</w:t>
                  </w:r>
                  <w:r>
                    <w:rPr>
                      <w:rFonts w:hint="eastAsia"/>
                      <w:szCs w:val="21"/>
                    </w:rPr>
                    <w:t>，含砂子、石子堆放区、配料仓、水泥罐、搅拌机、芯模振动机、升芯振动机等</w:t>
                  </w:r>
                </w:p>
              </w:tc>
            </w:tr>
            <w:tr w14:paraId="592A4D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Merge w:val="restart"/>
                  <w:vAlign w:val="center"/>
                </w:tcPr>
                <w:p w14:paraId="0133DCA2">
                  <w:pPr>
                    <w:jc w:val="center"/>
                    <w:rPr>
                      <w:szCs w:val="21"/>
                    </w:rPr>
                  </w:pPr>
                  <w:r>
                    <w:rPr>
                      <w:rFonts w:hint="eastAsia"/>
                      <w:szCs w:val="21"/>
                    </w:rPr>
                    <w:t>辅助工程</w:t>
                  </w:r>
                </w:p>
              </w:tc>
              <w:tc>
                <w:tcPr>
                  <w:tcW w:w="1125" w:type="dxa"/>
                  <w:vAlign w:val="center"/>
                </w:tcPr>
                <w:p w14:paraId="0C4DF0F7">
                  <w:pPr>
                    <w:jc w:val="center"/>
                    <w:rPr>
                      <w:szCs w:val="21"/>
                    </w:rPr>
                  </w:pPr>
                  <w:r>
                    <w:rPr>
                      <w:rFonts w:hint="eastAsia"/>
                      <w:szCs w:val="21"/>
                    </w:rPr>
                    <w:t>办公楼</w:t>
                  </w:r>
                </w:p>
              </w:tc>
              <w:tc>
                <w:tcPr>
                  <w:tcW w:w="6299" w:type="dxa"/>
                  <w:vAlign w:val="center"/>
                </w:tcPr>
                <w:p w14:paraId="6CE86B4C">
                  <w:pPr>
                    <w:jc w:val="center"/>
                    <w:rPr>
                      <w:szCs w:val="21"/>
                    </w:rPr>
                  </w:pPr>
                  <w:r>
                    <w:rPr>
                      <w:rFonts w:hint="eastAsia"/>
                      <w:szCs w:val="21"/>
                    </w:rPr>
                    <w:t>5F、钢筋混凝土结构、H=21.3m，占地面积：419.33m</w:t>
                  </w:r>
                  <w:r>
                    <w:rPr>
                      <w:rFonts w:hint="eastAsia"/>
                      <w:szCs w:val="21"/>
                      <w:vertAlign w:val="superscript"/>
                    </w:rPr>
                    <w:t>2</w:t>
                  </w:r>
                  <w:r>
                    <w:rPr>
                      <w:rFonts w:hint="eastAsia"/>
                      <w:szCs w:val="21"/>
                    </w:rPr>
                    <w:t>、建筑面积2122.23m</w:t>
                  </w:r>
                  <w:r>
                    <w:rPr>
                      <w:rFonts w:hint="eastAsia"/>
                      <w:szCs w:val="21"/>
                      <w:vertAlign w:val="superscript"/>
                    </w:rPr>
                    <w:t>2</w:t>
                  </w:r>
                  <w:r>
                    <w:rPr>
                      <w:rFonts w:hint="eastAsia"/>
                      <w:szCs w:val="21"/>
                    </w:rPr>
                    <w:t>，用于职工办公</w:t>
                  </w:r>
                </w:p>
              </w:tc>
            </w:tr>
            <w:tr w14:paraId="66A3C3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Merge w:val="continue"/>
                  <w:vAlign w:val="center"/>
                </w:tcPr>
                <w:p w14:paraId="396894F8">
                  <w:pPr>
                    <w:jc w:val="center"/>
                    <w:rPr>
                      <w:szCs w:val="21"/>
                    </w:rPr>
                  </w:pPr>
                </w:p>
              </w:tc>
              <w:tc>
                <w:tcPr>
                  <w:tcW w:w="1125" w:type="dxa"/>
                  <w:vAlign w:val="center"/>
                </w:tcPr>
                <w:p w14:paraId="658F01B7">
                  <w:pPr>
                    <w:jc w:val="center"/>
                    <w:rPr>
                      <w:szCs w:val="21"/>
                    </w:rPr>
                  </w:pPr>
                  <w:r>
                    <w:rPr>
                      <w:rFonts w:hint="eastAsia"/>
                      <w:szCs w:val="21"/>
                    </w:rPr>
                    <w:t>宿舍楼</w:t>
                  </w:r>
                </w:p>
              </w:tc>
              <w:tc>
                <w:tcPr>
                  <w:tcW w:w="6299" w:type="dxa"/>
                  <w:vAlign w:val="center"/>
                </w:tcPr>
                <w:p w14:paraId="4A8D0312">
                  <w:pPr>
                    <w:jc w:val="center"/>
                    <w:rPr>
                      <w:szCs w:val="21"/>
                    </w:rPr>
                  </w:pPr>
                  <w:r>
                    <w:rPr>
                      <w:rFonts w:hint="eastAsia"/>
                      <w:szCs w:val="21"/>
                    </w:rPr>
                    <w:t>-1F(-1F为地埋式消防水池泵房)、5F、钢筋混凝土结构、H=19.4m，占地面积：388.80m</w:t>
                  </w:r>
                  <w:r>
                    <w:rPr>
                      <w:rFonts w:hint="eastAsia"/>
                      <w:szCs w:val="21"/>
                      <w:vertAlign w:val="superscript"/>
                    </w:rPr>
                    <w:t>2</w:t>
                  </w:r>
                  <w:r>
                    <w:rPr>
                      <w:rFonts w:hint="eastAsia"/>
                      <w:szCs w:val="21"/>
                    </w:rPr>
                    <w:t>、建筑面积2246.47m</w:t>
                  </w:r>
                  <w:r>
                    <w:rPr>
                      <w:rFonts w:hint="eastAsia"/>
                      <w:szCs w:val="21"/>
                      <w:vertAlign w:val="superscript"/>
                    </w:rPr>
                    <w:t>2</w:t>
                  </w:r>
                  <w:r>
                    <w:rPr>
                      <w:rFonts w:hint="eastAsia"/>
                      <w:szCs w:val="21"/>
                    </w:rPr>
                    <w:t>，用于职工食宿</w:t>
                  </w:r>
                </w:p>
              </w:tc>
            </w:tr>
            <w:tr w14:paraId="4091B6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Merge w:val="continue"/>
                  <w:vAlign w:val="center"/>
                </w:tcPr>
                <w:p w14:paraId="13DB6D1F">
                  <w:pPr>
                    <w:jc w:val="center"/>
                    <w:rPr>
                      <w:szCs w:val="21"/>
                    </w:rPr>
                  </w:pPr>
                </w:p>
              </w:tc>
              <w:tc>
                <w:tcPr>
                  <w:tcW w:w="1125" w:type="dxa"/>
                  <w:vAlign w:val="center"/>
                </w:tcPr>
                <w:p w14:paraId="711F3654">
                  <w:pPr>
                    <w:jc w:val="center"/>
                    <w:rPr>
                      <w:szCs w:val="21"/>
                    </w:rPr>
                  </w:pPr>
                  <w:r>
                    <w:rPr>
                      <w:rFonts w:hint="eastAsia"/>
                      <w:szCs w:val="21"/>
                    </w:rPr>
                    <w:t>门卫</w:t>
                  </w:r>
                </w:p>
              </w:tc>
              <w:tc>
                <w:tcPr>
                  <w:tcW w:w="6299" w:type="dxa"/>
                  <w:vAlign w:val="center"/>
                </w:tcPr>
                <w:p w14:paraId="5FB3C4A9">
                  <w:pPr>
                    <w:jc w:val="center"/>
                    <w:rPr>
                      <w:szCs w:val="21"/>
                    </w:rPr>
                  </w:pPr>
                  <w:r>
                    <w:rPr>
                      <w:rFonts w:hint="eastAsia"/>
                      <w:szCs w:val="21"/>
                    </w:rPr>
                    <w:t>1F、钢筋混凝土结构，占地面积：24.40m</w:t>
                  </w:r>
                  <w:r>
                    <w:rPr>
                      <w:rFonts w:hint="eastAsia"/>
                      <w:szCs w:val="21"/>
                      <w:vertAlign w:val="superscript"/>
                    </w:rPr>
                    <w:t>2</w:t>
                  </w:r>
                  <w:r>
                    <w:rPr>
                      <w:rFonts w:hint="eastAsia"/>
                      <w:szCs w:val="21"/>
                    </w:rPr>
                    <w:t>、建筑面积24.40m</w:t>
                  </w:r>
                  <w:r>
                    <w:rPr>
                      <w:rFonts w:hint="eastAsia"/>
                      <w:szCs w:val="21"/>
                      <w:vertAlign w:val="superscript"/>
                    </w:rPr>
                    <w:t>2</w:t>
                  </w:r>
                </w:p>
              </w:tc>
            </w:tr>
            <w:tr w14:paraId="25C71E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Merge w:val="restart"/>
                  <w:vAlign w:val="center"/>
                </w:tcPr>
                <w:p w14:paraId="4F9DC787">
                  <w:pPr>
                    <w:jc w:val="center"/>
                    <w:rPr>
                      <w:szCs w:val="21"/>
                    </w:rPr>
                  </w:pPr>
                  <w:r>
                    <w:rPr>
                      <w:rFonts w:hint="eastAsia"/>
                      <w:szCs w:val="21"/>
                    </w:rPr>
                    <w:t>公用工程</w:t>
                  </w:r>
                </w:p>
              </w:tc>
              <w:tc>
                <w:tcPr>
                  <w:tcW w:w="1125" w:type="dxa"/>
                  <w:vAlign w:val="center"/>
                </w:tcPr>
                <w:p w14:paraId="4CFF7588">
                  <w:pPr>
                    <w:jc w:val="center"/>
                    <w:rPr>
                      <w:szCs w:val="21"/>
                    </w:rPr>
                  </w:pPr>
                  <w:r>
                    <w:rPr>
                      <w:rFonts w:hint="eastAsia"/>
                      <w:szCs w:val="21"/>
                    </w:rPr>
                    <w:t>供水</w:t>
                  </w:r>
                </w:p>
              </w:tc>
              <w:tc>
                <w:tcPr>
                  <w:tcW w:w="6299" w:type="dxa"/>
                  <w:vAlign w:val="center"/>
                </w:tcPr>
                <w:p w14:paraId="090DAD12">
                  <w:pPr>
                    <w:jc w:val="center"/>
                    <w:rPr>
                      <w:szCs w:val="21"/>
                    </w:rPr>
                  </w:pPr>
                  <w:r>
                    <w:rPr>
                      <w:rFonts w:hint="eastAsia"/>
                      <w:szCs w:val="21"/>
                    </w:rPr>
                    <w:t>接市政给水管网</w:t>
                  </w:r>
                </w:p>
              </w:tc>
            </w:tr>
            <w:tr w14:paraId="53DB42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Merge w:val="continue"/>
                  <w:vAlign w:val="center"/>
                </w:tcPr>
                <w:p w14:paraId="5A6862C3">
                  <w:pPr>
                    <w:jc w:val="center"/>
                    <w:rPr>
                      <w:szCs w:val="21"/>
                    </w:rPr>
                  </w:pPr>
                </w:p>
              </w:tc>
              <w:tc>
                <w:tcPr>
                  <w:tcW w:w="1125" w:type="dxa"/>
                  <w:vAlign w:val="center"/>
                </w:tcPr>
                <w:p w14:paraId="09A05D20">
                  <w:pPr>
                    <w:jc w:val="center"/>
                    <w:rPr>
                      <w:szCs w:val="21"/>
                    </w:rPr>
                  </w:pPr>
                  <w:r>
                    <w:rPr>
                      <w:rFonts w:hint="eastAsia"/>
                      <w:szCs w:val="21"/>
                    </w:rPr>
                    <w:t>供电</w:t>
                  </w:r>
                </w:p>
              </w:tc>
              <w:tc>
                <w:tcPr>
                  <w:tcW w:w="6299" w:type="dxa"/>
                  <w:vAlign w:val="center"/>
                </w:tcPr>
                <w:p w14:paraId="4D2CEC19">
                  <w:pPr>
                    <w:jc w:val="center"/>
                    <w:rPr>
                      <w:szCs w:val="21"/>
                    </w:rPr>
                  </w:pPr>
                  <w:r>
                    <w:rPr>
                      <w:rFonts w:hint="eastAsia"/>
                      <w:szCs w:val="21"/>
                    </w:rPr>
                    <w:t>接市政供电系统</w:t>
                  </w:r>
                </w:p>
              </w:tc>
            </w:tr>
            <w:tr w14:paraId="0D86D6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Merge w:val="continue"/>
                  <w:vAlign w:val="center"/>
                </w:tcPr>
                <w:p w14:paraId="59D00577">
                  <w:pPr>
                    <w:jc w:val="center"/>
                    <w:rPr>
                      <w:color w:val="FF0000"/>
                      <w:szCs w:val="21"/>
                      <w:highlight w:val="yellow"/>
                    </w:rPr>
                  </w:pPr>
                </w:p>
              </w:tc>
              <w:tc>
                <w:tcPr>
                  <w:tcW w:w="1125" w:type="dxa"/>
                  <w:vAlign w:val="center"/>
                </w:tcPr>
                <w:p w14:paraId="11DB294A">
                  <w:pPr>
                    <w:jc w:val="center"/>
                    <w:rPr>
                      <w:szCs w:val="21"/>
                    </w:rPr>
                  </w:pPr>
                  <w:r>
                    <w:rPr>
                      <w:rFonts w:hint="eastAsia"/>
                      <w:szCs w:val="21"/>
                    </w:rPr>
                    <w:t>排水</w:t>
                  </w:r>
                </w:p>
              </w:tc>
              <w:tc>
                <w:tcPr>
                  <w:tcW w:w="6299" w:type="dxa"/>
                  <w:vAlign w:val="center"/>
                </w:tcPr>
                <w:p w14:paraId="6DCC3D2A">
                  <w:pPr>
                    <w:jc w:val="center"/>
                    <w:rPr>
                      <w:szCs w:val="21"/>
                    </w:rPr>
                  </w:pPr>
                  <w:r>
                    <w:rPr>
                      <w:rFonts w:hint="eastAsia"/>
                      <w:szCs w:val="21"/>
                    </w:rPr>
                    <w:t>采取雨污分流，雨水经雨水管网收集后汇入雨水井。</w:t>
                  </w:r>
                </w:p>
              </w:tc>
            </w:tr>
            <w:tr w14:paraId="3CB995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Merge w:val="restart"/>
                  <w:vAlign w:val="center"/>
                </w:tcPr>
                <w:p w14:paraId="6E218D98">
                  <w:pPr>
                    <w:jc w:val="center"/>
                    <w:rPr>
                      <w:color w:val="FF0000"/>
                      <w:szCs w:val="21"/>
                      <w:highlight w:val="yellow"/>
                    </w:rPr>
                  </w:pPr>
                  <w:r>
                    <w:rPr>
                      <w:rFonts w:hint="eastAsia"/>
                      <w:szCs w:val="21"/>
                    </w:rPr>
                    <w:t>环保工程</w:t>
                  </w:r>
                </w:p>
              </w:tc>
              <w:tc>
                <w:tcPr>
                  <w:tcW w:w="1125" w:type="dxa"/>
                  <w:vAlign w:val="center"/>
                </w:tcPr>
                <w:p w14:paraId="283E1A8C">
                  <w:pPr>
                    <w:jc w:val="center"/>
                    <w:rPr>
                      <w:szCs w:val="21"/>
                    </w:rPr>
                  </w:pPr>
                  <w:r>
                    <w:rPr>
                      <w:rFonts w:hint="eastAsia"/>
                      <w:szCs w:val="21"/>
                    </w:rPr>
                    <w:t>废水处理</w:t>
                  </w:r>
                </w:p>
              </w:tc>
              <w:tc>
                <w:tcPr>
                  <w:tcW w:w="6299" w:type="dxa"/>
                  <w:vAlign w:val="center"/>
                </w:tcPr>
                <w:p w14:paraId="5A1ABB27">
                  <w:pPr>
                    <w:rPr>
                      <w:szCs w:val="21"/>
                    </w:rPr>
                  </w:pPr>
                  <w:r>
                    <w:rPr>
                      <w:rFonts w:hint="eastAsia"/>
                      <w:szCs w:val="21"/>
                    </w:rPr>
                    <w:t>初期雨水、生产废水（搅拌机清洗废水、道路清洗废水）经三级沉淀池沉淀后循环使用，不外排。生活污水经</w:t>
                  </w:r>
                  <w:r>
                    <w:rPr>
                      <w:szCs w:val="21"/>
                    </w:rPr>
                    <w:t>化粪池预处理后接入市政污水管网</w:t>
                  </w:r>
                  <w:r>
                    <w:rPr>
                      <w:rFonts w:hint="eastAsia"/>
                      <w:szCs w:val="21"/>
                    </w:rPr>
                    <w:t>进入江阴污水处理厂处理。</w:t>
                  </w:r>
                </w:p>
              </w:tc>
            </w:tr>
            <w:tr w14:paraId="502B10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Merge w:val="continue"/>
                  <w:vAlign w:val="center"/>
                </w:tcPr>
                <w:p w14:paraId="00BAE268">
                  <w:pPr>
                    <w:jc w:val="center"/>
                    <w:rPr>
                      <w:color w:val="FF0000"/>
                      <w:szCs w:val="21"/>
                      <w:highlight w:val="yellow"/>
                    </w:rPr>
                  </w:pPr>
                </w:p>
              </w:tc>
              <w:tc>
                <w:tcPr>
                  <w:tcW w:w="1125" w:type="dxa"/>
                  <w:vAlign w:val="center"/>
                </w:tcPr>
                <w:p w14:paraId="2869C41E">
                  <w:pPr>
                    <w:jc w:val="center"/>
                    <w:rPr>
                      <w:szCs w:val="21"/>
                    </w:rPr>
                  </w:pPr>
                  <w:r>
                    <w:rPr>
                      <w:rFonts w:hint="eastAsia"/>
                      <w:szCs w:val="21"/>
                    </w:rPr>
                    <w:t>废气处理</w:t>
                  </w:r>
                </w:p>
              </w:tc>
              <w:tc>
                <w:tcPr>
                  <w:tcW w:w="6299" w:type="dxa"/>
                  <w:vAlign w:val="center"/>
                </w:tcPr>
                <w:p w14:paraId="4182EE86">
                  <w:r>
                    <w:rPr>
                      <w:rFonts w:hint="eastAsia"/>
                    </w:rPr>
                    <w:t>①原料砂石装卸扬尘：对原料砂石堆场定期喷水；篷布遮盖；在车间砂石堆场进行卸车，并洒水抑尘；</w:t>
                  </w:r>
                </w:p>
                <w:p w14:paraId="49E546D1">
                  <w:r>
                    <w:rPr>
                      <w:rFonts w:hint="eastAsia"/>
                    </w:rPr>
                    <w:t>②输送粉尘：</w:t>
                  </w:r>
                  <w:r>
                    <w:rPr>
                      <w:rFonts w:hAnsi="宋体"/>
                      <w:szCs w:val="21"/>
                    </w:rPr>
                    <w:t>水泥输料系统、计量系统均采用密闭式管道输料；石</w:t>
                  </w:r>
                  <w:r>
                    <w:rPr>
                      <w:rFonts w:hint="eastAsia" w:hAnsi="宋体"/>
                      <w:szCs w:val="21"/>
                    </w:rPr>
                    <w:t>子、砂子</w:t>
                  </w:r>
                  <w:r>
                    <w:rPr>
                      <w:rFonts w:hAnsi="宋体"/>
                      <w:szCs w:val="21"/>
                    </w:rPr>
                    <w:t>均采用皮带传输系统，进料、下料和转运的上方加装半密闭的防尘罩</w:t>
                  </w:r>
                  <w:r>
                    <w:rPr>
                      <w:rFonts w:hint="eastAsia"/>
                    </w:rPr>
                    <w:t>；</w:t>
                  </w:r>
                </w:p>
                <w:p w14:paraId="0F4B7408">
                  <w:r>
                    <w:rPr>
                      <w:rFonts w:hint="eastAsia"/>
                    </w:rPr>
                    <w:t>③水泥罐呼吸粉尘：经水泥罐顶配套的滤筒式袋式除尘器处理后无组织排放；</w:t>
                  </w:r>
                </w:p>
                <w:p w14:paraId="3C5C55B2">
                  <w:r>
                    <w:rPr>
                      <w:rFonts w:hint="eastAsia"/>
                    </w:rPr>
                    <w:t>④搅拌粉尘：密闭湿法搅拌，喷淋降尘；</w:t>
                  </w:r>
                </w:p>
                <w:p w14:paraId="13594B2F">
                  <w:r>
                    <w:rPr>
                      <w:rFonts w:hint="eastAsia"/>
                    </w:rPr>
                    <w:t>⑤焊接烟尘：移动焊烟净化器处理后无组织排放；</w:t>
                  </w:r>
                </w:p>
                <w:p w14:paraId="64508C1C">
                  <w:r>
                    <w:rPr>
                      <w:rFonts w:hint="eastAsia"/>
                    </w:rPr>
                    <w:fldChar w:fldCharType="begin"/>
                  </w:r>
                  <w:r>
                    <w:rPr>
                      <w:rFonts w:hint="eastAsia"/>
                    </w:rPr>
                    <w:instrText xml:space="preserve"> = 6 \* GB3 \* MERGEFORMAT </w:instrText>
                  </w:r>
                  <w:r>
                    <w:rPr>
                      <w:rFonts w:hint="eastAsia"/>
                    </w:rPr>
                    <w:fldChar w:fldCharType="separate"/>
                  </w:r>
                  <w:r>
                    <w:t>⑥</w:t>
                  </w:r>
                  <w:r>
                    <w:rPr>
                      <w:rFonts w:hint="eastAsia"/>
                    </w:rPr>
                    <w:fldChar w:fldCharType="end"/>
                  </w:r>
                  <w:r>
                    <w:rPr>
                      <w:rFonts w:hint="eastAsia"/>
                    </w:rPr>
                    <w:t>厨房油烟：经油烟净化器后经烟道引至屋顶排放。</w:t>
                  </w:r>
                </w:p>
              </w:tc>
            </w:tr>
            <w:tr w14:paraId="02604C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Merge w:val="continue"/>
                  <w:vAlign w:val="center"/>
                </w:tcPr>
                <w:p w14:paraId="5E0F33A2">
                  <w:pPr>
                    <w:jc w:val="center"/>
                    <w:rPr>
                      <w:color w:val="FF0000"/>
                      <w:szCs w:val="21"/>
                      <w:highlight w:val="yellow"/>
                    </w:rPr>
                  </w:pPr>
                </w:p>
              </w:tc>
              <w:tc>
                <w:tcPr>
                  <w:tcW w:w="1125" w:type="dxa"/>
                  <w:vAlign w:val="center"/>
                </w:tcPr>
                <w:p w14:paraId="6D712FD7">
                  <w:pPr>
                    <w:jc w:val="center"/>
                    <w:rPr>
                      <w:szCs w:val="21"/>
                    </w:rPr>
                  </w:pPr>
                  <w:r>
                    <w:rPr>
                      <w:rFonts w:hint="eastAsia"/>
                      <w:szCs w:val="21"/>
                    </w:rPr>
                    <w:t>噪声处置</w:t>
                  </w:r>
                </w:p>
              </w:tc>
              <w:tc>
                <w:tcPr>
                  <w:tcW w:w="6299" w:type="dxa"/>
                  <w:vAlign w:val="center"/>
                </w:tcPr>
                <w:p w14:paraId="4492A219">
                  <w:pPr>
                    <w:rPr>
                      <w:szCs w:val="21"/>
                    </w:rPr>
                  </w:pPr>
                  <w:r>
                    <w:rPr>
                      <w:rFonts w:hint="eastAsia"/>
                      <w:szCs w:val="21"/>
                    </w:rPr>
                    <w:t>选用低噪声设备，厂房隔声、高噪声设备采取基础减振等降噪措施</w:t>
                  </w:r>
                </w:p>
              </w:tc>
            </w:tr>
            <w:tr w14:paraId="426217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Merge w:val="continue"/>
                  <w:vAlign w:val="center"/>
                </w:tcPr>
                <w:p w14:paraId="45BC8248">
                  <w:pPr>
                    <w:jc w:val="center"/>
                    <w:rPr>
                      <w:color w:val="FF0000"/>
                      <w:szCs w:val="21"/>
                      <w:highlight w:val="yellow"/>
                    </w:rPr>
                  </w:pPr>
                </w:p>
              </w:tc>
              <w:tc>
                <w:tcPr>
                  <w:tcW w:w="1125" w:type="dxa"/>
                  <w:vMerge w:val="restart"/>
                  <w:vAlign w:val="center"/>
                </w:tcPr>
                <w:p w14:paraId="6811C7E8">
                  <w:pPr>
                    <w:jc w:val="center"/>
                    <w:rPr>
                      <w:szCs w:val="21"/>
                    </w:rPr>
                  </w:pPr>
                  <w:r>
                    <w:rPr>
                      <w:rFonts w:hint="eastAsia"/>
                      <w:szCs w:val="21"/>
                    </w:rPr>
                    <w:t>固废处置</w:t>
                  </w:r>
                </w:p>
              </w:tc>
              <w:tc>
                <w:tcPr>
                  <w:tcW w:w="6299" w:type="dxa"/>
                  <w:vAlign w:val="center"/>
                </w:tcPr>
                <w:p w14:paraId="6AF2AE76">
                  <w:pPr>
                    <w:rPr>
                      <w:szCs w:val="21"/>
                    </w:rPr>
                  </w:pPr>
                  <w:r>
                    <w:rPr>
                      <w:rFonts w:hint="eastAsia"/>
                      <w:szCs w:val="21"/>
                    </w:rPr>
                    <w:t>设生活垃圾桶，生活垃圾分类收集后委托环卫部门清运处置。</w:t>
                  </w:r>
                </w:p>
              </w:tc>
            </w:tr>
            <w:tr w14:paraId="02CC43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Merge w:val="continue"/>
                  <w:vAlign w:val="center"/>
                </w:tcPr>
                <w:p w14:paraId="16FDDC66">
                  <w:pPr>
                    <w:jc w:val="center"/>
                    <w:rPr>
                      <w:color w:val="FF0000"/>
                      <w:szCs w:val="21"/>
                      <w:highlight w:val="yellow"/>
                    </w:rPr>
                  </w:pPr>
                </w:p>
              </w:tc>
              <w:tc>
                <w:tcPr>
                  <w:tcW w:w="1125" w:type="dxa"/>
                  <w:vMerge w:val="continue"/>
                  <w:vAlign w:val="center"/>
                </w:tcPr>
                <w:p w14:paraId="3B1BEE5A">
                  <w:pPr>
                    <w:jc w:val="center"/>
                    <w:rPr>
                      <w:szCs w:val="21"/>
                    </w:rPr>
                  </w:pPr>
                </w:p>
              </w:tc>
              <w:tc>
                <w:tcPr>
                  <w:tcW w:w="6299" w:type="dxa"/>
                  <w:vAlign w:val="center"/>
                </w:tcPr>
                <w:p w14:paraId="53CDA84C">
                  <w:pPr>
                    <w:rPr>
                      <w:szCs w:val="21"/>
                    </w:rPr>
                  </w:pPr>
                  <w:r>
                    <w:rPr>
                      <w:rFonts w:hint="eastAsia"/>
                      <w:szCs w:val="21"/>
                    </w:rPr>
                    <w:t>一般工业固废：沉淀渣沉渣妥善收集后回用于生产；钢筋边角料、焊渣收集暂存于一般固废暂存区，外售综合物质回收单位。</w:t>
                  </w:r>
                </w:p>
              </w:tc>
            </w:tr>
          </w:tbl>
          <w:p w14:paraId="615C557E">
            <w:pPr>
              <w:pStyle w:val="29"/>
              <w:widowControl w:val="0"/>
              <w:adjustRightInd/>
              <w:snapToGrid/>
              <w:spacing w:beforeLines="50" w:beforeAutospacing="0" w:after="0" w:afterAutospacing="0"/>
              <w:jc w:val="both"/>
              <w:rPr>
                <w:rFonts w:ascii="Times New Roman" w:hAnsi="Times New Roman"/>
                <w:b/>
                <w:bCs/>
                <w:kern w:val="21"/>
                <w:szCs w:val="24"/>
              </w:rPr>
            </w:pPr>
            <w:r>
              <w:rPr>
                <w:rFonts w:hint="eastAsia" w:ascii="Times New Roman" w:hAnsi="Times New Roman"/>
                <w:b/>
                <w:bCs/>
                <w:kern w:val="21"/>
                <w:szCs w:val="24"/>
              </w:rPr>
              <w:t>2.</w:t>
            </w:r>
            <w:r>
              <w:rPr>
                <w:rFonts w:ascii="Times New Roman" w:hAnsi="Times New Roman"/>
                <w:b/>
                <w:bCs/>
                <w:kern w:val="21"/>
                <w:szCs w:val="24"/>
              </w:rPr>
              <w:t>4</w:t>
            </w:r>
            <w:r>
              <w:rPr>
                <w:rFonts w:hint="eastAsia" w:ascii="Times New Roman" w:hAnsi="Times New Roman"/>
                <w:b/>
                <w:bCs/>
                <w:kern w:val="21"/>
                <w:szCs w:val="24"/>
              </w:rPr>
              <w:t xml:space="preserve"> 项目产品与产能</w:t>
            </w:r>
          </w:p>
          <w:p w14:paraId="6011F0AC">
            <w:pPr>
              <w:pStyle w:val="29"/>
              <w:widowControl w:val="0"/>
              <w:adjustRightInd/>
              <w:snapToGrid/>
              <w:spacing w:beforeLines="50" w:beforeAutospacing="0" w:after="0" w:afterAutospacing="0"/>
              <w:ind w:firstLine="480"/>
              <w:jc w:val="both"/>
              <w:rPr>
                <w:rFonts w:ascii="Times New Roman" w:hAnsi="Times New Roman"/>
                <w:kern w:val="21"/>
                <w:szCs w:val="24"/>
              </w:rPr>
            </w:pPr>
            <w:r>
              <w:rPr>
                <w:rFonts w:hint="eastAsia" w:ascii="Times New Roman" w:hAnsi="Times New Roman"/>
                <w:kern w:val="21"/>
                <w:szCs w:val="24"/>
              </w:rPr>
              <w:t>项目产品方案见表2.4-1。</w:t>
            </w:r>
          </w:p>
          <w:p w14:paraId="6001033C">
            <w:pPr>
              <w:pStyle w:val="74"/>
              <w:rPr>
                <w:sz w:val="24"/>
              </w:rPr>
            </w:pPr>
            <w:r>
              <w:rPr>
                <w:rFonts w:hint="eastAsia"/>
                <w:sz w:val="24"/>
              </w:rPr>
              <w:t xml:space="preserve">表2.4-1 </w:t>
            </w:r>
            <w:r>
              <w:rPr>
                <w:sz w:val="24"/>
              </w:rPr>
              <w:t xml:space="preserve"> </w:t>
            </w:r>
            <w:r>
              <w:rPr>
                <w:rFonts w:hint="eastAsia"/>
                <w:sz w:val="24"/>
              </w:rPr>
              <w:t>项目主要产品方案</w:t>
            </w:r>
          </w:p>
          <w:tbl>
            <w:tblPr>
              <w:tblStyle w:val="34"/>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465"/>
              <w:gridCol w:w="1290"/>
              <w:gridCol w:w="1110"/>
              <w:gridCol w:w="1065"/>
              <w:gridCol w:w="2250"/>
            </w:tblGrid>
            <w:tr w14:paraId="04A53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40" w:type="dxa"/>
                  <w:tcBorders>
                    <w:tl2br w:val="nil"/>
                    <w:tr2bl w:val="nil"/>
                  </w:tcBorders>
                  <w:vAlign w:val="center"/>
                </w:tcPr>
                <w:p w14:paraId="1DFED210">
                  <w:pPr>
                    <w:jc w:val="center"/>
                    <w:rPr>
                      <w:szCs w:val="21"/>
                    </w:rPr>
                  </w:pPr>
                  <w:r>
                    <w:rPr>
                      <w:szCs w:val="21"/>
                    </w:rPr>
                    <w:t>序号</w:t>
                  </w:r>
                </w:p>
              </w:tc>
              <w:tc>
                <w:tcPr>
                  <w:tcW w:w="1465" w:type="dxa"/>
                  <w:tcBorders>
                    <w:tl2br w:val="nil"/>
                    <w:tr2bl w:val="nil"/>
                  </w:tcBorders>
                  <w:vAlign w:val="center"/>
                </w:tcPr>
                <w:p w14:paraId="55BB515D">
                  <w:pPr>
                    <w:jc w:val="center"/>
                    <w:rPr>
                      <w:szCs w:val="21"/>
                    </w:rPr>
                  </w:pPr>
                  <w:r>
                    <w:rPr>
                      <w:szCs w:val="21"/>
                    </w:rPr>
                    <w:t>产品名称</w:t>
                  </w:r>
                </w:p>
              </w:tc>
              <w:tc>
                <w:tcPr>
                  <w:tcW w:w="1290" w:type="dxa"/>
                  <w:tcBorders>
                    <w:tl2br w:val="nil"/>
                    <w:tr2bl w:val="nil"/>
                  </w:tcBorders>
                  <w:vAlign w:val="center"/>
                </w:tcPr>
                <w:p w14:paraId="7EAA8F80">
                  <w:pPr>
                    <w:jc w:val="center"/>
                    <w:rPr>
                      <w:szCs w:val="21"/>
                    </w:rPr>
                  </w:pPr>
                  <w:r>
                    <w:rPr>
                      <w:rFonts w:hint="eastAsia"/>
                      <w:szCs w:val="21"/>
                    </w:rPr>
                    <w:t>设计产能</w:t>
                  </w:r>
                </w:p>
              </w:tc>
              <w:tc>
                <w:tcPr>
                  <w:tcW w:w="1110" w:type="dxa"/>
                  <w:tcBorders>
                    <w:tl2br w:val="nil"/>
                    <w:tr2bl w:val="nil"/>
                  </w:tcBorders>
                  <w:vAlign w:val="center"/>
                </w:tcPr>
                <w:p w14:paraId="3319F3F0">
                  <w:pPr>
                    <w:jc w:val="center"/>
                    <w:rPr>
                      <w:szCs w:val="21"/>
                    </w:rPr>
                  </w:pPr>
                  <w:r>
                    <w:rPr>
                      <w:rFonts w:hint="eastAsia"/>
                      <w:szCs w:val="21"/>
                    </w:rPr>
                    <w:t>储存方式</w:t>
                  </w:r>
                </w:p>
              </w:tc>
              <w:tc>
                <w:tcPr>
                  <w:tcW w:w="1065" w:type="dxa"/>
                  <w:tcBorders>
                    <w:tl2br w:val="nil"/>
                    <w:tr2bl w:val="nil"/>
                  </w:tcBorders>
                  <w:vAlign w:val="center"/>
                </w:tcPr>
                <w:p w14:paraId="3EB5CD0E">
                  <w:pPr>
                    <w:jc w:val="center"/>
                    <w:rPr>
                      <w:szCs w:val="21"/>
                    </w:rPr>
                  </w:pPr>
                  <w:r>
                    <w:rPr>
                      <w:rFonts w:hint="eastAsia"/>
                      <w:szCs w:val="21"/>
                    </w:rPr>
                    <w:t>储存场所</w:t>
                  </w:r>
                </w:p>
              </w:tc>
              <w:tc>
                <w:tcPr>
                  <w:tcW w:w="2250" w:type="dxa"/>
                  <w:tcBorders>
                    <w:tl2br w:val="nil"/>
                    <w:tr2bl w:val="nil"/>
                  </w:tcBorders>
                  <w:vAlign w:val="center"/>
                </w:tcPr>
                <w:p w14:paraId="101EFF7F">
                  <w:pPr>
                    <w:jc w:val="center"/>
                    <w:rPr>
                      <w:szCs w:val="21"/>
                    </w:rPr>
                  </w:pPr>
                  <w:r>
                    <w:rPr>
                      <w:rFonts w:hint="eastAsia"/>
                      <w:szCs w:val="21"/>
                    </w:rPr>
                    <w:t>备注</w:t>
                  </w:r>
                </w:p>
              </w:tc>
            </w:tr>
            <w:tr w14:paraId="4FA1F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40" w:type="dxa"/>
                  <w:tcBorders>
                    <w:tl2br w:val="nil"/>
                    <w:tr2bl w:val="nil"/>
                  </w:tcBorders>
                  <w:vAlign w:val="center"/>
                </w:tcPr>
                <w:p w14:paraId="39F057E1">
                  <w:pPr>
                    <w:jc w:val="center"/>
                    <w:rPr>
                      <w:szCs w:val="21"/>
                    </w:rPr>
                  </w:pPr>
                  <w:r>
                    <w:rPr>
                      <w:szCs w:val="21"/>
                    </w:rPr>
                    <w:t>1</w:t>
                  </w:r>
                </w:p>
              </w:tc>
              <w:tc>
                <w:tcPr>
                  <w:tcW w:w="1465" w:type="dxa"/>
                  <w:tcBorders>
                    <w:tl2br w:val="nil"/>
                    <w:tr2bl w:val="nil"/>
                  </w:tcBorders>
                  <w:vAlign w:val="center"/>
                </w:tcPr>
                <w:p w14:paraId="47659488">
                  <w:pPr>
                    <w:jc w:val="center"/>
                    <w:rPr>
                      <w:szCs w:val="21"/>
                    </w:rPr>
                  </w:pPr>
                  <w:r>
                    <w:rPr>
                      <w:rFonts w:hint="eastAsia"/>
                      <w:szCs w:val="21"/>
                    </w:rPr>
                    <w:t>水泥顶管</w:t>
                  </w:r>
                </w:p>
              </w:tc>
              <w:tc>
                <w:tcPr>
                  <w:tcW w:w="1290" w:type="dxa"/>
                  <w:tcBorders>
                    <w:tl2br w:val="nil"/>
                    <w:tr2bl w:val="nil"/>
                  </w:tcBorders>
                  <w:vAlign w:val="center"/>
                </w:tcPr>
                <w:p w14:paraId="0AFD07F3">
                  <w:pPr>
                    <w:jc w:val="center"/>
                    <w:rPr>
                      <w:szCs w:val="21"/>
                    </w:rPr>
                  </w:pPr>
                  <w:r>
                    <w:rPr>
                      <w:rFonts w:hint="eastAsia"/>
                    </w:rPr>
                    <w:t>5万m/a</w:t>
                  </w:r>
                </w:p>
              </w:tc>
              <w:tc>
                <w:tcPr>
                  <w:tcW w:w="1110" w:type="dxa"/>
                  <w:tcBorders>
                    <w:tl2br w:val="nil"/>
                    <w:tr2bl w:val="nil"/>
                  </w:tcBorders>
                  <w:vAlign w:val="center"/>
                </w:tcPr>
                <w:p w14:paraId="6B66D648">
                  <w:pPr>
                    <w:jc w:val="center"/>
                  </w:pPr>
                  <w:r>
                    <w:rPr>
                      <w:rFonts w:hint="eastAsia"/>
                    </w:rPr>
                    <w:t>堆放</w:t>
                  </w:r>
                </w:p>
              </w:tc>
              <w:tc>
                <w:tcPr>
                  <w:tcW w:w="1065" w:type="dxa"/>
                  <w:tcBorders>
                    <w:tl2br w:val="nil"/>
                    <w:tr2bl w:val="nil"/>
                  </w:tcBorders>
                  <w:vAlign w:val="center"/>
                </w:tcPr>
                <w:p w14:paraId="13EFBEEA">
                  <w:pPr>
                    <w:jc w:val="center"/>
                  </w:pPr>
                  <w:r>
                    <w:rPr>
                      <w:rFonts w:hint="eastAsia"/>
                    </w:rPr>
                    <w:t>成品区</w:t>
                  </w:r>
                </w:p>
              </w:tc>
              <w:tc>
                <w:tcPr>
                  <w:tcW w:w="2250" w:type="dxa"/>
                  <w:tcBorders>
                    <w:tl2br w:val="nil"/>
                    <w:tr2bl w:val="nil"/>
                  </w:tcBorders>
                  <w:vAlign w:val="center"/>
                </w:tcPr>
                <w:p w14:paraId="278E14C3">
                  <w:pPr>
                    <w:jc w:val="center"/>
                  </w:pPr>
                  <w:r>
                    <w:rPr>
                      <w:rFonts w:hint="eastAsia"/>
                    </w:rPr>
                    <w:t>1.24t/m-水泥顶管</w:t>
                  </w:r>
                </w:p>
              </w:tc>
            </w:tr>
            <w:tr w14:paraId="46CD5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40" w:type="dxa"/>
                  <w:tcBorders>
                    <w:tl2br w:val="nil"/>
                    <w:tr2bl w:val="nil"/>
                  </w:tcBorders>
                  <w:vAlign w:val="center"/>
                </w:tcPr>
                <w:p w14:paraId="4398CB5A">
                  <w:pPr>
                    <w:jc w:val="center"/>
                    <w:rPr>
                      <w:szCs w:val="21"/>
                    </w:rPr>
                  </w:pPr>
                  <w:bookmarkStart w:id="8" w:name="_Toc7769_WPSOffice_Level2"/>
                  <w:bookmarkStart w:id="9" w:name="_Toc23407_WPSOffice_Level3"/>
                  <w:r>
                    <w:rPr>
                      <w:rFonts w:hint="eastAsia"/>
                      <w:szCs w:val="21"/>
                    </w:rPr>
                    <w:t>2</w:t>
                  </w:r>
                </w:p>
              </w:tc>
              <w:tc>
                <w:tcPr>
                  <w:tcW w:w="1465" w:type="dxa"/>
                  <w:tcBorders>
                    <w:tl2br w:val="nil"/>
                    <w:tr2bl w:val="nil"/>
                  </w:tcBorders>
                  <w:vAlign w:val="center"/>
                </w:tcPr>
                <w:p w14:paraId="5C67C28B">
                  <w:pPr>
                    <w:jc w:val="center"/>
                    <w:rPr>
                      <w:szCs w:val="21"/>
                    </w:rPr>
                  </w:pPr>
                  <w:r>
                    <w:rPr>
                      <w:rFonts w:hint="eastAsia"/>
                      <w:szCs w:val="21"/>
                    </w:rPr>
                    <w:t>水泥排水管</w:t>
                  </w:r>
                </w:p>
              </w:tc>
              <w:tc>
                <w:tcPr>
                  <w:tcW w:w="1290" w:type="dxa"/>
                  <w:tcBorders>
                    <w:tl2br w:val="nil"/>
                    <w:tr2bl w:val="nil"/>
                  </w:tcBorders>
                  <w:vAlign w:val="center"/>
                </w:tcPr>
                <w:p w14:paraId="2CFA8AAD">
                  <w:pPr>
                    <w:jc w:val="center"/>
                  </w:pPr>
                  <w:r>
                    <w:rPr>
                      <w:rFonts w:hint="eastAsia"/>
                    </w:rPr>
                    <w:t>20万m/a</w:t>
                  </w:r>
                </w:p>
              </w:tc>
              <w:tc>
                <w:tcPr>
                  <w:tcW w:w="1110" w:type="dxa"/>
                  <w:tcBorders>
                    <w:tl2br w:val="nil"/>
                    <w:tr2bl w:val="nil"/>
                  </w:tcBorders>
                  <w:vAlign w:val="center"/>
                </w:tcPr>
                <w:p w14:paraId="4A5348A7">
                  <w:pPr>
                    <w:jc w:val="center"/>
                  </w:pPr>
                  <w:r>
                    <w:rPr>
                      <w:rFonts w:hint="eastAsia"/>
                    </w:rPr>
                    <w:t>堆放</w:t>
                  </w:r>
                </w:p>
              </w:tc>
              <w:tc>
                <w:tcPr>
                  <w:tcW w:w="1065" w:type="dxa"/>
                  <w:tcBorders>
                    <w:tl2br w:val="nil"/>
                    <w:tr2bl w:val="nil"/>
                  </w:tcBorders>
                  <w:vAlign w:val="center"/>
                </w:tcPr>
                <w:p w14:paraId="436F3D3C">
                  <w:pPr>
                    <w:jc w:val="center"/>
                  </w:pPr>
                  <w:r>
                    <w:rPr>
                      <w:rFonts w:hint="eastAsia"/>
                    </w:rPr>
                    <w:t>成品区</w:t>
                  </w:r>
                </w:p>
              </w:tc>
              <w:tc>
                <w:tcPr>
                  <w:tcW w:w="2250" w:type="dxa"/>
                  <w:tcBorders>
                    <w:tl2br w:val="nil"/>
                    <w:tr2bl w:val="nil"/>
                  </w:tcBorders>
                  <w:vAlign w:val="center"/>
                </w:tcPr>
                <w:p w14:paraId="26FC8B53">
                  <w:pPr>
                    <w:jc w:val="center"/>
                  </w:pPr>
                  <w:r>
                    <w:rPr>
                      <w:rFonts w:hint="eastAsia"/>
                    </w:rPr>
                    <w:t>1.18t/m-水泥排水管</w:t>
                  </w:r>
                </w:p>
              </w:tc>
            </w:tr>
            <w:tr w14:paraId="6F132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40" w:type="dxa"/>
                  <w:tcBorders>
                    <w:tl2br w:val="nil"/>
                    <w:tr2bl w:val="nil"/>
                  </w:tcBorders>
                  <w:vAlign w:val="center"/>
                </w:tcPr>
                <w:p w14:paraId="040C61CB">
                  <w:pPr>
                    <w:jc w:val="center"/>
                    <w:rPr>
                      <w:szCs w:val="21"/>
                    </w:rPr>
                  </w:pPr>
                  <w:r>
                    <w:rPr>
                      <w:rFonts w:hint="eastAsia"/>
                      <w:szCs w:val="21"/>
                    </w:rPr>
                    <w:t>3</w:t>
                  </w:r>
                </w:p>
              </w:tc>
              <w:tc>
                <w:tcPr>
                  <w:tcW w:w="1465" w:type="dxa"/>
                  <w:tcBorders>
                    <w:tl2br w:val="nil"/>
                    <w:tr2bl w:val="nil"/>
                  </w:tcBorders>
                  <w:vAlign w:val="center"/>
                </w:tcPr>
                <w:p w14:paraId="4B7D0112">
                  <w:pPr>
                    <w:jc w:val="center"/>
                    <w:rPr>
                      <w:szCs w:val="21"/>
                    </w:rPr>
                  </w:pPr>
                  <w:r>
                    <w:rPr>
                      <w:rFonts w:hint="eastAsia"/>
                      <w:szCs w:val="21"/>
                    </w:rPr>
                    <w:t>检查井</w:t>
                  </w:r>
                </w:p>
              </w:tc>
              <w:tc>
                <w:tcPr>
                  <w:tcW w:w="1290" w:type="dxa"/>
                  <w:tcBorders>
                    <w:tl2br w:val="nil"/>
                    <w:tr2bl w:val="nil"/>
                  </w:tcBorders>
                  <w:shd w:val="clear" w:color="auto" w:fill="auto"/>
                  <w:vAlign w:val="center"/>
                </w:tcPr>
                <w:p w14:paraId="35C9D733">
                  <w:pPr>
                    <w:jc w:val="center"/>
                    <w:rPr>
                      <w:szCs w:val="21"/>
                    </w:rPr>
                  </w:pPr>
                  <w:r>
                    <w:rPr>
                      <w:rFonts w:hint="eastAsia"/>
                    </w:rPr>
                    <w:t>5万m/a</w:t>
                  </w:r>
                </w:p>
              </w:tc>
              <w:tc>
                <w:tcPr>
                  <w:tcW w:w="1110" w:type="dxa"/>
                  <w:tcBorders>
                    <w:tl2br w:val="nil"/>
                    <w:tr2bl w:val="nil"/>
                  </w:tcBorders>
                  <w:vAlign w:val="center"/>
                </w:tcPr>
                <w:p w14:paraId="50E8F42F">
                  <w:pPr>
                    <w:jc w:val="center"/>
                  </w:pPr>
                  <w:r>
                    <w:rPr>
                      <w:rFonts w:hint="eastAsia"/>
                    </w:rPr>
                    <w:t>堆放</w:t>
                  </w:r>
                </w:p>
              </w:tc>
              <w:tc>
                <w:tcPr>
                  <w:tcW w:w="1065" w:type="dxa"/>
                  <w:tcBorders>
                    <w:tl2br w:val="nil"/>
                    <w:tr2bl w:val="nil"/>
                  </w:tcBorders>
                  <w:vAlign w:val="center"/>
                </w:tcPr>
                <w:p w14:paraId="6F5EAB9B">
                  <w:pPr>
                    <w:jc w:val="center"/>
                  </w:pPr>
                  <w:r>
                    <w:rPr>
                      <w:rFonts w:hint="eastAsia"/>
                    </w:rPr>
                    <w:t>成品区</w:t>
                  </w:r>
                </w:p>
              </w:tc>
              <w:tc>
                <w:tcPr>
                  <w:tcW w:w="2250" w:type="dxa"/>
                  <w:tcBorders>
                    <w:tl2br w:val="nil"/>
                    <w:tr2bl w:val="nil"/>
                  </w:tcBorders>
                  <w:vAlign w:val="center"/>
                </w:tcPr>
                <w:p w14:paraId="6EC8B29F">
                  <w:pPr>
                    <w:jc w:val="center"/>
                  </w:pPr>
                  <w:r>
                    <w:rPr>
                      <w:rFonts w:hint="eastAsia"/>
                    </w:rPr>
                    <w:t>1.0t/m-检查井</w:t>
                  </w:r>
                </w:p>
              </w:tc>
            </w:tr>
            <w:tr w14:paraId="0B09D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95" w:type="dxa"/>
                  <w:gridSpan w:val="3"/>
                  <w:tcBorders>
                    <w:tl2br w:val="nil"/>
                    <w:tr2bl w:val="nil"/>
                  </w:tcBorders>
                  <w:vAlign w:val="center"/>
                </w:tcPr>
                <w:p w14:paraId="4E826C44">
                  <w:pPr>
                    <w:jc w:val="center"/>
                  </w:pPr>
                  <w:r>
                    <w:drawing>
                      <wp:inline distT="0" distB="0" distL="114300" distR="114300">
                        <wp:extent cx="2270760" cy="1641475"/>
                        <wp:effectExtent l="0" t="0" r="15240" b="15875"/>
                        <wp:docPr id="7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
                                <pic:cNvPicPr>
                                  <a:picLocks noChangeAspect="1"/>
                                </pic:cNvPicPr>
                              </pic:nvPicPr>
                              <pic:blipFill>
                                <a:blip r:embed="rId16" cstate="print"/>
                                <a:stretch>
                                  <a:fillRect/>
                                </a:stretch>
                              </pic:blipFill>
                              <pic:spPr>
                                <a:xfrm>
                                  <a:off x="0" y="0"/>
                                  <a:ext cx="2270760" cy="1641475"/>
                                </a:xfrm>
                                <a:prstGeom prst="rect">
                                  <a:avLst/>
                                </a:prstGeom>
                                <a:noFill/>
                                <a:ln>
                                  <a:noFill/>
                                </a:ln>
                              </pic:spPr>
                            </pic:pic>
                          </a:graphicData>
                        </a:graphic>
                      </wp:inline>
                    </w:drawing>
                  </w:r>
                </w:p>
              </w:tc>
              <w:tc>
                <w:tcPr>
                  <w:tcW w:w="4425" w:type="dxa"/>
                  <w:gridSpan w:val="3"/>
                  <w:tcBorders>
                    <w:tl2br w:val="nil"/>
                    <w:tr2bl w:val="nil"/>
                  </w:tcBorders>
                  <w:vAlign w:val="center"/>
                </w:tcPr>
                <w:p w14:paraId="1B8E800B">
                  <w:pPr>
                    <w:jc w:val="center"/>
                  </w:pPr>
                  <w:r>
                    <w:drawing>
                      <wp:inline distT="0" distB="0" distL="114300" distR="114300">
                        <wp:extent cx="2362200" cy="1838325"/>
                        <wp:effectExtent l="0" t="0" r="0" b="9525"/>
                        <wp:docPr id="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pic:cNvPicPr>
                                  <a:picLocks noChangeAspect="1"/>
                                </pic:cNvPicPr>
                              </pic:nvPicPr>
                              <pic:blipFill>
                                <a:blip r:embed="rId17" cstate="print"/>
                                <a:stretch>
                                  <a:fillRect/>
                                </a:stretch>
                              </pic:blipFill>
                              <pic:spPr>
                                <a:xfrm>
                                  <a:off x="0" y="0"/>
                                  <a:ext cx="2362200" cy="1838325"/>
                                </a:xfrm>
                                <a:prstGeom prst="rect">
                                  <a:avLst/>
                                </a:prstGeom>
                                <a:noFill/>
                                <a:ln>
                                  <a:noFill/>
                                </a:ln>
                              </pic:spPr>
                            </pic:pic>
                          </a:graphicData>
                        </a:graphic>
                      </wp:inline>
                    </w:drawing>
                  </w:r>
                </w:p>
              </w:tc>
            </w:tr>
            <w:tr w14:paraId="6A40E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95" w:type="dxa"/>
                  <w:gridSpan w:val="3"/>
                  <w:tcBorders>
                    <w:tl2br w:val="nil"/>
                    <w:tr2bl w:val="nil"/>
                  </w:tcBorders>
                  <w:vAlign w:val="center"/>
                </w:tcPr>
                <w:p w14:paraId="128A44DD">
                  <w:pPr>
                    <w:jc w:val="center"/>
                  </w:pPr>
                  <w:r>
                    <w:rPr>
                      <w:rFonts w:hint="eastAsia"/>
                    </w:rPr>
                    <w:t>承插式水泥排水管</w:t>
                  </w:r>
                </w:p>
              </w:tc>
              <w:tc>
                <w:tcPr>
                  <w:tcW w:w="4425" w:type="dxa"/>
                  <w:gridSpan w:val="3"/>
                  <w:tcBorders>
                    <w:tl2br w:val="nil"/>
                    <w:tr2bl w:val="nil"/>
                  </w:tcBorders>
                  <w:vAlign w:val="center"/>
                </w:tcPr>
                <w:p w14:paraId="2A6BD856">
                  <w:pPr>
                    <w:jc w:val="center"/>
                  </w:pPr>
                  <w:r>
                    <w:rPr>
                      <w:rFonts w:hint="eastAsia"/>
                    </w:rPr>
                    <w:t>企口式水泥排水管</w:t>
                  </w:r>
                </w:p>
              </w:tc>
            </w:tr>
            <w:tr w14:paraId="2A2E9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95" w:type="dxa"/>
                  <w:gridSpan w:val="3"/>
                  <w:tcBorders>
                    <w:tl2br w:val="nil"/>
                    <w:tr2bl w:val="nil"/>
                  </w:tcBorders>
                  <w:vAlign w:val="center"/>
                </w:tcPr>
                <w:p w14:paraId="1DF21F73">
                  <w:pPr>
                    <w:jc w:val="center"/>
                  </w:pPr>
                  <w:r>
                    <w:drawing>
                      <wp:inline distT="0" distB="0" distL="114300" distR="114300">
                        <wp:extent cx="2066925" cy="1552575"/>
                        <wp:effectExtent l="0" t="0" r="9525" b="9525"/>
                        <wp:docPr id="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
                                <pic:cNvPicPr>
                                  <a:picLocks noChangeAspect="1"/>
                                </pic:cNvPicPr>
                              </pic:nvPicPr>
                              <pic:blipFill>
                                <a:blip r:embed="rId18" cstate="print"/>
                                <a:stretch>
                                  <a:fillRect/>
                                </a:stretch>
                              </pic:blipFill>
                              <pic:spPr>
                                <a:xfrm>
                                  <a:off x="0" y="0"/>
                                  <a:ext cx="2066925" cy="1552575"/>
                                </a:xfrm>
                                <a:prstGeom prst="rect">
                                  <a:avLst/>
                                </a:prstGeom>
                                <a:noFill/>
                                <a:ln>
                                  <a:noFill/>
                                </a:ln>
                              </pic:spPr>
                            </pic:pic>
                          </a:graphicData>
                        </a:graphic>
                      </wp:inline>
                    </w:drawing>
                  </w:r>
                </w:p>
              </w:tc>
              <w:tc>
                <w:tcPr>
                  <w:tcW w:w="4425" w:type="dxa"/>
                  <w:gridSpan w:val="3"/>
                  <w:tcBorders>
                    <w:tl2br w:val="nil"/>
                    <w:tr2bl w:val="nil"/>
                  </w:tcBorders>
                  <w:vAlign w:val="center"/>
                </w:tcPr>
                <w:p w14:paraId="501B6DF9">
                  <w:pPr>
                    <w:jc w:val="center"/>
                  </w:pPr>
                  <w:r>
                    <w:drawing>
                      <wp:inline distT="0" distB="0" distL="114300" distR="114300">
                        <wp:extent cx="2527935" cy="1405890"/>
                        <wp:effectExtent l="0" t="0" r="5715" b="3810"/>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pic:cNvPicPr>
                              </pic:nvPicPr>
                              <pic:blipFill>
                                <a:blip r:embed="rId19" cstate="print"/>
                                <a:stretch>
                                  <a:fillRect/>
                                </a:stretch>
                              </pic:blipFill>
                              <pic:spPr>
                                <a:xfrm>
                                  <a:off x="0" y="0"/>
                                  <a:ext cx="2527935" cy="1405890"/>
                                </a:xfrm>
                                <a:prstGeom prst="rect">
                                  <a:avLst/>
                                </a:prstGeom>
                                <a:noFill/>
                                <a:ln>
                                  <a:noFill/>
                                </a:ln>
                              </pic:spPr>
                            </pic:pic>
                          </a:graphicData>
                        </a:graphic>
                      </wp:inline>
                    </w:drawing>
                  </w:r>
                </w:p>
              </w:tc>
            </w:tr>
            <w:tr w14:paraId="07CF8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95" w:type="dxa"/>
                  <w:gridSpan w:val="3"/>
                  <w:tcBorders>
                    <w:tl2br w:val="nil"/>
                    <w:tr2bl w:val="nil"/>
                  </w:tcBorders>
                  <w:vAlign w:val="center"/>
                </w:tcPr>
                <w:p w14:paraId="1EAF33AB">
                  <w:pPr>
                    <w:jc w:val="center"/>
                  </w:pPr>
                  <w:r>
                    <w:rPr>
                      <w:rFonts w:hint="eastAsia"/>
                    </w:rPr>
                    <w:t>检查井</w:t>
                  </w:r>
                </w:p>
              </w:tc>
              <w:tc>
                <w:tcPr>
                  <w:tcW w:w="4425" w:type="dxa"/>
                  <w:gridSpan w:val="3"/>
                  <w:tcBorders>
                    <w:tl2br w:val="nil"/>
                    <w:tr2bl w:val="nil"/>
                  </w:tcBorders>
                  <w:vAlign w:val="center"/>
                </w:tcPr>
                <w:p w14:paraId="189398D3">
                  <w:pPr>
                    <w:jc w:val="center"/>
                  </w:pPr>
                  <w:r>
                    <w:rPr>
                      <w:rFonts w:hint="eastAsia"/>
                    </w:rPr>
                    <w:t>水泥顶管</w:t>
                  </w:r>
                </w:p>
              </w:tc>
            </w:tr>
          </w:tbl>
          <w:p w14:paraId="6494516D">
            <w:pPr>
              <w:pStyle w:val="29"/>
              <w:widowControl w:val="0"/>
              <w:adjustRightInd/>
              <w:snapToGrid/>
              <w:spacing w:beforeLines="50" w:beforeAutospacing="0" w:after="0" w:afterAutospacing="0"/>
              <w:jc w:val="both"/>
              <w:rPr>
                <w:rFonts w:ascii="Times New Roman" w:hAnsi="Times New Roman"/>
                <w:b/>
                <w:bCs/>
                <w:kern w:val="21"/>
                <w:szCs w:val="24"/>
              </w:rPr>
            </w:pPr>
            <w:r>
              <w:rPr>
                <w:rFonts w:hint="eastAsia" w:ascii="Times New Roman" w:hAnsi="Times New Roman"/>
                <w:b/>
                <w:bCs/>
                <w:kern w:val="21"/>
                <w:szCs w:val="24"/>
              </w:rPr>
              <w:t>2.</w:t>
            </w:r>
            <w:r>
              <w:rPr>
                <w:rFonts w:ascii="Times New Roman" w:hAnsi="Times New Roman"/>
                <w:b/>
                <w:bCs/>
                <w:kern w:val="21"/>
                <w:szCs w:val="24"/>
              </w:rPr>
              <w:t>5</w:t>
            </w:r>
            <w:r>
              <w:rPr>
                <w:rFonts w:hint="eastAsia" w:ascii="Times New Roman" w:hAnsi="Times New Roman"/>
                <w:b/>
                <w:bCs/>
                <w:kern w:val="21"/>
                <w:szCs w:val="24"/>
              </w:rPr>
              <w:t xml:space="preserve"> 项目主要原辅材料</w:t>
            </w:r>
            <w:bookmarkEnd w:id="8"/>
            <w:bookmarkEnd w:id="9"/>
          </w:p>
          <w:p w14:paraId="0869D521">
            <w:pPr>
              <w:pStyle w:val="29"/>
              <w:widowControl w:val="0"/>
              <w:adjustRightInd/>
              <w:snapToGrid/>
              <w:spacing w:beforeLines="50" w:beforeAutospacing="0" w:after="0" w:afterAutospacing="0" w:line="360" w:lineRule="auto"/>
              <w:ind w:firstLine="480"/>
              <w:jc w:val="both"/>
              <w:rPr>
                <w:rFonts w:ascii="Times New Roman" w:hAnsi="Times New Roman"/>
                <w:kern w:val="21"/>
                <w:szCs w:val="24"/>
              </w:rPr>
            </w:pPr>
            <w:r>
              <w:rPr>
                <w:rFonts w:hint="eastAsia" w:ascii="Times New Roman" w:hAnsi="Times New Roman"/>
                <w:kern w:val="21"/>
                <w:szCs w:val="24"/>
              </w:rPr>
              <w:t>项目主要原辅材料见表2.</w:t>
            </w:r>
            <w:r>
              <w:rPr>
                <w:rFonts w:ascii="Times New Roman" w:hAnsi="Times New Roman"/>
                <w:kern w:val="21"/>
                <w:szCs w:val="24"/>
              </w:rPr>
              <w:t>5</w:t>
            </w:r>
            <w:r>
              <w:rPr>
                <w:rFonts w:hint="eastAsia" w:ascii="Times New Roman" w:hAnsi="Times New Roman"/>
                <w:kern w:val="21"/>
                <w:szCs w:val="24"/>
              </w:rPr>
              <w:t>-1。</w:t>
            </w:r>
          </w:p>
          <w:p w14:paraId="0B125671">
            <w:pPr>
              <w:pStyle w:val="74"/>
              <w:rPr>
                <w:sz w:val="24"/>
              </w:rPr>
            </w:pPr>
            <w:bookmarkStart w:id="10" w:name="_Toc17000_WPSOffice_Level2"/>
            <w:r>
              <w:rPr>
                <w:sz w:val="24"/>
              </w:rPr>
              <w:t>表</w:t>
            </w:r>
            <w:r>
              <w:rPr>
                <w:rFonts w:hint="eastAsia"/>
                <w:sz w:val="24"/>
              </w:rPr>
              <w:t>2.</w:t>
            </w:r>
            <w:r>
              <w:rPr>
                <w:sz w:val="24"/>
              </w:rPr>
              <w:t>5</w:t>
            </w:r>
            <w:r>
              <w:rPr>
                <w:rFonts w:hint="eastAsia"/>
                <w:sz w:val="24"/>
              </w:rPr>
              <w:t>-1</w:t>
            </w:r>
            <w:r>
              <w:rPr>
                <w:sz w:val="24"/>
              </w:rPr>
              <w:t xml:space="preserve">  </w:t>
            </w:r>
            <w:r>
              <w:rPr>
                <w:rFonts w:hint="eastAsia"/>
                <w:sz w:val="24"/>
              </w:rPr>
              <w:t>项目</w:t>
            </w:r>
            <w:r>
              <w:rPr>
                <w:sz w:val="24"/>
              </w:rPr>
              <w:t>主要原辅材料</w:t>
            </w:r>
            <w:bookmarkEnd w:id="10"/>
            <w:r>
              <w:rPr>
                <w:rFonts w:hint="eastAsia"/>
                <w:sz w:val="24"/>
              </w:rPr>
              <w:t>及能耗</w:t>
            </w:r>
          </w:p>
          <w:tbl>
            <w:tblPr>
              <w:tblStyle w:val="34"/>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644"/>
              <w:gridCol w:w="2085"/>
              <w:gridCol w:w="1343"/>
              <w:gridCol w:w="1058"/>
              <w:gridCol w:w="1349"/>
            </w:tblGrid>
            <w:tr w14:paraId="3BEAB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41" w:type="dxa"/>
                  <w:vAlign w:val="center"/>
                </w:tcPr>
                <w:p w14:paraId="0CD68184">
                  <w:pPr>
                    <w:adjustRightInd/>
                    <w:snapToGrid/>
                    <w:spacing w:line="340" w:lineRule="exact"/>
                    <w:jc w:val="center"/>
                    <w:rPr>
                      <w:bCs/>
                      <w:szCs w:val="21"/>
                    </w:rPr>
                  </w:pPr>
                  <w:r>
                    <w:rPr>
                      <w:bCs/>
                      <w:szCs w:val="21"/>
                    </w:rPr>
                    <w:t>序号</w:t>
                  </w:r>
                </w:p>
              </w:tc>
              <w:tc>
                <w:tcPr>
                  <w:tcW w:w="1644" w:type="dxa"/>
                  <w:vAlign w:val="center"/>
                </w:tcPr>
                <w:p w14:paraId="7B030583">
                  <w:pPr>
                    <w:adjustRightInd/>
                    <w:snapToGrid/>
                    <w:spacing w:line="340" w:lineRule="exact"/>
                    <w:jc w:val="center"/>
                    <w:rPr>
                      <w:bCs/>
                      <w:szCs w:val="21"/>
                    </w:rPr>
                  </w:pPr>
                  <w:r>
                    <w:rPr>
                      <w:rFonts w:hint="eastAsia"/>
                      <w:bCs/>
                      <w:szCs w:val="21"/>
                    </w:rPr>
                    <w:t>原料</w:t>
                  </w:r>
                  <w:r>
                    <w:rPr>
                      <w:bCs/>
                      <w:szCs w:val="21"/>
                    </w:rPr>
                    <w:t>名称</w:t>
                  </w:r>
                </w:p>
              </w:tc>
              <w:tc>
                <w:tcPr>
                  <w:tcW w:w="2085" w:type="dxa"/>
                  <w:vAlign w:val="center"/>
                </w:tcPr>
                <w:p w14:paraId="0E1569B5">
                  <w:pPr>
                    <w:adjustRightInd/>
                    <w:snapToGrid/>
                    <w:spacing w:line="340" w:lineRule="exact"/>
                    <w:jc w:val="center"/>
                    <w:rPr>
                      <w:bCs/>
                      <w:szCs w:val="21"/>
                    </w:rPr>
                  </w:pPr>
                  <w:r>
                    <w:rPr>
                      <w:bCs/>
                      <w:szCs w:val="21"/>
                    </w:rPr>
                    <w:t>设计年用量</w:t>
                  </w:r>
                </w:p>
              </w:tc>
              <w:tc>
                <w:tcPr>
                  <w:tcW w:w="1343" w:type="dxa"/>
                  <w:vAlign w:val="center"/>
                </w:tcPr>
                <w:p w14:paraId="441582D8">
                  <w:pPr>
                    <w:adjustRightInd/>
                    <w:snapToGrid/>
                    <w:spacing w:line="340" w:lineRule="exact"/>
                    <w:jc w:val="center"/>
                    <w:rPr>
                      <w:bCs/>
                      <w:szCs w:val="21"/>
                    </w:rPr>
                  </w:pPr>
                  <w:r>
                    <w:rPr>
                      <w:bCs/>
                      <w:szCs w:val="21"/>
                    </w:rPr>
                    <w:t>状态</w:t>
                  </w:r>
                </w:p>
              </w:tc>
              <w:tc>
                <w:tcPr>
                  <w:tcW w:w="1058" w:type="dxa"/>
                  <w:vAlign w:val="center"/>
                </w:tcPr>
                <w:p w14:paraId="142AB2E4">
                  <w:pPr>
                    <w:adjustRightInd/>
                    <w:snapToGrid/>
                    <w:spacing w:line="340" w:lineRule="exact"/>
                    <w:jc w:val="center"/>
                    <w:rPr>
                      <w:bCs/>
                      <w:szCs w:val="21"/>
                    </w:rPr>
                  </w:pPr>
                  <w:r>
                    <w:rPr>
                      <w:bCs/>
                      <w:szCs w:val="21"/>
                    </w:rPr>
                    <w:t>储存方式</w:t>
                  </w:r>
                </w:p>
              </w:tc>
              <w:tc>
                <w:tcPr>
                  <w:tcW w:w="1349" w:type="dxa"/>
                  <w:vAlign w:val="center"/>
                </w:tcPr>
                <w:p w14:paraId="4681BCB6">
                  <w:pPr>
                    <w:adjustRightInd/>
                    <w:snapToGrid/>
                    <w:spacing w:line="340" w:lineRule="exact"/>
                    <w:jc w:val="center"/>
                    <w:rPr>
                      <w:bCs/>
                      <w:szCs w:val="21"/>
                    </w:rPr>
                  </w:pPr>
                  <w:r>
                    <w:rPr>
                      <w:bCs/>
                      <w:szCs w:val="21"/>
                    </w:rPr>
                    <w:t>储存场所</w:t>
                  </w:r>
                </w:p>
              </w:tc>
            </w:tr>
            <w:tr w14:paraId="0BAB4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20" w:type="dxa"/>
                  <w:gridSpan w:val="6"/>
                  <w:vAlign w:val="center"/>
                </w:tcPr>
                <w:p w14:paraId="0C04D30C">
                  <w:pPr>
                    <w:adjustRightInd/>
                    <w:snapToGrid/>
                    <w:spacing w:line="340" w:lineRule="exact"/>
                    <w:jc w:val="center"/>
                    <w:rPr>
                      <w:bCs/>
                      <w:szCs w:val="21"/>
                    </w:rPr>
                  </w:pPr>
                  <w:r>
                    <w:rPr>
                      <w:bCs/>
                      <w:szCs w:val="21"/>
                    </w:rPr>
                    <w:t>原辅材料</w:t>
                  </w:r>
                </w:p>
              </w:tc>
            </w:tr>
            <w:tr w14:paraId="758C4C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41" w:type="dxa"/>
                  <w:vAlign w:val="center"/>
                </w:tcPr>
                <w:p w14:paraId="5259FA65">
                  <w:pPr>
                    <w:adjustRightInd/>
                    <w:snapToGrid/>
                    <w:spacing w:line="340" w:lineRule="exact"/>
                    <w:jc w:val="center"/>
                    <w:rPr>
                      <w:bCs/>
                      <w:szCs w:val="21"/>
                    </w:rPr>
                  </w:pPr>
                  <w:r>
                    <w:rPr>
                      <w:bCs/>
                      <w:szCs w:val="21"/>
                    </w:rPr>
                    <w:t>1</w:t>
                  </w:r>
                </w:p>
              </w:tc>
              <w:tc>
                <w:tcPr>
                  <w:tcW w:w="1644" w:type="dxa"/>
                  <w:vAlign w:val="center"/>
                </w:tcPr>
                <w:p w14:paraId="0CDA0EDF">
                  <w:pPr>
                    <w:adjustRightInd/>
                    <w:snapToGrid/>
                    <w:spacing w:line="340" w:lineRule="exact"/>
                    <w:jc w:val="center"/>
                    <w:rPr>
                      <w:bCs/>
                    </w:rPr>
                  </w:pPr>
                  <w:r>
                    <w:rPr>
                      <w:rFonts w:hint="eastAsia"/>
                      <w:bCs/>
                    </w:rPr>
                    <w:t>石子</w:t>
                  </w:r>
                </w:p>
              </w:tc>
              <w:tc>
                <w:tcPr>
                  <w:tcW w:w="2085" w:type="dxa"/>
                  <w:vAlign w:val="center"/>
                </w:tcPr>
                <w:p w14:paraId="152D7F1D">
                  <w:pPr>
                    <w:adjustRightInd/>
                    <w:snapToGrid/>
                    <w:spacing w:line="340" w:lineRule="exact"/>
                    <w:jc w:val="center"/>
                    <w:rPr>
                      <w:bCs/>
                      <w:szCs w:val="21"/>
                    </w:rPr>
                  </w:pPr>
                  <w:r>
                    <w:rPr>
                      <w:rFonts w:hint="eastAsia"/>
                      <w:bCs/>
                      <w:szCs w:val="21"/>
                    </w:rPr>
                    <w:t>17万</w:t>
                  </w:r>
                  <w:r>
                    <w:rPr>
                      <w:bCs/>
                      <w:szCs w:val="21"/>
                    </w:rPr>
                    <w:t>t/a</w:t>
                  </w:r>
                </w:p>
              </w:tc>
              <w:tc>
                <w:tcPr>
                  <w:tcW w:w="1343" w:type="dxa"/>
                  <w:vAlign w:val="center"/>
                </w:tcPr>
                <w:p w14:paraId="1CF11C3A">
                  <w:pPr>
                    <w:adjustRightInd/>
                    <w:snapToGrid/>
                    <w:spacing w:line="340" w:lineRule="exact"/>
                    <w:jc w:val="center"/>
                    <w:rPr>
                      <w:bCs/>
                      <w:szCs w:val="21"/>
                    </w:rPr>
                  </w:pPr>
                  <w:r>
                    <w:rPr>
                      <w:bCs/>
                      <w:szCs w:val="21"/>
                    </w:rPr>
                    <w:t>固体</w:t>
                  </w:r>
                </w:p>
              </w:tc>
              <w:tc>
                <w:tcPr>
                  <w:tcW w:w="1058" w:type="dxa"/>
                  <w:vAlign w:val="center"/>
                </w:tcPr>
                <w:p w14:paraId="44D204A3">
                  <w:pPr>
                    <w:adjustRightInd/>
                    <w:snapToGrid/>
                    <w:spacing w:line="340" w:lineRule="exact"/>
                    <w:jc w:val="center"/>
                    <w:rPr>
                      <w:bCs/>
                      <w:szCs w:val="21"/>
                    </w:rPr>
                  </w:pPr>
                  <w:r>
                    <w:rPr>
                      <w:bCs/>
                      <w:szCs w:val="21"/>
                    </w:rPr>
                    <w:t>堆放</w:t>
                  </w:r>
                </w:p>
              </w:tc>
              <w:tc>
                <w:tcPr>
                  <w:tcW w:w="1349" w:type="dxa"/>
                  <w:vAlign w:val="center"/>
                </w:tcPr>
                <w:p w14:paraId="0F6E2043">
                  <w:pPr>
                    <w:adjustRightInd/>
                    <w:snapToGrid/>
                    <w:spacing w:line="340" w:lineRule="exact"/>
                    <w:jc w:val="center"/>
                    <w:rPr>
                      <w:bCs/>
                      <w:szCs w:val="21"/>
                    </w:rPr>
                  </w:pPr>
                  <w:r>
                    <w:rPr>
                      <w:bCs/>
                      <w:szCs w:val="21"/>
                    </w:rPr>
                    <w:t>原料</w:t>
                  </w:r>
                  <w:r>
                    <w:rPr>
                      <w:rFonts w:hint="eastAsia"/>
                      <w:bCs/>
                      <w:szCs w:val="21"/>
                    </w:rPr>
                    <w:t>堆场</w:t>
                  </w:r>
                </w:p>
              </w:tc>
            </w:tr>
            <w:tr w14:paraId="06637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41" w:type="dxa"/>
                  <w:vAlign w:val="center"/>
                </w:tcPr>
                <w:p w14:paraId="0B165E7D">
                  <w:pPr>
                    <w:adjustRightInd/>
                    <w:snapToGrid/>
                    <w:spacing w:line="340" w:lineRule="exact"/>
                    <w:jc w:val="center"/>
                    <w:rPr>
                      <w:bCs/>
                      <w:szCs w:val="21"/>
                    </w:rPr>
                  </w:pPr>
                  <w:r>
                    <w:rPr>
                      <w:bCs/>
                      <w:szCs w:val="21"/>
                    </w:rPr>
                    <w:t>2</w:t>
                  </w:r>
                </w:p>
              </w:tc>
              <w:tc>
                <w:tcPr>
                  <w:tcW w:w="1644" w:type="dxa"/>
                  <w:vAlign w:val="center"/>
                </w:tcPr>
                <w:p w14:paraId="3F3E7D1C">
                  <w:pPr>
                    <w:adjustRightInd/>
                    <w:snapToGrid/>
                    <w:spacing w:line="340" w:lineRule="exact"/>
                    <w:jc w:val="center"/>
                    <w:rPr>
                      <w:bCs/>
                      <w:szCs w:val="21"/>
                    </w:rPr>
                  </w:pPr>
                  <w:r>
                    <w:rPr>
                      <w:rFonts w:hint="eastAsia"/>
                      <w:bCs/>
                      <w:szCs w:val="21"/>
                    </w:rPr>
                    <w:t>砂子</w:t>
                  </w:r>
                </w:p>
              </w:tc>
              <w:tc>
                <w:tcPr>
                  <w:tcW w:w="2085" w:type="dxa"/>
                  <w:vAlign w:val="center"/>
                </w:tcPr>
                <w:p w14:paraId="6E4A9462">
                  <w:pPr>
                    <w:adjustRightInd/>
                    <w:snapToGrid/>
                    <w:spacing w:line="340" w:lineRule="exact"/>
                    <w:jc w:val="center"/>
                    <w:rPr>
                      <w:bCs/>
                      <w:spacing w:val="-6"/>
                      <w:szCs w:val="21"/>
                    </w:rPr>
                  </w:pPr>
                  <w:r>
                    <w:rPr>
                      <w:rFonts w:hint="eastAsia"/>
                      <w:bCs/>
                      <w:szCs w:val="21"/>
                    </w:rPr>
                    <w:t>8万</w:t>
                  </w:r>
                  <w:r>
                    <w:rPr>
                      <w:bCs/>
                      <w:szCs w:val="21"/>
                    </w:rPr>
                    <w:t>t/a</w:t>
                  </w:r>
                </w:p>
              </w:tc>
              <w:tc>
                <w:tcPr>
                  <w:tcW w:w="1343" w:type="dxa"/>
                  <w:vAlign w:val="center"/>
                </w:tcPr>
                <w:p w14:paraId="2EE82FC3">
                  <w:pPr>
                    <w:adjustRightInd/>
                    <w:snapToGrid/>
                    <w:spacing w:line="340" w:lineRule="exact"/>
                    <w:jc w:val="center"/>
                    <w:rPr>
                      <w:bCs/>
                      <w:szCs w:val="21"/>
                    </w:rPr>
                  </w:pPr>
                  <w:r>
                    <w:rPr>
                      <w:bCs/>
                      <w:szCs w:val="21"/>
                    </w:rPr>
                    <w:t>固体</w:t>
                  </w:r>
                </w:p>
              </w:tc>
              <w:tc>
                <w:tcPr>
                  <w:tcW w:w="1058" w:type="dxa"/>
                  <w:vAlign w:val="center"/>
                </w:tcPr>
                <w:p w14:paraId="45BB5F30">
                  <w:pPr>
                    <w:adjustRightInd/>
                    <w:snapToGrid/>
                    <w:spacing w:line="340" w:lineRule="exact"/>
                    <w:jc w:val="center"/>
                    <w:rPr>
                      <w:bCs/>
                      <w:szCs w:val="21"/>
                    </w:rPr>
                  </w:pPr>
                  <w:r>
                    <w:rPr>
                      <w:bCs/>
                      <w:szCs w:val="21"/>
                    </w:rPr>
                    <w:t>堆放</w:t>
                  </w:r>
                </w:p>
              </w:tc>
              <w:tc>
                <w:tcPr>
                  <w:tcW w:w="1349" w:type="dxa"/>
                  <w:vAlign w:val="center"/>
                </w:tcPr>
                <w:p w14:paraId="0B4B70EF">
                  <w:pPr>
                    <w:adjustRightInd/>
                    <w:snapToGrid/>
                    <w:spacing w:line="340" w:lineRule="exact"/>
                    <w:jc w:val="center"/>
                    <w:rPr>
                      <w:bCs/>
                      <w:szCs w:val="21"/>
                    </w:rPr>
                  </w:pPr>
                  <w:r>
                    <w:rPr>
                      <w:bCs/>
                      <w:szCs w:val="21"/>
                    </w:rPr>
                    <w:t>原料</w:t>
                  </w:r>
                  <w:r>
                    <w:rPr>
                      <w:rFonts w:hint="eastAsia"/>
                      <w:bCs/>
                      <w:szCs w:val="21"/>
                    </w:rPr>
                    <w:t>堆场</w:t>
                  </w:r>
                </w:p>
              </w:tc>
            </w:tr>
            <w:tr w14:paraId="08EDE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41" w:type="dxa"/>
                  <w:vAlign w:val="center"/>
                </w:tcPr>
                <w:p w14:paraId="698F64A0">
                  <w:pPr>
                    <w:adjustRightInd/>
                    <w:snapToGrid/>
                    <w:spacing w:line="340" w:lineRule="exact"/>
                    <w:jc w:val="center"/>
                    <w:rPr>
                      <w:bCs/>
                      <w:szCs w:val="21"/>
                    </w:rPr>
                  </w:pPr>
                  <w:r>
                    <w:rPr>
                      <w:bCs/>
                      <w:szCs w:val="21"/>
                    </w:rPr>
                    <w:t>3</w:t>
                  </w:r>
                </w:p>
              </w:tc>
              <w:tc>
                <w:tcPr>
                  <w:tcW w:w="1644" w:type="dxa"/>
                  <w:vAlign w:val="center"/>
                </w:tcPr>
                <w:p w14:paraId="62E8F60E">
                  <w:pPr>
                    <w:adjustRightInd/>
                    <w:snapToGrid/>
                    <w:spacing w:line="340" w:lineRule="exact"/>
                    <w:jc w:val="center"/>
                    <w:rPr>
                      <w:bCs/>
                    </w:rPr>
                  </w:pPr>
                  <w:r>
                    <w:rPr>
                      <w:rFonts w:hint="eastAsia"/>
                      <w:bCs/>
                    </w:rPr>
                    <w:t>水泥</w:t>
                  </w:r>
                </w:p>
              </w:tc>
              <w:tc>
                <w:tcPr>
                  <w:tcW w:w="2085" w:type="dxa"/>
                  <w:vAlign w:val="center"/>
                </w:tcPr>
                <w:p w14:paraId="4617CF5C">
                  <w:pPr>
                    <w:adjustRightInd/>
                    <w:snapToGrid/>
                    <w:spacing w:line="340" w:lineRule="exact"/>
                    <w:jc w:val="center"/>
                    <w:rPr>
                      <w:bCs/>
                      <w:szCs w:val="21"/>
                    </w:rPr>
                  </w:pPr>
                  <w:r>
                    <w:rPr>
                      <w:rFonts w:hint="eastAsia"/>
                      <w:bCs/>
                      <w:szCs w:val="21"/>
                    </w:rPr>
                    <w:t>5</w:t>
                  </w:r>
                  <w:r>
                    <w:rPr>
                      <w:bCs/>
                      <w:szCs w:val="21"/>
                    </w:rPr>
                    <w:t>.8</w:t>
                  </w:r>
                  <w:r>
                    <w:rPr>
                      <w:rFonts w:hint="eastAsia"/>
                      <w:bCs/>
                      <w:szCs w:val="21"/>
                    </w:rPr>
                    <w:t>万</w:t>
                  </w:r>
                  <w:r>
                    <w:rPr>
                      <w:bCs/>
                      <w:szCs w:val="21"/>
                    </w:rPr>
                    <w:t>t/a</w:t>
                  </w:r>
                </w:p>
              </w:tc>
              <w:tc>
                <w:tcPr>
                  <w:tcW w:w="1343" w:type="dxa"/>
                  <w:vAlign w:val="center"/>
                </w:tcPr>
                <w:p w14:paraId="07C71EB4">
                  <w:pPr>
                    <w:adjustRightInd/>
                    <w:snapToGrid/>
                    <w:spacing w:line="340" w:lineRule="exact"/>
                    <w:jc w:val="center"/>
                    <w:rPr>
                      <w:bCs/>
                      <w:szCs w:val="21"/>
                    </w:rPr>
                  </w:pPr>
                  <w:r>
                    <w:rPr>
                      <w:rFonts w:hint="eastAsia"/>
                      <w:bCs/>
                      <w:szCs w:val="21"/>
                    </w:rPr>
                    <w:t>固体</w:t>
                  </w:r>
                </w:p>
              </w:tc>
              <w:tc>
                <w:tcPr>
                  <w:tcW w:w="1058" w:type="dxa"/>
                  <w:vAlign w:val="center"/>
                </w:tcPr>
                <w:p w14:paraId="68EE2591">
                  <w:pPr>
                    <w:adjustRightInd/>
                    <w:snapToGrid/>
                    <w:spacing w:line="340" w:lineRule="exact"/>
                    <w:jc w:val="center"/>
                    <w:rPr>
                      <w:bCs/>
                      <w:szCs w:val="21"/>
                    </w:rPr>
                  </w:pPr>
                  <w:r>
                    <w:rPr>
                      <w:bCs/>
                      <w:szCs w:val="21"/>
                    </w:rPr>
                    <w:t>密封</w:t>
                  </w:r>
                  <w:r>
                    <w:rPr>
                      <w:rFonts w:hint="eastAsia"/>
                      <w:bCs/>
                      <w:szCs w:val="21"/>
                    </w:rPr>
                    <w:t>罐装</w:t>
                  </w:r>
                </w:p>
              </w:tc>
              <w:tc>
                <w:tcPr>
                  <w:tcW w:w="1349" w:type="dxa"/>
                  <w:vAlign w:val="center"/>
                </w:tcPr>
                <w:p w14:paraId="7DE5BE1F">
                  <w:pPr>
                    <w:adjustRightInd/>
                    <w:snapToGrid/>
                    <w:spacing w:line="340" w:lineRule="exact"/>
                    <w:jc w:val="center"/>
                    <w:rPr>
                      <w:bCs/>
                      <w:szCs w:val="21"/>
                    </w:rPr>
                  </w:pPr>
                  <w:r>
                    <w:rPr>
                      <w:rFonts w:hint="eastAsia"/>
                      <w:bCs/>
                      <w:szCs w:val="21"/>
                    </w:rPr>
                    <w:t>水泥罐</w:t>
                  </w:r>
                </w:p>
              </w:tc>
            </w:tr>
            <w:tr w14:paraId="1CC3E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41" w:type="dxa"/>
                  <w:vAlign w:val="center"/>
                </w:tcPr>
                <w:p w14:paraId="1D3F6584">
                  <w:pPr>
                    <w:adjustRightInd/>
                    <w:snapToGrid/>
                    <w:spacing w:line="340" w:lineRule="exact"/>
                    <w:jc w:val="center"/>
                    <w:rPr>
                      <w:bCs/>
                      <w:szCs w:val="21"/>
                    </w:rPr>
                  </w:pPr>
                  <w:bookmarkStart w:id="11" w:name="_Toc31618_WPSOffice_Level2"/>
                  <w:bookmarkStart w:id="12" w:name="_Toc13619_WPSOffice_Level3"/>
                  <w:r>
                    <w:rPr>
                      <w:rFonts w:hint="eastAsia"/>
                      <w:bCs/>
                      <w:szCs w:val="21"/>
                    </w:rPr>
                    <w:t>4</w:t>
                  </w:r>
                </w:p>
              </w:tc>
              <w:tc>
                <w:tcPr>
                  <w:tcW w:w="1644" w:type="dxa"/>
                  <w:vAlign w:val="center"/>
                </w:tcPr>
                <w:p w14:paraId="0A96F99B">
                  <w:pPr>
                    <w:adjustRightInd/>
                    <w:snapToGrid/>
                    <w:spacing w:line="340" w:lineRule="exact"/>
                    <w:jc w:val="center"/>
                    <w:rPr>
                      <w:bCs/>
                    </w:rPr>
                  </w:pPr>
                  <w:r>
                    <w:rPr>
                      <w:rFonts w:hint="eastAsia"/>
                      <w:bCs/>
                    </w:rPr>
                    <w:t>钢筋</w:t>
                  </w:r>
                </w:p>
              </w:tc>
              <w:tc>
                <w:tcPr>
                  <w:tcW w:w="2085" w:type="dxa"/>
                  <w:vAlign w:val="center"/>
                </w:tcPr>
                <w:p w14:paraId="19D86BB6">
                  <w:pPr>
                    <w:adjustRightInd/>
                    <w:snapToGrid/>
                    <w:spacing w:line="340" w:lineRule="exact"/>
                    <w:jc w:val="center"/>
                    <w:rPr>
                      <w:bCs/>
                      <w:szCs w:val="21"/>
                    </w:rPr>
                  </w:pPr>
                  <w:r>
                    <w:rPr>
                      <w:rFonts w:hint="eastAsia"/>
                      <w:bCs/>
                      <w:szCs w:val="21"/>
                    </w:rPr>
                    <w:t>1.1万</w:t>
                  </w:r>
                  <w:r>
                    <w:rPr>
                      <w:bCs/>
                      <w:szCs w:val="21"/>
                    </w:rPr>
                    <w:t>t/a</w:t>
                  </w:r>
                </w:p>
              </w:tc>
              <w:tc>
                <w:tcPr>
                  <w:tcW w:w="1343" w:type="dxa"/>
                  <w:vAlign w:val="center"/>
                </w:tcPr>
                <w:p w14:paraId="449F924F">
                  <w:pPr>
                    <w:adjustRightInd/>
                    <w:snapToGrid/>
                    <w:spacing w:line="340" w:lineRule="exact"/>
                    <w:jc w:val="center"/>
                    <w:rPr>
                      <w:bCs/>
                      <w:szCs w:val="21"/>
                    </w:rPr>
                  </w:pPr>
                  <w:r>
                    <w:rPr>
                      <w:bCs/>
                      <w:szCs w:val="21"/>
                    </w:rPr>
                    <w:t>固体</w:t>
                  </w:r>
                </w:p>
              </w:tc>
              <w:tc>
                <w:tcPr>
                  <w:tcW w:w="1058" w:type="dxa"/>
                  <w:vAlign w:val="center"/>
                </w:tcPr>
                <w:p w14:paraId="3195353F">
                  <w:pPr>
                    <w:adjustRightInd/>
                    <w:snapToGrid/>
                    <w:spacing w:line="340" w:lineRule="exact"/>
                    <w:jc w:val="center"/>
                    <w:rPr>
                      <w:bCs/>
                      <w:szCs w:val="21"/>
                    </w:rPr>
                  </w:pPr>
                  <w:r>
                    <w:rPr>
                      <w:rFonts w:hint="eastAsia"/>
                      <w:bCs/>
                      <w:szCs w:val="21"/>
                    </w:rPr>
                    <w:t>堆放</w:t>
                  </w:r>
                </w:p>
              </w:tc>
              <w:tc>
                <w:tcPr>
                  <w:tcW w:w="1349" w:type="dxa"/>
                  <w:vAlign w:val="center"/>
                </w:tcPr>
                <w:p w14:paraId="60F2626A">
                  <w:pPr>
                    <w:adjustRightInd/>
                    <w:snapToGrid/>
                    <w:spacing w:line="340" w:lineRule="exact"/>
                    <w:jc w:val="center"/>
                    <w:rPr>
                      <w:bCs/>
                      <w:szCs w:val="21"/>
                    </w:rPr>
                  </w:pPr>
                  <w:r>
                    <w:rPr>
                      <w:rFonts w:hint="eastAsia"/>
                      <w:bCs/>
                      <w:szCs w:val="21"/>
                    </w:rPr>
                    <w:t>钢筋加工区</w:t>
                  </w:r>
                </w:p>
              </w:tc>
            </w:tr>
            <w:tr w14:paraId="4A27E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41" w:type="dxa"/>
                  <w:vAlign w:val="center"/>
                </w:tcPr>
                <w:p w14:paraId="3D59B63E">
                  <w:pPr>
                    <w:adjustRightInd/>
                    <w:snapToGrid/>
                    <w:spacing w:line="340" w:lineRule="exact"/>
                    <w:jc w:val="center"/>
                    <w:rPr>
                      <w:bCs/>
                      <w:szCs w:val="21"/>
                    </w:rPr>
                  </w:pPr>
                  <w:r>
                    <w:rPr>
                      <w:rFonts w:hint="eastAsia"/>
                      <w:bCs/>
                      <w:szCs w:val="21"/>
                    </w:rPr>
                    <w:t>5</w:t>
                  </w:r>
                </w:p>
              </w:tc>
              <w:tc>
                <w:tcPr>
                  <w:tcW w:w="1644" w:type="dxa"/>
                  <w:vAlign w:val="center"/>
                </w:tcPr>
                <w:p w14:paraId="00E18C81">
                  <w:pPr>
                    <w:adjustRightInd/>
                    <w:snapToGrid/>
                    <w:spacing w:line="340" w:lineRule="exact"/>
                    <w:jc w:val="center"/>
                    <w:rPr>
                      <w:bCs/>
                    </w:rPr>
                  </w:pPr>
                  <w:r>
                    <w:rPr>
                      <w:rFonts w:hint="eastAsia"/>
                      <w:bCs/>
                    </w:rPr>
                    <w:t>水</w:t>
                  </w:r>
                </w:p>
              </w:tc>
              <w:tc>
                <w:tcPr>
                  <w:tcW w:w="2085" w:type="dxa"/>
                  <w:vAlign w:val="center"/>
                </w:tcPr>
                <w:p w14:paraId="39B53F6B">
                  <w:pPr>
                    <w:adjustRightInd/>
                    <w:snapToGrid/>
                    <w:spacing w:line="340" w:lineRule="exact"/>
                    <w:jc w:val="center"/>
                    <w:rPr>
                      <w:bCs/>
                      <w:szCs w:val="21"/>
                    </w:rPr>
                  </w:pPr>
                  <w:r>
                    <w:rPr>
                      <w:rFonts w:hint="eastAsia"/>
                      <w:bCs/>
                      <w:szCs w:val="21"/>
                    </w:rPr>
                    <w:t>2.9万</w:t>
                  </w:r>
                  <w:r>
                    <w:rPr>
                      <w:bCs/>
                      <w:szCs w:val="21"/>
                    </w:rPr>
                    <w:t>t/a</w:t>
                  </w:r>
                </w:p>
              </w:tc>
              <w:tc>
                <w:tcPr>
                  <w:tcW w:w="1343" w:type="dxa"/>
                  <w:vAlign w:val="center"/>
                </w:tcPr>
                <w:p w14:paraId="2C2A3C97">
                  <w:pPr>
                    <w:adjustRightInd/>
                    <w:snapToGrid/>
                    <w:spacing w:line="340" w:lineRule="exact"/>
                    <w:jc w:val="center"/>
                    <w:rPr>
                      <w:bCs/>
                      <w:szCs w:val="21"/>
                    </w:rPr>
                  </w:pPr>
                  <w:r>
                    <w:rPr>
                      <w:bCs/>
                      <w:szCs w:val="21"/>
                    </w:rPr>
                    <w:t>液体</w:t>
                  </w:r>
                </w:p>
              </w:tc>
              <w:tc>
                <w:tcPr>
                  <w:tcW w:w="1058" w:type="dxa"/>
                  <w:vAlign w:val="center"/>
                </w:tcPr>
                <w:p w14:paraId="55F490F7">
                  <w:pPr>
                    <w:adjustRightInd/>
                    <w:snapToGrid/>
                    <w:spacing w:line="340" w:lineRule="exact"/>
                    <w:jc w:val="center"/>
                    <w:rPr>
                      <w:bCs/>
                      <w:szCs w:val="21"/>
                    </w:rPr>
                  </w:pPr>
                  <w:r>
                    <w:rPr>
                      <w:rFonts w:hint="eastAsia"/>
                      <w:bCs/>
                      <w:szCs w:val="21"/>
                    </w:rPr>
                    <w:t>/</w:t>
                  </w:r>
                </w:p>
              </w:tc>
              <w:tc>
                <w:tcPr>
                  <w:tcW w:w="1349" w:type="dxa"/>
                  <w:vAlign w:val="center"/>
                </w:tcPr>
                <w:p w14:paraId="7999F29D">
                  <w:pPr>
                    <w:adjustRightInd/>
                    <w:snapToGrid/>
                    <w:spacing w:line="340" w:lineRule="exact"/>
                    <w:jc w:val="center"/>
                    <w:rPr>
                      <w:bCs/>
                      <w:szCs w:val="21"/>
                    </w:rPr>
                  </w:pPr>
                  <w:r>
                    <w:rPr>
                      <w:rFonts w:hint="eastAsia"/>
                      <w:bCs/>
                      <w:szCs w:val="21"/>
                    </w:rPr>
                    <w:t>/</w:t>
                  </w:r>
                </w:p>
              </w:tc>
            </w:tr>
            <w:tr w14:paraId="0E89C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41" w:type="dxa"/>
                  <w:vAlign w:val="center"/>
                </w:tcPr>
                <w:p w14:paraId="5DA5FC1B">
                  <w:pPr>
                    <w:adjustRightInd/>
                    <w:snapToGrid/>
                    <w:spacing w:line="340" w:lineRule="exact"/>
                    <w:jc w:val="center"/>
                    <w:rPr>
                      <w:bCs/>
                      <w:szCs w:val="21"/>
                    </w:rPr>
                  </w:pPr>
                  <w:r>
                    <w:rPr>
                      <w:rFonts w:hint="eastAsia"/>
                      <w:bCs/>
                      <w:szCs w:val="21"/>
                    </w:rPr>
                    <w:t>6</w:t>
                  </w:r>
                </w:p>
              </w:tc>
              <w:tc>
                <w:tcPr>
                  <w:tcW w:w="1644" w:type="dxa"/>
                  <w:vAlign w:val="center"/>
                </w:tcPr>
                <w:p w14:paraId="5196CFA2">
                  <w:pPr>
                    <w:adjustRightInd/>
                    <w:snapToGrid/>
                    <w:spacing w:line="340" w:lineRule="exact"/>
                    <w:jc w:val="center"/>
                    <w:rPr>
                      <w:bCs/>
                    </w:rPr>
                  </w:pPr>
                  <w:r>
                    <w:rPr>
                      <w:rFonts w:hint="eastAsia"/>
                      <w:bCs/>
                    </w:rPr>
                    <w:t>焊条</w:t>
                  </w:r>
                </w:p>
              </w:tc>
              <w:tc>
                <w:tcPr>
                  <w:tcW w:w="2085" w:type="dxa"/>
                  <w:vAlign w:val="center"/>
                </w:tcPr>
                <w:p w14:paraId="211547CD">
                  <w:pPr>
                    <w:adjustRightInd/>
                    <w:snapToGrid/>
                    <w:spacing w:line="340" w:lineRule="exact"/>
                    <w:jc w:val="center"/>
                    <w:rPr>
                      <w:bCs/>
                      <w:szCs w:val="21"/>
                    </w:rPr>
                  </w:pPr>
                  <w:r>
                    <w:rPr>
                      <w:rFonts w:hint="eastAsia"/>
                      <w:bCs/>
                      <w:szCs w:val="21"/>
                    </w:rPr>
                    <w:t>2t/a</w:t>
                  </w:r>
                </w:p>
              </w:tc>
              <w:tc>
                <w:tcPr>
                  <w:tcW w:w="1343" w:type="dxa"/>
                  <w:vAlign w:val="center"/>
                </w:tcPr>
                <w:p w14:paraId="60E42614">
                  <w:pPr>
                    <w:adjustRightInd/>
                    <w:snapToGrid/>
                    <w:spacing w:line="340" w:lineRule="exact"/>
                    <w:jc w:val="center"/>
                    <w:rPr>
                      <w:bCs/>
                      <w:szCs w:val="21"/>
                    </w:rPr>
                  </w:pPr>
                  <w:r>
                    <w:rPr>
                      <w:bCs/>
                      <w:szCs w:val="21"/>
                    </w:rPr>
                    <w:t>固体</w:t>
                  </w:r>
                </w:p>
              </w:tc>
              <w:tc>
                <w:tcPr>
                  <w:tcW w:w="1058" w:type="dxa"/>
                  <w:vAlign w:val="center"/>
                </w:tcPr>
                <w:p w14:paraId="4FD4BA55">
                  <w:pPr>
                    <w:adjustRightInd/>
                    <w:snapToGrid/>
                    <w:spacing w:line="340" w:lineRule="exact"/>
                    <w:jc w:val="center"/>
                    <w:rPr>
                      <w:bCs/>
                      <w:szCs w:val="21"/>
                    </w:rPr>
                  </w:pPr>
                  <w:r>
                    <w:rPr>
                      <w:rFonts w:hint="eastAsia"/>
                      <w:bCs/>
                      <w:szCs w:val="21"/>
                    </w:rPr>
                    <w:t>箱装</w:t>
                  </w:r>
                </w:p>
              </w:tc>
              <w:tc>
                <w:tcPr>
                  <w:tcW w:w="1349" w:type="dxa"/>
                  <w:vAlign w:val="center"/>
                </w:tcPr>
                <w:p w14:paraId="5ADB904F">
                  <w:pPr>
                    <w:adjustRightInd/>
                    <w:snapToGrid/>
                    <w:spacing w:line="340" w:lineRule="exact"/>
                    <w:jc w:val="center"/>
                    <w:rPr>
                      <w:bCs/>
                      <w:szCs w:val="21"/>
                    </w:rPr>
                  </w:pPr>
                  <w:r>
                    <w:rPr>
                      <w:rFonts w:hint="eastAsia"/>
                      <w:bCs/>
                      <w:szCs w:val="21"/>
                    </w:rPr>
                    <w:t>钢筋加工区</w:t>
                  </w:r>
                </w:p>
              </w:tc>
            </w:tr>
          </w:tbl>
          <w:p w14:paraId="660F2F98">
            <w:pPr>
              <w:pStyle w:val="66"/>
              <w:ind w:firstLine="0" w:firstLineChars="0"/>
              <w:rPr>
                <w:b/>
                <w:bCs/>
                <w:kern w:val="2"/>
                <w:sz w:val="24"/>
                <w:szCs w:val="24"/>
              </w:rPr>
            </w:pPr>
            <w:r>
              <w:rPr>
                <w:rFonts w:hint="eastAsia"/>
                <w:b/>
                <w:bCs/>
                <w:kern w:val="2"/>
                <w:sz w:val="24"/>
                <w:szCs w:val="24"/>
              </w:rPr>
              <w:t>2.</w:t>
            </w:r>
            <w:r>
              <w:rPr>
                <w:b/>
                <w:bCs/>
                <w:kern w:val="2"/>
                <w:sz w:val="24"/>
                <w:szCs w:val="24"/>
              </w:rPr>
              <w:t>6</w:t>
            </w:r>
            <w:r>
              <w:rPr>
                <w:rFonts w:hint="eastAsia"/>
                <w:b/>
                <w:bCs/>
                <w:kern w:val="2"/>
                <w:sz w:val="24"/>
                <w:szCs w:val="24"/>
              </w:rPr>
              <w:t>项目</w:t>
            </w:r>
            <w:r>
              <w:rPr>
                <w:b/>
                <w:bCs/>
                <w:kern w:val="2"/>
                <w:sz w:val="24"/>
                <w:szCs w:val="24"/>
              </w:rPr>
              <w:t>主要生产设备</w:t>
            </w:r>
            <w:bookmarkEnd w:id="11"/>
            <w:bookmarkEnd w:id="12"/>
          </w:p>
          <w:p w14:paraId="7FEC006C">
            <w:pPr>
              <w:spacing w:line="360" w:lineRule="auto"/>
              <w:ind w:firstLine="420"/>
              <w:rPr>
                <w:sz w:val="24"/>
              </w:rPr>
            </w:pPr>
            <w:r>
              <w:rPr>
                <w:sz w:val="24"/>
              </w:rPr>
              <w:t>项目主要生产设备情况见表2.</w:t>
            </w:r>
            <w:r>
              <w:rPr>
                <w:rFonts w:hint="eastAsia"/>
                <w:sz w:val="24"/>
              </w:rPr>
              <w:t>6</w:t>
            </w:r>
            <w:r>
              <w:rPr>
                <w:sz w:val="24"/>
              </w:rPr>
              <w:t>-1。</w:t>
            </w:r>
          </w:p>
          <w:p w14:paraId="219DAAE0">
            <w:pPr>
              <w:pStyle w:val="77"/>
              <w:rPr>
                <w:sz w:val="24"/>
                <w:szCs w:val="24"/>
              </w:rPr>
            </w:pPr>
            <w:r>
              <w:rPr>
                <w:sz w:val="24"/>
                <w:szCs w:val="24"/>
              </w:rPr>
              <w:t>表2.6-1  项目主要生产设备一览表</w:t>
            </w:r>
          </w:p>
          <w:tbl>
            <w:tblPr>
              <w:tblStyle w:val="34"/>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1487"/>
              <w:gridCol w:w="1564"/>
              <w:gridCol w:w="1059"/>
              <w:gridCol w:w="1356"/>
              <w:gridCol w:w="2010"/>
            </w:tblGrid>
            <w:tr w14:paraId="5C1607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4" w:type="dxa"/>
                  <w:tcBorders>
                    <w:tl2br w:val="nil"/>
                    <w:tr2bl w:val="nil"/>
                  </w:tcBorders>
                  <w:shd w:val="clear" w:color="auto" w:fill="auto"/>
                  <w:vAlign w:val="center"/>
                </w:tcPr>
                <w:p w14:paraId="512ECC7F">
                  <w:pPr>
                    <w:pStyle w:val="120"/>
                  </w:pPr>
                  <w:r>
                    <w:t>序号</w:t>
                  </w:r>
                </w:p>
              </w:tc>
              <w:tc>
                <w:tcPr>
                  <w:tcW w:w="1487" w:type="dxa"/>
                  <w:tcBorders>
                    <w:tl2br w:val="nil"/>
                    <w:tr2bl w:val="nil"/>
                  </w:tcBorders>
                  <w:shd w:val="clear" w:color="auto" w:fill="auto"/>
                  <w:vAlign w:val="center"/>
                </w:tcPr>
                <w:p w14:paraId="64524098">
                  <w:pPr>
                    <w:pStyle w:val="120"/>
                  </w:pPr>
                  <w:r>
                    <w:t>设备名称</w:t>
                  </w:r>
                </w:p>
              </w:tc>
              <w:tc>
                <w:tcPr>
                  <w:tcW w:w="1564" w:type="dxa"/>
                  <w:tcBorders>
                    <w:tl2br w:val="nil"/>
                    <w:tr2bl w:val="nil"/>
                  </w:tcBorders>
                  <w:shd w:val="clear" w:color="auto" w:fill="auto"/>
                  <w:vAlign w:val="center"/>
                </w:tcPr>
                <w:p w14:paraId="794D8527">
                  <w:pPr>
                    <w:pStyle w:val="120"/>
                  </w:pPr>
                  <w:r>
                    <w:rPr>
                      <w:rFonts w:hint="eastAsia"/>
                    </w:rPr>
                    <w:t>规格/型号</w:t>
                  </w:r>
                </w:p>
              </w:tc>
              <w:tc>
                <w:tcPr>
                  <w:tcW w:w="1059" w:type="dxa"/>
                  <w:tcBorders>
                    <w:tl2br w:val="nil"/>
                    <w:tr2bl w:val="nil"/>
                  </w:tcBorders>
                  <w:shd w:val="clear" w:color="auto" w:fill="auto"/>
                  <w:vAlign w:val="center"/>
                </w:tcPr>
                <w:p w14:paraId="2E6DEA15">
                  <w:pPr>
                    <w:pStyle w:val="120"/>
                  </w:pPr>
                  <w:r>
                    <w:t>数量</w:t>
                  </w:r>
                </w:p>
              </w:tc>
              <w:tc>
                <w:tcPr>
                  <w:tcW w:w="1356" w:type="dxa"/>
                  <w:tcBorders>
                    <w:tl2br w:val="nil"/>
                    <w:tr2bl w:val="nil"/>
                  </w:tcBorders>
                  <w:shd w:val="clear" w:color="auto" w:fill="auto"/>
                  <w:vAlign w:val="center"/>
                </w:tcPr>
                <w:p w14:paraId="232278C9">
                  <w:pPr>
                    <w:pStyle w:val="120"/>
                  </w:pPr>
                  <w:r>
                    <w:rPr>
                      <w:rFonts w:hint="eastAsia"/>
                    </w:rPr>
                    <w:t>单位</w:t>
                  </w:r>
                </w:p>
              </w:tc>
              <w:tc>
                <w:tcPr>
                  <w:tcW w:w="2010" w:type="dxa"/>
                  <w:tcBorders>
                    <w:tl2br w:val="nil"/>
                    <w:tr2bl w:val="nil"/>
                  </w:tcBorders>
                  <w:shd w:val="clear" w:color="auto" w:fill="auto"/>
                  <w:vAlign w:val="center"/>
                </w:tcPr>
                <w:p w14:paraId="292F3544">
                  <w:pPr>
                    <w:pStyle w:val="120"/>
                  </w:pPr>
                  <w:r>
                    <w:rPr>
                      <w:rFonts w:hint="eastAsia"/>
                    </w:rPr>
                    <w:t>工序</w:t>
                  </w:r>
                </w:p>
              </w:tc>
            </w:tr>
            <w:tr w14:paraId="5EE964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4" w:type="dxa"/>
                  <w:tcBorders>
                    <w:tl2br w:val="nil"/>
                    <w:tr2bl w:val="nil"/>
                  </w:tcBorders>
                  <w:shd w:val="clear" w:color="auto" w:fill="auto"/>
                  <w:vAlign w:val="center"/>
                </w:tcPr>
                <w:p w14:paraId="463F2E57">
                  <w:pPr>
                    <w:pStyle w:val="120"/>
                  </w:pPr>
                  <w:r>
                    <w:rPr>
                      <w:rFonts w:hint="eastAsia"/>
                    </w:rPr>
                    <w:t>1</w:t>
                  </w:r>
                </w:p>
              </w:tc>
              <w:tc>
                <w:tcPr>
                  <w:tcW w:w="1487" w:type="dxa"/>
                  <w:tcBorders>
                    <w:tl2br w:val="nil"/>
                    <w:tr2bl w:val="nil"/>
                  </w:tcBorders>
                  <w:shd w:val="clear" w:color="auto" w:fill="auto"/>
                  <w:vAlign w:val="center"/>
                </w:tcPr>
                <w:p w14:paraId="693652CC">
                  <w:pPr>
                    <w:pStyle w:val="120"/>
                  </w:pPr>
                  <w:r>
                    <w:rPr>
                      <w:rFonts w:hint="eastAsia"/>
                    </w:rPr>
                    <w:t>水泥罐</w:t>
                  </w:r>
                </w:p>
              </w:tc>
              <w:tc>
                <w:tcPr>
                  <w:tcW w:w="1564" w:type="dxa"/>
                  <w:tcBorders>
                    <w:tl2br w:val="nil"/>
                    <w:tr2bl w:val="nil"/>
                  </w:tcBorders>
                  <w:shd w:val="clear" w:color="auto" w:fill="auto"/>
                  <w:vAlign w:val="center"/>
                </w:tcPr>
                <w:p w14:paraId="1CF6A698">
                  <w:pPr>
                    <w:pStyle w:val="120"/>
                  </w:pPr>
                  <w:r>
                    <w:rPr>
                      <w:rFonts w:hint="eastAsia"/>
                    </w:rPr>
                    <w:t>DN4800mm</w:t>
                  </w:r>
                </w:p>
              </w:tc>
              <w:tc>
                <w:tcPr>
                  <w:tcW w:w="1059" w:type="dxa"/>
                  <w:tcBorders>
                    <w:tl2br w:val="nil"/>
                    <w:tr2bl w:val="nil"/>
                  </w:tcBorders>
                  <w:shd w:val="clear" w:color="auto" w:fill="auto"/>
                  <w:vAlign w:val="center"/>
                </w:tcPr>
                <w:p w14:paraId="6FDF3F45">
                  <w:pPr>
                    <w:pStyle w:val="120"/>
                  </w:pPr>
                  <w:r>
                    <w:rPr>
                      <w:rFonts w:hint="eastAsia"/>
                    </w:rPr>
                    <w:t>4</w:t>
                  </w:r>
                </w:p>
              </w:tc>
              <w:tc>
                <w:tcPr>
                  <w:tcW w:w="1356" w:type="dxa"/>
                  <w:tcBorders>
                    <w:tl2br w:val="nil"/>
                    <w:tr2bl w:val="nil"/>
                  </w:tcBorders>
                  <w:shd w:val="clear" w:color="auto" w:fill="auto"/>
                  <w:vAlign w:val="center"/>
                </w:tcPr>
                <w:p w14:paraId="1F10CBB0">
                  <w:pPr>
                    <w:pStyle w:val="120"/>
                  </w:pPr>
                  <w:r>
                    <w:rPr>
                      <w:rFonts w:hint="eastAsia"/>
                    </w:rPr>
                    <w:t>台</w:t>
                  </w:r>
                </w:p>
              </w:tc>
              <w:tc>
                <w:tcPr>
                  <w:tcW w:w="2010" w:type="dxa"/>
                  <w:tcBorders>
                    <w:tl2br w:val="nil"/>
                    <w:tr2bl w:val="nil"/>
                  </w:tcBorders>
                  <w:shd w:val="clear" w:color="auto" w:fill="auto"/>
                  <w:vAlign w:val="center"/>
                </w:tcPr>
                <w:p w14:paraId="45E7275C">
                  <w:pPr>
                    <w:pStyle w:val="120"/>
                  </w:pPr>
                  <w:r>
                    <w:rPr>
                      <w:rFonts w:hint="eastAsia"/>
                    </w:rPr>
                    <w:t>储存水泥</w:t>
                  </w:r>
                </w:p>
              </w:tc>
            </w:tr>
            <w:tr w14:paraId="0E7CEE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4" w:type="dxa"/>
                  <w:tcBorders>
                    <w:tl2br w:val="nil"/>
                    <w:tr2bl w:val="nil"/>
                  </w:tcBorders>
                  <w:shd w:val="clear" w:color="auto" w:fill="auto"/>
                  <w:vAlign w:val="center"/>
                </w:tcPr>
                <w:p w14:paraId="6ABC0CD3">
                  <w:pPr>
                    <w:pStyle w:val="120"/>
                  </w:pPr>
                  <w:r>
                    <w:rPr>
                      <w:rFonts w:hint="eastAsia"/>
                    </w:rPr>
                    <w:t>2</w:t>
                  </w:r>
                </w:p>
              </w:tc>
              <w:tc>
                <w:tcPr>
                  <w:tcW w:w="1487" w:type="dxa"/>
                  <w:tcBorders>
                    <w:tl2br w:val="nil"/>
                    <w:tr2bl w:val="nil"/>
                  </w:tcBorders>
                  <w:shd w:val="clear" w:color="auto" w:fill="auto"/>
                  <w:vAlign w:val="center"/>
                </w:tcPr>
                <w:p w14:paraId="54D32F83">
                  <w:pPr>
                    <w:pStyle w:val="120"/>
                  </w:pPr>
                  <w:r>
                    <w:rPr>
                      <w:rFonts w:hint="eastAsia"/>
                    </w:rPr>
                    <w:t>配料斗</w:t>
                  </w:r>
                </w:p>
              </w:tc>
              <w:tc>
                <w:tcPr>
                  <w:tcW w:w="1564" w:type="dxa"/>
                  <w:tcBorders>
                    <w:tl2br w:val="nil"/>
                    <w:tr2bl w:val="nil"/>
                  </w:tcBorders>
                  <w:shd w:val="clear" w:color="auto" w:fill="auto"/>
                  <w:vAlign w:val="center"/>
                </w:tcPr>
                <w:p w14:paraId="7A48035C">
                  <w:pPr>
                    <w:jc w:val="center"/>
                  </w:pPr>
                  <w:r>
                    <w:rPr>
                      <w:rFonts w:hint="eastAsia"/>
                    </w:rPr>
                    <w:t>23m</w:t>
                  </w:r>
                  <w:r>
                    <w:rPr>
                      <w:rFonts w:hint="eastAsia"/>
                      <w:vertAlign w:val="superscript"/>
                    </w:rPr>
                    <w:t>3</w:t>
                  </w:r>
                  <w:r>
                    <w:rPr>
                      <w:rFonts w:hint="eastAsia"/>
                    </w:rPr>
                    <w:t>、46m</w:t>
                  </w:r>
                  <w:r>
                    <w:rPr>
                      <w:rFonts w:hint="eastAsia"/>
                      <w:vertAlign w:val="superscript"/>
                    </w:rPr>
                    <w:t>3</w:t>
                  </w:r>
                </w:p>
              </w:tc>
              <w:tc>
                <w:tcPr>
                  <w:tcW w:w="1059" w:type="dxa"/>
                  <w:tcBorders>
                    <w:tl2br w:val="nil"/>
                    <w:tr2bl w:val="nil"/>
                  </w:tcBorders>
                  <w:shd w:val="clear" w:color="auto" w:fill="auto"/>
                  <w:vAlign w:val="center"/>
                </w:tcPr>
                <w:p w14:paraId="267B2F60">
                  <w:pPr>
                    <w:jc w:val="center"/>
                  </w:pPr>
                  <w:r>
                    <w:rPr>
                      <w:rFonts w:hint="eastAsia"/>
                    </w:rPr>
                    <w:t>5</w:t>
                  </w:r>
                </w:p>
              </w:tc>
              <w:tc>
                <w:tcPr>
                  <w:tcW w:w="1356" w:type="dxa"/>
                  <w:tcBorders>
                    <w:tl2br w:val="nil"/>
                    <w:tr2bl w:val="nil"/>
                  </w:tcBorders>
                  <w:shd w:val="clear" w:color="auto" w:fill="auto"/>
                  <w:vAlign w:val="center"/>
                </w:tcPr>
                <w:p w14:paraId="55220613">
                  <w:pPr>
                    <w:pStyle w:val="120"/>
                  </w:pPr>
                  <w:r>
                    <w:rPr>
                      <w:rFonts w:hint="eastAsia"/>
                    </w:rPr>
                    <w:t>台</w:t>
                  </w:r>
                </w:p>
              </w:tc>
              <w:tc>
                <w:tcPr>
                  <w:tcW w:w="2010" w:type="dxa"/>
                  <w:tcBorders>
                    <w:tl2br w:val="nil"/>
                    <w:tr2bl w:val="nil"/>
                  </w:tcBorders>
                  <w:shd w:val="clear" w:color="auto" w:fill="auto"/>
                  <w:vAlign w:val="center"/>
                </w:tcPr>
                <w:p w14:paraId="01E0385F">
                  <w:pPr>
                    <w:pStyle w:val="120"/>
                  </w:pPr>
                  <w:r>
                    <w:rPr>
                      <w:rFonts w:hint="eastAsia"/>
                    </w:rPr>
                    <w:t>配料</w:t>
                  </w:r>
                </w:p>
              </w:tc>
            </w:tr>
            <w:tr w14:paraId="485307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4" w:type="dxa"/>
                  <w:tcBorders>
                    <w:tl2br w:val="nil"/>
                    <w:tr2bl w:val="nil"/>
                  </w:tcBorders>
                  <w:shd w:val="clear" w:color="auto" w:fill="auto"/>
                  <w:vAlign w:val="center"/>
                </w:tcPr>
                <w:p w14:paraId="69F42F4A">
                  <w:pPr>
                    <w:pStyle w:val="120"/>
                  </w:pPr>
                  <w:r>
                    <w:rPr>
                      <w:rFonts w:hint="eastAsia"/>
                    </w:rPr>
                    <w:t>3</w:t>
                  </w:r>
                </w:p>
              </w:tc>
              <w:tc>
                <w:tcPr>
                  <w:tcW w:w="1487" w:type="dxa"/>
                  <w:tcBorders>
                    <w:tl2br w:val="nil"/>
                    <w:tr2bl w:val="nil"/>
                  </w:tcBorders>
                  <w:shd w:val="clear" w:color="auto" w:fill="auto"/>
                  <w:vAlign w:val="center"/>
                </w:tcPr>
                <w:p w14:paraId="4B967FBC">
                  <w:pPr>
                    <w:pStyle w:val="120"/>
                  </w:pPr>
                  <w:r>
                    <w:rPr>
                      <w:rFonts w:hint="eastAsia"/>
                    </w:rPr>
                    <w:t>搅拌机</w:t>
                  </w:r>
                </w:p>
              </w:tc>
              <w:tc>
                <w:tcPr>
                  <w:tcW w:w="1564" w:type="dxa"/>
                  <w:tcBorders>
                    <w:tl2br w:val="nil"/>
                    <w:tr2bl w:val="nil"/>
                  </w:tcBorders>
                  <w:shd w:val="clear" w:color="auto" w:fill="auto"/>
                  <w:vAlign w:val="center"/>
                </w:tcPr>
                <w:p w14:paraId="28B2ACA0">
                  <w:pPr>
                    <w:jc w:val="center"/>
                  </w:pPr>
                  <w:r>
                    <w:rPr>
                      <w:rFonts w:hint="eastAsia"/>
                    </w:rPr>
                    <w:t>60T</w:t>
                  </w:r>
                </w:p>
              </w:tc>
              <w:tc>
                <w:tcPr>
                  <w:tcW w:w="1059" w:type="dxa"/>
                  <w:tcBorders>
                    <w:tl2br w:val="nil"/>
                    <w:tr2bl w:val="nil"/>
                  </w:tcBorders>
                  <w:shd w:val="clear" w:color="auto" w:fill="auto"/>
                  <w:vAlign w:val="center"/>
                </w:tcPr>
                <w:p w14:paraId="18294750">
                  <w:pPr>
                    <w:jc w:val="center"/>
                  </w:pPr>
                  <w:r>
                    <w:rPr>
                      <w:rFonts w:hint="eastAsia"/>
                    </w:rPr>
                    <w:t>4</w:t>
                  </w:r>
                </w:p>
              </w:tc>
              <w:tc>
                <w:tcPr>
                  <w:tcW w:w="1356" w:type="dxa"/>
                  <w:tcBorders>
                    <w:tl2br w:val="nil"/>
                    <w:tr2bl w:val="nil"/>
                  </w:tcBorders>
                  <w:shd w:val="clear" w:color="auto" w:fill="auto"/>
                  <w:vAlign w:val="center"/>
                </w:tcPr>
                <w:p w14:paraId="4921B0AF">
                  <w:pPr>
                    <w:pStyle w:val="120"/>
                  </w:pPr>
                  <w:r>
                    <w:rPr>
                      <w:rFonts w:hint="eastAsia"/>
                    </w:rPr>
                    <w:t>台</w:t>
                  </w:r>
                </w:p>
              </w:tc>
              <w:tc>
                <w:tcPr>
                  <w:tcW w:w="2010" w:type="dxa"/>
                  <w:tcBorders>
                    <w:tl2br w:val="nil"/>
                    <w:tr2bl w:val="nil"/>
                  </w:tcBorders>
                  <w:shd w:val="clear" w:color="auto" w:fill="auto"/>
                  <w:vAlign w:val="center"/>
                </w:tcPr>
                <w:p w14:paraId="55C9F817">
                  <w:pPr>
                    <w:pStyle w:val="120"/>
                  </w:pPr>
                  <w:r>
                    <w:rPr>
                      <w:rFonts w:hint="eastAsia"/>
                    </w:rPr>
                    <w:t>搅拌</w:t>
                  </w:r>
                </w:p>
              </w:tc>
            </w:tr>
            <w:tr w14:paraId="3C8A26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4" w:type="dxa"/>
                  <w:tcBorders>
                    <w:tl2br w:val="nil"/>
                    <w:tr2bl w:val="nil"/>
                  </w:tcBorders>
                  <w:shd w:val="clear" w:color="auto" w:fill="auto"/>
                  <w:vAlign w:val="center"/>
                </w:tcPr>
                <w:p w14:paraId="5DD97551">
                  <w:pPr>
                    <w:pStyle w:val="120"/>
                  </w:pPr>
                  <w:r>
                    <w:rPr>
                      <w:rFonts w:hint="eastAsia"/>
                    </w:rPr>
                    <w:t>4</w:t>
                  </w:r>
                </w:p>
              </w:tc>
              <w:tc>
                <w:tcPr>
                  <w:tcW w:w="1487" w:type="dxa"/>
                  <w:tcBorders>
                    <w:tl2br w:val="nil"/>
                    <w:tr2bl w:val="nil"/>
                  </w:tcBorders>
                  <w:shd w:val="clear" w:color="auto" w:fill="auto"/>
                  <w:vAlign w:val="center"/>
                </w:tcPr>
                <w:p w14:paraId="4290607A">
                  <w:pPr>
                    <w:pStyle w:val="120"/>
                  </w:pPr>
                  <w:r>
                    <w:rPr>
                      <w:rFonts w:hint="eastAsia"/>
                    </w:rPr>
                    <w:t>芯模振动机</w:t>
                  </w:r>
                </w:p>
              </w:tc>
              <w:tc>
                <w:tcPr>
                  <w:tcW w:w="1564" w:type="dxa"/>
                  <w:tcBorders>
                    <w:tl2br w:val="nil"/>
                    <w:tr2bl w:val="nil"/>
                  </w:tcBorders>
                  <w:shd w:val="clear" w:color="auto" w:fill="auto"/>
                  <w:vAlign w:val="center"/>
                </w:tcPr>
                <w:p w14:paraId="49F866C4">
                  <w:pPr>
                    <w:pStyle w:val="120"/>
                  </w:pPr>
                  <w:r>
                    <w:rPr>
                      <w:rFonts w:hint="eastAsia"/>
                    </w:rPr>
                    <w:t>440T</w:t>
                  </w:r>
                </w:p>
              </w:tc>
              <w:tc>
                <w:tcPr>
                  <w:tcW w:w="1059" w:type="dxa"/>
                  <w:tcBorders>
                    <w:tl2br w:val="nil"/>
                    <w:tr2bl w:val="nil"/>
                  </w:tcBorders>
                  <w:shd w:val="clear" w:color="auto" w:fill="auto"/>
                  <w:vAlign w:val="center"/>
                </w:tcPr>
                <w:p w14:paraId="2D7B421F">
                  <w:pPr>
                    <w:pStyle w:val="120"/>
                  </w:pPr>
                  <w:r>
                    <w:rPr>
                      <w:rFonts w:hint="eastAsia"/>
                    </w:rPr>
                    <w:t>2</w:t>
                  </w:r>
                </w:p>
              </w:tc>
              <w:tc>
                <w:tcPr>
                  <w:tcW w:w="1356" w:type="dxa"/>
                  <w:tcBorders>
                    <w:tl2br w:val="nil"/>
                    <w:tr2bl w:val="nil"/>
                  </w:tcBorders>
                  <w:shd w:val="clear" w:color="auto" w:fill="auto"/>
                  <w:vAlign w:val="center"/>
                </w:tcPr>
                <w:p w14:paraId="4A2E39BB">
                  <w:pPr>
                    <w:pStyle w:val="120"/>
                  </w:pPr>
                  <w:r>
                    <w:rPr>
                      <w:rFonts w:hint="eastAsia"/>
                    </w:rPr>
                    <w:t>台</w:t>
                  </w:r>
                </w:p>
              </w:tc>
              <w:tc>
                <w:tcPr>
                  <w:tcW w:w="2010" w:type="dxa"/>
                  <w:tcBorders>
                    <w:tl2br w:val="nil"/>
                    <w:tr2bl w:val="nil"/>
                  </w:tcBorders>
                  <w:shd w:val="clear" w:color="auto" w:fill="auto"/>
                  <w:vAlign w:val="center"/>
                </w:tcPr>
                <w:p w14:paraId="13BE46D0">
                  <w:pPr>
                    <w:pStyle w:val="120"/>
                  </w:pPr>
                  <w:r>
                    <w:rPr>
                      <w:rFonts w:hint="eastAsia"/>
                    </w:rPr>
                    <w:t>振动成型</w:t>
                  </w:r>
                </w:p>
              </w:tc>
            </w:tr>
            <w:tr w14:paraId="421161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4" w:type="dxa"/>
                  <w:tcBorders>
                    <w:tl2br w:val="nil"/>
                    <w:tr2bl w:val="nil"/>
                  </w:tcBorders>
                  <w:shd w:val="clear" w:color="auto" w:fill="auto"/>
                  <w:vAlign w:val="center"/>
                </w:tcPr>
                <w:p w14:paraId="05A5B529">
                  <w:pPr>
                    <w:pStyle w:val="120"/>
                  </w:pPr>
                  <w:r>
                    <w:rPr>
                      <w:rFonts w:hint="eastAsia"/>
                    </w:rPr>
                    <w:t>5</w:t>
                  </w:r>
                </w:p>
              </w:tc>
              <w:tc>
                <w:tcPr>
                  <w:tcW w:w="1487" w:type="dxa"/>
                  <w:tcBorders>
                    <w:tl2br w:val="nil"/>
                    <w:tr2bl w:val="nil"/>
                  </w:tcBorders>
                  <w:shd w:val="clear" w:color="auto" w:fill="auto"/>
                  <w:vAlign w:val="center"/>
                </w:tcPr>
                <w:p w14:paraId="72709D20">
                  <w:pPr>
                    <w:pStyle w:val="120"/>
                  </w:pPr>
                  <w:r>
                    <w:rPr>
                      <w:rFonts w:hint="eastAsia"/>
                    </w:rPr>
                    <w:t>升芯振动机</w:t>
                  </w:r>
                </w:p>
              </w:tc>
              <w:tc>
                <w:tcPr>
                  <w:tcW w:w="1564" w:type="dxa"/>
                  <w:tcBorders>
                    <w:tl2br w:val="nil"/>
                    <w:tr2bl w:val="nil"/>
                  </w:tcBorders>
                  <w:shd w:val="clear" w:color="auto" w:fill="auto"/>
                  <w:vAlign w:val="center"/>
                </w:tcPr>
                <w:p w14:paraId="28B603E5">
                  <w:pPr>
                    <w:pStyle w:val="120"/>
                  </w:pPr>
                  <w:r>
                    <w:rPr>
                      <w:rFonts w:hint="eastAsia"/>
                    </w:rPr>
                    <w:t>360t</w:t>
                  </w:r>
                </w:p>
              </w:tc>
              <w:tc>
                <w:tcPr>
                  <w:tcW w:w="1059" w:type="dxa"/>
                  <w:tcBorders>
                    <w:tl2br w:val="nil"/>
                    <w:tr2bl w:val="nil"/>
                  </w:tcBorders>
                  <w:shd w:val="clear" w:color="auto" w:fill="auto"/>
                  <w:vAlign w:val="center"/>
                </w:tcPr>
                <w:p w14:paraId="3FB71747">
                  <w:pPr>
                    <w:pStyle w:val="120"/>
                  </w:pPr>
                  <w:r>
                    <w:rPr>
                      <w:rFonts w:hint="eastAsia"/>
                    </w:rPr>
                    <w:t>2</w:t>
                  </w:r>
                </w:p>
              </w:tc>
              <w:tc>
                <w:tcPr>
                  <w:tcW w:w="1356" w:type="dxa"/>
                  <w:tcBorders>
                    <w:tl2br w:val="nil"/>
                    <w:tr2bl w:val="nil"/>
                  </w:tcBorders>
                  <w:shd w:val="clear" w:color="auto" w:fill="auto"/>
                  <w:vAlign w:val="center"/>
                </w:tcPr>
                <w:p w14:paraId="6DAC9B24">
                  <w:pPr>
                    <w:pStyle w:val="120"/>
                  </w:pPr>
                  <w:r>
                    <w:rPr>
                      <w:rFonts w:hint="eastAsia"/>
                    </w:rPr>
                    <w:t>台</w:t>
                  </w:r>
                </w:p>
              </w:tc>
              <w:tc>
                <w:tcPr>
                  <w:tcW w:w="2010" w:type="dxa"/>
                  <w:tcBorders>
                    <w:tl2br w:val="nil"/>
                    <w:tr2bl w:val="nil"/>
                  </w:tcBorders>
                  <w:shd w:val="clear" w:color="auto" w:fill="auto"/>
                  <w:vAlign w:val="center"/>
                </w:tcPr>
                <w:p w14:paraId="3BF215E6">
                  <w:pPr>
                    <w:pStyle w:val="120"/>
                  </w:pPr>
                  <w:r>
                    <w:rPr>
                      <w:rFonts w:hint="eastAsia"/>
                    </w:rPr>
                    <w:t>振动成型</w:t>
                  </w:r>
                </w:p>
              </w:tc>
            </w:tr>
            <w:tr w14:paraId="77CEB0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4" w:type="dxa"/>
                  <w:tcBorders>
                    <w:tl2br w:val="nil"/>
                    <w:tr2bl w:val="nil"/>
                  </w:tcBorders>
                  <w:shd w:val="clear" w:color="auto" w:fill="auto"/>
                  <w:vAlign w:val="center"/>
                </w:tcPr>
                <w:p w14:paraId="6C03A35F">
                  <w:pPr>
                    <w:pStyle w:val="120"/>
                  </w:pPr>
                  <w:r>
                    <w:rPr>
                      <w:rFonts w:hint="eastAsia"/>
                    </w:rPr>
                    <w:t>6</w:t>
                  </w:r>
                </w:p>
              </w:tc>
              <w:tc>
                <w:tcPr>
                  <w:tcW w:w="1487" w:type="dxa"/>
                  <w:tcBorders>
                    <w:tl2br w:val="nil"/>
                    <w:tr2bl w:val="nil"/>
                  </w:tcBorders>
                  <w:shd w:val="clear" w:color="auto" w:fill="auto"/>
                  <w:vAlign w:val="center"/>
                </w:tcPr>
                <w:p w14:paraId="40F17A4A">
                  <w:pPr>
                    <w:pStyle w:val="120"/>
                  </w:pPr>
                  <w:r>
                    <w:rPr>
                      <w:rFonts w:hint="eastAsia"/>
                    </w:rPr>
                    <w:t>立式振捣机</w:t>
                  </w:r>
                </w:p>
              </w:tc>
              <w:tc>
                <w:tcPr>
                  <w:tcW w:w="1564" w:type="dxa"/>
                  <w:tcBorders>
                    <w:tl2br w:val="nil"/>
                    <w:tr2bl w:val="nil"/>
                  </w:tcBorders>
                  <w:shd w:val="clear" w:color="auto" w:fill="auto"/>
                  <w:vAlign w:val="center"/>
                </w:tcPr>
                <w:p w14:paraId="7FD65048">
                  <w:pPr>
                    <w:pStyle w:val="120"/>
                  </w:pPr>
                  <w:r>
                    <w:rPr>
                      <w:rFonts w:hint="eastAsia"/>
                    </w:rPr>
                    <w:t>/</w:t>
                  </w:r>
                </w:p>
              </w:tc>
              <w:tc>
                <w:tcPr>
                  <w:tcW w:w="1059" w:type="dxa"/>
                  <w:tcBorders>
                    <w:tl2br w:val="nil"/>
                    <w:tr2bl w:val="nil"/>
                  </w:tcBorders>
                  <w:shd w:val="clear" w:color="auto" w:fill="auto"/>
                  <w:vAlign w:val="center"/>
                </w:tcPr>
                <w:p w14:paraId="186B9ED8">
                  <w:pPr>
                    <w:pStyle w:val="120"/>
                  </w:pPr>
                  <w:r>
                    <w:rPr>
                      <w:rFonts w:hint="eastAsia"/>
                    </w:rPr>
                    <w:t>1</w:t>
                  </w:r>
                </w:p>
              </w:tc>
              <w:tc>
                <w:tcPr>
                  <w:tcW w:w="1356" w:type="dxa"/>
                  <w:tcBorders>
                    <w:tl2br w:val="nil"/>
                    <w:tr2bl w:val="nil"/>
                  </w:tcBorders>
                  <w:shd w:val="clear" w:color="auto" w:fill="auto"/>
                  <w:vAlign w:val="center"/>
                </w:tcPr>
                <w:p w14:paraId="7A271B12">
                  <w:pPr>
                    <w:pStyle w:val="120"/>
                  </w:pPr>
                  <w:r>
                    <w:rPr>
                      <w:rFonts w:hint="eastAsia"/>
                    </w:rPr>
                    <w:t>台</w:t>
                  </w:r>
                </w:p>
              </w:tc>
              <w:tc>
                <w:tcPr>
                  <w:tcW w:w="2010" w:type="dxa"/>
                  <w:tcBorders>
                    <w:tl2br w:val="nil"/>
                    <w:tr2bl w:val="nil"/>
                  </w:tcBorders>
                  <w:shd w:val="clear" w:color="auto" w:fill="auto"/>
                  <w:vAlign w:val="center"/>
                </w:tcPr>
                <w:p w14:paraId="2BC733F9">
                  <w:pPr>
                    <w:pStyle w:val="120"/>
                  </w:pPr>
                  <w:r>
                    <w:rPr>
                      <w:rFonts w:hint="eastAsia"/>
                    </w:rPr>
                    <w:t>振捣成型</w:t>
                  </w:r>
                </w:p>
              </w:tc>
            </w:tr>
            <w:tr w14:paraId="4E5856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4" w:type="dxa"/>
                  <w:tcBorders>
                    <w:tl2br w:val="nil"/>
                    <w:tr2bl w:val="nil"/>
                  </w:tcBorders>
                  <w:shd w:val="clear" w:color="auto" w:fill="auto"/>
                  <w:vAlign w:val="center"/>
                </w:tcPr>
                <w:p w14:paraId="3DD92A18">
                  <w:pPr>
                    <w:pStyle w:val="120"/>
                  </w:pPr>
                  <w:r>
                    <w:rPr>
                      <w:rFonts w:hint="eastAsia"/>
                    </w:rPr>
                    <w:t>7</w:t>
                  </w:r>
                </w:p>
              </w:tc>
              <w:tc>
                <w:tcPr>
                  <w:tcW w:w="1487" w:type="dxa"/>
                  <w:tcBorders>
                    <w:tl2br w:val="nil"/>
                    <w:tr2bl w:val="nil"/>
                  </w:tcBorders>
                  <w:shd w:val="clear" w:color="auto" w:fill="auto"/>
                  <w:vAlign w:val="center"/>
                </w:tcPr>
                <w:p w14:paraId="49A7B4E8">
                  <w:pPr>
                    <w:pStyle w:val="120"/>
                  </w:pPr>
                  <w:r>
                    <w:rPr>
                      <w:rFonts w:hint="eastAsia"/>
                    </w:rPr>
                    <w:t>滚焊机</w:t>
                  </w:r>
                </w:p>
              </w:tc>
              <w:tc>
                <w:tcPr>
                  <w:tcW w:w="1564" w:type="dxa"/>
                  <w:tcBorders>
                    <w:tl2br w:val="nil"/>
                    <w:tr2bl w:val="nil"/>
                  </w:tcBorders>
                  <w:shd w:val="clear" w:color="auto" w:fill="auto"/>
                  <w:vAlign w:val="center"/>
                </w:tcPr>
                <w:p w14:paraId="3089ABEB">
                  <w:pPr>
                    <w:pStyle w:val="120"/>
                  </w:pPr>
                  <w:r>
                    <w:rPr>
                      <w:rFonts w:hint="eastAsia"/>
                    </w:rPr>
                    <w:t>/</w:t>
                  </w:r>
                </w:p>
              </w:tc>
              <w:tc>
                <w:tcPr>
                  <w:tcW w:w="1059" w:type="dxa"/>
                  <w:tcBorders>
                    <w:tl2br w:val="nil"/>
                    <w:tr2bl w:val="nil"/>
                  </w:tcBorders>
                  <w:shd w:val="clear" w:color="auto" w:fill="auto"/>
                  <w:vAlign w:val="center"/>
                </w:tcPr>
                <w:p w14:paraId="1F24D9B1">
                  <w:pPr>
                    <w:pStyle w:val="120"/>
                  </w:pPr>
                  <w:r>
                    <w:rPr>
                      <w:rFonts w:hint="eastAsia"/>
                    </w:rPr>
                    <w:t>1</w:t>
                  </w:r>
                </w:p>
              </w:tc>
              <w:tc>
                <w:tcPr>
                  <w:tcW w:w="1356" w:type="dxa"/>
                  <w:tcBorders>
                    <w:tl2br w:val="nil"/>
                    <w:tr2bl w:val="nil"/>
                  </w:tcBorders>
                  <w:shd w:val="clear" w:color="auto" w:fill="auto"/>
                  <w:vAlign w:val="center"/>
                </w:tcPr>
                <w:p w14:paraId="3AF9F116">
                  <w:pPr>
                    <w:pStyle w:val="120"/>
                  </w:pPr>
                  <w:r>
                    <w:rPr>
                      <w:rFonts w:hint="eastAsia"/>
                    </w:rPr>
                    <w:t>台</w:t>
                  </w:r>
                </w:p>
              </w:tc>
              <w:tc>
                <w:tcPr>
                  <w:tcW w:w="2010" w:type="dxa"/>
                  <w:tcBorders>
                    <w:tl2br w:val="nil"/>
                    <w:tr2bl w:val="nil"/>
                  </w:tcBorders>
                  <w:shd w:val="clear" w:color="auto" w:fill="auto"/>
                  <w:vAlign w:val="center"/>
                </w:tcPr>
                <w:p w14:paraId="52CF9CD8">
                  <w:pPr>
                    <w:pStyle w:val="120"/>
                  </w:pPr>
                  <w:r>
                    <w:rPr>
                      <w:rFonts w:hint="eastAsia"/>
                    </w:rPr>
                    <w:t>滚焊</w:t>
                  </w:r>
                </w:p>
              </w:tc>
            </w:tr>
            <w:tr w14:paraId="06A6E0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4" w:type="dxa"/>
                  <w:tcBorders>
                    <w:tl2br w:val="nil"/>
                    <w:tr2bl w:val="nil"/>
                  </w:tcBorders>
                  <w:shd w:val="clear" w:color="auto" w:fill="auto"/>
                  <w:vAlign w:val="center"/>
                </w:tcPr>
                <w:p w14:paraId="06CC8BF1">
                  <w:pPr>
                    <w:pStyle w:val="120"/>
                  </w:pPr>
                  <w:r>
                    <w:rPr>
                      <w:rFonts w:hint="eastAsia"/>
                    </w:rPr>
                    <w:t>8</w:t>
                  </w:r>
                </w:p>
              </w:tc>
              <w:tc>
                <w:tcPr>
                  <w:tcW w:w="1487" w:type="dxa"/>
                  <w:tcBorders>
                    <w:tl2br w:val="nil"/>
                    <w:tr2bl w:val="nil"/>
                  </w:tcBorders>
                  <w:shd w:val="clear" w:color="auto" w:fill="auto"/>
                  <w:vAlign w:val="center"/>
                </w:tcPr>
                <w:p w14:paraId="6144FDD6">
                  <w:pPr>
                    <w:pStyle w:val="120"/>
                  </w:pPr>
                  <w:r>
                    <w:rPr>
                      <w:rFonts w:hint="eastAsia"/>
                    </w:rPr>
                    <w:t>点焊机</w:t>
                  </w:r>
                </w:p>
              </w:tc>
              <w:tc>
                <w:tcPr>
                  <w:tcW w:w="1564" w:type="dxa"/>
                  <w:tcBorders>
                    <w:tl2br w:val="nil"/>
                    <w:tr2bl w:val="nil"/>
                  </w:tcBorders>
                  <w:shd w:val="clear" w:color="auto" w:fill="auto"/>
                  <w:vAlign w:val="center"/>
                </w:tcPr>
                <w:p w14:paraId="2E965F93">
                  <w:pPr>
                    <w:pStyle w:val="120"/>
                  </w:pPr>
                  <w:r>
                    <w:rPr>
                      <w:rFonts w:hint="eastAsia"/>
                    </w:rPr>
                    <w:t>/</w:t>
                  </w:r>
                </w:p>
              </w:tc>
              <w:tc>
                <w:tcPr>
                  <w:tcW w:w="1059" w:type="dxa"/>
                  <w:tcBorders>
                    <w:tl2br w:val="nil"/>
                    <w:tr2bl w:val="nil"/>
                  </w:tcBorders>
                  <w:shd w:val="clear" w:color="auto" w:fill="auto"/>
                  <w:vAlign w:val="center"/>
                </w:tcPr>
                <w:p w14:paraId="3E5545A3">
                  <w:pPr>
                    <w:pStyle w:val="120"/>
                  </w:pPr>
                  <w:r>
                    <w:rPr>
                      <w:rFonts w:hint="eastAsia"/>
                    </w:rPr>
                    <w:t>1</w:t>
                  </w:r>
                </w:p>
              </w:tc>
              <w:tc>
                <w:tcPr>
                  <w:tcW w:w="1356" w:type="dxa"/>
                  <w:tcBorders>
                    <w:tl2br w:val="nil"/>
                    <w:tr2bl w:val="nil"/>
                  </w:tcBorders>
                  <w:shd w:val="clear" w:color="auto" w:fill="auto"/>
                  <w:vAlign w:val="center"/>
                </w:tcPr>
                <w:p w14:paraId="18DC780F">
                  <w:pPr>
                    <w:pStyle w:val="120"/>
                  </w:pPr>
                  <w:r>
                    <w:rPr>
                      <w:rFonts w:hint="eastAsia"/>
                    </w:rPr>
                    <w:t>台</w:t>
                  </w:r>
                </w:p>
              </w:tc>
              <w:tc>
                <w:tcPr>
                  <w:tcW w:w="2010" w:type="dxa"/>
                  <w:tcBorders>
                    <w:tl2br w:val="nil"/>
                    <w:tr2bl w:val="nil"/>
                  </w:tcBorders>
                  <w:shd w:val="clear" w:color="auto" w:fill="auto"/>
                  <w:vAlign w:val="center"/>
                </w:tcPr>
                <w:p w14:paraId="6045F98C">
                  <w:pPr>
                    <w:pStyle w:val="120"/>
                  </w:pPr>
                  <w:r>
                    <w:rPr>
                      <w:rFonts w:hint="eastAsia"/>
                    </w:rPr>
                    <w:t>点焊</w:t>
                  </w:r>
                </w:p>
              </w:tc>
            </w:tr>
            <w:tr w14:paraId="353CDE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4" w:type="dxa"/>
                  <w:tcBorders>
                    <w:tl2br w:val="nil"/>
                    <w:tr2bl w:val="nil"/>
                  </w:tcBorders>
                  <w:shd w:val="clear" w:color="auto" w:fill="auto"/>
                  <w:vAlign w:val="center"/>
                </w:tcPr>
                <w:p w14:paraId="75960E7B">
                  <w:pPr>
                    <w:pStyle w:val="120"/>
                  </w:pPr>
                  <w:r>
                    <w:rPr>
                      <w:rFonts w:hint="eastAsia"/>
                    </w:rPr>
                    <w:t>9</w:t>
                  </w:r>
                </w:p>
              </w:tc>
              <w:tc>
                <w:tcPr>
                  <w:tcW w:w="1487" w:type="dxa"/>
                  <w:tcBorders>
                    <w:tl2br w:val="nil"/>
                    <w:tr2bl w:val="nil"/>
                  </w:tcBorders>
                  <w:shd w:val="clear" w:color="auto" w:fill="auto"/>
                  <w:vAlign w:val="center"/>
                </w:tcPr>
                <w:p w14:paraId="0AB5E2A0">
                  <w:pPr>
                    <w:pStyle w:val="120"/>
                  </w:pPr>
                  <w:r>
                    <w:rPr>
                      <w:rFonts w:hint="eastAsia"/>
                    </w:rPr>
                    <w:t>拉丝机</w:t>
                  </w:r>
                </w:p>
              </w:tc>
              <w:tc>
                <w:tcPr>
                  <w:tcW w:w="1564" w:type="dxa"/>
                  <w:tcBorders>
                    <w:tl2br w:val="nil"/>
                    <w:tr2bl w:val="nil"/>
                  </w:tcBorders>
                  <w:shd w:val="clear" w:color="auto" w:fill="auto"/>
                  <w:vAlign w:val="center"/>
                </w:tcPr>
                <w:p w14:paraId="140E3B7D">
                  <w:pPr>
                    <w:jc w:val="center"/>
                  </w:pPr>
                  <w:r>
                    <w:rPr>
                      <w:rFonts w:hint="eastAsia"/>
                    </w:rPr>
                    <w:t>/</w:t>
                  </w:r>
                </w:p>
              </w:tc>
              <w:tc>
                <w:tcPr>
                  <w:tcW w:w="1059" w:type="dxa"/>
                  <w:tcBorders>
                    <w:tl2br w:val="nil"/>
                    <w:tr2bl w:val="nil"/>
                  </w:tcBorders>
                  <w:shd w:val="clear" w:color="auto" w:fill="auto"/>
                  <w:vAlign w:val="center"/>
                </w:tcPr>
                <w:p w14:paraId="34444867">
                  <w:pPr>
                    <w:pStyle w:val="120"/>
                  </w:pPr>
                  <w:r>
                    <w:rPr>
                      <w:rFonts w:hint="eastAsia"/>
                    </w:rPr>
                    <w:t>1</w:t>
                  </w:r>
                </w:p>
              </w:tc>
              <w:tc>
                <w:tcPr>
                  <w:tcW w:w="1356" w:type="dxa"/>
                  <w:tcBorders>
                    <w:tl2br w:val="nil"/>
                    <w:tr2bl w:val="nil"/>
                  </w:tcBorders>
                  <w:shd w:val="clear" w:color="auto" w:fill="auto"/>
                  <w:vAlign w:val="center"/>
                </w:tcPr>
                <w:p w14:paraId="635F36FC">
                  <w:pPr>
                    <w:pStyle w:val="120"/>
                  </w:pPr>
                  <w:r>
                    <w:rPr>
                      <w:rFonts w:hint="eastAsia"/>
                    </w:rPr>
                    <w:t>台</w:t>
                  </w:r>
                </w:p>
              </w:tc>
              <w:tc>
                <w:tcPr>
                  <w:tcW w:w="2010" w:type="dxa"/>
                  <w:tcBorders>
                    <w:tl2br w:val="nil"/>
                    <w:tr2bl w:val="nil"/>
                  </w:tcBorders>
                  <w:shd w:val="clear" w:color="auto" w:fill="auto"/>
                  <w:vAlign w:val="center"/>
                </w:tcPr>
                <w:p w14:paraId="05122EF4">
                  <w:pPr>
                    <w:pStyle w:val="120"/>
                  </w:pPr>
                  <w:r>
                    <w:rPr>
                      <w:rFonts w:hint="eastAsia"/>
                    </w:rPr>
                    <w:t>拉丝</w:t>
                  </w:r>
                </w:p>
              </w:tc>
            </w:tr>
            <w:tr w14:paraId="79FFA8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4" w:type="dxa"/>
                  <w:tcBorders>
                    <w:tl2br w:val="nil"/>
                    <w:tr2bl w:val="nil"/>
                  </w:tcBorders>
                  <w:shd w:val="clear" w:color="auto" w:fill="auto"/>
                  <w:vAlign w:val="center"/>
                </w:tcPr>
                <w:p w14:paraId="0CC57CD1">
                  <w:pPr>
                    <w:pStyle w:val="120"/>
                  </w:pPr>
                  <w:r>
                    <w:rPr>
                      <w:rFonts w:hint="eastAsia"/>
                    </w:rPr>
                    <w:t>10</w:t>
                  </w:r>
                </w:p>
              </w:tc>
              <w:tc>
                <w:tcPr>
                  <w:tcW w:w="1487" w:type="dxa"/>
                  <w:tcBorders>
                    <w:tl2br w:val="nil"/>
                    <w:tr2bl w:val="nil"/>
                  </w:tcBorders>
                  <w:shd w:val="clear" w:color="auto" w:fill="auto"/>
                  <w:vAlign w:val="center"/>
                </w:tcPr>
                <w:p w14:paraId="3A90ACE2">
                  <w:pPr>
                    <w:pStyle w:val="120"/>
                  </w:pPr>
                  <w:r>
                    <w:rPr>
                      <w:rFonts w:hint="eastAsia"/>
                    </w:rPr>
                    <w:t>圈板机</w:t>
                  </w:r>
                </w:p>
              </w:tc>
              <w:tc>
                <w:tcPr>
                  <w:tcW w:w="1564" w:type="dxa"/>
                  <w:tcBorders>
                    <w:tl2br w:val="nil"/>
                    <w:tr2bl w:val="nil"/>
                  </w:tcBorders>
                  <w:shd w:val="clear" w:color="auto" w:fill="auto"/>
                  <w:vAlign w:val="center"/>
                </w:tcPr>
                <w:p w14:paraId="5EF32891">
                  <w:pPr>
                    <w:jc w:val="center"/>
                  </w:pPr>
                  <w:r>
                    <w:rPr>
                      <w:rFonts w:hint="eastAsia"/>
                    </w:rPr>
                    <w:t>/</w:t>
                  </w:r>
                </w:p>
              </w:tc>
              <w:tc>
                <w:tcPr>
                  <w:tcW w:w="1059" w:type="dxa"/>
                  <w:tcBorders>
                    <w:tl2br w:val="nil"/>
                    <w:tr2bl w:val="nil"/>
                  </w:tcBorders>
                  <w:shd w:val="clear" w:color="auto" w:fill="auto"/>
                  <w:vAlign w:val="center"/>
                </w:tcPr>
                <w:p w14:paraId="648A8382">
                  <w:pPr>
                    <w:pStyle w:val="120"/>
                  </w:pPr>
                  <w:r>
                    <w:rPr>
                      <w:rFonts w:hint="eastAsia"/>
                    </w:rPr>
                    <w:t>1</w:t>
                  </w:r>
                </w:p>
              </w:tc>
              <w:tc>
                <w:tcPr>
                  <w:tcW w:w="1356" w:type="dxa"/>
                  <w:tcBorders>
                    <w:tl2br w:val="nil"/>
                    <w:tr2bl w:val="nil"/>
                  </w:tcBorders>
                  <w:shd w:val="clear" w:color="auto" w:fill="auto"/>
                  <w:vAlign w:val="center"/>
                </w:tcPr>
                <w:p w14:paraId="43C9B044">
                  <w:pPr>
                    <w:pStyle w:val="120"/>
                  </w:pPr>
                  <w:r>
                    <w:rPr>
                      <w:rFonts w:hint="eastAsia"/>
                    </w:rPr>
                    <w:t>台</w:t>
                  </w:r>
                </w:p>
              </w:tc>
              <w:tc>
                <w:tcPr>
                  <w:tcW w:w="2010" w:type="dxa"/>
                  <w:tcBorders>
                    <w:tl2br w:val="nil"/>
                    <w:tr2bl w:val="nil"/>
                  </w:tcBorders>
                  <w:shd w:val="clear" w:color="auto" w:fill="auto"/>
                  <w:vAlign w:val="center"/>
                </w:tcPr>
                <w:p w14:paraId="7DC28CCD">
                  <w:pPr>
                    <w:pStyle w:val="120"/>
                  </w:pPr>
                  <w:r>
                    <w:rPr>
                      <w:rFonts w:hint="eastAsia"/>
                    </w:rPr>
                    <w:t>圈板</w:t>
                  </w:r>
                </w:p>
              </w:tc>
            </w:tr>
            <w:tr w14:paraId="026E5D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4" w:type="dxa"/>
                  <w:tcBorders>
                    <w:tl2br w:val="nil"/>
                    <w:tr2bl w:val="nil"/>
                  </w:tcBorders>
                  <w:shd w:val="clear" w:color="auto" w:fill="auto"/>
                  <w:vAlign w:val="center"/>
                </w:tcPr>
                <w:p w14:paraId="1341FD59">
                  <w:pPr>
                    <w:pStyle w:val="120"/>
                  </w:pPr>
                  <w:r>
                    <w:rPr>
                      <w:rFonts w:hint="eastAsia"/>
                    </w:rPr>
                    <w:t>11</w:t>
                  </w:r>
                </w:p>
              </w:tc>
              <w:tc>
                <w:tcPr>
                  <w:tcW w:w="1487" w:type="dxa"/>
                  <w:tcBorders>
                    <w:tl2br w:val="nil"/>
                    <w:tr2bl w:val="nil"/>
                  </w:tcBorders>
                  <w:shd w:val="clear" w:color="auto" w:fill="auto"/>
                  <w:vAlign w:val="center"/>
                </w:tcPr>
                <w:p w14:paraId="48E8C2CF">
                  <w:pPr>
                    <w:pStyle w:val="120"/>
                  </w:pPr>
                  <w:r>
                    <w:rPr>
                      <w:rFonts w:hint="eastAsia"/>
                    </w:rPr>
                    <w:t>行吊</w:t>
                  </w:r>
                </w:p>
              </w:tc>
              <w:tc>
                <w:tcPr>
                  <w:tcW w:w="1564" w:type="dxa"/>
                  <w:tcBorders>
                    <w:tl2br w:val="nil"/>
                    <w:tr2bl w:val="nil"/>
                  </w:tcBorders>
                  <w:shd w:val="clear" w:color="auto" w:fill="auto"/>
                  <w:vAlign w:val="center"/>
                </w:tcPr>
                <w:p w14:paraId="5BC2B333">
                  <w:pPr>
                    <w:jc w:val="center"/>
                  </w:pPr>
                  <w:r>
                    <w:rPr>
                      <w:rFonts w:hint="eastAsia"/>
                    </w:rPr>
                    <w:t>/</w:t>
                  </w:r>
                </w:p>
              </w:tc>
              <w:tc>
                <w:tcPr>
                  <w:tcW w:w="1059" w:type="dxa"/>
                  <w:tcBorders>
                    <w:tl2br w:val="nil"/>
                    <w:tr2bl w:val="nil"/>
                  </w:tcBorders>
                  <w:shd w:val="clear" w:color="auto" w:fill="auto"/>
                  <w:vAlign w:val="center"/>
                </w:tcPr>
                <w:p w14:paraId="0CB7887B">
                  <w:pPr>
                    <w:pStyle w:val="120"/>
                  </w:pPr>
                  <w:r>
                    <w:rPr>
                      <w:rFonts w:hint="eastAsia"/>
                    </w:rPr>
                    <w:t>1</w:t>
                  </w:r>
                </w:p>
              </w:tc>
              <w:tc>
                <w:tcPr>
                  <w:tcW w:w="1356" w:type="dxa"/>
                  <w:tcBorders>
                    <w:tl2br w:val="nil"/>
                    <w:tr2bl w:val="nil"/>
                  </w:tcBorders>
                  <w:shd w:val="clear" w:color="auto" w:fill="auto"/>
                  <w:vAlign w:val="center"/>
                </w:tcPr>
                <w:p w14:paraId="23FA2E68">
                  <w:pPr>
                    <w:pStyle w:val="120"/>
                  </w:pPr>
                  <w:r>
                    <w:rPr>
                      <w:rFonts w:hint="eastAsia"/>
                    </w:rPr>
                    <w:t>台</w:t>
                  </w:r>
                </w:p>
              </w:tc>
              <w:tc>
                <w:tcPr>
                  <w:tcW w:w="2010" w:type="dxa"/>
                  <w:tcBorders>
                    <w:tl2br w:val="nil"/>
                    <w:tr2bl w:val="nil"/>
                  </w:tcBorders>
                  <w:shd w:val="clear" w:color="auto" w:fill="auto"/>
                  <w:vAlign w:val="center"/>
                </w:tcPr>
                <w:p w14:paraId="4F608D85">
                  <w:pPr>
                    <w:pStyle w:val="120"/>
                  </w:pPr>
                  <w:r>
                    <w:rPr>
                      <w:rFonts w:hint="eastAsia"/>
                    </w:rPr>
                    <w:t>吊装</w:t>
                  </w:r>
                </w:p>
              </w:tc>
            </w:tr>
            <w:tr w14:paraId="2AB8BA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4" w:type="dxa"/>
                  <w:tcBorders>
                    <w:tl2br w:val="nil"/>
                    <w:tr2bl w:val="nil"/>
                  </w:tcBorders>
                  <w:shd w:val="clear" w:color="auto" w:fill="auto"/>
                  <w:vAlign w:val="center"/>
                </w:tcPr>
                <w:p w14:paraId="1C8EBC8B">
                  <w:pPr>
                    <w:pStyle w:val="120"/>
                  </w:pPr>
                  <w:r>
                    <w:rPr>
                      <w:rFonts w:hint="eastAsia"/>
                    </w:rPr>
                    <w:t>12</w:t>
                  </w:r>
                </w:p>
              </w:tc>
              <w:tc>
                <w:tcPr>
                  <w:tcW w:w="1487" w:type="dxa"/>
                  <w:tcBorders>
                    <w:tl2br w:val="nil"/>
                    <w:tr2bl w:val="nil"/>
                  </w:tcBorders>
                  <w:shd w:val="clear" w:color="auto" w:fill="auto"/>
                  <w:vAlign w:val="center"/>
                </w:tcPr>
                <w:p w14:paraId="5A75B69B">
                  <w:pPr>
                    <w:pStyle w:val="120"/>
                  </w:pPr>
                  <w:r>
                    <w:rPr>
                      <w:rFonts w:hint="eastAsia"/>
                    </w:rPr>
                    <w:t>铲车</w:t>
                  </w:r>
                </w:p>
              </w:tc>
              <w:tc>
                <w:tcPr>
                  <w:tcW w:w="1564" w:type="dxa"/>
                  <w:tcBorders>
                    <w:tl2br w:val="nil"/>
                    <w:tr2bl w:val="nil"/>
                  </w:tcBorders>
                  <w:shd w:val="clear" w:color="auto" w:fill="auto"/>
                  <w:vAlign w:val="center"/>
                </w:tcPr>
                <w:p w14:paraId="139EDA2F">
                  <w:pPr>
                    <w:jc w:val="center"/>
                  </w:pPr>
                  <w:r>
                    <w:rPr>
                      <w:rFonts w:hint="eastAsia"/>
                    </w:rPr>
                    <w:t>/</w:t>
                  </w:r>
                </w:p>
              </w:tc>
              <w:tc>
                <w:tcPr>
                  <w:tcW w:w="1059" w:type="dxa"/>
                  <w:tcBorders>
                    <w:tl2br w:val="nil"/>
                    <w:tr2bl w:val="nil"/>
                  </w:tcBorders>
                  <w:shd w:val="clear" w:color="auto" w:fill="auto"/>
                  <w:vAlign w:val="center"/>
                </w:tcPr>
                <w:p w14:paraId="07D9D4A2">
                  <w:pPr>
                    <w:jc w:val="center"/>
                  </w:pPr>
                  <w:r>
                    <w:rPr>
                      <w:rFonts w:hint="eastAsia"/>
                    </w:rPr>
                    <w:t>1</w:t>
                  </w:r>
                </w:p>
              </w:tc>
              <w:tc>
                <w:tcPr>
                  <w:tcW w:w="1356" w:type="dxa"/>
                  <w:tcBorders>
                    <w:tl2br w:val="nil"/>
                    <w:tr2bl w:val="nil"/>
                  </w:tcBorders>
                  <w:shd w:val="clear" w:color="auto" w:fill="auto"/>
                  <w:vAlign w:val="center"/>
                </w:tcPr>
                <w:p w14:paraId="009E4492">
                  <w:pPr>
                    <w:pStyle w:val="120"/>
                  </w:pPr>
                  <w:r>
                    <w:rPr>
                      <w:rFonts w:hint="eastAsia"/>
                    </w:rPr>
                    <w:t>台</w:t>
                  </w:r>
                </w:p>
              </w:tc>
              <w:tc>
                <w:tcPr>
                  <w:tcW w:w="2010" w:type="dxa"/>
                  <w:tcBorders>
                    <w:tl2br w:val="nil"/>
                    <w:tr2bl w:val="nil"/>
                  </w:tcBorders>
                  <w:shd w:val="clear" w:color="auto" w:fill="auto"/>
                  <w:vAlign w:val="center"/>
                </w:tcPr>
                <w:p w14:paraId="45A678D5">
                  <w:pPr>
                    <w:pStyle w:val="120"/>
                  </w:pPr>
                  <w:r>
                    <w:rPr>
                      <w:rFonts w:hint="eastAsia"/>
                    </w:rPr>
                    <w:t>原料下料</w:t>
                  </w:r>
                </w:p>
              </w:tc>
            </w:tr>
            <w:tr w14:paraId="59349A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4" w:type="dxa"/>
                  <w:tcBorders>
                    <w:tl2br w:val="nil"/>
                    <w:tr2bl w:val="nil"/>
                  </w:tcBorders>
                  <w:shd w:val="clear" w:color="auto" w:fill="auto"/>
                  <w:vAlign w:val="center"/>
                </w:tcPr>
                <w:p w14:paraId="2653D03D">
                  <w:pPr>
                    <w:pStyle w:val="120"/>
                  </w:pPr>
                  <w:r>
                    <w:rPr>
                      <w:rFonts w:hint="eastAsia"/>
                    </w:rPr>
                    <w:t>13</w:t>
                  </w:r>
                </w:p>
              </w:tc>
              <w:tc>
                <w:tcPr>
                  <w:tcW w:w="1487" w:type="dxa"/>
                  <w:tcBorders>
                    <w:tl2br w:val="nil"/>
                    <w:tr2bl w:val="nil"/>
                  </w:tcBorders>
                  <w:shd w:val="clear" w:color="auto" w:fill="auto"/>
                  <w:vAlign w:val="center"/>
                </w:tcPr>
                <w:p w14:paraId="15307C8B">
                  <w:pPr>
                    <w:pStyle w:val="120"/>
                  </w:pPr>
                  <w:r>
                    <w:rPr>
                      <w:rFonts w:hint="eastAsia"/>
                    </w:rPr>
                    <w:t>叉车</w:t>
                  </w:r>
                </w:p>
              </w:tc>
              <w:tc>
                <w:tcPr>
                  <w:tcW w:w="1564" w:type="dxa"/>
                  <w:tcBorders>
                    <w:tl2br w:val="nil"/>
                    <w:tr2bl w:val="nil"/>
                  </w:tcBorders>
                  <w:shd w:val="clear" w:color="auto" w:fill="auto"/>
                  <w:vAlign w:val="center"/>
                </w:tcPr>
                <w:p w14:paraId="3125907E">
                  <w:pPr>
                    <w:jc w:val="center"/>
                  </w:pPr>
                  <w:r>
                    <w:rPr>
                      <w:rFonts w:hint="eastAsia"/>
                    </w:rPr>
                    <w:t>/</w:t>
                  </w:r>
                </w:p>
              </w:tc>
              <w:tc>
                <w:tcPr>
                  <w:tcW w:w="1059" w:type="dxa"/>
                  <w:tcBorders>
                    <w:tl2br w:val="nil"/>
                    <w:tr2bl w:val="nil"/>
                  </w:tcBorders>
                  <w:shd w:val="clear" w:color="auto" w:fill="auto"/>
                  <w:vAlign w:val="center"/>
                </w:tcPr>
                <w:p w14:paraId="26B9834F">
                  <w:pPr>
                    <w:jc w:val="center"/>
                  </w:pPr>
                  <w:r>
                    <w:rPr>
                      <w:rFonts w:hint="eastAsia"/>
                    </w:rPr>
                    <w:t>1</w:t>
                  </w:r>
                </w:p>
              </w:tc>
              <w:tc>
                <w:tcPr>
                  <w:tcW w:w="1356" w:type="dxa"/>
                  <w:tcBorders>
                    <w:tl2br w:val="nil"/>
                    <w:tr2bl w:val="nil"/>
                  </w:tcBorders>
                  <w:shd w:val="clear" w:color="auto" w:fill="auto"/>
                  <w:vAlign w:val="center"/>
                </w:tcPr>
                <w:p w14:paraId="0276AC31">
                  <w:pPr>
                    <w:pStyle w:val="120"/>
                  </w:pPr>
                  <w:r>
                    <w:rPr>
                      <w:rFonts w:hint="eastAsia"/>
                    </w:rPr>
                    <w:t>台</w:t>
                  </w:r>
                </w:p>
              </w:tc>
              <w:tc>
                <w:tcPr>
                  <w:tcW w:w="2010" w:type="dxa"/>
                  <w:tcBorders>
                    <w:tl2br w:val="nil"/>
                    <w:tr2bl w:val="nil"/>
                  </w:tcBorders>
                  <w:shd w:val="clear" w:color="auto" w:fill="auto"/>
                  <w:vAlign w:val="center"/>
                </w:tcPr>
                <w:p w14:paraId="55CC232A">
                  <w:pPr>
                    <w:pStyle w:val="120"/>
                  </w:pPr>
                  <w:r>
                    <w:rPr>
                      <w:rFonts w:hint="eastAsia"/>
                    </w:rPr>
                    <w:t>装卸产品</w:t>
                  </w:r>
                </w:p>
              </w:tc>
            </w:tr>
            <w:tr w14:paraId="54A35B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744" w:type="dxa"/>
                  <w:tcBorders>
                    <w:tl2br w:val="nil"/>
                    <w:tr2bl w:val="nil"/>
                  </w:tcBorders>
                  <w:shd w:val="clear" w:color="auto" w:fill="auto"/>
                  <w:vAlign w:val="center"/>
                </w:tcPr>
                <w:p w14:paraId="3509E423">
                  <w:pPr>
                    <w:pStyle w:val="120"/>
                  </w:pPr>
                  <w:r>
                    <w:rPr>
                      <w:rFonts w:hint="eastAsia"/>
                    </w:rPr>
                    <w:t>14</w:t>
                  </w:r>
                </w:p>
              </w:tc>
              <w:tc>
                <w:tcPr>
                  <w:tcW w:w="1487" w:type="dxa"/>
                  <w:tcBorders>
                    <w:tl2br w:val="nil"/>
                    <w:tr2bl w:val="nil"/>
                  </w:tcBorders>
                  <w:shd w:val="clear" w:color="auto" w:fill="auto"/>
                  <w:vAlign w:val="center"/>
                </w:tcPr>
                <w:p w14:paraId="06E056F1">
                  <w:pPr>
                    <w:pStyle w:val="120"/>
                  </w:pPr>
                  <w:r>
                    <w:rPr>
                      <w:rFonts w:hint="eastAsia"/>
                    </w:rPr>
                    <w:t>产品模具</w:t>
                  </w:r>
                </w:p>
              </w:tc>
              <w:tc>
                <w:tcPr>
                  <w:tcW w:w="1564" w:type="dxa"/>
                  <w:tcBorders>
                    <w:tl2br w:val="nil"/>
                    <w:tr2bl w:val="nil"/>
                  </w:tcBorders>
                  <w:shd w:val="clear" w:color="auto" w:fill="auto"/>
                  <w:vAlign w:val="center"/>
                </w:tcPr>
                <w:p w14:paraId="631DCB0C">
                  <w:pPr>
                    <w:jc w:val="center"/>
                  </w:pPr>
                  <w:r>
                    <w:rPr>
                      <w:rFonts w:hint="eastAsia"/>
                    </w:rPr>
                    <w:t>/</w:t>
                  </w:r>
                </w:p>
              </w:tc>
              <w:tc>
                <w:tcPr>
                  <w:tcW w:w="1059" w:type="dxa"/>
                  <w:tcBorders>
                    <w:tl2br w:val="nil"/>
                    <w:tr2bl w:val="nil"/>
                  </w:tcBorders>
                  <w:shd w:val="clear" w:color="auto" w:fill="auto"/>
                  <w:vAlign w:val="center"/>
                </w:tcPr>
                <w:p w14:paraId="2F26C0E5">
                  <w:pPr>
                    <w:pStyle w:val="120"/>
                  </w:pPr>
                  <w:r>
                    <w:rPr>
                      <w:rFonts w:hint="eastAsia"/>
                    </w:rPr>
                    <w:t>200</w:t>
                  </w:r>
                </w:p>
              </w:tc>
              <w:tc>
                <w:tcPr>
                  <w:tcW w:w="1356" w:type="dxa"/>
                  <w:tcBorders>
                    <w:tl2br w:val="nil"/>
                    <w:tr2bl w:val="nil"/>
                  </w:tcBorders>
                  <w:shd w:val="clear" w:color="auto" w:fill="auto"/>
                  <w:vAlign w:val="center"/>
                </w:tcPr>
                <w:p w14:paraId="73F06B09">
                  <w:pPr>
                    <w:pStyle w:val="120"/>
                  </w:pPr>
                  <w:r>
                    <w:rPr>
                      <w:rFonts w:hint="eastAsia"/>
                    </w:rPr>
                    <w:t>台</w:t>
                  </w:r>
                </w:p>
              </w:tc>
              <w:tc>
                <w:tcPr>
                  <w:tcW w:w="2010" w:type="dxa"/>
                  <w:tcBorders>
                    <w:tl2br w:val="nil"/>
                    <w:tr2bl w:val="nil"/>
                  </w:tcBorders>
                  <w:shd w:val="clear" w:color="auto" w:fill="auto"/>
                  <w:vAlign w:val="center"/>
                </w:tcPr>
                <w:p w14:paraId="14E50300">
                  <w:pPr>
                    <w:pStyle w:val="120"/>
                  </w:pPr>
                  <w:r>
                    <w:rPr>
                      <w:rFonts w:hint="eastAsia"/>
                    </w:rPr>
                    <w:t>模具</w:t>
                  </w:r>
                </w:p>
              </w:tc>
            </w:tr>
          </w:tbl>
          <w:p w14:paraId="59C07C46">
            <w:pPr>
              <w:pStyle w:val="66"/>
              <w:ind w:firstLine="0" w:firstLineChars="0"/>
              <w:rPr>
                <w:b/>
                <w:bCs/>
                <w:kern w:val="2"/>
                <w:sz w:val="24"/>
                <w:szCs w:val="24"/>
              </w:rPr>
            </w:pPr>
            <w:bookmarkStart w:id="13" w:name="_Toc9394_WPSOffice_Level2"/>
            <w:bookmarkStart w:id="14" w:name="_Toc29427_WPSOffice_Level3"/>
            <w:r>
              <w:rPr>
                <w:rFonts w:hint="eastAsia"/>
                <w:b/>
                <w:bCs/>
                <w:kern w:val="2"/>
                <w:sz w:val="24"/>
                <w:szCs w:val="24"/>
              </w:rPr>
              <w:t>2.</w:t>
            </w:r>
            <w:r>
              <w:rPr>
                <w:b/>
                <w:bCs/>
                <w:kern w:val="2"/>
                <w:sz w:val="24"/>
                <w:szCs w:val="24"/>
              </w:rPr>
              <w:t>7</w:t>
            </w:r>
            <w:r>
              <w:rPr>
                <w:rFonts w:hint="eastAsia"/>
                <w:b/>
                <w:bCs/>
                <w:kern w:val="2"/>
                <w:sz w:val="24"/>
                <w:szCs w:val="24"/>
              </w:rPr>
              <w:t>公用工程</w:t>
            </w:r>
          </w:p>
          <w:p w14:paraId="1706895D">
            <w:pPr>
              <w:pStyle w:val="66"/>
              <w:ind w:firstLine="480"/>
              <w:rPr>
                <w:b/>
                <w:bCs/>
                <w:kern w:val="2"/>
                <w:sz w:val="24"/>
                <w:szCs w:val="24"/>
              </w:rPr>
            </w:pPr>
            <w:r>
              <w:rPr>
                <w:rFonts w:hint="eastAsia"/>
                <w:kern w:val="2"/>
                <w:sz w:val="24"/>
                <w:szCs w:val="24"/>
              </w:rPr>
              <w:t>1.供电工程</w:t>
            </w:r>
          </w:p>
          <w:p w14:paraId="2BCE1614">
            <w:pPr>
              <w:pStyle w:val="66"/>
              <w:ind w:firstLine="480"/>
              <w:rPr>
                <w:sz w:val="24"/>
                <w:szCs w:val="24"/>
              </w:rPr>
            </w:pPr>
            <w:r>
              <w:rPr>
                <w:sz w:val="24"/>
                <w:szCs w:val="24"/>
              </w:rPr>
              <w:t>本项目生产所用所需能耗主要为电能，由当地供电部门供给，每年用电量约为</w:t>
            </w:r>
            <w:r>
              <w:rPr>
                <w:rFonts w:hint="eastAsia"/>
                <w:sz w:val="24"/>
                <w:szCs w:val="24"/>
              </w:rPr>
              <w:t>100</w:t>
            </w:r>
            <w:r>
              <w:rPr>
                <w:sz w:val="24"/>
                <w:szCs w:val="24"/>
              </w:rPr>
              <w:t>万kW·h，不设备用发电机。</w:t>
            </w:r>
          </w:p>
          <w:p w14:paraId="7DABEBE8">
            <w:pPr>
              <w:pStyle w:val="66"/>
              <w:ind w:firstLine="480"/>
              <w:rPr>
                <w:sz w:val="24"/>
                <w:szCs w:val="24"/>
              </w:rPr>
            </w:pPr>
            <w:r>
              <w:rPr>
                <w:rFonts w:hint="eastAsia"/>
                <w:kern w:val="2"/>
                <w:sz w:val="24"/>
                <w:szCs w:val="24"/>
              </w:rPr>
              <w:t>2.给水工程</w:t>
            </w:r>
          </w:p>
          <w:bookmarkEnd w:id="13"/>
          <w:bookmarkEnd w:id="14"/>
          <w:p w14:paraId="2C1E363C">
            <w:pPr>
              <w:pStyle w:val="66"/>
              <w:ind w:firstLine="480"/>
              <w:rPr>
                <w:kern w:val="2"/>
                <w:sz w:val="24"/>
                <w:szCs w:val="24"/>
              </w:rPr>
            </w:pPr>
            <w:r>
              <w:rPr>
                <w:rFonts w:hint="eastAsia"/>
                <w:kern w:val="2"/>
                <w:sz w:val="24"/>
                <w:szCs w:val="24"/>
              </w:rPr>
              <w:t>本项目用水为员工生活用水及生产用水（搅拌用水、搅拌机清洗用水、道路清洗用水、自然养护用水和降尘用水）。</w:t>
            </w:r>
          </w:p>
          <w:p w14:paraId="6A96882B">
            <w:pPr>
              <w:pStyle w:val="66"/>
              <w:ind w:firstLine="480"/>
              <w:rPr>
                <w:kern w:val="2"/>
                <w:sz w:val="24"/>
                <w:szCs w:val="24"/>
              </w:rPr>
            </w:pPr>
            <w:r>
              <w:rPr>
                <w:rFonts w:hint="eastAsia"/>
                <w:kern w:val="2"/>
                <w:sz w:val="24"/>
                <w:szCs w:val="24"/>
              </w:rPr>
              <w:t>①生活用水</w:t>
            </w:r>
          </w:p>
          <w:p w14:paraId="4EE2239F">
            <w:pPr>
              <w:widowControl/>
              <w:spacing w:line="360" w:lineRule="auto"/>
              <w:ind w:firstLine="480" w:firstLineChars="200"/>
              <w:textAlignment w:val="bottom"/>
              <w:rPr>
                <w:sz w:val="24"/>
              </w:rPr>
            </w:pPr>
            <w:r>
              <w:rPr>
                <w:rFonts w:hint="eastAsia"/>
                <w:sz w:val="24"/>
              </w:rPr>
              <w:t>项目建成后劳动定员80人(包括生产人员、管理人员等)，其中30人食宿厂区，年工作时间为300天。根据《建筑给水排水设计规范》(GB50015-2025)，不住厂员工生活用水量为50L/人，住厂员工生活用水量为150L/人，则全厂员工生活用水量约为7t/d(2100t/a)；</w:t>
            </w:r>
            <w:r>
              <w:rPr>
                <w:sz w:val="24"/>
              </w:rPr>
              <w:t>排水系数取0.8，则</w:t>
            </w:r>
            <w:r>
              <w:rPr>
                <w:rFonts w:hint="eastAsia"/>
                <w:sz w:val="24"/>
              </w:rPr>
              <w:t>员工</w:t>
            </w:r>
            <w:r>
              <w:rPr>
                <w:sz w:val="24"/>
              </w:rPr>
              <w:t>生活污水</w:t>
            </w:r>
            <w:r>
              <w:rPr>
                <w:rFonts w:hint="eastAsia"/>
                <w:sz w:val="24"/>
              </w:rPr>
              <w:t>产生</w:t>
            </w:r>
            <w:r>
              <w:rPr>
                <w:sz w:val="24"/>
              </w:rPr>
              <w:t>量为</w:t>
            </w:r>
            <w:r>
              <w:rPr>
                <w:rFonts w:hint="eastAsia"/>
                <w:sz w:val="24"/>
              </w:rPr>
              <w:t>5.6</w:t>
            </w:r>
            <w:r>
              <w:rPr>
                <w:sz w:val="24"/>
              </w:rPr>
              <w:t>t/d(</w:t>
            </w:r>
            <w:r>
              <w:rPr>
                <w:rFonts w:hint="eastAsia"/>
                <w:sz w:val="24"/>
              </w:rPr>
              <w:t>1680</w:t>
            </w:r>
            <w:r>
              <w:rPr>
                <w:sz w:val="24"/>
              </w:rPr>
              <w:t>t/a)</w:t>
            </w:r>
            <w:r>
              <w:rPr>
                <w:rFonts w:hint="eastAsia"/>
                <w:sz w:val="24"/>
              </w:rPr>
              <w:t>，经厂区西北侧化粪池处理后</w:t>
            </w:r>
            <w:r>
              <w:rPr>
                <w:sz w:val="24"/>
              </w:rPr>
              <w:t>接入市政污水管网</w:t>
            </w:r>
            <w:r>
              <w:rPr>
                <w:rFonts w:hint="eastAsia"/>
                <w:sz w:val="24"/>
              </w:rPr>
              <w:t>进入江阴污水处理厂处理。</w:t>
            </w:r>
          </w:p>
          <w:p w14:paraId="3969BB2C">
            <w:pPr>
              <w:pStyle w:val="66"/>
              <w:ind w:firstLine="480"/>
              <w:rPr>
                <w:kern w:val="2"/>
                <w:sz w:val="24"/>
                <w:szCs w:val="24"/>
              </w:rPr>
            </w:pPr>
            <w:r>
              <w:rPr>
                <w:rFonts w:hint="eastAsia"/>
                <w:kern w:val="2"/>
                <w:sz w:val="24"/>
                <w:szCs w:val="24"/>
              </w:rPr>
              <w:t>②生产用水</w:t>
            </w:r>
          </w:p>
          <w:p w14:paraId="23A8C564">
            <w:pPr>
              <w:pStyle w:val="66"/>
              <w:numPr>
                <w:ilvl w:val="0"/>
                <w:numId w:val="4"/>
              </w:numPr>
              <w:ind w:firstLine="480"/>
              <w:rPr>
                <w:kern w:val="2"/>
                <w:sz w:val="24"/>
                <w:szCs w:val="24"/>
              </w:rPr>
            </w:pPr>
            <w:r>
              <w:rPr>
                <w:rFonts w:hint="eastAsia"/>
                <w:kern w:val="2"/>
                <w:sz w:val="24"/>
                <w:szCs w:val="24"/>
              </w:rPr>
              <w:t>搅拌用水：项目搅拌工序需要添加水，根据建设单位提供资料，搅拌用水量约为2.9万t/a（96.7t/d），该部分水进入产品中，在自然养护阶段蒸发损耗。</w:t>
            </w:r>
          </w:p>
          <w:p w14:paraId="09AB7B01">
            <w:pPr>
              <w:pStyle w:val="66"/>
              <w:ind w:firstLine="480"/>
              <w:rPr>
                <w:kern w:val="2"/>
                <w:sz w:val="24"/>
                <w:szCs w:val="24"/>
              </w:rPr>
            </w:pPr>
            <w:r>
              <w:rPr>
                <w:rFonts w:hint="eastAsia"/>
                <w:kern w:val="2"/>
                <w:sz w:val="24"/>
                <w:szCs w:val="24"/>
              </w:rPr>
              <w:t>B.搅拌机清洗用水</w:t>
            </w:r>
          </w:p>
          <w:p w14:paraId="49A182AF">
            <w:pPr>
              <w:pStyle w:val="66"/>
              <w:ind w:firstLine="480"/>
              <w:rPr>
                <w:kern w:val="2"/>
                <w:sz w:val="24"/>
                <w:szCs w:val="24"/>
              </w:rPr>
            </w:pPr>
            <w:r>
              <w:rPr>
                <w:rFonts w:hint="eastAsia"/>
                <w:kern w:val="2"/>
                <w:sz w:val="24"/>
                <w:szCs w:val="24"/>
              </w:rPr>
              <w:t>搅拌机为本项目的主要生产设备，需进行冲洗以防止机内混凝土结块。本项目设有4台60t搅拌机，每天搅拌机冲洗一次，每次用水量约为其容积的55%，即0.44t/d（132t/a），产污系数按0.9计，则搅拌机清洗废水产生量约为0.396t/d（118.8t/a），经三级沉淀池处理后回用于养护用水，不外排。</w:t>
            </w:r>
          </w:p>
          <w:p w14:paraId="7CF77B8C">
            <w:pPr>
              <w:pStyle w:val="66"/>
              <w:ind w:firstLine="480"/>
              <w:rPr>
                <w:kern w:val="2"/>
                <w:sz w:val="24"/>
                <w:szCs w:val="24"/>
              </w:rPr>
            </w:pPr>
            <w:r>
              <w:rPr>
                <w:rFonts w:hint="eastAsia"/>
                <w:kern w:val="2"/>
                <w:sz w:val="24"/>
                <w:szCs w:val="24"/>
              </w:rPr>
              <w:t>C.道路清洗用水</w:t>
            </w:r>
          </w:p>
          <w:p w14:paraId="736F4935">
            <w:pPr>
              <w:pStyle w:val="66"/>
              <w:ind w:firstLine="480"/>
              <w:rPr>
                <w:kern w:val="2"/>
                <w:sz w:val="24"/>
                <w:szCs w:val="24"/>
              </w:rPr>
            </w:pPr>
            <w:r>
              <w:rPr>
                <w:rFonts w:hint="eastAsia"/>
                <w:kern w:val="2"/>
                <w:sz w:val="24"/>
                <w:szCs w:val="24"/>
              </w:rPr>
              <w:t>为保持生产场地清洁，项目每天对厂区道路进行一次冲洗，本项目厂区道路面积约5000m</w:t>
            </w:r>
            <w:r>
              <w:rPr>
                <w:rFonts w:hint="eastAsia"/>
                <w:kern w:val="2"/>
                <w:sz w:val="24"/>
                <w:szCs w:val="24"/>
                <w:vertAlign w:val="superscript"/>
              </w:rPr>
              <w:t>2</w:t>
            </w:r>
            <w:r>
              <w:rPr>
                <w:rFonts w:hint="eastAsia"/>
                <w:kern w:val="2"/>
                <w:sz w:val="24"/>
                <w:szCs w:val="24"/>
              </w:rPr>
              <w:t>，根据《给水排水设计手册》，浇洒道路用水定额为1.0~1.5L/m</w:t>
            </w:r>
            <w:r>
              <w:rPr>
                <w:rFonts w:hint="eastAsia"/>
                <w:kern w:val="2"/>
                <w:sz w:val="24"/>
                <w:szCs w:val="24"/>
                <w:vertAlign w:val="superscript"/>
              </w:rPr>
              <w:t>2</w:t>
            </w:r>
            <w:r>
              <w:rPr>
                <w:rFonts w:hint="eastAsia"/>
                <w:kern w:val="2"/>
                <w:sz w:val="24"/>
                <w:szCs w:val="24"/>
              </w:rPr>
              <w:t>次，按每次用水量1.5L/m</w:t>
            </w:r>
            <w:r>
              <w:rPr>
                <w:rFonts w:hint="eastAsia"/>
                <w:kern w:val="2"/>
                <w:sz w:val="24"/>
                <w:szCs w:val="24"/>
                <w:vertAlign w:val="superscript"/>
              </w:rPr>
              <w:t>2</w:t>
            </w:r>
            <w:r>
              <w:rPr>
                <w:rFonts w:hint="eastAsia"/>
                <w:kern w:val="2"/>
                <w:sz w:val="24"/>
                <w:szCs w:val="24"/>
              </w:rPr>
              <w:t>次，则本项目道路清洗用水量为7.5t/d（2250t/a），废水排放系数按0.9计算，则道路清洗废水产生量为6.75t/d（2025t/a）。废水中的主要污染物为SS，道路清洗废水收集后经三级沉淀池处理后回用于养护工序，不外排。</w:t>
            </w:r>
          </w:p>
          <w:p w14:paraId="4FAFD422">
            <w:pPr>
              <w:pStyle w:val="66"/>
              <w:ind w:firstLine="480"/>
              <w:rPr>
                <w:kern w:val="2"/>
                <w:sz w:val="24"/>
                <w:szCs w:val="24"/>
              </w:rPr>
            </w:pPr>
            <w:r>
              <w:rPr>
                <w:rFonts w:hint="eastAsia"/>
                <w:kern w:val="2"/>
                <w:sz w:val="24"/>
                <w:szCs w:val="24"/>
              </w:rPr>
              <w:t>D.养护用水</w:t>
            </w:r>
          </w:p>
          <w:p w14:paraId="7C5F659F">
            <w:pPr>
              <w:pStyle w:val="66"/>
              <w:ind w:firstLine="480"/>
              <w:rPr>
                <w:kern w:val="2"/>
                <w:sz w:val="24"/>
                <w:szCs w:val="24"/>
              </w:rPr>
            </w:pPr>
            <w:r>
              <w:rPr>
                <w:rFonts w:hint="eastAsia"/>
                <w:kern w:val="2"/>
                <w:sz w:val="24"/>
                <w:szCs w:val="24"/>
              </w:rPr>
              <w:t>本项目产品在成型后需人工洒水，对产品进行养护。根据企业设计生产情况，养护用水量约为15t/d（4500t/a），来自于经三级沉淀池处理后的搅拌机清洗废水、道路清洗废水以及初期雨水。养护用水由员工每天以洒水方式养护，全部自然蒸发，无废水产生。</w:t>
            </w:r>
          </w:p>
          <w:p w14:paraId="32FF8795">
            <w:pPr>
              <w:pStyle w:val="66"/>
              <w:ind w:firstLine="480"/>
              <w:rPr>
                <w:kern w:val="2"/>
                <w:sz w:val="24"/>
                <w:szCs w:val="24"/>
              </w:rPr>
            </w:pPr>
            <w:r>
              <w:rPr>
                <w:rFonts w:hint="eastAsia"/>
                <w:kern w:val="2"/>
                <w:sz w:val="24"/>
                <w:szCs w:val="24"/>
              </w:rPr>
              <w:t>E.降尘用水</w:t>
            </w:r>
          </w:p>
          <w:p w14:paraId="73802530">
            <w:pPr>
              <w:pStyle w:val="66"/>
              <w:ind w:firstLine="480"/>
              <w:rPr>
                <w:kern w:val="2"/>
                <w:sz w:val="24"/>
                <w:szCs w:val="24"/>
              </w:rPr>
            </w:pPr>
            <w:r>
              <w:rPr>
                <w:rFonts w:hint="eastAsia"/>
                <w:kern w:val="2"/>
                <w:sz w:val="24"/>
                <w:szCs w:val="24"/>
              </w:rPr>
              <w:t>项目石子、砂子堆料场设置喷雾系统进行喷雾降尘。根据建设单位提供资料，喷雾系统用水量约为2.5t/d（750t/a），均渗入石子、砂子原料或蒸发，无生产废水产生。</w:t>
            </w:r>
          </w:p>
          <w:p w14:paraId="5E619781">
            <w:pPr>
              <w:pStyle w:val="66"/>
              <w:ind w:firstLine="480"/>
              <w:rPr>
                <w:rFonts w:ascii="宋体" w:hAnsi="宋体" w:cs="宋体"/>
                <w:sz w:val="24"/>
                <w:szCs w:val="24"/>
              </w:rPr>
            </w:pPr>
            <w:r>
              <w:rPr>
                <w:rFonts w:ascii="宋体" w:hAnsi="宋体" w:cs="宋体"/>
                <w:sz w:val="24"/>
                <w:szCs w:val="24"/>
              </w:rPr>
              <w:t>③初期雨水</w:t>
            </w:r>
          </w:p>
          <w:p w14:paraId="423A6D6B">
            <w:pPr>
              <w:pStyle w:val="66"/>
              <w:ind w:firstLine="480"/>
              <w:rPr>
                <w:sz w:val="24"/>
                <w:szCs w:val="24"/>
              </w:rPr>
            </w:pPr>
            <w:r>
              <w:rPr>
                <w:rFonts w:ascii="宋体" w:hAnsi="宋体" w:cs="宋体"/>
                <w:sz w:val="24"/>
                <w:szCs w:val="24"/>
              </w:rPr>
              <w:t>项目将厂区降水通过雨水收集系统收集到初期雨水池中，后经三级沉淀池沉淀后回用。一般强度降雨很难形成地表径流，雨水通常被蒸发、下渗、吸收等消耗掉，只有大暴雨时，大量雨水短时间内汇集，才会形成地表径流，从而产生对地表冲刷。当遇到暴雨时厂区道路和硬化地面的污染物和泥沙被冲洗下来，使得径流雨水中含有一定浓度的污染物。本项目厂区采用雨污分流制，其中雨水管渠主要是收集厂区主要道路、硬化地面、部分厂房</w:t>
            </w:r>
            <w:r>
              <w:rPr>
                <w:rFonts w:hint="eastAsia" w:ascii="宋体" w:hAnsi="宋体" w:cs="宋体"/>
                <w:sz w:val="24"/>
                <w:szCs w:val="24"/>
              </w:rPr>
              <w:t>屋</w:t>
            </w:r>
            <w:r>
              <w:rPr>
                <w:rFonts w:ascii="宋体" w:hAnsi="宋体" w:cs="宋体"/>
                <w:sz w:val="24"/>
                <w:szCs w:val="24"/>
              </w:rPr>
              <w:t>面的雨水。厂区硬化地面、道路等的初期雨水经室外雨水管网收集至初期雨水池，后经三级沉淀池处理后，全部回用于生产；</w:t>
            </w:r>
            <w:r>
              <w:rPr>
                <w:sz w:val="24"/>
                <w:szCs w:val="24"/>
              </w:rPr>
              <w:t>而15min之后的洁净雨水优先暂存初期雨水池，后经三级沉淀池处理后回用，多余的通过厂区雨水管网外排。</w:t>
            </w:r>
          </w:p>
          <w:p w14:paraId="60EDA3CF">
            <w:pPr>
              <w:pStyle w:val="66"/>
              <w:ind w:firstLine="480"/>
              <w:rPr>
                <w:color w:val="FF0000"/>
                <w:kern w:val="2"/>
                <w:sz w:val="24"/>
                <w:szCs w:val="24"/>
                <w:highlight w:val="yellow"/>
              </w:rPr>
            </w:pPr>
            <w:r>
              <w:rPr>
                <w:sz w:val="24"/>
                <w:szCs w:val="24"/>
              </w:rPr>
              <w:t>项目厂房的</w:t>
            </w:r>
            <w:r>
              <w:rPr>
                <w:rFonts w:hint="eastAsia"/>
                <w:sz w:val="24"/>
                <w:szCs w:val="24"/>
              </w:rPr>
              <w:t>屋</w:t>
            </w:r>
            <w:r>
              <w:rPr>
                <w:sz w:val="24"/>
                <w:szCs w:val="24"/>
              </w:rPr>
              <w:t>面雨水部分可直接引到厂外，故厂区露天硬化地面</w:t>
            </w:r>
            <w:r>
              <w:rPr>
                <w:rFonts w:hint="eastAsia"/>
                <w:sz w:val="24"/>
                <w:szCs w:val="24"/>
              </w:rPr>
              <w:t>、道路</w:t>
            </w:r>
            <w:r>
              <w:rPr>
                <w:sz w:val="24"/>
                <w:szCs w:val="24"/>
              </w:rPr>
              <w:t>等为本项目收集初期雨水主要场地，约</w:t>
            </w:r>
            <w:r>
              <w:rPr>
                <w:rFonts w:hint="eastAsia"/>
                <w:sz w:val="24"/>
                <w:szCs w:val="24"/>
              </w:rPr>
              <w:t>15000</w:t>
            </w:r>
            <w:r>
              <w:rPr>
                <w:sz w:val="24"/>
                <w:szCs w:val="24"/>
              </w:rPr>
              <w:t>m</w:t>
            </w:r>
            <w:r>
              <w:rPr>
                <w:sz w:val="24"/>
                <w:szCs w:val="24"/>
                <w:vertAlign w:val="superscript"/>
              </w:rPr>
              <w:t>2</w:t>
            </w:r>
            <w:r>
              <w:rPr>
                <w:sz w:val="24"/>
                <w:szCs w:val="24"/>
              </w:rPr>
              <w:t>，约</w:t>
            </w:r>
            <w:r>
              <w:rPr>
                <w:rFonts w:hint="eastAsia"/>
                <w:sz w:val="24"/>
                <w:szCs w:val="24"/>
              </w:rPr>
              <w:t>1.5</w:t>
            </w:r>
            <w:r>
              <w:rPr>
                <w:sz w:val="24"/>
                <w:szCs w:val="24"/>
              </w:rPr>
              <w:t>ha。根据《城市排水工程规划规范（GB50318－2017）》中5.2 雨水量的计算，当汇水面积不超过2km</w:t>
            </w:r>
            <w:r>
              <w:rPr>
                <w:sz w:val="24"/>
                <w:szCs w:val="24"/>
                <w:vertAlign w:val="superscript"/>
              </w:rPr>
              <w:t>2</w:t>
            </w:r>
            <w:r>
              <w:rPr>
                <w:sz w:val="24"/>
                <w:szCs w:val="24"/>
              </w:rPr>
              <w:t>时，雨水量采用如下推理公式：</w:t>
            </w:r>
          </w:p>
          <w:p w14:paraId="05A47885">
            <w:pPr>
              <w:pStyle w:val="15"/>
              <w:adjustRightInd/>
              <w:snapToGrid/>
              <w:spacing w:before="120" w:line="360" w:lineRule="auto"/>
              <w:rPr>
                <w:rFonts w:ascii="Times New Roman"/>
              </w:rPr>
            </w:pPr>
            <w:r>
              <w:rPr>
                <w:rFonts w:ascii="Times New Roman"/>
              </w:rPr>
              <w:t>Q=</w:t>
            </w:r>
            <w:r>
              <w:rPr>
                <w:rFonts w:hint="eastAsia" w:ascii="Times New Roman"/>
              </w:rPr>
              <w:t>q</w:t>
            </w:r>
            <w:r>
              <w:rPr>
                <w:rFonts w:ascii="Times New Roman"/>
              </w:rPr>
              <w:t>×</w:t>
            </w:r>
            <w:r>
              <w:rPr>
                <w:rFonts w:hint="eastAsia" w:ascii="仿宋" w:hAnsi="仿宋" w:eastAsia="仿宋" w:cs="仿宋"/>
              </w:rPr>
              <w:t>φ</w:t>
            </w:r>
            <w:r>
              <w:rPr>
                <w:rFonts w:ascii="Times New Roman"/>
              </w:rPr>
              <w:t>×F</w:t>
            </w:r>
          </w:p>
          <w:p w14:paraId="24DC6CE0">
            <w:pPr>
              <w:pStyle w:val="66"/>
              <w:ind w:firstLine="480"/>
              <w:rPr>
                <w:sz w:val="24"/>
                <w:szCs w:val="24"/>
              </w:rPr>
            </w:pPr>
            <w:r>
              <w:rPr>
                <w:rFonts w:hint="eastAsia"/>
                <w:sz w:val="24"/>
                <w:szCs w:val="24"/>
              </w:rPr>
              <w:t>式中：Q--雨水设计流量，L/S；</w:t>
            </w:r>
          </w:p>
          <w:p w14:paraId="6862E461">
            <w:pPr>
              <w:pStyle w:val="66"/>
              <w:ind w:firstLine="480"/>
              <w:rPr>
                <w:sz w:val="24"/>
                <w:szCs w:val="24"/>
              </w:rPr>
            </w:pPr>
            <w:r>
              <w:rPr>
                <w:rFonts w:hint="eastAsia"/>
                <w:sz w:val="24"/>
                <w:szCs w:val="24"/>
              </w:rPr>
              <w:t>q--设计暴雨强度，L/S·hm</w:t>
            </w:r>
            <w:r>
              <w:rPr>
                <w:rFonts w:hint="eastAsia"/>
                <w:sz w:val="24"/>
                <w:szCs w:val="24"/>
                <w:vertAlign w:val="superscript"/>
              </w:rPr>
              <w:t>2</w:t>
            </w:r>
            <w:r>
              <w:rPr>
                <w:rFonts w:hint="eastAsia"/>
                <w:sz w:val="24"/>
                <w:szCs w:val="24"/>
              </w:rPr>
              <w:t>，福清地区q20为185.036L/s·hm</w:t>
            </w:r>
            <w:r>
              <w:rPr>
                <w:rFonts w:hint="eastAsia"/>
                <w:sz w:val="24"/>
                <w:szCs w:val="24"/>
                <w:vertAlign w:val="superscript"/>
              </w:rPr>
              <w:t>2</w:t>
            </w:r>
            <w:r>
              <w:rPr>
                <w:rFonts w:hint="eastAsia"/>
                <w:sz w:val="24"/>
                <w:szCs w:val="24"/>
              </w:rPr>
              <w:t>；</w:t>
            </w:r>
          </w:p>
          <w:p w14:paraId="4A4288E0">
            <w:pPr>
              <w:pStyle w:val="66"/>
              <w:ind w:firstLine="480"/>
              <w:rPr>
                <w:sz w:val="24"/>
                <w:szCs w:val="24"/>
              </w:rPr>
            </w:pPr>
            <w:r>
              <w:rPr>
                <w:sz w:val="24"/>
                <w:szCs w:val="24"/>
              </w:rPr>
              <w:t>Φ--径流系数，</w:t>
            </w:r>
            <w:r>
              <w:rPr>
                <w:rFonts w:hint="eastAsia"/>
                <w:sz w:val="24"/>
                <w:szCs w:val="24"/>
              </w:rPr>
              <w:t>道路、地面硬化</w:t>
            </w:r>
            <w:r>
              <w:rPr>
                <w:sz w:val="24"/>
                <w:szCs w:val="24"/>
              </w:rPr>
              <w:t>，径流系数取0.</w:t>
            </w:r>
            <w:r>
              <w:rPr>
                <w:rFonts w:hint="eastAsia"/>
                <w:sz w:val="24"/>
                <w:szCs w:val="24"/>
              </w:rPr>
              <w:t>8</w:t>
            </w:r>
            <w:r>
              <w:rPr>
                <w:sz w:val="24"/>
                <w:szCs w:val="24"/>
              </w:rPr>
              <w:t>；</w:t>
            </w:r>
          </w:p>
          <w:p w14:paraId="485BD0AE">
            <w:pPr>
              <w:pStyle w:val="66"/>
              <w:numPr>
                <w:ilvl w:val="0"/>
                <w:numId w:val="5"/>
              </w:numPr>
              <w:ind w:firstLine="480"/>
              <w:rPr>
                <w:sz w:val="24"/>
                <w:szCs w:val="24"/>
              </w:rPr>
            </w:pPr>
            <w:r>
              <w:rPr>
                <w:sz w:val="24"/>
                <w:szCs w:val="24"/>
              </w:rPr>
              <w:t>-</w:t>
            </w:r>
            <w:r>
              <w:rPr>
                <w:rFonts w:hint="eastAsia"/>
                <w:sz w:val="24"/>
                <w:szCs w:val="24"/>
              </w:rPr>
              <w:t>汇水面积，hm</w:t>
            </w:r>
            <w:r>
              <w:rPr>
                <w:rFonts w:hint="eastAsia"/>
                <w:sz w:val="24"/>
                <w:szCs w:val="24"/>
                <w:vertAlign w:val="superscript"/>
              </w:rPr>
              <w:t>2</w:t>
            </w:r>
            <w:r>
              <w:rPr>
                <w:rFonts w:hint="eastAsia"/>
                <w:sz w:val="24"/>
                <w:szCs w:val="24"/>
              </w:rPr>
              <w:t>，本项目汇水面积取</w:t>
            </w:r>
            <w:r>
              <w:rPr>
                <w:sz w:val="24"/>
                <w:szCs w:val="24"/>
              </w:rPr>
              <w:t>厂区露天硬化地面</w:t>
            </w:r>
            <w:r>
              <w:rPr>
                <w:rFonts w:hint="eastAsia"/>
                <w:sz w:val="24"/>
                <w:szCs w:val="24"/>
              </w:rPr>
              <w:t>、道路占地面积，约15000m</w:t>
            </w:r>
            <w:r>
              <w:rPr>
                <w:rFonts w:hint="eastAsia"/>
                <w:sz w:val="24"/>
                <w:szCs w:val="24"/>
                <w:vertAlign w:val="superscript"/>
              </w:rPr>
              <w:t>2</w:t>
            </w:r>
            <w:r>
              <w:rPr>
                <w:rFonts w:hint="eastAsia"/>
                <w:sz w:val="24"/>
                <w:szCs w:val="24"/>
              </w:rPr>
              <w:t>；</w:t>
            </w:r>
          </w:p>
          <w:p w14:paraId="4A1AACBA">
            <w:pPr>
              <w:pStyle w:val="66"/>
              <w:ind w:firstLine="480"/>
              <w:rPr>
                <w:kern w:val="2"/>
                <w:sz w:val="24"/>
                <w:szCs w:val="24"/>
              </w:rPr>
            </w:pPr>
            <w:r>
              <w:rPr>
                <w:rFonts w:hint="eastAsia"/>
                <w:kern w:val="2"/>
                <w:sz w:val="24"/>
                <w:szCs w:val="24"/>
              </w:rPr>
              <w:t>雨水设计流量Q=185.036×1.5×0.8=222L/s。收集前15min的初期雨水，经计算露天污染区初期雨水一次性最大量为199.8m</w:t>
            </w:r>
            <w:r>
              <w:rPr>
                <w:rFonts w:hint="eastAsia"/>
                <w:kern w:val="2"/>
                <w:sz w:val="24"/>
                <w:szCs w:val="24"/>
                <w:vertAlign w:val="superscript"/>
              </w:rPr>
              <w:t>3</w:t>
            </w:r>
            <w:r>
              <w:rPr>
                <w:rFonts w:hint="eastAsia"/>
                <w:kern w:val="2"/>
                <w:sz w:val="24"/>
                <w:szCs w:val="24"/>
              </w:rPr>
              <w:t>/次。福清市年平均暴雨天数约为6.5天，本项目取年暴雨次数7次计算，则初期雨水量为1398.6t/a。初期雨水经导流沟拦截，收集排入初期雨水池暂存，后经三级沉淀池处理回用于养护，不外排。</w:t>
            </w:r>
          </w:p>
          <w:p w14:paraId="7A77466B">
            <w:pPr>
              <w:pStyle w:val="66"/>
              <w:ind w:firstLine="480"/>
              <w:rPr>
                <w:kern w:val="2"/>
                <w:sz w:val="24"/>
                <w:szCs w:val="24"/>
              </w:rPr>
            </w:pPr>
            <w:r>
              <w:rPr>
                <w:rFonts w:hint="eastAsia"/>
                <w:kern w:val="2"/>
                <w:sz w:val="24"/>
                <w:szCs w:val="24"/>
              </w:rPr>
              <w:t>综上，进入三级沉淀池的废水总量为3542.4t/a，三级沉淀池处理过程中会产生蒸发损耗，损耗率为10%，即经处理后的回用水约3189t/a。项目拟设初期雨水池容积为200m</w:t>
            </w:r>
            <w:r>
              <w:rPr>
                <w:rFonts w:hint="eastAsia"/>
                <w:kern w:val="2"/>
                <w:sz w:val="24"/>
                <w:szCs w:val="24"/>
                <w:vertAlign w:val="superscript"/>
              </w:rPr>
              <w:t>3</w:t>
            </w:r>
            <w:r>
              <w:rPr>
                <w:rFonts w:hint="eastAsia"/>
                <w:kern w:val="2"/>
                <w:sz w:val="24"/>
                <w:szCs w:val="24"/>
              </w:rPr>
              <w:t>。</w:t>
            </w:r>
          </w:p>
          <w:p w14:paraId="3A89F4B7">
            <w:pPr>
              <w:pStyle w:val="66"/>
              <w:ind w:firstLine="480"/>
              <w:rPr>
                <w:kern w:val="2"/>
                <w:sz w:val="24"/>
                <w:szCs w:val="24"/>
              </w:rPr>
            </w:pPr>
            <w:r>
              <w:rPr>
                <w:rFonts w:hint="eastAsia"/>
                <w:kern w:val="2"/>
                <w:sz w:val="24"/>
                <w:szCs w:val="24"/>
              </w:rPr>
              <w:t>(3)排水工程</w:t>
            </w:r>
          </w:p>
          <w:p w14:paraId="72033C87">
            <w:pPr>
              <w:pStyle w:val="66"/>
              <w:ind w:firstLine="480"/>
              <w:rPr>
                <w:kern w:val="2"/>
                <w:sz w:val="24"/>
                <w:szCs w:val="24"/>
              </w:rPr>
            </w:pPr>
            <w:r>
              <w:rPr>
                <w:rFonts w:hint="eastAsia"/>
                <w:kern w:val="2"/>
                <w:sz w:val="24"/>
                <w:szCs w:val="24"/>
              </w:rPr>
              <w:t>本项目不排放生产废水，项目的生活污水经三级化粪池处理达标后排入市政污水管网，进入江阴污水处理厂处理。</w:t>
            </w:r>
          </w:p>
          <w:p w14:paraId="475A61C9">
            <w:pPr>
              <w:pStyle w:val="66"/>
              <w:ind w:firstLine="480"/>
              <w:rPr>
                <w:kern w:val="2"/>
                <w:sz w:val="24"/>
                <w:szCs w:val="24"/>
              </w:rPr>
            </w:pPr>
            <w:r>
              <w:rPr>
                <w:rFonts w:hint="eastAsia"/>
                <w:kern w:val="2"/>
                <w:sz w:val="24"/>
                <w:szCs w:val="24"/>
              </w:rPr>
              <w:t>本项目水平衡图如下图2.7-1。</w:t>
            </w:r>
          </w:p>
          <w:p w14:paraId="74149F23">
            <w:pPr>
              <w:pStyle w:val="77"/>
              <w:rPr>
                <w:sz w:val="24"/>
                <w:szCs w:val="24"/>
              </w:rPr>
            </w:pPr>
            <w:bookmarkStart w:id="15" w:name="_Toc2275_WPSOffice_Level2"/>
            <w:r>
              <w:drawing>
                <wp:inline distT="0" distB="0" distL="114300" distR="114300">
                  <wp:extent cx="5111750" cy="3535045"/>
                  <wp:effectExtent l="0" t="0" r="12700" b="8255"/>
                  <wp:docPr id="9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8"/>
                          <pic:cNvPicPr>
                            <a:picLocks noChangeAspect="1"/>
                          </pic:cNvPicPr>
                        </pic:nvPicPr>
                        <pic:blipFill>
                          <a:blip r:embed="rId20" cstate="print"/>
                          <a:stretch>
                            <a:fillRect/>
                          </a:stretch>
                        </pic:blipFill>
                        <pic:spPr>
                          <a:xfrm>
                            <a:off x="0" y="0"/>
                            <a:ext cx="5111750" cy="3535045"/>
                          </a:xfrm>
                          <a:prstGeom prst="rect">
                            <a:avLst/>
                          </a:prstGeom>
                          <a:noFill/>
                          <a:ln>
                            <a:noFill/>
                          </a:ln>
                        </pic:spPr>
                      </pic:pic>
                    </a:graphicData>
                  </a:graphic>
                </wp:inline>
              </w:drawing>
            </w:r>
            <w:r>
              <w:rPr>
                <w:rFonts w:hint="eastAsia"/>
                <w:sz w:val="24"/>
                <w:szCs w:val="24"/>
              </w:rPr>
              <w:t>图</w:t>
            </w:r>
            <w:r>
              <w:rPr>
                <w:sz w:val="24"/>
                <w:szCs w:val="24"/>
              </w:rPr>
              <w:t>2.</w:t>
            </w:r>
            <w:r>
              <w:rPr>
                <w:rFonts w:hint="eastAsia"/>
                <w:sz w:val="24"/>
                <w:szCs w:val="24"/>
              </w:rPr>
              <w:t>7</w:t>
            </w:r>
            <w:r>
              <w:rPr>
                <w:sz w:val="24"/>
                <w:szCs w:val="24"/>
              </w:rPr>
              <w:t>-1  项目水平衡图</w:t>
            </w:r>
            <w:bookmarkEnd w:id="15"/>
            <w:r>
              <w:rPr>
                <w:sz w:val="24"/>
                <w:szCs w:val="24"/>
              </w:rPr>
              <w:t>（t/</w:t>
            </w:r>
            <w:r>
              <w:rPr>
                <w:rFonts w:hint="eastAsia"/>
                <w:sz w:val="24"/>
                <w:szCs w:val="24"/>
              </w:rPr>
              <w:t>d</w:t>
            </w:r>
            <w:r>
              <w:rPr>
                <w:sz w:val="24"/>
                <w:szCs w:val="24"/>
              </w:rPr>
              <w:t>）</w:t>
            </w:r>
          </w:p>
          <w:p w14:paraId="5F6134A5">
            <w:pPr>
              <w:pStyle w:val="66"/>
              <w:ind w:firstLine="0" w:firstLineChars="0"/>
              <w:rPr>
                <w:b/>
                <w:bCs/>
                <w:kern w:val="2"/>
                <w:sz w:val="24"/>
                <w:szCs w:val="24"/>
              </w:rPr>
            </w:pPr>
            <w:bookmarkStart w:id="16" w:name="_Toc20319_WPSOffice_Level1"/>
            <w:bookmarkStart w:id="17" w:name="_Toc22956_WPSOffice_Level2"/>
            <w:bookmarkStart w:id="18" w:name="_Toc2415"/>
            <w:bookmarkStart w:id="19" w:name="_Toc14867_WPSOffice_Level2"/>
            <w:r>
              <w:rPr>
                <w:rFonts w:hint="eastAsia"/>
                <w:b/>
                <w:bCs/>
                <w:kern w:val="2"/>
                <w:sz w:val="24"/>
                <w:szCs w:val="24"/>
              </w:rPr>
              <w:t>2.</w:t>
            </w:r>
            <w:r>
              <w:rPr>
                <w:b/>
                <w:bCs/>
                <w:kern w:val="2"/>
                <w:sz w:val="24"/>
                <w:szCs w:val="24"/>
              </w:rPr>
              <w:t>8平面布置</w:t>
            </w:r>
            <w:bookmarkEnd w:id="16"/>
            <w:bookmarkEnd w:id="17"/>
            <w:bookmarkEnd w:id="18"/>
            <w:bookmarkEnd w:id="19"/>
          </w:p>
          <w:p w14:paraId="327B30DC">
            <w:pPr>
              <w:pStyle w:val="66"/>
              <w:ind w:firstLine="480"/>
              <w:rPr>
                <w:rFonts w:ascii="宋体" w:hAnsi="宋体" w:cs="宋体"/>
                <w:bCs/>
                <w:color w:val="FF0000"/>
                <w:kern w:val="21"/>
                <w:sz w:val="24"/>
                <w:szCs w:val="24"/>
              </w:rPr>
            </w:pPr>
            <w:r>
              <w:rPr>
                <w:rFonts w:hint="eastAsia"/>
                <w:sz w:val="24"/>
                <w:szCs w:val="24"/>
              </w:rPr>
              <w:t>项目位于</w:t>
            </w:r>
            <w:r>
              <w:rPr>
                <w:rFonts w:hint="eastAsia"/>
                <w:kern w:val="2"/>
                <w:sz w:val="24"/>
                <w:szCs w:val="24"/>
              </w:rPr>
              <w:t>福建省福州市福清市江阴镇江阴港城经济区三峡路与兴林路交叉口东南侧</w:t>
            </w:r>
            <w:r>
              <w:rPr>
                <w:rFonts w:hint="eastAsia"/>
                <w:sz w:val="24"/>
                <w:szCs w:val="24"/>
              </w:rPr>
              <w:t>，占地面积40000m</w:t>
            </w:r>
            <w:r>
              <w:rPr>
                <w:rFonts w:hint="eastAsia"/>
                <w:sz w:val="24"/>
                <w:szCs w:val="24"/>
                <w:vertAlign w:val="superscript"/>
              </w:rPr>
              <w:t>2</w:t>
            </w:r>
            <w:r>
              <w:rPr>
                <w:rFonts w:hint="eastAsia"/>
                <w:sz w:val="24"/>
                <w:szCs w:val="24"/>
              </w:rPr>
              <w:t>，建筑面积</w:t>
            </w:r>
            <w:r>
              <w:rPr>
                <w:rFonts w:hint="eastAsia"/>
                <w:sz w:val="24"/>
              </w:rPr>
              <w:t>21098.55</w:t>
            </w:r>
            <w:r>
              <w:rPr>
                <w:rFonts w:hint="eastAsia"/>
                <w:sz w:val="24"/>
                <w:szCs w:val="24"/>
              </w:rPr>
              <w:t>m</w:t>
            </w:r>
            <w:r>
              <w:rPr>
                <w:rFonts w:hint="eastAsia"/>
                <w:sz w:val="24"/>
                <w:szCs w:val="24"/>
                <w:vertAlign w:val="superscript"/>
              </w:rPr>
              <w:t>2</w:t>
            </w:r>
            <w:r>
              <w:rPr>
                <w:rFonts w:hint="eastAsia"/>
                <w:sz w:val="24"/>
                <w:szCs w:val="24"/>
              </w:rPr>
              <w:t>。厂区西侧中部为主入口、门卫，北侧区域由西往东分别为非机动车停车位、宿舍楼、办公楼，办公楼东南侧为生产车间；生产车间内部按照生产流程分布生产设备，总平面布置功能分区明确、布置紧凑、生产流程顺畅，减少交叉干扰，有利于安全生产，便于管理。从总体上考虑，该厂的平面布局是基本合理的。项目总平面布置图详见附图4。</w:t>
            </w:r>
          </w:p>
        </w:tc>
      </w:tr>
      <w:tr w14:paraId="645AD3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33DA0C11">
            <w:pPr>
              <w:pStyle w:val="29"/>
              <w:spacing w:before="0" w:beforeAutospacing="0" w:after="0" w:afterAutospacing="0"/>
              <w:jc w:val="center"/>
              <w:rPr>
                <w:rFonts w:cs="宋体"/>
                <w:color w:val="FF0000"/>
                <w:kern w:val="21"/>
                <w:sz w:val="21"/>
                <w:szCs w:val="21"/>
              </w:rPr>
            </w:pPr>
            <w:r>
              <w:rPr>
                <w:rFonts w:hint="eastAsia" w:cs="宋体"/>
                <w:kern w:val="21"/>
                <w:szCs w:val="24"/>
              </w:rPr>
              <w:t>工艺流程和产排污环节</w:t>
            </w:r>
          </w:p>
        </w:tc>
        <w:tc>
          <w:tcPr>
            <w:tcW w:w="8280" w:type="dxa"/>
            <w:vAlign w:val="center"/>
          </w:tcPr>
          <w:p w14:paraId="5F843E15">
            <w:pPr>
              <w:pStyle w:val="66"/>
              <w:ind w:firstLine="0" w:firstLineChars="0"/>
              <w:rPr>
                <w:b/>
                <w:bCs/>
                <w:kern w:val="2"/>
                <w:sz w:val="24"/>
                <w:szCs w:val="24"/>
              </w:rPr>
            </w:pPr>
            <w:r>
              <w:rPr>
                <w:rFonts w:hint="eastAsia"/>
                <w:b/>
                <w:bCs/>
                <w:kern w:val="2"/>
                <w:sz w:val="24"/>
                <w:szCs w:val="24"/>
              </w:rPr>
              <w:t>2.</w:t>
            </w:r>
            <w:r>
              <w:rPr>
                <w:b/>
                <w:bCs/>
                <w:kern w:val="2"/>
                <w:sz w:val="24"/>
                <w:szCs w:val="24"/>
              </w:rPr>
              <w:t>9</w:t>
            </w:r>
            <w:r>
              <w:rPr>
                <w:rFonts w:hint="eastAsia"/>
                <w:b/>
                <w:bCs/>
                <w:kern w:val="2"/>
                <w:sz w:val="24"/>
                <w:szCs w:val="24"/>
              </w:rPr>
              <w:t>工艺流程及产排污环节</w:t>
            </w:r>
          </w:p>
          <w:p w14:paraId="4A07845E">
            <w:pPr>
              <w:pStyle w:val="66"/>
              <w:ind w:firstLine="480"/>
              <w:rPr>
                <w:sz w:val="24"/>
                <w:szCs w:val="24"/>
              </w:rPr>
            </w:pPr>
            <w:r>
              <w:rPr>
                <w:rFonts w:hint="eastAsia"/>
                <w:sz w:val="24"/>
                <w:szCs w:val="24"/>
              </w:rPr>
              <w:t>1、施工期</w:t>
            </w:r>
          </w:p>
          <w:p w14:paraId="03A3634D">
            <w:pPr>
              <w:pStyle w:val="15"/>
              <w:spacing w:beforeLines="0" w:line="360" w:lineRule="auto"/>
              <w:ind w:firstLine="480" w:firstLineChars="200"/>
              <w:jc w:val="left"/>
              <w:rPr>
                <w:rFonts w:ascii="Times New Roman" w:eastAsia="宋体"/>
                <w:kern w:val="0"/>
                <w:szCs w:val="24"/>
              </w:rPr>
            </w:pPr>
            <w:r>
              <w:rPr>
                <w:rFonts w:hint="eastAsia" w:ascii="Times New Roman" w:eastAsia="宋体"/>
                <w:kern w:val="0"/>
                <w:szCs w:val="24"/>
              </w:rPr>
              <w:t>根据现场踏勘，场地现状门卫、宿舍楼、办公楼已基本建设完成，施工期主要为生产车间、厂区道路、停车场等建设以及设备安装、调试等，施工期主要会有施工废气、施工废水、施工噪声、施工固废等。施工期工艺流程及产污环节见图2.9-1。</w:t>
            </w:r>
          </w:p>
          <w:p w14:paraId="0B699E4D">
            <w:pPr>
              <w:pStyle w:val="15"/>
              <w:spacing w:before="120" w:line="360" w:lineRule="auto"/>
              <w:rPr>
                <w:rFonts w:ascii="Times New Roman"/>
                <w:bCs/>
                <w:szCs w:val="24"/>
              </w:rPr>
            </w:pPr>
            <w:r>
              <w:drawing>
                <wp:inline distT="0" distB="0" distL="114300" distR="114300">
                  <wp:extent cx="4462145" cy="1397000"/>
                  <wp:effectExtent l="0" t="0" r="0" b="0"/>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21" cstate="print"/>
                          <a:srcRect t="14596"/>
                          <a:stretch>
                            <a:fillRect/>
                          </a:stretch>
                        </pic:blipFill>
                        <pic:spPr>
                          <a:xfrm>
                            <a:off x="0" y="0"/>
                            <a:ext cx="4462145" cy="1397000"/>
                          </a:xfrm>
                          <a:prstGeom prst="rect">
                            <a:avLst/>
                          </a:prstGeom>
                          <a:noFill/>
                          <a:ln>
                            <a:noFill/>
                          </a:ln>
                        </pic:spPr>
                      </pic:pic>
                    </a:graphicData>
                  </a:graphic>
                </wp:inline>
              </w:drawing>
            </w:r>
          </w:p>
          <w:p w14:paraId="790623E1">
            <w:pPr>
              <w:pStyle w:val="15"/>
              <w:adjustRightInd/>
              <w:snapToGrid/>
              <w:spacing w:before="120" w:line="360" w:lineRule="auto"/>
              <w:rPr>
                <w:rFonts w:ascii="Times New Roman" w:eastAsia="宋体"/>
                <w:b/>
                <w:bCs/>
                <w:szCs w:val="24"/>
              </w:rPr>
            </w:pPr>
            <w:r>
              <w:rPr>
                <w:rFonts w:hint="eastAsia" w:ascii="Times New Roman" w:eastAsia="宋体"/>
                <w:b/>
                <w:bCs/>
                <w:szCs w:val="24"/>
              </w:rPr>
              <w:t>图2.9-1  施工期工艺流程及产污环节图</w:t>
            </w:r>
          </w:p>
          <w:p w14:paraId="726E4488">
            <w:pPr>
              <w:pStyle w:val="66"/>
              <w:ind w:firstLine="480"/>
              <w:rPr>
                <w:sz w:val="24"/>
                <w:szCs w:val="24"/>
              </w:rPr>
            </w:pPr>
            <w:r>
              <w:rPr>
                <w:rFonts w:hint="eastAsia"/>
                <w:sz w:val="24"/>
                <w:szCs w:val="24"/>
              </w:rPr>
              <w:t>2、运营期</w:t>
            </w:r>
          </w:p>
          <w:p w14:paraId="42E45C88">
            <w:pPr>
              <w:pStyle w:val="66"/>
              <w:ind w:firstLine="480"/>
              <w:rPr>
                <w:kern w:val="2"/>
                <w:sz w:val="24"/>
                <w:szCs w:val="24"/>
              </w:rPr>
            </w:pPr>
            <w:r>
              <w:rPr>
                <w:kern w:val="2"/>
                <w:sz w:val="24"/>
                <w:szCs w:val="24"/>
              </w:rPr>
              <w:t>(1)生产工艺流程</w:t>
            </w:r>
          </w:p>
          <w:p w14:paraId="715EA162">
            <w:pPr>
              <w:pStyle w:val="66"/>
              <w:ind w:firstLine="480"/>
              <w:rPr>
                <w:kern w:val="2"/>
                <w:sz w:val="24"/>
                <w:szCs w:val="24"/>
              </w:rPr>
            </w:pPr>
            <w:r>
              <w:rPr>
                <w:rFonts w:hint="eastAsia"/>
                <w:kern w:val="2"/>
                <w:sz w:val="24"/>
                <w:szCs w:val="24"/>
              </w:rPr>
              <w:t>本</w:t>
            </w:r>
            <w:r>
              <w:rPr>
                <w:kern w:val="2"/>
                <w:sz w:val="24"/>
                <w:szCs w:val="24"/>
              </w:rPr>
              <w:t>项目主要从事</w:t>
            </w:r>
            <w:r>
              <w:rPr>
                <w:rFonts w:hint="eastAsia"/>
                <w:kern w:val="2"/>
                <w:sz w:val="24"/>
                <w:szCs w:val="24"/>
              </w:rPr>
              <w:t>水泥预制管（水泥顶管、水泥排水管、检查井）的生产活动，其中水泥顶管和水泥排水管生产工艺流程一致，只是原料配比不同；与水泥顶管和水泥排水管的生产工艺相比，检查井生产工艺减少了芯模振动机和升芯振动机成型工序，原料配比不同，其余工序一致。</w:t>
            </w:r>
            <w:r>
              <w:rPr>
                <w:kern w:val="2"/>
                <w:sz w:val="24"/>
                <w:szCs w:val="24"/>
              </w:rPr>
              <w:t>具体生产工艺流程详见图2.9-</w:t>
            </w:r>
            <w:r>
              <w:rPr>
                <w:rFonts w:hint="eastAsia"/>
                <w:kern w:val="2"/>
                <w:sz w:val="24"/>
                <w:szCs w:val="24"/>
              </w:rPr>
              <w:t>2和2.9-3</w:t>
            </w:r>
            <w:r>
              <w:rPr>
                <w:kern w:val="2"/>
                <w:sz w:val="24"/>
                <w:szCs w:val="24"/>
              </w:rPr>
              <w:t>。</w:t>
            </w:r>
          </w:p>
          <w:p w14:paraId="48898DAD">
            <w:pPr>
              <w:pStyle w:val="66"/>
              <w:ind w:firstLine="0" w:firstLineChars="0"/>
              <w:jc w:val="center"/>
              <w:rPr>
                <w:color w:val="FF0000"/>
                <w:kern w:val="2"/>
                <w:sz w:val="24"/>
                <w:szCs w:val="24"/>
              </w:rPr>
            </w:pPr>
            <w:r>
              <w:drawing>
                <wp:inline distT="0" distB="0" distL="114300" distR="114300">
                  <wp:extent cx="5119370" cy="3636645"/>
                  <wp:effectExtent l="0" t="0" r="5080" b="1905"/>
                  <wp:docPr id="9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7"/>
                          <pic:cNvPicPr>
                            <a:picLocks noChangeAspect="1"/>
                          </pic:cNvPicPr>
                        </pic:nvPicPr>
                        <pic:blipFill>
                          <a:blip r:embed="rId22" cstate="print"/>
                          <a:stretch>
                            <a:fillRect/>
                          </a:stretch>
                        </pic:blipFill>
                        <pic:spPr>
                          <a:xfrm>
                            <a:off x="0" y="0"/>
                            <a:ext cx="5119370" cy="3636645"/>
                          </a:xfrm>
                          <a:prstGeom prst="rect">
                            <a:avLst/>
                          </a:prstGeom>
                          <a:noFill/>
                          <a:ln>
                            <a:noFill/>
                          </a:ln>
                        </pic:spPr>
                      </pic:pic>
                    </a:graphicData>
                  </a:graphic>
                </wp:inline>
              </w:drawing>
            </w:r>
          </w:p>
          <w:p w14:paraId="34F16274">
            <w:pPr>
              <w:pStyle w:val="77"/>
              <w:spacing w:line="360" w:lineRule="auto"/>
              <w:rPr>
                <w:sz w:val="24"/>
                <w:szCs w:val="24"/>
              </w:rPr>
            </w:pPr>
            <w:bookmarkStart w:id="20" w:name="_Toc31683_WPSOffice_Level2"/>
            <w:r>
              <w:rPr>
                <w:sz w:val="24"/>
                <w:szCs w:val="24"/>
              </w:rPr>
              <w:t>图</w:t>
            </w:r>
            <w:r>
              <w:rPr>
                <w:rFonts w:hint="eastAsia"/>
                <w:sz w:val="24"/>
                <w:szCs w:val="24"/>
              </w:rPr>
              <w:t>2.</w:t>
            </w:r>
            <w:r>
              <w:rPr>
                <w:sz w:val="24"/>
                <w:szCs w:val="24"/>
              </w:rPr>
              <w:t>9</w:t>
            </w:r>
            <w:r>
              <w:rPr>
                <w:rFonts w:hint="eastAsia"/>
                <w:sz w:val="24"/>
                <w:szCs w:val="24"/>
              </w:rPr>
              <w:t xml:space="preserve">-3 </w:t>
            </w:r>
            <w:r>
              <w:rPr>
                <w:sz w:val="24"/>
                <w:szCs w:val="24"/>
              </w:rPr>
              <w:t xml:space="preserve"> </w:t>
            </w:r>
            <w:r>
              <w:rPr>
                <w:rFonts w:hint="eastAsia"/>
                <w:sz w:val="24"/>
                <w:szCs w:val="24"/>
              </w:rPr>
              <w:t>水泥顶管和水泥排水管生产工艺流程及产污</w:t>
            </w:r>
            <w:bookmarkEnd w:id="20"/>
            <w:r>
              <w:rPr>
                <w:rFonts w:hint="eastAsia"/>
                <w:sz w:val="24"/>
                <w:szCs w:val="24"/>
              </w:rPr>
              <w:t>环节图</w:t>
            </w:r>
            <w:r>
              <w:drawing>
                <wp:inline distT="0" distB="0" distL="114300" distR="114300">
                  <wp:extent cx="5116830" cy="3350895"/>
                  <wp:effectExtent l="0" t="0" r="7620" b="1905"/>
                  <wp:docPr id="9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6"/>
                          <pic:cNvPicPr>
                            <a:picLocks noChangeAspect="1"/>
                          </pic:cNvPicPr>
                        </pic:nvPicPr>
                        <pic:blipFill>
                          <a:blip r:embed="rId23" cstate="print"/>
                          <a:stretch>
                            <a:fillRect/>
                          </a:stretch>
                        </pic:blipFill>
                        <pic:spPr>
                          <a:xfrm>
                            <a:off x="0" y="0"/>
                            <a:ext cx="5116830" cy="3350895"/>
                          </a:xfrm>
                          <a:prstGeom prst="rect">
                            <a:avLst/>
                          </a:prstGeom>
                          <a:noFill/>
                          <a:ln>
                            <a:noFill/>
                          </a:ln>
                        </pic:spPr>
                      </pic:pic>
                    </a:graphicData>
                  </a:graphic>
                </wp:inline>
              </w:drawing>
            </w:r>
          </w:p>
          <w:p w14:paraId="2F34190B">
            <w:pPr>
              <w:pStyle w:val="66"/>
              <w:ind w:firstLine="0" w:firstLineChars="0"/>
              <w:jc w:val="center"/>
              <w:rPr>
                <w:b/>
                <w:bCs/>
                <w:color w:val="FF0000"/>
                <w:kern w:val="2"/>
                <w:sz w:val="24"/>
                <w:szCs w:val="24"/>
              </w:rPr>
            </w:pPr>
            <w:r>
              <w:rPr>
                <w:b/>
                <w:bCs/>
                <w:sz w:val="24"/>
                <w:szCs w:val="24"/>
              </w:rPr>
              <w:t>图</w:t>
            </w:r>
            <w:r>
              <w:rPr>
                <w:rFonts w:hint="eastAsia"/>
                <w:b/>
                <w:bCs/>
                <w:sz w:val="24"/>
                <w:szCs w:val="24"/>
              </w:rPr>
              <w:t>2.</w:t>
            </w:r>
            <w:r>
              <w:rPr>
                <w:b/>
                <w:bCs/>
                <w:sz w:val="24"/>
                <w:szCs w:val="24"/>
              </w:rPr>
              <w:t>9</w:t>
            </w:r>
            <w:r>
              <w:rPr>
                <w:rFonts w:hint="eastAsia"/>
                <w:b/>
                <w:bCs/>
                <w:sz w:val="24"/>
                <w:szCs w:val="24"/>
              </w:rPr>
              <w:t xml:space="preserve">-3 </w:t>
            </w:r>
            <w:r>
              <w:rPr>
                <w:b/>
                <w:bCs/>
                <w:sz w:val="24"/>
                <w:szCs w:val="24"/>
              </w:rPr>
              <w:t xml:space="preserve"> </w:t>
            </w:r>
            <w:r>
              <w:rPr>
                <w:rFonts w:hint="eastAsia"/>
                <w:b/>
                <w:bCs/>
                <w:sz w:val="24"/>
                <w:szCs w:val="24"/>
              </w:rPr>
              <w:t>检查井生产工艺流程及产污环节图</w:t>
            </w:r>
          </w:p>
          <w:p w14:paraId="510AEF26">
            <w:pPr>
              <w:pStyle w:val="66"/>
              <w:ind w:firstLine="480"/>
              <w:rPr>
                <w:kern w:val="2"/>
                <w:sz w:val="24"/>
                <w:szCs w:val="24"/>
              </w:rPr>
            </w:pPr>
            <w:r>
              <w:rPr>
                <w:rFonts w:hint="eastAsia"/>
                <w:kern w:val="2"/>
                <w:sz w:val="24"/>
                <w:szCs w:val="24"/>
              </w:rPr>
              <w:t>(2)生产工艺流程简介：</w:t>
            </w:r>
          </w:p>
          <w:p w14:paraId="137C253D">
            <w:pPr>
              <w:spacing w:line="360" w:lineRule="auto"/>
              <w:ind w:firstLine="480" w:firstLineChars="200"/>
              <w:rPr>
                <w:bCs/>
                <w:sz w:val="24"/>
              </w:rPr>
            </w:pPr>
            <w:r>
              <w:rPr>
                <w:bCs/>
                <w:sz w:val="24"/>
              </w:rPr>
              <w:t>①</w:t>
            </w:r>
            <w:r>
              <w:rPr>
                <w:rFonts w:hint="eastAsia"/>
                <w:bCs/>
                <w:sz w:val="24"/>
              </w:rPr>
              <w:t>来料：原材料运输过程主要采用汽车运输方式。</w:t>
            </w:r>
          </w:p>
          <w:p w14:paraId="79618672">
            <w:pPr>
              <w:spacing w:line="360" w:lineRule="auto"/>
              <w:ind w:firstLine="480" w:firstLineChars="200"/>
              <w:rPr>
                <w:bCs/>
                <w:sz w:val="24"/>
              </w:rPr>
            </w:pPr>
            <w:r>
              <w:rPr>
                <w:rFonts w:hint="eastAsia"/>
                <w:bCs/>
                <w:sz w:val="24"/>
              </w:rPr>
              <w:t>石子、砂子原料的运输储存：石子、砂子运输过程采用帆布遮盖，运至车间中石子、砂子堆场堆放，堆场定期喷水，保持堆料表层湿润，保持表层含水率≥10%，并用篷布遮盖；石子、砂子物料在卸料时，洒水抑尘。</w:t>
            </w:r>
          </w:p>
          <w:p w14:paraId="0622B052">
            <w:pPr>
              <w:spacing w:line="360" w:lineRule="auto"/>
              <w:ind w:firstLine="480" w:firstLineChars="200"/>
              <w:rPr>
                <w:bCs/>
                <w:sz w:val="24"/>
              </w:rPr>
            </w:pPr>
            <w:r>
              <w:rPr>
                <w:rFonts w:hint="eastAsia"/>
                <w:bCs/>
                <w:sz w:val="24"/>
              </w:rPr>
              <w:t>水泥原料的运输储存：采用密闭罐车运输，车间内设专用水泥储罐储存，</w:t>
            </w:r>
            <w:r>
              <w:rPr>
                <w:rFonts w:hint="eastAsia"/>
                <w:sz w:val="24"/>
              </w:rPr>
              <w:t>通过泵连接管道采用负压方式将水泥粉料打入水泥罐中，卸料过程为密闭。</w:t>
            </w:r>
          </w:p>
          <w:p w14:paraId="06C1C8A0">
            <w:pPr>
              <w:spacing w:line="360" w:lineRule="auto"/>
              <w:ind w:firstLine="480" w:firstLineChars="200"/>
              <w:rPr>
                <w:bCs/>
                <w:sz w:val="24"/>
              </w:rPr>
            </w:pPr>
            <w:r>
              <w:rPr>
                <w:rFonts w:hint="eastAsia"/>
                <w:bCs/>
                <w:sz w:val="24"/>
              </w:rPr>
              <w:t>②</w:t>
            </w:r>
            <w:r>
              <w:rPr>
                <w:bCs/>
                <w:sz w:val="24"/>
              </w:rPr>
              <w:t>配料、搅拌</w:t>
            </w:r>
          </w:p>
          <w:p w14:paraId="04FF9011">
            <w:pPr>
              <w:spacing w:line="360" w:lineRule="auto"/>
              <w:ind w:firstLine="480" w:firstLineChars="200"/>
              <w:rPr>
                <w:bCs/>
                <w:color w:val="FF0000"/>
                <w:sz w:val="24"/>
              </w:rPr>
            </w:pPr>
            <w:r>
              <w:rPr>
                <w:bCs/>
                <w:sz w:val="24"/>
              </w:rPr>
              <w:t>本项目生产过程中使用的石子</w:t>
            </w:r>
            <w:r>
              <w:rPr>
                <w:rFonts w:hint="eastAsia"/>
                <w:bCs/>
                <w:sz w:val="24"/>
              </w:rPr>
              <w:t>、砂子均采用皮带传输系统，</w:t>
            </w:r>
            <w:r>
              <w:rPr>
                <w:bCs/>
                <w:sz w:val="24"/>
              </w:rPr>
              <w:t>经皮带输送至备料斗内，备料斗</w:t>
            </w:r>
            <w:r>
              <w:rPr>
                <w:rFonts w:hint="eastAsia"/>
                <w:bCs/>
                <w:sz w:val="24"/>
              </w:rPr>
              <w:t>在输送</w:t>
            </w:r>
            <w:r>
              <w:rPr>
                <w:bCs/>
                <w:sz w:val="24"/>
              </w:rPr>
              <w:t>至搅拌机内，在投入混凝土配料</w:t>
            </w:r>
            <w:r>
              <w:rPr>
                <w:rFonts w:hint="eastAsia"/>
                <w:bCs/>
                <w:sz w:val="24"/>
              </w:rPr>
              <w:t>斗</w:t>
            </w:r>
            <w:r>
              <w:rPr>
                <w:bCs/>
                <w:sz w:val="24"/>
              </w:rPr>
              <w:t>的过程中会产生粉尘（计入</w:t>
            </w:r>
            <w:r>
              <w:rPr>
                <w:rFonts w:hint="eastAsia"/>
                <w:bCs/>
                <w:sz w:val="24"/>
              </w:rPr>
              <w:t>混合</w:t>
            </w:r>
            <w:r>
              <w:rPr>
                <w:bCs/>
                <w:sz w:val="24"/>
              </w:rPr>
              <w:t>搅拌工序中），</w:t>
            </w:r>
            <w:r>
              <w:rPr>
                <w:rFonts w:hint="eastAsia"/>
                <w:bCs/>
                <w:sz w:val="24"/>
              </w:rPr>
              <w:t>进料、下料和转运的上方加装半密闭的防尘罩；</w:t>
            </w:r>
            <w:r>
              <w:rPr>
                <w:bCs/>
                <w:sz w:val="24"/>
              </w:rPr>
              <w:t>水泥储存在水泥</w:t>
            </w:r>
            <w:r>
              <w:rPr>
                <w:rFonts w:hint="eastAsia"/>
                <w:bCs/>
                <w:sz w:val="24"/>
              </w:rPr>
              <w:t>罐</w:t>
            </w:r>
            <w:r>
              <w:rPr>
                <w:bCs/>
                <w:sz w:val="24"/>
              </w:rPr>
              <w:t>内通过密闭管道直接输送至搅拌机内</w:t>
            </w:r>
            <w:r>
              <w:rPr>
                <w:rFonts w:hint="eastAsia"/>
                <w:bCs/>
                <w:sz w:val="24"/>
              </w:rPr>
              <w:t>，水泥输料系统、计量系统均采用密闭式管道输料；</w:t>
            </w:r>
            <w:r>
              <w:rPr>
                <w:bCs/>
                <w:sz w:val="24"/>
              </w:rPr>
              <w:t>水通过自来水管道输送</w:t>
            </w:r>
            <w:r>
              <w:rPr>
                <w:rFonts w:hint="eastAsia"/>
                <w:bCs/>
                <w:sz w:val="24"/>
              </w:rPr>
              <w:t>；</w:t>
            </w:r>
            <w:r>
              <w:rPr>
                <w:bCs/>
                <w:sz w:val="24"/>
              </w:rPr>
              <w:t>水泥、石子</w:t>
            </w:r>
            <w:r>
              <w:rPr>
                <w:rFonts w:hint="eastAsia"/>
                <w:bCs/>
                <w:sz w:val="24"/>
              </w:rPr>
              <w:t>、砂子</w:t>
            </w:r>
            <w:r>
              <w:rPr>
                <w:bCs/>
                <w:sz w:val="24"/>
              </w:rPr>
              <w:t>和水送入搅拌机后即密闭</w:t>
            </w:r>
            <w:r>
              <w:rPr>
                <w:rFonts w:hint="eastAsia"/>
                <w:bCs/>
                <w:sz w:val="24"/>
              </w:rPr>
              <w:t>湿法</w:t>
            </w:r>
            <w:r>
              <w:rPr>
                <w:bCs/>
                <w:sz w:val="24"/>
              </w:rPr>
              <w:t>搅拌成混凝土，在搅拌的过程中</w:t>
            </w:r>
            <w:r>
              <w:rPr>
                <w:rFonts w:hint="eastAsia"/>
                <w:bCs/>
                <w:sz w:val="24"/>
              </w:rPr>
              <w:t>会产生少量</w:t>
            </w:r>
            <w:r>
              <w:rPr>
                <w:bCs/>
                <w:sz w:val="24"/>
              </w:rPr>
              <w:t>粉尘</w:t>
            </w:r>
            <w:r>
              <w:rPr>
                <w:rFonts w:hint="eastAsia"/>
                <w:bCs/>
                <w:sz w:val="24"/>
              </w:rPr>
              <w:t>和</w:t>
            </w:r>
            <w:r>
              <w:rPr>
                <w:bCs/>
                <w:sz w:val="24"/>
              </w:rPr>
              <w:t>噪声，水泥</w:t>
            </w:r>
            <w:r>
              <w:rPr>
                <w:rFonts w:hint="eastAsia"/>
                <w:bCs/>
                <w:sz w:val="24"/>
              </w:rPr>
              <w:t>罐</w:t>
            </w:r>
            <w:r>
              <w:rPr>
                <w:bCs/>
                <w:sz w:val="24"/>
              </w:rPr>
              <w:t>会产生呼吸粉尘。</w:t>
            </w:r>
          </w:p>
          <w:p w14:paraId="54F55C66">
            <w:pPr>
              <w:spacing w:line="360" w:lineRule="auto"/>
              <w:ind w:firstLine="480" w:firstLineChars="200"/>
              <w:rPr>
                <w:bCs/>
                <w:sz w:val="24"/>
              </w:rPr>
            </w:pPr>
            <w:r>
              <w:rPr>
                <w:bCs/>
                <w:sz w:val="24"/>
              </w:rPr>
              <w:fldChar w:fldCharType="begin"/>
            </w:r>
            <w:r>
              <w:rPr>
                <w:bCs/>
                <w:sz w:val="24"/>
              </w:rPr>
              <w:instrText xml:space="preserve"> = 3 \* GB3 \* MERGEFORMAT </w:instrText>
            </w:r>
            <w:r>
              <w:rPr>
                <w:bCs/>
                <w:sz w:val="24"/>
              </w:rPr>
              <w:fldChar w:fldCharType="separate"/>
            </w:r>
            <w:r>
              <w:rPr>
                <w:sz w:val="24"/>
              </w:rPr>
              <w:t>③</w:t>
            </w:r>
            <w:r>
              <w:rPr>
                <w:bCs/>
                <w:sz w:val="24"/>
              </w:rPr>
              <w:fldChar w:fldCharType="end"/>
            </w:r>
            <w:r>
              <w:rPr>
                <w:bCs/>
                <w:sz w:val="24"/>
              </w:rPr>
              <w:t>钢筋加工</w:t>
            </w:r>
          </w:p>
          <w:p w14:paraId="653AC4B5">
            <w:pPr>
              <w:spacing w:line="360" w:lineRule="auto"/>
              <w:ind w:firstLine="480" w:firstLineChars="200"/>
              <w:rPr>
                <w:bCs/>
                <w:sz w:val="24"/>
              </w:rPr>
            </w:pPr>
            <w:r>
              <w:rPr>
                <w:bCs/>
                <w:sz w:val="24"/>
              </w:rPr>
              <w:t>钢筋骨架的主筋由人工穿过固定旋转盘相应模板圆孔至移动旋转盘的相应孔中进行固定，把盘筋端先焊接在一根主筋上，然后通过固定旋转盘及移动旋转盘转动把盘筋缠绕在主筋上（移动旋转盘一边旋转一边后移），同时进行焊接，从而形成钢筋骨架。此过程产生</w:t>
            </w:r>
            <w:r>
              <w:rPr>
                <w:rFonts w:hint="eastAsia"/>
                <w:bCs/>
                <w:sz w:val="24"/>
              </w:rPr>
              <w:t>焊接烟尘、</w:t>
            </w:r>
            <w:r>
              <w:rPr>
                <w:bCs/>
                <w:sz w:val="24"/>
              </w:rPr>
              <w:t>噪声和</w:t>
            </w:r>
            <w:r>
              <w:rPr>
                <w:rFonts w:hint="eastAsia"/>
                <w:bCs/>
                <w:sz w:val="24"/>
              </w:rPr>
              <w:t>钢筋边角料</w:t>
            </w:r>
            <w:r>
              <w:rPr>
                <w:bCs/>
                <w:sz w:val="24"/>
              </w:rPr>
              <w:t>。</w:t>
            </w:r>
          </w:p>
          <w:p w14:paraId="210E6653">
            <w:pPr>
              <w:spacing w:line="360" w:lineRule="auto"/>
              <w:ind w:firstLine="480" w:firstLineChars="200"/>
              <w:rPr>
                <w:bCs/>
                <w:sz w:val="24"/>
              </w:rPr>
            </w:pPr>
            <w:r>
              <w:rPr>
                <w:rFonts w:hint="eastAsia"/>
                <w:sz w:val="24"/>
              </w:rPr>
              <w:fldChar w:fldCharType="begin"/>
            </w:r>
            <w:r>
              <w:rPr>
                <w:rFonts w:hint="eastAsia"/>
                <w:sz w:val="24"/>
              </w:rPr>
              <w:instrText xml:space="preserve"> = 4 \* GB3 \* MERGEFORMAT </w:instrText>
            </w:r>
            <w:r>
              <w:rPr>
                <w:rFonts w:hint="eastAsia"/>
                <w:sz w:val="24"/>
              </w:rPr>
              <w:fldChar w:fldCharType="separate"/>
            </w:r>
            <w:r>
              <w:rPr>
                <w:sz w:val="24"/>
              </w:rPr>
              <w:t>④</w:t>
            </w:r>
            <w:r>
              <w:rPr>
                <w:rFonts w:hint="eastAsia"/>
                <w:sz w:val="24"/>
              </w:rPr>
              <w:fldChar w:fldCharType="end"/>
            </w:r>
            <w:r>
              <w:rPr>
                <w:rFonts w:hint="eastAsia"/>
                <w:bCs/>
                <w:sz w:val="24"/>
              </w:rPr>
              <w:t>装模</w:t>
            </w:r>
          </w:p>
          <w:p w14:paraId="1E2113D1">
            <w:pPr>
              <w:spacing w:line="360" w:lineRule="auto"/>
              <w:ind w:firstLine="480" w:firstLineChars="200"/>
              <w:rPr>
                <w:bCs/>
                <w:sz w:val="24"/>
              </w:rPr>
            </w:pPr>
            <w:r>
              <w:rPr>
                <w:bCs/>
                <w:sz w:val="24"/>
              </w:rPr>
              <w:t>模具采用两个半模进行拼装，将制作好的钢筋骨架放入模具中，将各个部位的连接紧固牢靠，把合好的模具通过叉车放到制管机工作台上。</w:t>
            </w:r>
          </w:p>
          <w:p w14:paraId="4C807133">
            <w:pPr>
              <w:spacing w:line="360" w:lineRule="auto"/>
              <w:ind w:firstLine="480" w:firstLineChars="200"/>
              <w:rPr>
                <w:bCs/>
                <w:sz w:val="24"/>
              </w:rPr>
            </w:pPr>
            <w:r>
              <w:rPr>
                <w:rFonts w:hint="eastAsia"/>
                <w:sz w:val="24"/>
              </w:rPr>
              <w:t>⑤</w:t>
            </w:r>
            <w:r>
              <w:rPr>
                <w:bCs/>
                <w:sz w:val="24"/>
              </w:rPr>
              <w:t>成型</w:t>
            </w:r>
          </w:p>
          <w:p w14:paraId="424CDBE5">
            <w:pPr>
              <w:spacing w:line="360" w:lineRule="auto"/>
              <w:ind w:firstLine="480" w:firstLineChars="200"/>
              <w:rPr>
                <w:bCs/>
                <w:sz w:val="24"/>
              </w:rPr>
            </w:pPr>
            <w:r>
              <w:rPr>
                <w:bCs/>
                <w:sz w:val="24"/>
              </w:rPr>
              <w:t>本项目水泥顶管和水泥排水管采用芯模振动机</w:t>
            </w:r>
            <w:r>
              <w:rPr>
                <w:rFonts w:hint="eastAsia"/>
                <w:bCs/>
                <w:sz w:val="24"/>
              </w:rPr>
              <w:t>、升芯振动机、立式振动机</w:t>
            </w:r>
            <w:r>
              <w:rPr>
                <w:bCs/>
                <w:sz w:val="24"/>
              </w:rPr>
              <w:t>成型，以较小的驱动功率产生大的激振力使混凝土快速密实。</w:t>
            </w:r>
          </w:p>
          <w:p w14:paraId="779734FB">
            <w:pPr>
              <w:spacing w:line="360" w:lineRule="auto"/>
              <w:ind w:firstLine="480" w:firstLineChars="200"/>
              <w:rPr>
                <w:bCs/>
                <w:sz w:val="24"/>
              </w:rPr>
            </w:pPr>
            <w:r>
              <w:rPr>
                <w:rFonts w:hint="eastAsia"/>
                <w:sz w:val="24"/>
              </w:rPr>
              <w:fldChar w:fldCharType="begin"/>
            </w:r>
            <w:r>
              <w:rPr>
                <w:rFonts w:hint="eastAsia"/>
                <w:sz w:val="24"/>
              </w:rPr>
              <w:instrText xml:space="preserve"> = 6 \* GB3 \* MERGEFORMAT </w:instrText>
            </w:r>
            <w:r>
              <w:rPr>
                <w:rFonts w:hint="eastAsia"/>
                <w:sz w:val="24"/>
              </w:rPr>
              <w:fldChar w:fldCharType="separate"/>
            </w:r>
            <w:r>
              <w:rPr>
                <w:rFonts w:hint="eastAsia"/>
                <w:sz w:val="24"/>
              </w:rPr>
              <w:t>⑥</w:t>
            </w:r>
            <w:r>
              <w:rPr>
                <w:rFonts w:hint="eastAsia"/>
                <w:sz w:val="24"/>
              </w:rPr>
              <w:fldChar w:fldCharType="end"/>
            </w:r>
            <w:r>
              <w:rPr>
                <w:rFonts w:hint="eastAsia"/>
                <w:bCs/>
                <w:sz w:val="24"/>
              </w:rPr>
              <w:t>拆</w:t>
            </w:r>
            <w:r>
              <w:rPr>
                <w:bCs/>
                <w:sz w:val="24"/>
              </w:rPr>
              <w:t>模、养护</w:t>
            </w:r>
          </w:p>
          <w:p w14:paraId="481C3CE5">
            <w:pPr>
              <w:spacing w:line="360" w:lineRule="auto"/>
              <w:ind w:firstLine="480" w:firstLineChars="200"/>
              <w:rPr>
                <w:bCs/>
                <w:sz w:val="24"/>
              </w:rPr>
            </w:pPr>
            <w:r>
              <w:rPr>
                <w:bCs/>
                <w:sz w:val="24"/>
              </w:rPr>
              <w:t>成型完毕的水泥制品通过叉车运送至成品区，并立即</w:t>
            </w:r>
            <w:r>
              <w:rPr>
                <w:rFonts w:hint="eastAsia"/>
                <w:bCs/>
                <w:sz w:val="24"/>
              </w:rPr>
              <w:t>拆</w:t>
            </w:r>
            <w:r>
              <w:rPr>
                <w:bCs/>
                <w:sz w:val="24"/>
              </w:rPr>
              <w:t>模</w:t>
            </w:r>
            <w:r>
              <w:rPr>
                <w:rFonts w:hint="eastAsia"/>
                <w:bCs/>
                <w:sz w:val="24"/>
              </w:rPr>
              <w:t>，</w:t>
            </w:r>
            <w:r>
              <w:rPr>
                <w:bCs/>
                <w:sz w:val="24"/>
              </w:rPr>
              <w:t>水泥制品</w:t>
            </w:r>
            <w:r>
              <w:rPr>
                <w:rFonts w:hint="eastAsia"/>
                <w:bCs/>
                <w:sz w:val="24"/>
              </w:rPr>
              <w:t>再</w:t>
            </w:r>
            <w:r>
              <w:rPr>
                <w:bCs/>
                <w:sz w:val="24"/>
              </w:rPr>
              <w:t>进行自然养护，强度达到98%以上后，即得到成品。</w:t>
            </w:r>
          </w:p>
          <w:p w14:paraId="5FE605E2">
            <w:pPr>
              <w:spacing w:line="360" w:lineRule="auto"/>
              <w:ind w:firstLine="480" w:firstLineChars="200"/>
              <w:rPr>
                <w:bCs/>
                <w:sz w:val="24"/>
              </w:rPr>
            </w:pPr>
            <w:r>
              <w:rPr>
                <w:bCs/>
                <w:sz w:val="24"/>
              </w:rPr>
              <w:t>芯模振动机优点：芯模振动机成型时通过对内模振动力和振幅的调整，以较佳的振动力密实混凝土，且一个规格只需一套模具，所以成型的水泥管圆度、管径尺寸标准，并且在制管结束可以立即进行</w:t>
            </w:r>
            <w:r>
              <w:rPr>
                <w:rFonts w:hint="eastAsia"/>
                <w:bCs/>
                <w:sz w:val="24"/>
              </w:rPr>
              <w:t>拆</w:t>
            </w:r>
            <w:r>
              <w:rPr>
                <w:bCs/>
                <w:sz w:val="24"/>
              </w:rPr>
              <w:t>模处理。</w:t>
            </w:r>
          </w:p>
          <w:p w14:paraId="7C7A30FC">
            <w:pPr>
              <w:numPr>
                <w:ilvl w:val="0"/>
                <w:numId w:val="6"/>
              </w:numPr>
              <w:spacing w:line="360" w:lineRule="auto"/>
              <w:ind w:firstLine="480" w:firstLineChars="200"/>
              <w:rPr>
                <w:sz w:val="24"/>
              </w:rPr>
            </w:pPr>
            <w:r>
              <w:rPr>
                <w:rFonts w:hint="eastAsia"/>
                <w:sz w:val="24"/>
              </w:rPr>
              <w:t>产污环节</w:t>
            </w:r>
          </w:p>
          <w:p w14:paraId="49D2D1B5">
            <w:pPr>
              <w:spacing w:line="360" w:lineRule="auto"/>
              <w:ind w:firstLine="480" w:firstLineChars="200"/>
              <w:rPr>
                <w:sz w:val="24"/>
              </w:rPr>
            </w:pPr>
            <w:r>
              <w:rPr>
                <w:rFonts w:hint="eastAsia"/>
                <w:sz w:val="24"/>
              </w:rPr>
              <w:t>本项目</w:t>
            </w:r>
            <w:r>
              <w:rPr>
                <w:sz w:val="24"/>
              </w:rPr>
              <w:t>运营期</w:t>
            </w:r>
            <w:r>
              <w:rPr>
                <w:rFonts w:hint="eastAsia"/>
                <w:sz w:val="24"/>
              </w:rPr>
              <w:t>产污</w:t>
            </w:r>
            <w:r>
              <w:rPr>
                <w:sz w:val="24"/>
              </w:rPr>
              <w:t>环节汇总见下表</w:t>
            </w:r>
            <w:r>
              <w:rPr>
                <w:rFonts w:hint="eastAsia"/>
                <w:sz w:val="24"/>
              </w:rPr>
              <w:t>2.9-1</w:t>
            </w:r>
            <w:r>
              <w:rPr>
                <w:sz w:val="24"/>
              </w:rPr>
              <w:t>。</w:t>
            </w:r>
          </w:p>
          <w:p w14:paraId="254092DF">
            <w:pPr>
              <w:pStyle w:val="66"/>
              <w:spacing w:line="240" w:lineRule="auto"/>
              <w:ind w:firstLine="482"/>
              <w:jc w:val="center"/>
              <w:rPr>
                <w:b/>
                <w:sz w:val="24"/>
                <w:szCs w:val="24"/>
              </w:rPr>
            </w:pPr>
            <w:r>
              <w:rPr>
                <w:rFonts w:hint="eastAsia"/>
                <w:b/>
                <w:sz w:val="24"/>
                <w:szCs w:val="24"/>
              </w:rPr>
              <w:t>表2.</w:t>
            </w:r>
            <w:r>
              <w:rPr>
                <w:b/>
                <w:sz w:val="24"/>
                <w:szCs w:val="24"/>
              </w:rPr>
              <w:t>9</w:t>
            </w:r>
            <w:r>
              <w:rPr>
                <w:rFonts w:hint="eastAsia"/>
                <w:b/>
                <w:sz w:val="24"/>
                <w:szCs w:val="24"/>
              </w:rPr>
              <w:t xml:space="preserve">-1 </w:t>
            </w:r>
            <w:r>
              <w:rPr>
                <w:b/>
                <w:sz w:val="24"/>
                <w:szCs w:val="24"/>
              </w:rPr>
              <w:t xml:space="preserve"> </w:t>
            </w:r>
            <w:r>
              <w:rPr>
                <w:rFonts w:hint="eastAsia"/>
                <w:b/>
                <w:sz w:val="24"/>
                <w:szCs w:val="24"/>
              </w:rPr>
              <w:t>项目运营期产污环节汇总一览表</w:t>
            </w:r>
          </w:p>
          <w:tbl>
            <w:tblPr>
              <w:tblStyle w:val="34"/>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5"/>
              <w:gridCol w:w="854"/>
              <w:gridCol w:w="1109"/>
              <w:gridCol w:w="2040"/>
              <w:gridCol w:w="3682"/>
            </w:tblGrid>
            <w:tr w14:paraId="61557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tcMar>
                    <w:top w:w="0" w:type="dxa"/>
                    <w:left w:w="51" w:type="dxa"/>
                    <w:bottom w:w="0" w:type="dxa"/>
                    <w:right w:w="51" w:type="dxa"/>
                  </w:tcMar>
                  <w:vAlign w:val="center"/>
                </w:tcPr>
                <w:p w14:paraId="6629996A">
                  <w:pPr>
                    <w:widowControl/>
                    <w:adjustRightInd/>
                    <w:snapToGrid/>
                    <w:jc w:val="center"/>
                    <w:rPr>
                      <w:kern w:val="0"/>
                      <w:szCs w:val="21"/>
                    </w:rPr>
                  </w:pPr>
                  <w:r>
                    <w:rPr>
                      <w:kern w:val="0"/>
                      <w:szCs w:val="21"/>
                    </w:rPr>
                    <w:t>序号</w:t>
                  </w:r>
                </w:p>
              </w:tc>
              <w:tc>
                <w:tcPr>
                  <w:tcW w:w="854" w:type="dxa"/>
                  <w:tcMar>
                    <w:top w:w="0" w:type="dxa"/>
                    <w:left w:w="51" w:type="dxa"/>
                    <w:bottom w:w="0" w:type="dxa"/>
                    <w:right w:w="51" w:type="dxa"/>
                  </w:tcMar>
                  <w:vAlign w:val="center"/>
                </w:tcPr>
                <w:p w14:paraId="031BB407">
                  <w:pPr>
                    <w:widowControl/>
                    <w:adjustRightInd/>
                    <w:snapToGrid/>
                    <w:jc w:val="center"/>
                    <w:rPr>
                      <w:kern w:val="0"/>
                      <w:szCs w:val="21"/>
                    </w:rPr>
                  </w:pPr>
                  <w:r>
                    <w:rPr>
                      <w:kern w:val="0"/>
                      <w:szCs w:val="21"/>
                    </w:rPr>
                    <w:t>污染源</w:t>
                  </w:r>
                </w:p>
              </w:tc>
              <w:tc>
                <w:tcPr>
                  <w:tcW w:w="1109" w:type="dxa"/>
                  <w:tcBorders>
                    <w:left w:val="single" w:color="000000" w:sz="4" w:space="0"/>
                    <w:right w:val="single" w:color="000000" w:sz="4" w:space="0"/>
                  </w:tcBorders>
                  <w:tcMar>
                    <w:top w:w="0" w:type="dxa"/>
                    <w:left w:w="51" w:type="dxa"/>
                    <w:bottom w:w="0" w:type="dxa"/>
                    <w:right w:w="51" w:type="dxa"/>
                  </w:tcMar>
                  <w:vAlign w:val="center"/>
                </w:tcPr>
                <w:p w14:paraId="31A6167D">
                  <w:pPr>
                    <w:widowControl/>
                    <w:adjustRightInd/>
                    <w:snapToGrid/>
                    <w:jc w:val="center"/>
                    <w:rPr>
                      <w:kern w:val="0"/>
                      <w:szCs w:val="21"/>
                    </w:rPr>
                  </w:pPr>
                  <w:r>
                    <w:rPr>
                      <w:rFonts w:hint="eastAsia"/>
                      <w:kern w:val="0"/>
                      <w:szCs w:val="21"/>
                    </w:rPr>
                    <w:t>产污工序</w:t>
                  </w:r>
                </w:p>
              </w:tc>
              <w:tc>
                <w:tcPr>
                  <w:tcW w:w="2040" w:type="dxa"/>
                  <w:tcBorders>
                    <w:left w:val="single" w:color="000000" w:sz="4" w:space="0"/>
                    <w:right w:val="single" w:color="000000" w:sz="4" w:space="0"/>
                  </w:tcBorders>
                  <w:tcMar>
                    <w:top w:w="0" w:type="dxa"/>
                    <w:left w:w="51" w:type="dxa"/>
                    <w:bottom w:w="0" w:type="dxa"/>
                    <w:right w:w="51" w:type="dxa"/>
                  </w:tcMar>
                  <w:vAlign w:val="center"/>
                </w:tcPr>
                <w:p w14:paraId="22CB36D6">
                  <w:pPr>
                    <w:widowControl/>
                    <w:adjustRightInd/>
                    <w:snapToGrid/>
                    <w:jc w:val="center"/>
                    <w:rPr>
                      <w:kern w:val="0"/>
                      <w:szCs w:val="21"/>
                    </w:rPr>
                  </w:pPr>
                  <w:r>
                    <w:rPr>
                      <w:kern w:val="0"/>
                      <w:szCs w:val="21"/>
                    </w:rPr>
                    <w:t>污染物</w:t>
                  </w:r>
                  <w:r>
                    <w:rPr>
                      <w:rFonts w:hint="eastAsia"/>
                      <w:kern w:val="0"/>
                      <w:szCs w:val="21"/>
                    </w:rPr>
                    <w:t>因子</w:t>
                  </w:r>
                </w:p>
              </w:tc>
              <w:tc>
                <w:tcPr>
                  <w:tcW w:w="3682" w:type="dxa"/>
                  <w:tcBorders>
                    <w:left w:val="single" w:color="000000" w:sz="4" w:space="0"/>
                  </w:tcBorders>
                  <w:tcMar>
                    <w:top w:w="0" w:type="dxa"/>
                    <w:left w:w="51" w:type="dxa"/>
                    <w:bottom w:w="0" w:type="dxa"/>
                    <w:right w:w="51" w:type="dxa"/>
                  </w:tcMar>
                  <w:vAlign w:val="center"/>
                </w:tcPr>
                <w:p w14:paraId="4F59424A">
                  <w:pPr>
                    <w:widowControl/>
                    <w:adjustRightInd/>
                    <w:snapToGrid/>
                    <w:jc w:val="center"/>
                    <w:rPr>
                      <w:kern w:val="0"/>
                      <w:szCs w:val="21"/>
                    </w:rPr>
                  </w:pPr>
                  <w:r>
                    <w:rPr>
                      <w:szCs w:val="21"/>
                    </w:rPr>
                    <w:t>处置措施</w:t>
                  </w:r>
                  <w:r>
                    <w:rPr>
                      <w:rFonts w:hint="eastAsia"/>
                      <w:szCs w:val="21"/>
                    </w:rPr>
                    <w:t>及去向</w:t>
                  </w:r>
                </w:p>
              </w:tc>
            </w:tr>
            <w:tr w14:paraId="684FD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restart"/>
                  <w:tcMar>
                    <w:top w:w="0" w:type="dxa"/>
                    <w:left w:w="51" w:type="dxa"/>
                    <w:bottom w:w="0" w:type="dxa"/>
                    <w:right w:w="51" w:type="dxa"/>
                  </w:tcMar>
                  <w:vAlign w:val="center"/>
                </w:tcPr>
                <w:p w14:paraId="67DF1831">
                  <w:pPr>
                    <w:widowControl/>
                    <w:adjustRightInd/>
                    <w:snapToGrid/>
                    <w:jc w:val="center"/>
                    <w:rPr>
                      <w:kern w:val="0"/>
                      <w:szCs w:val="21"/>
                    </w:rPr>
                  </w:pPr>
                  <w:r>
                    <w:rPr>
                      <w:kern w:val="0"/>
                      <w:szCs w:val="21"/>
                    </w:rPr>
                    <w:t>1</w:t>
                  </w:r>
                </w:p>
              </w:tc>
              <w:tc>
                <w:tcPr>
                  <w:tcW w:w="854" w:type="dxa"/>
                  <w:vMerge w:val="restart"/>
                  <w:tcMar>
                    <w:top w:w="0" w:type="dxa"/>
                    <w:left w:w="51" w:type="dxa"/>
                    <w:bottom w:w="0" w:type="dxa"/>
                    <w:right w:w="51" w:type="dxa"/>
                  </w:tcMar>
                  <w:vAlign w:val="center"/>
                </w:tcPr>
                <w:p w14:paraId="1591EF5B">
                  <w:pPr>
                    <w:widowControl/>
                    <w:adjustRightInd/>
                    <w:snapToGrid/>
                    <w:jc w:val="center"/>
                    <w:rPr>
                      <w:kern w:val="0"/>
                      <w:szCs w:val="21"/>
                    </w:rPr>
                  </w:pPr>
                  <w:r>
                    <w:rPr>
                      <w:kern w:val="0"/>
                      <w:szCs w:val="21"/>
                    </w:rPr>
                    <w:t>废水</w:t>
                  </w:r>
                </w:p>
              </w:tc>
              <w:tc>
                <w:tcPr>
                  <w:tcW w:w="1109" w:type="dxa"/>
                  <w:tcBorders>
                    <w:left w:val="single" w:color="000000" w:sz="4" w:space="0"/>
                    <w:right w:val="single" w:color="000000" w:sz="4" w:space="0"/>
                  </w:tcBorders>
                  <w:tcMar>
                    <w:top w:w="0" w:type="dxa"/>
                    <w:left w:w="51" w:type="dxa"/>
                    <w:bottom w:w="0" w:type="dxa"/>
                    <w:right w:w="51" w:type="dxa"/>
                  </w:tcMar>
                  <w:vAlign w:val="center"/>
                </w:tcPr>
                <w:p w14:paraId="4873C936">
                  <w:pPr>
                    <w:widowControl/>
                    <w:adjustRightInd/>
                    <w:snapToGrid/>
                    <w:jc w:val="center"/>
                    <w:rPr>
                      <w:kern w:val="0"/>
                      <w:szCs w:val="21"/>
                    </w:rPr>
                  </w:pPr>
                  <w:r>
                    <w:rPr>
                      <w:kern w:val="0"/>
                      <w:szCs w:val="21"/>
                    </w:rPr>
                    <w:t>职工</w:t>
                  </w:r>
                  <w:r>
                    <w:rPr>
                      <w:rFonts w:hint="eastAsia"/>
                      <w:kern w:val="0"/>
                      <w:szCs w:val="21"/>
                    </w:rPr>
                    <w:t>生活污水</w:t>
                  </w:r>
                </w:p>
              </w:tc>
              <w:tc>
                <w:tcPr>
                  <w:tcW w:w="2040" w:type="dxa"/>
                  <w:tcBorders>
                    <w:left w:val="single" w:color="000000" w:sz="4" w:space="0"/>
                    <w:right w:val="single" w:color="000000" w:sz="4" w:space="0"/>
                  </w:tcBorders>
                  <w:tcMar>
                    <w:top w:w="0" w:type="dxa"/>
                    <w:left w:w="51" w:type="dxa"/>
                    <w:bottom w:w="0" w:type="dxa"/>
                    <w:right w:w="51" w:type="dxa"/>
                  </w:tcMar>
                  <w:vAlign w:val="center"/>
                </w:tcPr>
                <w:p w14:paraId="79D2E9F4">
                  <w:pPr>
                    <w:widowControl/>
                    <w:adjustRightInd/>
                    <w:snapToGrid/>
                    <w:jc w:val="center"/>
                    <w:rPr>
                      <w:kern w:val="0"/>
                      <w:szCs w:val="21"/>
                    </w:rPr>
                  </w:pPr>
                  <w:r>
                    <w:rPr>
                      <w:kern w:val="0"/>
                      <w:szCs w:val="21"/>
                    </w:rPr>
                    <w:t>pH、COD、BOD</w:t>
                  </w:r>
                  <w:r>
                    <w:rPr>
                      <w:kern w:val="0"/>
                      <w:szCs w:val="21"/>
                      <w:vertAlign w:val="subscript"/>
                    </w:rPr>
                    <w:t>5</w:t>
                  </w:r>
                  <w:r>
                    <w:rPr>
                      <w:kern w:val="0"/>
                      <w:szCs w:val="21"/>
                    </w:rPr>
                    <w:t>、SS、氨氮</w:t>
                  </w:r>
                  <w:r>
                    <w:rPr>
                      <w:rFonts w:hint="eastAsia"/>
                      <w:kern w:val="0"/>
                      <w:szCs w:val="21"/>
                    </w:rPr>
                    <w:t>、动植物油</w:t>
                  </w:r>
                </w:p>
              </w:tc>
              <w:tc>
                <w:tcPr>
                  <w:tcW w:w="3682" w:type="dxa"/>
                  <w:tcBorders>
                    <w:left w:val="single" w:color="000000" w:sz="4" w:space="0"/>
                  </w:tcBorders>
                  <w:tcMar>
                    <w:top w:w="0" w:type="dxa"/>
                    <w:left w:w="51" w:type="dxa"/>
                    <w:bottom w:w="0" w:type="dxa"/>
                    <w:right w:w="51" w:type="dxa"/>
                  </w:tcMar>
                  <w:vAlign w:val="center"/>
                </w:tcPr>
                <w:p w14:paraId="4189365F">
                  <w:pPr>
                    <w:widowControl/>
                    <w:adjustRightInd/>
                    <w:snapToGrid/>
                    <w:jc w:val="center"/>
                    <w:rPr>
                      <w:kern w:val="0"/>
                      <w:szCs w:val="21"/>
                    </w:rPr>
                  </w:pPr>
                  <w:r>
                    <w:t>生活污</w:t>
                  </w:r>
                  <w:r>
                    <w:rPr>
                      <w:rFonts w:hint="eastAsia"/>
                    </w:rPr>
                    <w:t>水经</w:t>
                  </w:r>
                  <w:r>
                    <w:rPr>
                      <w:szCs w:val="21"/>
                    </w:rPr>
                    <w:t>化粪池预处理后接入市政污水管网</w:t>
                  </w:r>
                  <w:r>
                    <w:rPr>
                      <w:rFonts w:hint="eastAsia"/>
                      <w:szCs w:val="21"/>
                    </w:rPr>
                    <w:t>进入江阴污水处理厂处理。</w:t>
                  </w:r>
                </w:p>
              </w:tc>
            </w:tr>
            <w:tr w14:paraId="1E282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Mar>
                    <w:top w:w="0" w:type="dxa"/>
                    <w:left w:w="51" w:type="dxa"/>
                    <w:bottom w:w="0" w:type="dxa"/>
                    <w:right w:w="51" w:type="dxa"/>
                  </w:tcMar>
                  <w:vAlign w:val="center"/>
                </w:tcPr>
                <w:p w14:paraId="200A3815">
                  <w:pPr>
                    <w:widowControl/>
                    <w:adjustRightInd/>
                    <w:snapToGrid/>
                    <w:jc w:val="center"/>
                    <w:rPr>
                      <w:kern w:val="0"/>
                      <w:szCs w:val="21"/>
                    </w:rPr>
                  </w:pPr>
                </w:p>
              </w:tc>
              <w:tc>
                <w:tcPr>
                  <w:tcW w:w="854" w:type="dxa"/>
                  <w:vMerge w:val="continue"/>
                  <w:tcMar>
                    <w:top w:w="0" w:type="dxa"/>
                    <w:left w:w="51" w:type="dxa"/>
                    <w:bottom w:w="0" w:type="dxa"/>
                    <w:right w:w="51" w:type="dxa"/>
                  </w:tcMar>
                  <w:vAlign w:val="center"/>
                </w:tcPr>
                <w:p w14:paraId="23FF4136">
                  <w:pPr>
                    <w:widowControl/>
                    <w:adjustRightInd/>
                    <w:snapToGrid/>
                    <w:jc w:val="center"/>
                    <w:rPr>
                      <w:kern w:val="0"/>
                      <w:szCs w:val="21"/>
                    </w:rPr>
                  </w:pPr>
                </w:p>
              </w:tc>
              <w:tc>
                <w:tcPr>
                  <w:tcW w:w="1109" w:type="dxa"/>
                  <w:tcBorders>
                    <w:left w:val="single" w:color="000000" w:sz="4" w:space="0"/>
                    <w:right w:val="single" w:color="000000" w:sz="4" w:space="0"/>
                  </w:tcBorders>
                  <w:tcMar>
                    <w:top w:w="0" w:type="dxa"/>
                    <w:left w:w="51" w:type="dxa"/>
                    <w:bottom w:w="0" w:type="dxa"/>
                    <w:right w:w="51" w:type="dxa"/>
                  </w:tcMar>
                  <w:vAlign w:val="center"/>
                </w:tcPr>
                <w:p w14:paraId="18B8B03C">
                  <w:pPr>
                    <w:widowControl/>
                    <w:adjustRightInd/>
                    <w:snapToGrid/>
                    <w:jc w:val="center"/>
                    <w:rPr>
                      <w:kern w:val="0"/>
                      <w:szCs w:val="21"/>
                    </w:rPr>
                  </w:pPr>
                  <w:r>
                    <w:rPr>
                      <w:rFonts w:hint="eastAsia"/>
                      <w:kern w:val="0"/>
                      <w:szCs w:val="21"/>
                    </w:rPr>
                    <w:t>初期雨水、生产废水（搅拌机清洗废水、道路清洗废水）</w:t>
                  </w:r>
                </w:p>
              </w:tc>
              <w:tc>
                <w:tcPr>
                  <w:tcW w:w="2040" w:type="dxa"/>
                  <w:tcBorders>
                    <w:left w:val="single" w:color="000000" w:sz="4" w:space="0"/>
                    <w:right w:val="single" w:color="000000" w:sz="4" w:space="0"/>
                  </w:tcBorders>
                  <w:tcMar>
                    <w:top w:w="0" w:type="dxa"/>
                    <w:left w:w="51" w:type="dxa"/>
                    <w:bottom w:w="0" w:type="dxa"/>
                    <w:right w:w="51" w:type="dxa"/>
                  </w:tcMar>
                  <w:vAlign w:val="center"/>
                </w:tcPr>
                <w:p w14:paraId="34CE7382">
                  <w:pPr>
                    <w:widowControl/>
                    <w:adjustRightInd/>
                    <w:snapToGrid/>
                    <w:jc w:val="center"/>
                    <w:rPr>
                      <w:kern w:val="0"/>
                      <w:szCs w:val="21"/>
                    </w:rPr>
                  </w:pPr>
                  <w:r>
                    <w:rPr>
                      <w:rFonts w:hint="eastAsia"/>
                      <w:kern w:val="0"/>
                      <w:szCs w:val="21"/>
                    </w:rPr>
                    <w:t>SS</w:t>
                  </w:r>
                </w:p>
              </w:tc>
              <w:tc>
                <w:tcPr>
                  <w:tcW w:w="3682" w:type="dxa"/>
                  <w:tcBorders>
                    <w:left w:val="single" w:color="000000" w:sz="4" w:space="0"/>
                  </w:tcBorders>
                  <w:tcMar>
                    <w:top w:w="0" w:type="dxa"/>
                    <w:left w:w="51" w:type="dxa"/>
                    <w:bottom w:w="0" w:type="dxa"/>
                    <w:right w:w="51" w:type="dxa"/>
                  </w:tcMar>
                  <w:vAlign w:val="center"/>
                </w:tcPr>
                <w:p w14:paraId="36C1F77E">
                  <w:pPr>
                    <w:widowControl/>
                    <w:adjustRightInd/>
                    <w:snapToGrid/>
                    <w:jc w:val="center"/>
                  </w:pPr>
                  <w:r>
                    <w:rPr>
                      <w:rFonts w:hint="eastAsia"/>
                    </w:rPr>
                    <w:t>经三级沉淀池沉淀后回用于生产</w:t>
                  </w:r>
                </w:p>
              </w:tc>
            </w:tr>
            <w:tr w14:paraId="6878D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restart"/>
                  <w:tcMar>
                    <w:top w:w="0" w:type="dxa"/>
                    <w:left w:w="51" w:type="dxa"/>
                    <w:bottom w:w="0" w:type="dxa"/>
                    <w:right w:w="51" w:type="dxa"/>
                  </w:tcMar>
                  <w:vAlign w:val="center"/>
                </w:tcPr>
                <w:p w14:paraId="1F5B9C51">
                  <w:pPr>
                    <w:widowControl/>
                    <w:adjustRightInd/>
                    <w:snapToGrid/>
                    <w:jc w:val="center"/>
                    <w:rPr>
                      <w:kern w:val="0"/>
                      <w:szCs w:val="21"/>
                    </w:rPr>
                  </w:pPr>
                  <w:r>
                    <w:rPr>
                      <w:kern w:val="0"/>
                      <w:szCs w:val="21"/>
                    </w:rPr>
                    <w:t>2</w:t>
                  </w:r>
                </w:p>
              </w:tc>
              <w:tc>
                <w:tcPr>
                  <w:tcW w:w="854" w:type="dxa"/>
                  <w:vMerge w:val="restart"/>
                  <w:tcMar>
                    <w:top w:w="0" w:type="dxa"/>
                    <w:left w:w="51" w:type="dxa"/>
                    <w:bottom w:w="0" w:type="dxa"/>
                    <w:right w:w="51" w:type="dxa"/>
                  </w:tcMar>
                  <w:vAlign w:val="center"/>
                </w:tcPr>
                <w:p w14:paraId="3A817061">
                  <w:pPr>
                    <w:widowControl/>
                    <w:adjustRightInd/>
                    <w:snapToGrid/>
                    <w:jc w:val="center"/>
                    <w:rPr>
                      <w:kern w:val="0"/>
                      <w:szCs w:val="21"/>
                    </w:rPr>
                  </w:pPr>
                  <w:r>
                    <w:rPr>
                      <w:rFonts w:hint="eastAsia"/>
                      <w:kern w:val="0"/>
                      <w:szCs w:val="21"/>
                    </w:rPr>
                    <w:t>废气</w:t>
                  </w:r>
                </w:p>
              </w:tc>
              <w:tc>
                <w:tcPr>
                  <w:tcW w:w="1109"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14:paraId="05EC4C91">
                  <w:pPr>
                    <w:widowControl/>
                    <w:adjustRightInd/>
                    <w:snapToGrid/>
                    <w:jc w:val="center"/>
                    <w:rPr>
                      <w:kern w:val="0"/>
                      <w:szCs w:val="21"/>
                    </w:rPr>
                  </w:pPr>
                  <w:r>
                    <w:rPr>
                      <w:rFonts w:hint="eastAsia"/>
                    </w:rPr>
                    <w:t>原料石子、砂子装卸扬尘</w:t>
                  </w:r>
                </w:p>
              </w:tc>
              <w:tc>
                <w:tcPr>
                  <w:tcW w:w="2040" w:type="dxa"/>
                  <w:tcBorders>
                    <w:left w:val="single" w:color="000000" w:sz="4" w:space="0"/>
                    <w:right w:val="single" w:color="000000" w:sz="4" w:space="0"/>
                  </w:tcBorders>
                  <w:shd w:val="clear" w:color="auto" w:fill="auto"/>
                  <w:tcMar>
                    <w:top w:w="0" w:type="dxa"/>
                    <w:left w:w="51" w:type="dxa"/>
                    <w:bottom w:w="0" w:type="dxa"/>
                    <w:right w:w="51" w:type="dxa"/>
                  </w:tcMar>
                  <w:vAlign w:val="center"/>
                </w:tcPr>
                <w:p w14:paraId="5C787A73">
                  <w:pPr>
                    <w:widowControl/>
                    <w:adjustRightInd/>
                    <w:snapToGrid/>
                    <w:jc w:val="center"/>
                    <w:rPr>
                      <w:kern w:val="0"/>
                      <w:szCs w:val="21"/>
                    </w:rPr>
                  </w:pPr>
                  <w:r>
                    <w:rPr>
                      <w:rFonts w:hint="eastAsia"/>
                      <w:kern w:val="0"/>
                      <w:szCs w:val="21"/>
                    </w:rPr>
                    <w:t>颗粒物</w:t>
                  </w:r>
                </w:p>
              </w:tc>
              <w:tc>
                <w:tcPr>
                  <w:tcW w:w="3682" w:type="dxa"/>
                  <w:tcBorders>
                    <w:left w:val="single" w:color="000000" w:sz="4" w:space="0"/>
                  </w:tcBorders>
                  <w:tcMar>
                    <w:top w:w="0" w:type="dxa"/>
                    <w:left w:w="51" w:type="dxa"/>
                    <w:bottom w:w="0" w:type="dxa"/>
                    <w:right w:w="51" w:type="dxa"/>
                  </w:tcMar>
                  <w:vAlign w:val="center"/>
                </w:tcPr>
                <w:p w14:paraId="79DDB043">
                  <w:pPr>
                    <w:widowControl/>
                    <w:adjustRightInd/>
                    <w:snapToGrid/>
                    <w:jc w:val="center"/>
                    <w:rPr>
                      <w:szCs w:val="21"/>
                    </w:rPr>
                  </w:pPr>
                  <w:r>
                    <w:rPr>
                      <w:rFonts w:hint="eastAsia"/>
                      <w:szCs w:val="21"/>
                    </w:rPr>
                    <w:t>封闭厂房、原料砂石堆场定期喷水，保持堆料表层湿润，保持表层含水率≥10%；用篷布遮盖；装卸时洒水抑尘</w:t>
                  </w:r>
                </w:p>
              </w:tc>
            </w:tr>
            <w:tr w14:paraId="381F4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Mar>
                    <w:top w:w="0" w:type="dxa"/>
                    <w:left w:w="51" w:type="dxa"/>
                    <w:bottom w:w="0" w:type="dxa"/>
                    <w:right w:w="51" w:type="dxa"/>
                  </w:tcMar>
                  <w:vAlign w:val="center"/>
                </w:tcPr>
                <w:p w14:paraId="16FAA843">
                  <w:pPr>
                    <w:widowControl/>
                    <w:adjustRightInd/>
                    <w:snapToGrid/>
                    <w:jc w:val="center"/>
                    <w:rPr>
                      <w:kern w:val="0"/>
                      <w:szCs w:val="21"/>
                    </w:rPr>
                  </w:pPr>
                </w:p>
              </w:tc>
              <w:tc>
                <w:tcPr>
                  <w:tcW w:w="854" w:type="dxa"/>
                  <w:vMerge w:val="continue"/>
                  <w:tcMar>
                    <w:top w:w="0" w:type="dxa"/>
                    <w:left w:w="51" w:type="dxa"/>
                    <w:bottom w:w="0" w:type="dxa"/>
                    <w:right w:w="51" w:type="dxa"/>
                  </w:tcMar>
                  <w:vAlign w:val="center"/>
                </w:tcPr>
                <w:p w14:paraId="56A77663">
                  <w:pPr>
                    <w:widowControl/>
                    <w:adjustRightInd/>
                    <w:snapToGrid/>
                    <w:jc w:val="center"/>
                    <w:rPr>
                      <w:kern w:val="0"/>
                      <w:szCs w:val="21"/>
                    </w:rPr>
                  </w:pPr>
                </w:p>
              </w:tc>
              <w:tc>
                <w:tcPr>
                  <w:tcW w:w="1109"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14:paraId="1BD2FA9F">
                  <w:pPr>
                    <w:widowControl/>
                    <w:adjustRightInd/>
                    <w:snapToGrid/>
                    <w:jc w:val="center"/>
                    <w:rPr>
                      <w:kern w:val="0"/>
                      <w:szCs w:val="21"/>
                    </w:rPr>
                  </w:pPr>
                  <w:r>
                    <w:rPr>
                      <w:rFonts w:hint="eastAsia"/>
                    </w:rPr>
                    <w:t>石子、砂子输送粉尘</w:t>
                  </w:r>
                </w:p>
              </w:tc>
              <w:tc>
                <w:tcPr>
                  <w:tcW w:w="2040" w:type="dxa"/>
                  <w:tcBorders>
                    <w:left w:val="single" w:color="000000" w:sz="4" w:space="0"/>
                    <w:right w:val="single" w:color="000000" w:sz="4" w:space="0"/>
                  </w:tcBorders>
                  <w:shd w:val="clear" w:color="auto" w:fill="auto"/>
                  <w:tcMar>
                    <w:top w:w="0" w:type="dxa"/>
                    <w:left w:w="51" w:type="dxa"/>
                    <w:bottom w:w="0" w:type="dxa"/>
                    <w:right w:w="51" w:type="dxa"/>
                  </w:tcMar>
                  <w:vAlign w:val="center"/>
                </w:tcPr>
                <w:p w14:paraId="5A82FBC6">
                  <w:pPr>
                    <w:widowControl/>
                    <w:adjustRightInd/>
                    <w:snapToGrid/>
                    <w:jc w:val="center"/>
                    <w:rPr>
                      <w:kern w:val="0"/>
                      <w:szCs w:val="21"/>
                    </w:rPr>
                  </w:pPr>
                  <w:r>
                    <w:rPr>
                      <w:rFonts w:hint="eastAsia"/>
                      <w:kern w:val="0"/>
                      <w:szCs w:val="21"/>
                    </w:rPr>
                    <w:t>颗粒物</w:t>
                  </w:r>
                </w:p>
              </w:tc>
              <w:tc>
                <w:tcPr>
                  <w:tcW w:w="3682" w:type="dxa"/>
                  <w:tcBorders>
                    <w:left w:val="single" w:color="000000" w:sz="4" w:space="0"/>
                  </w:tcBorders>
                  <w:tcMar>
                    <w:top w:w="0" w:type="dxa"/>
                    <w:left w:w="51" w:type="dxa"/>
                    <w:bottom w:w="0" w:type="dxa"/>
                    <w:right w:w="51" w:type="dxa"/>
                  </w:tcMar>
                  <w:vAlign w:val="center"/>
                </w:tcPr>
                <w:p w14:paraId="7F866E96">
                  <w:pPr>
                    <w:widowControl/>
                    <w:adjustRightInd/>
                    <w:snapToGrid/>
                    <w:jc w:val="center"/>
                    <w:rPr>
                      <w:szCs w:val="21"/>
                    </w:rPr>
                  </w:pPr>
                  <w:r>
                    <w:rPr>
                      <w:rFonts w:hint="eastAsia"/>
                      <w:szCs w:val="21"/>
                    </w:rPr>
                    <w:t>封闭厂房、</w:t>
                  </w:r>
                  <w:r>
                    <w:rPr>
                      <w:rFonts w:hint="eastAsia"/>
                    </w:rPr>
                    <w:t>皮带输送系统，进料、下料和转运的上方加装半密闭的防尘罩</w:t>
                  </w:r>
                </w:p>
              </w:tc>
            </w:tr>
            <w:tr w14:paraId="07C46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Mar>
                    <w:top w:w="0" w:type="dxa"/>
                    <w:left w:w="51" w:type="dxa"/>
                    <w:bottom w:w="0" w:type="dxa"/>
                    <w:right w:w="51" w:type="dxa"/>
                  </w:tcMar>
                  <w:vAlign w:val="center"/>
                </w:tcPr>
                <w:p w14:paraId="7F10D60C">
                  <w:pPr>
                    <w:widowControl/>
                    <w:adjustRightInd/>
                    <w:snapToGrid/>
                    <w:jc w:val="center"/>
                    <w:rPr>
                      <w:kern w:val="0"/>
                      <w:szCs w:val="21"/>
                    </w:rPr>
                  </w:pPr>
                </w:p>
              </w:tc>
              <w:tc>
                <w:tcPr>
                  <w:tcW w:w="854" w:type="dxa"/>
                  <w:vMerge w:val="continue"/>
                  <w:tcMar>
                    <w:top w:w="0" w:type="dxa"/>
                    <w:left w:w="51" w:type="dxa"/>
                    <w:bottom w:w="0" w:type="dxa"/>
                    <w:right w:w="51" w:type="dxa"/>
                  </w:tcMar>
                  <w:vAlign w:val="center"/>
                </w:tcPr>
                <w:p w14:paraId="434AA512">
                  <w:pPr>
                    <w:widowControl/>
                    <w:adjustRightInd/>
                    <w:snapToGrid/>
                    <w:jc w:val="center"/>
                    <w:rPr>
                      <w:kern w:val="0"/>
                      <w:szCs w:val="21"/>
                    </w:rPr>
                  </w:pPr>
                </w:p>
              </w:tc>
              <w:tc>
                <w:tcPr>
                  <w:tcW w:w="1109"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14:paraId="3244FAC9">
                  <w:pPr>
                    <w:widowControl/>
                    <w:adjustRightInd/>
                    <w:snapToGrid/>
                    <w:jc w:val="center"/>
                    <w:rPr>
                      <w:kern w:val="0"/>
                      <w:szCs w:val="21"/>
                    </w:rPr>
                  </w:pPr>
                  <w:r>
                    <w:rPr>
                      <w:rFonts w:hint="eastAsia"/>
                    </w:rPr>
                    <w:t>水泥罐呼吸粉尘</w:t>
                  </w:r>
                </w:p>
              </w:tc>
              <w:tc>
                <w:tcPr>
                  <w:tcW w:w="2040" w:type="dxa"/>
                  <w:tcBorders>
                    <w:left w:val="single" w:color="000000" w:sz="4" w:space="0"/>
                    <w:right w:val="single" w:color="000000" w:sz="4" w:space="0"/>
                  </w:tcBorders>
                  <w:shd w:val="clear" w:color="auto" w:fill="auto"/>
                  <w:tcMar>
                    <w:top w:w="0" w:type="dxa"/>
                    <w:left w:w="51" w:type="dxa"/>
                    <w:bottom w:w="0" w:type="dxa"/>
                    <w:right w:w="51" w:type="dxa"/>
                  </w:tcMar>
                  <w:vAlign w:val="center"/>
                </w:tcPr>
                <w:p w14:paraId="37802E7B">
                  <w:pPr>
                    <w:widowControl/>
                    <w:adjustRightInd/>
                    <w:snapToGrid/>
                    <w:jc w:val="center"/>
                    <w:rPr>
                      <w:kern w:val="0"/>
                      <w:szCs w:val="21"/>
                    </w:rPr>
                  </w:pPr>
                  <w:r>
                    <w:rPr>
                      <w:rFonts w:hint="eastAsia"/>
                      <w:kern w:val="0"/>
                      <w:szCs w:val="21"/>
                    </w:rPr>
                    <w:t>颗粒物</w:t>
                  </w:r>
                </w:p>
              </w:tc>
              <w:tc>
                <w:tcPr>
                  <w:tcW w:w="3682" w:type="dxa"/>
                  <w:tcBorders>
                    <w:left w:val="single" w:color="000000" w:sz="4" w:space="0"/>
                  </w:tcBorders>
                  <w:tcMar>
                    <w:top w:w="0" w:type="dxa"/>
                    <w:left w:w="51" w:type="dxa"/>
                    <w:bottom w:w="0" w:type="dxa"/>
                    <w:right w:w="51" w:type="dxa"/>
                  </w:tcMar>
                  <w:vAlign w:val="center"/>
                </w:tcPr>
                <w:p w14:paraId="5783D179">
                  <w:pPr>
                    <w:widowControl/>
                    <w:adjustRightInd/>
                    <w:snapToGrid/>
                    <w:jc w:val="center"/>
                    <w:rPr>
                      <w:szCs w:val="21"/>
                    </w:rPr>
                  </w:pPr>
                  <w:r>
                    <w:rPr>
                      <w:rFonts w:hint="eastAsia"/>
                      <w:szCs w:val="21"/>
                    </w:rPr>
                    <w:t>经水泥罐顶配套的滤筒式袋式除尘器处理后无组织排放</w:t>
                  </w:r>
                </w:p>
              </w:tc>
            </w:tr>
            <w:tr w14:paraId="7245D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Mar>
                    <w:top w:w="0" w:type="dxa"/>
                    <w:left w:w="51" w:type="dxa"/>
                    <w:bottom w:w="0" w:type="dxa"/>
                    <w:right w:w="51" w:type="dxa"/>
                  </w:tcMar>
                  <w:vAlign w:val="center"/>
                </w:tcPr>
                <w:p w14:paraId="6DF2B3D5">
                  <w:pPr>
                    <w:widowControl/>
                    <w:adjustRightInd/>
                    <w:snapToGrid/>
                    <w:jc w:val="center"/>
                    <w:rPr>
                      <w:kern w:val="0"/>
                      <w:szCs w:val="21"/>
                    </w:rPr>
                  </w:pPr>
                </w:p>
              </w:tc>
              <w:tc>
                <w:tcPr>
                  <w:tcW w:w="854" w:type="dxa"/>
                  <w:vMerge w:val="continue"/>
                  <w:tcMar>
                    <w:top w:w="0" w:type="dxa"/>
                    <w:left w:w="51" w:type="dxa"/>
                    <w:bottom w:w="0" w:type="dxa"/>
                    <w:right w:w="51" w:type="dxa"/>
                  </w:tcMar>
                  <w:vAlign w:val="center"/>
                </w:tcPr>
                <w:p w14:paraId="628C6ECC">
                  <w:pPr>
                    <w:widowControl/>
                    <w:adjustRightInd/>
                    <w:snapToGrid/>
                    <w:jc w:val="center"/>
                    <w:rPr>
                      <w:kern w:val="0"/>
                      <w:szCs w:val="21"/>
                    </w:rPr>
                  </w:pPr>
                </w:p>
              </w:tc>
              <w:tc>
                <w:tcPr>
                  <w:tcW w:w="1109" w:type="dxa"/>
                  <w:tcBorders>
                    <w:left w:val="single" w:color="000000" w:sz="4" w:space="0"/>
                    <w:bottom w:val="single" w:color="auto" w:sz="4" w:space="0"/>
                    <w:right w:val="single" w:color="000000" w:sz="4" w:space="0"/>
                  </w:tcBorders>
                  <w:shd w:val="clear" w:color="auto" w:fill="auto"/>
                  <w:tcMar>
                    <w:top w:w="0" w:type="dxa"/>
                    <w:left w:w="51" w:type="dxa"/>
                    <w:bottom w:w="0" w:type="dxa"/>
                    <w:right w:w="51" w:type="dxa"/>
                  </w:tcMar>
                  <w:vAlign w:val="center"/>
                </w:tcPr>
                <w:p w14:paraId="61179E24">
                  <w:pPr>
                    <w:widowControl/>
                    <w:adjustRightInd/>
                    <w:snapToGrid/>
                    <w:jc w:val="center"/>
                    <w:rPr>
                      <w:kern w:val="0"/>
                      <w:szCs w:val="21"/>
                    </w:rPr>
                  </w:pPr>
                  <w:r>
                    <w:rPr>
                      <w:rFonts w:hint="eastAsia"/>
                    </w:rPr>
                    <w:t>搅拌粉尘</w:t>
                  </w:r>
                </w:p>
              </w:tc>
              <w:tc>
                <w:tcPr>
                  <w:tcW w:w="2040" w:type="dxa"/>
                  <w:tcBorders>
                    <w:left w:val="single" w:color="000000" w:sz="4" w:space="0"/>
                    <w:right w:val="single" w:color="000000" w:sz="4" w:space="0"/>
                  </w:tcBorders>
                  <w:shd w:val="clear" w:color="auto" w:fill="auto"/>
                  <w:tcMar>
                    <w:top w:w="0" w:type="dxa"/>
                    <w:left w:w="51" w:type="dxa"/>
                    <w:bottom w:w="0" w:type="dxa"/>
                    <w:right w:w="51" w:type="dxa"/>
                  </w:tcMar>
                  <w:vAlign w:val="center"/>
                </w:tcPr>
                <w:p w14:paraId="36D91CB2">
                  <w:pPr>
                    <w:widowControl/>
                    <w:adjustRightInd/>
                    <w:snapToGrid/>
                    <w:jc w:val="center"/>
                    <w:rPr>
                      <w:kern w:val="0"/>
                      <w:szCs w:val="21"/>
                    </w:rPr>
                  </w:pPr>
                  <w:r>
                    <w:rPr>
                      <w:rFonts w:hint="eastAsia"/>
                      <w:kern w:val="0"/>
                      <w:szCs w:val="21"/>
                    </w:rPr>
                    <w:t>颗粒物</w:t>
                  </w:r>
                </w:p>
              </w:tc>
              <w:tc>
                <w:tcPr>
                  <w:tcW w:w="3682" w:type="dxa"/>
                  <w:tcBorders>
                    <w:left w:val="single" w:color="000000" w:sz="4" w:space="0"/>
                  </w:tcBorders>
                  <w:tcMar>
                    <w:top w:w="0" w:type="dxa"/>
                    <w:left w:w="51" w:type="dxa"/>
                    <w:bottom w:w="0" w:type="dxa"/>
                    <w:right w:w="51" w:type="dxa"/>
                  </w:tcMar>
                  <w:vAlign w:val="center"/>
                </w:tcPr>
                <w:p w14:paraId="453E8BAB">
                  <w:pPr>
                    <w:widowControl/>
                    <w:adjustRightInd/>
                    <w:snapToGrid/>
                    <w:jc w:val="center"/>
                    <w:rPr>
                      <w:szCs w:val="21"/>
                    </w:rPr>
                  </w:pPr>
                  <w:r>
                    <w:rPr>
                      <w:rFonts w:hint="eastAsia"/>
                    </w:rPr>
                    <w:t>密闭湿法搅拌、水喷淋</w:t>
                  </w:r>
                </w:p>
              </w:tc>
            </w:tr>
            <w:tr w14:paraId="3DEA0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Mar>
                    <w:top w:w="0" w:type="dxa"/>
                    <w:left w:w="51" w:type="dxa"/>
                    <w:bottom w:w="0" w:type="dxa"/>
                    <w:right w:w="51" w:type="dxa"/>
                  </w:tcMar>
                  <w:vAlign w:val="center"/>
                </w:tcPr>
                <w:p w14:paraId="1E8BE658">
                  <w:pPr>
                    <w:widowControl/>
                    <w:adjustRightInd/>
                    <w:snapToGrid/>
                    <w:jc w:val="center"/>
                    <w:rPr>
                      <w:kern w:val="0"/>
                      <w:szCs w:val="21"/>
                    </w:rPr>
                  </w:pPr>
                </w:p>
              </w:tc>
              <w:tc>
                <w:tcPr>
                  <w:tcW w:w="854" w:type="dxa"/>
                  <w:vMerge w:val="continue"/>
                  <w:tcMar>
                    <w:top w:w="0" w:type="dxa"/>
                    <w:left w:w="51" w:type="dxa"/>
                    <w:bottom w:w="0" w:type="dxa"/>
                    <w:right w:w="51" w:type="dxa"/>
                  </w:tcMar>
                  <w:vAlign w:val="center"/>
                </w:tcPr>
                <w:p w14:paraId="38B53735">
                  <w:pPr>
                    <w:widowControl/>
                    <w:adjustRightInd/>
                    <w:snapToGrid/>
                    <w:jc w:val="center"/>
                    <w:rPr>
                      <w:kern w:val="0"/>
                      <w:szCs w:val="21"/>
                    </w:rPr>
                  </w:pPr>
                </w:p>
              </w:tc>
              <w:tc>
                <w:tcPr>
                  <w:tcW w:w="1109"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14:paraId="0AE23A5E">
                  <w:pPr>
                    <w:widowControl/>
                    <w:adjustRightInd/>
                    <w:snapToGrid/>
                    <w:jc w:val="center"/>
                    <w:rPr>
                      <w:kern w:val="0"/>
                      <w:szCs w:val="21"/>
                    </w:rPr>
                  </w:pPr>
                  <w:r>
                    <w:rPr>
                      <w:rFonts w:hint="eastAsia"/>
                      <w:kern w:val="0"/>
                      <w:szCs w:val="21"/>
                    </w:rPr>
                    <w:t>钢筋加工焊接烟尘</w:t>
                  </w:r>
                </w:p>
              </w:tc>
              <w:tc>
                <w:tcPr>
                  <w:tcW w:w="2040" w:type="dxa"/>
                  <w:tcBorders>
                    <w:left w:val="single" w:color="000000" w:sz="4" w:space="0"/>
                    <w:right w:val="single" w:color="000000" w:sz="4" w:space="0"/>
                  </w:tcBorders>
                  <w:tcMar>
                    <w:top w:w="0" w:type="dxa"/>
                    <w:left w:w="51" w:type="dxa"/>
                    <w:bottom w:w="0" w:type="dxa"/>
                    <w:right w:w="51" w:type="dxa"/>
                  </w:tcMar>
                  <w:vAlign w:val="center"/>
                </w:tcPr>
                <w:p w14:paraId="67614112">
                  <w:pPr>
                    <w:widowControl/>
                    <w:adjustRightInd/>
                    <w:snapToGrid/>
                    <w:jc w:val="center"/>
                    <w:rPr>
                      <w:kern w:val="0"/>
                      <w:szCs w:val="21"/>
                    </w:rPr>
                  </w:pPr>
                  <w:r>
                    <w:rPr>
                      <w:rFonts w:hint="eastAsia"/>
                      <w:kern w:val="0"/>
                      <w:szCs w:val="21"/>
                    </w:rPr>
                    <w:t>颗粒物</w:t>
                  </w:r>
                </w:p>
              </w:tc>
              <w:tc>
                <w:tcPr>
                  <w:tcW w:w="3682" w:type="dxa"/>
                  <w:tcBorders>
                    <w:left w:val="single" w:color="000000" w:sz="4" w:space="0"/>
                  </w:tcBorders>
                  <w:tcMar>
                    <w:top w:w="0" w:type="dxa"/>
                    <w:left w:w="51" w:type="dxa"/>
                    <w:bottom w:w="0" w:type="dxa"/>
                    <w:right w:w="51" w:type="dxa"/>
                  </w:tcMar>
                  <w:vAlign w:val="center"/>
                </w:tcPr>
                <w:p w14:paraId="32E0F598">
                  <w:pPr>
                    <w:widowControl/>
                    <w:adjustRightInd/>
                    <w:snapToGrid/>
                    <w:jc w:val="center"/>
                    <w:rPr>
                      <w:szCs w:val="21"/>
                    </w:rPr>
                  </w:pPr>
                  <w:r>
                    <w:rPr>
                      <w:rFonts w:hint="eastAsia"/>
                      <w:szCs w:val="21"/>
                    </w:rPr>
                    <w:t>移动焊烟净化器处理后无组织排放</w:t>
                  </w:r>
                </w:p>
              </w:tc>
            </w:tr>
            <w:tr w14:paraId="095D3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Mar>
                    <w:top w:w="0" w:type="dxa"/>
                    <w:left w:w="51" w:type="dxa"/>
                    <w:bottom w:w="0" w:type="dxa"/>
                    <w:right w:w="51" w:type="dxa"/>
                  </w:tcMar>
                  <w:vAlign w:val="center"/>
                </w:tcPr>
                <w:p w14:paraId="31A6FE96">
                  <w:pPr>
                    <w:widowControl/>
                    <w:adjustRightInd/>
                    <w:snapToGrid/>
                    <w:jc w:val="center"/>
                    <w:rPr>
                      <w:kern w:val="0"/>
                      <w:szCs w:val="21"/>
                    </w:rPr>
                  </w:pPr>
                </w:p>
              </w:tc>
              <w:tc>
                <w:tcPr>
                  <w:tcW w:w="854" w:type="dxa"/>
                  <w:vMerge w:val="continue"/>
                  <w:tcMar>
                    <w:top w:w="0" w:type="dxa"/>
                    <w:left w:w="51" w:type="dxa"/>
                    <w:bottom w:w="0" w:type="dxa"/>
                    <w:right w:w="51" w:type="dxa"/>
                  </w:tcMar>
                  <w:vAlign w:val="center"/>
                </w:tcPr>
                <w:p w14:paraId="213DA8C2">
                  <w:pPr>
                    <w:widowControl/>
                    <w:adjustRightInd/>
                    <w:snapToGrid/>
                    <w:jc w:val="center"/>
                    <w:rPr>
                      <w:kern w:val="0"/>
                      <w:szCs w:val="21"/>
                    </w:rPr>
                  </w:pPr>
                </w:p>
              </w:tc>
              <w:tc>
                <w:tcPr>
                  <w:tcW w:w="1109"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14:paraId="5598AB5D">
                  <w:pPr>
                    <w:widowControl/>
                    <w:adjustRightInd/>
                    <w:snapToGrid/>
                    <w:jc w:val="center"/>
                    <w:rPr>
                      <w:kern w:val="0"/>
                      <w:szCs w:val="21"/>
                    </w:rPr>
                  </w:pPr>
                  <w:r>
                    <w:rPr>
                      <w:rFonts w:hint="eastAsia"/>
                      <w:kern w:val="0"/>
                      <w:szCs w:val="21"/>
                    </w:rPr>
                    <w:t>厨房油烟</w:t>
                  </w:r>
                </w:p>
              </w:tc>
              <w:tc>
                <w:tcPr>
                  <w:tcW w:w="2040" w:type="dxa"/>
                  <w:tcBorders>
                    <w:left w:val="single" w:color="000000" w:sz="4" w:space="0"/>
                    <w:right w:val="single" w:color="000000" w:sz="4" w:space="0"/>
                  </w:tcBorders>
                  <w:tcMar>
                    <w:top w:w="0" w:type="dxa"/>
                    <w:left w:w="51" w:type="dxa"/>
                    <w:bottom w:w="0" w:type="dxa"/>
                    <w:right w:w="51" w:type="dxa"/>
                  </w:tcMar>
                  <w:vAlign w:val="center"/>
                </w:tcPr>
                <w:p w14:paraId="27E03846">
                  <w:pPr>
                    <w:widowControl/>
                    <w:adjustRightInd/>
                    <w:snapToGrid/>
                    <w:jc w:val="center"/>
                    <w:rPr>
                      <w:kern w:val="0"/>
                      <w:szCs w:val="21"/>
                    </w:rPr>
                  </w:pPr>
                  <w:r>
                    <w:rPr>
                      <w:rFonts w:hint="eastAsia"/>
                      <w:kern w:val="0"/>
                      <w:szCs w:val="21"/>
                    </w:rPr>
                    <w:t>油烟</w:t>
                  </w:r>
                </w:p>
              </w:tc>
              <w:tc>
                <w:tcPr>
                  <w:tcW w:w="3682" w:type="dxa"/>
                  <w:tcBorders>
                    <w:left w:val="single" w:color="000000" w:sz="4" w:space="0"/>
                  </w:tcBorders>
                  <w:tcMar>
                    <w:top w:w="0" w:type="dxa"/>
                    <w:left w:w="51" w:type="dxa"/>
                    <w:bottom w:w="0" w:type="dxa"/>
                    <w:right w:w="51" w:type="dxa"/>
                  </w:tcMar>
                  <w:vAlign w:val="center"/>
                </w:tcPr>
                <w:p w14:paraId="75D6024F">
                  <w:pPr>
                    <w:widowControl/>
                    <w:adjustRightInd/>
                    <w:snapToGrid/>
                    <w:jc w:val="center"/>
                    <w:rPr>
                      <w:szCs w:val="21"/>
                    </w:rPr>
                  </w:pPr>
                  <w:r>
                    <w:rPr>
                      <w:rFonts w:hint="eastAsia"/>
                      <w:szCs w:val="21"/>
                    </w:rPr>
                    <w:t>油烟净化器处理后烟囱引至顶楼排放</w:t>
                  </w:r>
                </w:p>
              </w:tc>
            </w:tr>
            <w:tr w14:paraId="63177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restart"/>
                  <w:tcMar>
                    <w:top w:w="0" w:type="dxa"/>
                    <w:left w:w="51" w:type="dxa"/>
                    <w:bottom w:w="0" w:type="dxa"/>
                    <w:right w:w="51" w:type="dxa"/>
                  </w:tcMar>
                  <w:vAlign w:val="center"/>
                </w:tcPr>
                <w:p w14:paraId="2055E1D0">
                  <w:pPr>
                    <w:widowControl/>
                    <w:adjustRightInd/>
                    <w:snapToGrid/>
                    <w:jc w:val="center"/>
                    <w:rPr>
                      <w:kern w:val="0"/>
                      <w:szCs w:val="21"/>
                    </w:rPr>
                  </w:pPr>
                  <w:r>
                    <w:rPr>
                      <w:kern w:val="0"/>
                      <w:szCs w:val="21"/>
                    </w:rPr>
                    <w:t>3</w:t>
                  </w:r>
                </w:p>
              </w:tc>
              <w:tc>
                <w:tcPr>
                  <w:tcW w:w="854" w:type="dxa"/>
                  <w:tcMar>
                    <w:top w:w="0" w:type="dxa"/>
                    <w:left w:w="51" w:type="dxa"/>
                    <w:bottom w:w="0" w:type="dxa"/>
                    <w:right w:w="51" w:type="dxa"/>
                  </w:tcMar>
                  <w:vAlign w:val="center"/>
                </w:tcPr>
                <w:p w14:paraId="39862911">
                  <w:pPr>
                    <w:widowControl/>
                    <w:adjustRightInd/>
                    <w:snapToGrid/>
                    <w:jc w:val="center"/>
                    <w:rPr>
                      <w:kern w:val="0"/>
                      <w:szCs w:val="21"/>
                    </w:rPr>
                  </w:pPr>
                  <w:r>
                    <w:rPr>
                      <w:rFonts w:hint="eastAsia"/>
                      <w:kern w:val="0"/>
                      <w:szCs w:val="21"/>
                    </w:rPr>
                    <w:t>生活</w:t>
                  </w:r>
                </w:p>
                <w:p w14:paraId="08EDD53D">
                  <w:pPr>
                    <w:widowControl/>
                    <w:adjustRightInd/>
                    <w:snapToGrid/>
                    <w:jc w:val="center"/>
                    <w:rPr>
                      <w:kern w:val="0"/>
                      <w:szCs w:val="21"/>
                    </w:rPr>
                  </w:pPr>
                  <w:r>
                    <w:rPr>
                      <w:rFonts w:hint="eastAsia"/>
                      <w:kern w:val="0"/>
                      <w:szCs w:val="21"/>
                    </w:rPr>
                    <w:t>垃圾</w:t>
                  </w:r>
                </w:p>
              </w:tc>
              <w:tc>
                <w:tcPr>
                  <w:tcW w:w="1109" w:type="dxa"/>
                  <w:tcBorders>
                    <w:left w:val="single" w:color="000000" w:sz="4" w:space="0"/>
                    <w:right w:val="single" w:color="000000" w:sz="4" w:space="0"/>
                  </w:tcBorders>
                  <w:tcMar>
                    <w:top w:w="0" w:type="dxa"/>
                    <w:left w:w="51" w:type="dxa"/>
                    <w:bottom w:w="0" w:type="dxa"/>
                    <w:right w:w="51" w:type="dxa"/>
                  </w:tcMar>
                  <w:vAlign w:val="center"/>
                </w:tcPr>
                <w:p w14:paraId="6B92314D">
                  <w:pPr>
                    <w:widowControl/>
                    <w:adjustRightInd/>
                    <w:snapToGrid/>
                    <w:jc w:val="center"/>
                    <w:rPr>
                      <w:kern w:val="0"/>
                      <w:szCs w:val="21"/>
                    </w:rPr>
                  </w:pPr>
                  <w:r>
                    <w:rPr>
                      <w:kern w:val="0"/>
                      <w:szCs w:val="21"/>
                    </w:rPr>
                    <w:t>职工</w:t>
                  </w:r>
                  <w:r>
                    <w:rPr>
                      <w:rFonts w:hint="eastAsia"/>
                      <w:kern w:val="0"/>
                      <w:szCs w:val="21"/>
                    </w:rPr>
                    <w:t>生活垃圾</w:t>
                  </w:r>
                </w:p>
              </w:tc>
              <w:tc>
                <w:tcPr>
                  <w:tcW w:w="2040" w:type="dxa"/>
                  <w:tcBorders>
                    <w:left w:val="single" w:color="000000" w:sz="4" w:space="0"/>
                    <w:right w:val="single" w:color="000000" w:sz="4" w:space="0"/>
                  </w:tcBorders>
                  <w:tcMar>
                    <w:top w:w="0" w:type="dxa"/>
                    <w:left w:w="51" w:type="dxa"/>
                    <w:bottom w:w="0" w:type="dxa"/>
                    <w:right w:w="51" w:type="dxa"/>
                  </w:tcMar>
                  <w:vAlign w:val="center"/>
                </w:tcPr>
                <w:p w14:paraId="7054524D">
                  <w:pPr>
                    <w:widowControl/>
                    <w:adjustRightInd/>
                    <w:snapToGrid/>
                    <w:jc w:val="center"/>
                    <w:rPr>
                      <w:szCs w:val="21"/>
                    </w:rPr>
                  </w:pPr>
                  <w:r>
                    <w:rPr>
                      <w:rFonts w:hint="eastAsia"/>
                      <w:szCs w:val="21"/>
                    </w:rPr>
                    <w:t>纸屑、塑料等</w:t>
                  </w:r>
                </w:p>
              </w:tc>
              <w:tc>
                <w:tcPr>
                  <w:tcW w:w="3682" w:type="dxa"/>
                  <w:tcBorders>
                    <w:left w:val="single" w:color="000000" w:sz="4" w:space="0"/>
                  </w:tcBorders>
                  <w:tcMar>
                    <w:top w:w="0" w:type="dxa"/>
                    <w:left w:w="51" w:type="dxa"/>
                    <w:bottom w:w="0" w:type="dxa"/>
                    <w:right w:w="51" w:type="dxa"/>
                  </w:tcMar>
                  <w:vAlign w:val="center"/>
                </w:tcPr>
                <w:p w14:paraId="7B1A5376">
                  <w:pPr>
                    <w:pStyle w:val="80"/>
                    <w:widowControl w:val="0"/>
                    <w:adjustRightInd/>
                    <w:snapToGrid/>
                    <w:jc w:val="center"/>
                    <w:rPr>
                      <w:rFonts w:ascii="Times New Roman" w:hAnsi="Times New Roman"/>
                      <w:sz w:val="21"/>
                      <w:szCs w:val="21"/>
                    </w:rPr>
                  </w:pPr>
                  <w:r>
                    <w:rPr>
                      <w:rFonts w:hint="eastAsia" w:ascii="Times New Roman" w:hAnsi="Times New Roman"/>
                      <w:sz w:val="21"/>
                      <w:szCs w:val="21"/>
                    </w:rPr>
                    <w:t>经垃圾桶分类收集后由环卫部门定期清运处置</w:t>
                  </w:r>
                </w:p>
              </w:tc>
            </w:tr>
            <w:tr w14:paraId="70A0A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Mar>
                    <w:top w:w="0" w:type="dxa"/>
                    <w:left w:w="51" w:type="dxa"/>
                    <w:bottom w:w="0" w:type="dxa"/>
                    <w:right w:w="51" w:type="dxa"/>
                  </w:tcMar>
                  <w:vAlign w:val="center"/>
                </w:tcPr>
                <w:p w14:paraId="0A326559">
                  <w:pPr>
                    <w:widowControl/>
                    <w:adjustRightInd/>
                    <w:snapToGrid/>
                    <w:jc w:val="center"/>
                    <w:rPr>
                      <w:kern w:val="0"/>
                      <w:szCs w:val="21"/>
                    </w:rPr>
                  </w:pPr>
                </w:p>
              </w:tc>
              <w:tc>
                <w:tcPr>
                  <w:tcW w:w="854" w:type="dxa"/>
                  <w:vMerge w:val="restart"/>
                  <w:tcMar>
                    <w:top w:w="0" w:type="dxa"/>
                    <w:left w:w="51" w:type="dxa"/>
                    <w:bottom w:w="0" w:type="dxa"/>
                    <w:right w:w="51" w:type="dxa"/>
                  </w:tcMar>
                  <w:vAlign w:val="center"/>
                </w:tcPr>
                <w:p w14:paraId="1960A190">
                  <w:pPr>
                    <w:widowControl/>
                    <w:adjustRightInd/>
                    <w:snapToGrid/>
                    <w:jc w:val="center"/>
                    <w:rPr>
                      <w:kern w:val="0"/>
                      <w:szCs w:val="21"/>
                    </w:rPr>
                  </w:pPr>
                  <w:r>
                    <w:rPr>
                      <w:rFonts w:hint="eastAsia"/>
                      <w:kern w:val="0"/>
                      <w:szCs w:val="21"/>
                    </w:rPr>
                    <w:t>一般工业</w:t>
                  </w:r>
                  <w:r>
                    <w:rPr>
                      <w:kern w:val="0"/>
                      <w:szCs w:val="21"/>
                    </w:rPr>
                    <w:t>固废</w:t>
                  </w:r>
                </w:p>
              </w:tc>
              <w:tc>
                <w:tcPr>
                  <w:tcW w:w="3149" w:type="dxa"/>
                  <w:gridSpan w:val="2"/>
                  <w:tcBorders>
                    <w:left w:val="single" w:color="000000" w:sz="4" w:space="0"/>
                    <w:right w:val="single" w:color="000000" w:sz="4" w:space="0"/>
                  </w:tcBorders>
                  <w:tcMar>
                    <w:top w:w="0" w:type="dxa"/>
                    <w:left w:w="51" w:type="dxa"/>
                    <w:bottom w:w="0" w:type="dxa"/>
                    <w:right w:w="51" w:type="dxa"/>
                  </w:tcMar>
                  <w:vAlign w:val="center"/>
                </w:tcPr>
                <w:p w14:paraId="25C3FEE0">
                  <w:pPr>
                    <w:widowControl/>
                    <w:adjustRightInd/>
                    <w:snapToGrid/>
                    <w:jc w:val="center"/>
                    <w:rPr>
                      <w:kern w:val="0"/>
                      <w:szCs w:val="21"/>
                    </w:rPr>
                  </w:pPr>
                  <w:r>
                    <w:rPr>
                      <w:rFonts w:hint="eastAsia"/>
                      <w:kern w:val="0"/>
                      <w:szCs w:val="21"/>
                    </w:rPr>
                    <w:t>沉淀池沉渣</w:t>
                  </w:r>
                </w:p>
              </w:tc>
              <w:tc>
                <w:tcPr>
                  <w:tcW w:w="3682" w:type="dxa"/>
                  <w:tcBorders>
                    <w:left w:val="single" w:color="000000" w:sz="4" w:space="0"/>
                  </w:tcBorders>
                  <w:tcMar>
                    <w:top w:w="0" w:type="dxa"/>
                    <w:left w:w="51" w:type="dxa"/>
                    <w:bottom w:w="0" w:type="dxa"/>
                    <w:right w:w="51" w:type="dxa"/>
                  </w:tcMar>
                  <w:vAlign w:val="center"/>
                </w:tcPr>
                <w:p w14:paraId="737428F3">
                  <w:pPr>
                    <w:pStyle w:val="80"/>
                    <w:widowControl w:val="0"/>
                    <w:adjustRightInd/>
                    <w:snapToGrid/>
                    <w:jc w:val="center"/>
                    <w:rPr>
                      <w:rFonts w:ascii="Times New Roman" w:hAnsi="Times New Roman"/>
                      <w:sz w:val="21"/>
                      <w:szCs w:val="21"/>
                    </w:rPr>
                  </w:pPr>
                  <w:r>
                    <w:rPr>
                      <w:rFonts w:hint="eastAsia" w:ascii="Times New Roman" w:hAnsi="Times New Roman"/>
                      <w:sz w:val="21"/>
                      <w:szCs w:val="21"/>
                    </w:rPr>
                    <w:t>妥善收集后回用于生产</w:t>
                  </w:r>
                </w:p>
              </w:tc>
            </w:tr>
            <w:tr w14:paraId="5ECD8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Mar>
                    <w:top w:w="0" w:type="dxa"/>
                    <w:left w:w="51" w:type="dxa"/>
                    <w:bottom w:w="0" w:type="dxa"/>
                    <w:right w:w="51" w:type="dxa"/>
                  </w:tcMar>
                  <w:vAlign w:val="center"/>
                </w:tcPr>
                <w:p w14:paraId="07E2C099">
                  <w:pPr>
                    <w:widowControl/>
                    <w:adjustRightInd/>
                    <w:snapToGrid/>
                    <w:jc w:val="center"/>
                    <w:rPr>
                      <w:kern w:val="0"/>
                      <w:szCs w:val="21"/>
                    </w:rPr>
                  </w:pPr>
                </w:p>
              </w:tc>
              <w:tc>
                <w:tcPr>
                  <w:tcW w:w="854" w:type="dxa"/>
                  <w:vMerge w:val="continue"/>
                  <w:tcMar>
                    <w:top w:w="0" w:type="dxa"/>
                    <w:left w:w="51" w:type="dxa"/>
                    <w:bottom w:w="0" w:type="dxa"/>
                    <w:right w:w="51" w:type="dxa"/>
                  </w:tcMar>
                  <w:vAlign w:val="center"/>
                </w:tcPr>
                <w:p w14:paraId="5E8C1A9B">
                  <w:pPr>
                    <w:widowControl/>
                    <w:adjustRightInd/>
                    <w:snapToGrid/>
                    <w:jc w:val="center"/>
                    <w:rPr>
                      <w:kern w:val="0"/>
                      <w:szCs w:val="21"/>
                    </w:rPr>
                  </w:pPr>
                </w:p>
              </w:tc>
              <w:tc>
                <w:tcPr>
                  <w:tcW w:w="3149" w:type="dxa"/>
                  <w:gridSpan w:val="2"/>
                  <w:tcBorders>
                    <w:left w:val="single" w:color="000000" w:sz="4" w:space="0"/>
                    <w:right w:val="single" w:color="000000" w:sz="4" w:space="0"/>
                  </w:tcBorders>
                  <w:tcMar>
                    <w:top w:w="0" w:type="dxa"/>
                    <w:left w:w="51" w:type="dxa"/>
                    <w:bottom w:w="0" w:type="dxa"/>
                    <w:right w:w="51" w:type="dxa"/>
                  </w:tcMar>
                  <w:vAlign w:val="center"/>
                </w:tcPr>
                <w:p w14:paraId="72123326">
                  <w:pPr>
                    <w:widowControl/>
                    <w:adjustRightInd/>
                    <w:snapToGrid/>
                    <w:jc w:val="center"/>
                    <w:rPr>
                      <w:szCs w:val="21"/>
                    </w:rPr>
                  </w:pPr>
                  <w:r>
                    <w:rPr>
                      <w:rFonts w:hint="eastAsia"/>
                      <w:kern w:val="0"/>
                      <w:szCs w:val="21"/>
                    </w:rPr>
                    <w:t>钢筋边角料、焊渣</w:t>
                  </w:r>
                </w:p>
              </w:tc>
              <w:tc>
                <w:tcPr>
                  <w:tcW w:w="3682" w:type="dxa"/>
                  <w:tcBorders>
                    <w:left w:val="single" w:color="000000" w:sz="4" w:space="0"/>
                  </w:tcBorders>
                  <w:tcMar>
                    <w:top w:w="0" w:type="dxa"/>
                    <w:left w:w="51" w:type="dxa"/>
                    <w:bottom w:w="0" w:type="dxa"/>
                    <w:right w:w="51" w:type="dxa"/>
                  </w:tcMar>
                  <w:vAlign w:val="center"/>
                </w:tcPr>
                <w:p w14:paraId="4068F668">
                  <w:pPr>
                    <w:pStyle w:val="80"/>
                    <w:widowControl w:val="0"/>
                    <w:adjustRightInd/>
                    <w:snapToGrid/>
                    <w:jc w:val="center"/>
                    <w:rPr>
                      <w:rFonts w:ascii="Times New Roman" w:hAnsi="Times New Roman"/>
                      <w:sz w:val="21"/>
                      <w:szCs w:val="21"/>
                    </w:rPr>
                  </w:pPr>
                  <w:r>
                    <w:rPr>
                      <w:rFonts w:hint="eastAsia" w:ascii="Times New Roman" w:hAnsi="Times New Roman"/>
                      <w:sz w:val="21"/>
                      <w:szCs w:val="21"/>
                    </w:rPr>
                    <w:t>收集暂存于一般固废暂存区，外售物资综合回收单位利用</w:t>
                  </w:r>
                </w:p>
              </w:tc>
            </w:tr>
            <w:tr w14:paraId="3D766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tcMar>
                    <w:top w:w="0" w:type="dxa"/>
                    <w:left w:w="51" w:type="dxa"/>
                    <w:bottom w:w="0" w:type="dxa"/>
                    <w:right w:w="51" w:type="dxa"/>
                  </w:tcMar>
                  <w:vAlign w:val="center"/>
                </w:tcPr>
                <w:p w14:paraId="29878A2A">
                  <w:pPr>
                    <w:widowControl/>
                    <w:adjustRightInd/>
                    <w:snapToGrid/>
                    <w:jc w:val="center"/>
                    <w:rPr>
                      <w:kern w:val="0"/>
                      <w:szCs w:val="21"/>
                    </w:rPr>
                  </w:pPr>
                  <w:r>
                    <w:rPr>
                      <w:kern w:val="0"/>
                      <w:szCs w:val="21"/>
                    </w:rPr>
                    <w:t>4</w:t>
                  </w:r>
                </w:p>
              </w:tc>
              <w:tc>
                <w:tcPr>
                  <w:tcW w:w="854" w:type="dxa"/>
                  <w:tcMar>
                    <w:top w:w="0" w:type="dxa"/>
                    <w:left w:w="51" w:type="dxa"/>
                    <w:bottom w:w="0" w:type="dxa"/>
                    <w:right w:w="51" w:type="dxa"/>
                  </w:tcMar>
                  <w:vAlign w:val="center"/>
                </w:tcPr>
                <w:p w14:paraId="680C37AF">
                  <w:pPr>
                    <w:widowControl/>
                    <w:adjustRightInd/>
                    <w:snapToGrid/>
                    <w:jc w:val="center"/>
                    <w:rPr>
                      <w:kern w:val="0"/>
                      <w:szCs w:val="21"/>
                    </w:rPr>
                  </w:pPr>
                  <w:r>
                    <w:rPr>
                      <w:kern w:val="0"/>
                      <w:szCs w:val="21"/>
                    </w:rPr>
                    <w:t>噪声</w:t>
                  </w:r>
                </w:p>
              </w:tc>
              <w:tc>
                <w:tcPr>
                  <w:tcW w:w="1109" w:type="dxa"/>
                  <w:tcBorders>
                    <w:left w:val="single" w:color="000000" w:sz="4" w:space="0"/>
                    <w:right w:val="single" w:color="000000" w:sz="4" w:space="0"/>
                  </w:tcBorders>
                  <w:tcMar>
                    <w:top w:w="0" w:type="dxa"/>
                    <w:left w:w="51" w:type="dxa"/>
                    <w:bottom w:w="0" w:type="dxa"/>
                    <w:right w:w="51" w:type="dxa"/>
                  </w:tcMar>
                  <w:vAlign w:val="center"/>
                </w:tcPr>
                <w:p w14:paraId="50C84993">
                  <w:pPr>
                    <w:widowControl/>
                    <w:adjustRightInd/>
                    <w:snapToGrid/>
                    <w:jc w:val="center"/>
                    <w:rPr>
                      <w:kern w:val="0"/>
                      <w:szCs w:val="21"/>
                      <w:highlight w:val="yellow"/>
                    </w:rPr>
                  </w:pPr>
                  <w:r>
                    <w:rPr>
                      <w:rFonts w:hint="eastAsia"/>
                      <w:kern w:val="0"/>
                      <w:szCs w:val="21"/>
                    </w:rPr>
                    <w:t>机械设备运行</w:t>
                  </w:r>
                </w:p>
              </w:tc>
              <w:tc>
                <w:tcPr>
                  <w:tcW w:w="2040" w:type="dxa"/>
                  <w:tcBorders>
                    <w:left w:val="single" w:color="000000" w:sz="4" w:space="0"/>
                    <w:right w:val="single" w:color="000000" w:sz="4" w:space="0"/>
                  </w:tcBorders>
                  <w:tcMar>
                    <w:top w:w="0" w:type="dxa"/>
                    <w:left w:w="51" w:type="dxa"/>
                    <w:bottom w:w="0" w:type="dxa"/>
                    <w:right w:w="51" w:type="dxa"/>
                  </w:tcMar>
                  <w:vAlign w:val="center"/>
                </w:tcPr>
                <w:p w14:paraId="194364ED">
                  <w:pPr>
                    <w:widowControl/>
                    <w:adjustRightInd/>
                    <w:snapToGrid/>
                    <w:jc w:val="center"/>
                    <w:rPr>
                      <w:kern w:val="0"/>
                      <w:szCs w:val="21"/>
                    </w:rPr>
                  </w:pPr>
                  <w:r>
                    <w:rPr>
                      <w:rFonts w:hint="eastAsia"/>
                      <w:kern w:val="0"/>
                      <w:szCs w:val="21"/>
                    </w:rPr>
                    <w:t>噪声</w:t>
                  </w:r>
                </w:p>
              </w:tc>
              <w:tc>
                <w:tcPr>
                  <w:tcW w:w="3682" w:type="dxa"/>
                  <w:tcBorders>
                    <w:left w:val="single" w:color="000000" w:sz="4" w:space="0"/>
                  </w:tcBorders>
                  <w:tcMar>
                    <w:top w:w="0" w:type="dxa"/>
                    <w:left w:w="51" w:type="dxa"/>
                    <w:bottom w:w="0" w:type="dxa"/>
                    <w:right w:w="51" w:type="dxa"/>
                  </w:tcMar>
                  <w:vAlign w:val="center"/>
                </w:tcPr>
                <w:p w14:paraId="38E9C4FC">
                  <w:pPr>
                    <w:widowControl/>
                    <w:adjustRightInd/>
                    <w:snapToGrid/>
                    <w:jc w:val="center"/>
                    <w:rPr>
                      <w:kern w:val="0"/>
                      <w:szCs w:val="21"/>
                    </w:rPr>
                  </w:pPr>
                  <w:r>
                    <w:rPr>
                      <w:rFonts w:hint="eastAsia"/>
                      <w:szCs w:val="21"/>
                    </w:rPr>
                    <w:t>选用低噪声设备，</w:t>
                  </w:r>
                  <w:r>
                    <w:rPr>
                      <w:szCs w:val="21"/>
                    </w:rPr>
                    <w:t>厂房隔声、</w:t>
                  </w:r>
                  <w:r>
                    <w:rPr>
                      <w:rFonts w:hint="eastAsia"/>
                      <w:szCs w:val="21"/>
                    </w:rPr>
                    <w:t>高噪声</w:t>
                  </w:r>
                  <w:r>
                    <w:rPr>
                      <w:szCs w:val="21"/>
                    </w:rPr>
                    <w:t>设备基础减振等措施</w:t>
                  </w:r>
                </w:p>
              </w:tc>
            </w:tr>
          </w:tbl>
          <w:p w14:paraId="65B85ECA">
            <w:pPr>
              <w:pStyle w:val="74"/>
              <w:spacing w:line="360" w:lineRule="auto"/>
              <w:ind w:firstLine="422" w:firstLineChars="200"/>
              <w:jc w:val="left"/>
              <w:rPr>
                <w:color w:val="FF0000"/>
              </w:rPr>
            </w:pPr>
          </w:p>
        </w:tc>
      </w:tr>
      <w:tr w14:paraId="42D8F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6EB809FD">
            <w:pPr>
              <w:pStyle w:val="29"/>
              <w:spacing w:before="0" w:beforeAutospacing="0" w:after="0" w:afterAutospacing="0"/>
              <w:jc w:val="center"/>
              <w:rPr>
                <w:rFonts w:cs="宋体"/>
                <w:color w:val="FF0000"/>
                <w:kern w:val="21"/>
                <w:szCs w:val="24"/>
              </w:rPr>
            </w:pPr>
            <w:r>
              <w:rPr>
                <w:rFonts w:ascii="Times New Roman" w:hAnsi="Times New Roman"/>
                <w:szCs w:val="24"/>
              </w:rPr>
              <w:t>与项目有关的原有环境污染问题</w:t>
            </w:r>
          </w:p>
        </w:tc>
        <w:tc>
          <w:tcPr>
            <w:tcW w:w="8280" w:type="dxa"/>
            <w:vAlign w:val="center"/>
          </w:tcPr>
          <w:p w14:paraId="6B1DDB18">
            <w:pPr>
              <w:pStyle w:val="66"/>
              <w:ind w:firstLine="0" w:firstLineChars="0"/>
              <w:rPr>
                <w:b/>
                <w:bCs/>
                <w:kern w:val="2"/>
                <w:sz w:val="24"/>
                <w:szCs w:val="24"/>
              </w:rPr>
            </w:pPr>
            <w:r>
              <w:rPr>
                <w:rFonts w:hint="eastAsia"/>
                <w:b/>
                <w:bCs/>
                <w:kern w:val="2"/>
                <w:sz w:val="24"/>
                <w:szCs w:val="24"/>
              </w:rPr>
              <w:t>2.10原有项目情况</w:t>
            </w:r>
          </w:p>
          <w:p w14:paraId="39580CC4">
            <w:pPr>
              <w:pStyle w:val="113"/>
              <w:ind w:firstLine="480" w:firstLineChars="200"/>
              <w:textAlignment w:val="center"/>
              <w:rPr>
                <w:b w:val="0"/>
              </w:rPr>
            </w:pPr>
            <w:r>
              <w:rPr>
                <w:rFonts w:hint="eastAsia"/>
                <w:b w:val="0"/>
              </w:rPr>
              <w:t>迁建前的项目位于福清市上迳镇官元村，建成年产钢筋混凝土排水管1万立方。本评价根据建设单位提供的环评文件等相关文件基础上对企业原有项目（迁建前的项目）工程情况进行回顾性分析。</w:t>
            </w:r>
          </w:p>
          <w:p w14:paraId="2BF9083D">
            <w:pPr>
              <w:pStyle w:val="113"/>
              <w:ind w:firstLine="482" w:firstLineChars="200"/>
              <w:textAlignment w:val="center"/>
              <w:rPr>
                <w:bCs/>
              </w:rPr>
            </w:pPr>
            <w:r>
              <w:rPr>
                <w:rFonts w:hint="eastAsia"/>
                <w:bCs/>
              </w:rPr>
              <w:t>1、原有项目环保手续</w:t>
            </w:r>
          </w:p>
          <w:p w14:paraId="41A72F74">
            <w:pPr>
              <w:pStyle w:val="113"/>
              <w:ind w:firstLine="480" w:firstLineChars="200"/>
              <w:textAlignment w:val="center"/>
              <w:rPr>
                <w:b w:val="0"/>
                <w:bCs/>
              </w:rPr>
            </w:pPr>
            <w:r>
              <w:rPr>
                <w:b w:val="0"/>
                <w:bCs/>
              </w:rPr>
              <w:t>福清市融大水泥制品有限公司</w:t>
            </w:r>
            <w:r>
              <w:rPr>
                <w:rFonts w:hint="eastAsia"/>
                <w:b w:val="0"/>
                <w:bCs/>
              </w:rPr>
              <w:t>于2018年12月委托湖南大自然环保科技有限公司编制完成了《福清市融大水泥制品有限公司年产钢筋混凝土排水管1万立方项目环境影响报告表》，且于2019年3月8日通过福州市福清生态环境局的审批（融环评表[2019]19号）。该项目位于福清市上迳镇官元村，建成后年产钢筋混凝土排水管1万立方，2020年11月，建设单位对该项目进行验收，2020年12月16日通过专家组验收，取得了《福清市融大水泥制品有限公司年产钢筋混凝土排水管1万立方项目竣工环境保护验收意见》（验收意见）。</w:t>
            </w:r>
          </w:p>
          <w:p w14:paraId="2478ADC0">
            <w:pPr>
              <w:pStyle w:val="113"/>
              <w:ind w:firstLine="482" w:firstLineChars="200"/>
              <w:textAlignment w:val="center"/>
              <w:rPr>
                <w:bCs/>
              </w:rPr>
            </w:pPr>
            <w:r>
              <w:rPr>
                <w:rFonts w:hint="eastAsia"/>
                <w:bCs/>
              </w:rPr>
              <w:t>2、原有项目生产工艺和产污环节</w:t>
            </w:r>
          </w:p>
          <w:p w14:paraId="1AC9E95E">
            <w:pPr>
              <w:pStyle w:val="113"/>
              <w:jc w:val="center"/>
              <w:textAlignment w:val="center"/>
              <w:rPr>
                <w:b w:val="0"/>
                <w:bCs/>
              </w:rPr>
            </w:pPr>
            <w:r>
              <w:drawing>
                <wp:inline distT="0" distB="0" distL="114300" distR="114300">
                  <wp:extent cx="5113655" cy="2901315"/>
                  <wp:effectExtent l="0" t="0" r="10795" b="1333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4" cstate="print"/>
                          <a:stretch>
                            <a:fillRect/>
                          </a:stretch>
                        </pic:blipFill>
                        <pic:spPr>
                          <a:xfrm>
                            <a:off x="0" y="0"/>
                            <a:ext cx="5113655" cy="2901315"/>
                          </a:xfrm>
                          <a:prstGeom prst="rect">
                            <a:avLst/>
                          </a:prstGeom>
                          <a:noFill/>
                          <a:ln>
                            <a:noFill/>
                          </a:ln>
                        </pic:spPr>
                      </pic:pic>
                    </a:graphicData>
                  </a:graphic>
                </wp:inline>
              </w:drawing>
            </w:r>
          </w:p>
          <w:p w14:paraId="7321C34D">
            <w:pPr>
              <w:pStyle w:val="66"/>
              <w:ind w:firstLine="482"/>
              <w:jc w:val="center"/>
              <w:rPr>
                <w:b/>
                <w:sz w:val="24"/>
                <w:szCs w:val="24"/>
              </w:rPr>
            </w:pPr>
            <w:r>
              <w:rPr>
                <w:rFonts w:hint="eastAsia"/>
                <w:b/>
                <w:sz w:val="24"/>
                <w:szCs w:val="24"/>
              </w:rPr>
              <w:t xml:space="preserve">图2.10-1 </w:t>
            </w:r>
            <w:r>
              <w:rPr>
                <w:b/>
                <w:sz w:val="24"/>
                <w:szCs w:val="24"/>
              </w:rPr>
              <w:t xml:space="preserve"> </w:t>
            </w:r>
            <w:r>
              <w:rPr>
                <w:rFonts w:hint="eastAsia"/>
                <w:b/>
                <w:sz w:val="24"/>
                <w:szCs w:val="24"/>
              </w:rPr>
              <w:t>原有项目生产工艺和产污环节图</w:t>
            </w:r>
          </w:p>
          <w:p w14:paraId="7C5AC303">
            <w:pPr>
              <w:spacing w:line="360" w:lineRule="auto"/>
              <w:ind w:firstLine="482" w:firstLineChars="200"/>
              <w:rPr>
                <w:b/>
                <w:sz w:val="24"/>
              </w:rPr>
            </w:pPr>
            <w:r>
              <w:rPr>
                <w:rFonts w:hint="eastAsia"/>
                <w:b/>
                <w:sz w:val="24"/>
              </w:rPr>
              <w:t>工艺流程简述：</w:t>
            </w:r>
          </w:p>
          <w:p w14:paraId="4B63D813">
            <w:pPr>
              <w:spacing w:line="360" w:lineRule="auto"/>
              <w:ind w:firstLine="480" w:firstLineChars="200"/>
              <w:rPr>
                <w:bCs/>
                <w:sz w:val="24"/>
              </w:rPr>
            </w:pPr>
            <w:r>
              <w:rPr>
                <w:bCs/>
                <w:sz w:val="24"/>
              </w:rPr>
              <w:t>①</w:t>
            </w:r>
            <w:r>
              <w:rPr>
                <w:rFonts w:hint="eastAsia"/>
                <w:bCs/>
                <w:sz w:val="24"/>
              </w:rPr>
              <w:t>来料：原材料运输过程主要采用汽车运输方式。</w:t>
            </w:r>
          </w:p>
          <w:p w14:paraId="4BFAF8AE">
            <w:pPr>
              <w:spacing w:line="360" w:lineRule="auto"/>
              <w:ind w:firstLine="480" w:firstLineChars="200"/>
              <w:rPr>
                <w:bCs/>
                <w:sz w:val="24"/>
              </w:rPr>
            </w:pPr>
            <w:r>
              <w:rPr>
                <w:rFonts w:hint="eastAsia"/>
                <w:bCs/>
                <w:sz w:val="24"/>
              </w:rPr>
              <w:t>石子、砂子原料的运输储存：石子、砂子运输过程采用帆布遮盖，运至露天石子、砂子堆场堆放，堆场定期喷水，保持堆料表层湿润，保持表层含水率≥10%；石子、砂子物料在卸料时，洒水抑尘。</w:t>
            </w:r>
          </w:p>
          <w:p w14:paraId="2352F3B5">
            <w:pPr>
              <w:spacing w:line="360" w:lineRule="auto"/>
              <w:ind w:firstLine="480" w:firstLineChars="200"/>
              <w:rPr>
                <w:bCs/>
                <w:sz w:val="24"/>
              </w:rPr>
            </w:pPr>
            <w:r>
              <w:rPr>
                <w:rFonts w:hint="eastAsia"/>
                <w:bCs/>
                <w:sz w:val="24"/>
              </w:rPr>
              <w:t>水泥原料的运输储存：采用密闭罐车运输至厂内，</w:t>
            </w:r>
            <w:r>
              <w:rPr>
                <w:rFonts w:hint="eastAsia"/>
                <w:sz w:val="24"/>
              </w:rPr>
              <w:t>通过泵连接管道采用负压方式将水泥粉料打入水泥罐中，卸料过程为密闭。</w:t>
            </w:r>
          </w:p>
          <w:p w14:paraId="7B62F9BE">
            <w:pPr>
              <w:spacing w:line="360" w:lineRule="auto"/>
              <w:ind w:firstLine="480" w:firstLineChars="200"/>
              <w:rPr>
                <w:bCs/>
                <w:sz w:val="24"/>
              </w:rPr>
            </w:pPr>
            <w:r>
              <w:rPr>
                <w:rFonts w:hint="eastAsia"/>
                <w:bCs/>
                <w:sz w:val="24"/>
              </w:rPr>
              <w:t>②</w:t>
            </w:r>
            <w:r>
              <w:rPr>
                <w:bCs/>
                <w:sz w:val="24"/>
              </w:rPr>
              <w:t>配料、搅拌</w:t>
            </w:r>
          </w:p>
          <w:p w14:paraId="12942B46">
            <w:pPr>
              <w:spacing w:line="360" w:lineRule="auto"/>
              <w:ind w:firstLine="480" w:firstLineChars="200"/>
              <w:rPr>
                <w:bCs/>
                <w:color w:val="FF0000"/>
                <w:sz w:val="24"/>
              </w:rPr>
            </w:pPr>
            <w:r>
              <w:rPr>
                <w:bCs/>
                <w:sz w:val="24"/>
              </w:rPr>
              <w:t>本项目生产过程中使用的石子</w:t>
            </w:r>
            <w:r>
              <w:rPr>
                <w:rFonts w:hint="eastAsia"/>
                <w:bCs/>
                <w:sz w:val="24"/>
              </w:rPr>
              <w:t>、砂子均采用皮带传输系统，</w:t>
            </w:r>
            <w:r>
              <w:rPr>
                <w:bCs/>
                <w:sz w:val="24"/>
              </w:rPr>
              <w:t>经皮带输送至备料斗内，备料斗</w:t>
            </w:r>
            <w:r>
              <w:rPr>
                <w:rFonts w:hint="eastAsia"/>
                <w:bCs/>
                <w:sz w:val="24"/>
              </w:rPr>
              <w:t>在输送</w:t>
            </w:r>
            <w:r>
              <w:rPr>
                <w:bCs/>
                <w:sz w:val="24"/>
              </w:rPr>
              <w:t>至搅拌机内，在投入混凝土配料</w:t>
            </w:r>
            <w:r>
              <w:rPr>
                <w:rFonts w:hint="eastAsia"/>
                <w:bCs/>
                <w:sz w:val="24"/>
              </w:rPr>
              <w:t>斗</w:t>
            </w:r>
            <w:r>
              <w:rPr>
                <w:bCs/>
                <w:sz w:val="24"/>
              </w:rPr>
              <w:t>的过程中会产生粉尘（计入</w:t>
            </w:r>
            <w:r>
              <w:rPr>
                <w:rFonts w:hint="eastAsia"/>
                <w:bCs/>
                <w:sz w:val="24"/>
              </w:rPr>
              <w:t>混合</w:t>
            </w:r>
            <w:r>
              <w:rPr>
                <w:bCs/>
                <w:sz w:val="24"/>
              </w:rPr>
              <w:t>搅拌工序中），</w:t>
            </w:r>
            <w:r>
              <w:rPr>
                <w:rFonts w:hint="eastAsia"/>
                <w:bCs/>
                <w:sz w:val="24"/>
              </w:rPr>
              <w:t>进料、下料和转运的上方加装半密闭的防尘罩；</w:t>
            </w:r>
            <w:r>
              <w:rPr>
                <w:bCs/>
                <w:sz w:val="24"/>
              </w:rPr>
              <w:t>水泥储存在水泥</w:t>
            </w:r>
            <w:r>
              <w:rPr>
                <w:rFonts w:hint="eastAsia"/>
                <w:bCs/>
                <w:sz w:val="24"/>
              </w:rPr>
              <w:t>罐</w:t>
            </w:r>
            <w:r>
              <w:rPr>
                <w:bCs/>
                <w:sz w:val="24"/>
              </w:rPr>
              <w:t>内通过密闭管道直接输送至搅拌机内</w:t>
            </w:r>
            <w:r>
              <w:rPr>
                <w:rFonts w:hint="eastAsia"/>
                <w:bCs/>
                <w:sz w:val="24"/>
              </w:rPr>
              <w:t>，水泥输料系统、计量系统均采用密闭式管道输料；</w:t>
            </w:r>
            <w:r>
              <w:rPr>
                <w:bCs/>
                <w:sz w:val="24"/>
              </w:rPr>
              <w:t>水通过自来水管道输送</w:t>
            </w:r>
            <w:r>
              <w:rPr>
                <w:rFonts w:hint="eastAsia"/>
                <w:bCs/>
                <w:sz w:val="24"/>
              </w:rPr>
              <w:t>；</w:t>
            </w:r>
            <w:r>
              <w:rPr>
                <w:bCs/>
                <w:sz w:val="24"/>
              </w:rPr>
              <w:t>水泥、石子</w:t>
            </w:r>
            <w:r>
              <w:rPr>
                <w:rFonts w:hint="eastAsia"/>
                <w:bCs/>
                <w:sz w:val="24"/>
              </w:rPr>
              <w:t>、砂子</w:t>
            </w:r>
            <w:r>
              <w:rPr>
                <w:bCs/>
                <w:sz w:val="24"/>
              </w:rPr>
              <w:t>和水送入搅拌机后</w:t>
            </w:r>
            <w:r>
              <w:rPr>
                <w:rFonts w:hint="eastAsia"/>
                <w:bCs/>
                <w:sz w:val="24"/>
              </w:rPr>
              <w:t>密闭</w:t>
            </w:r>
            <w:r>
              <w:rPr>
                <w:bCs/>
                <w:sz w:val="24"/>
              </w:rPr>
              <w:t>搅拌成混凝土，在搅拌的过程中</w:t>
            </w:r>
            <w:r>
              <w:rPr>
                <w:rFonts w:hint="eastAsia"/>
                <w:bCs/>
                <w:sz w:val="24"/>
              </w:rPr>
              <w:t>会产生少量</w:t>
            </w:r>
            <w:r>
              <w:rPr>
                <w:bCs/>
                <w:sz w:val="24"/>
              </w:rPr>
              <w:t>粉尘</w:t>
            </w:r>
            <w:r>
              <w:rPr>
                <w:rFonts w:hint="eastAsia"/>
                <w:bCs/>
                <w:sz w:val="24"/>
              </w:rPr>
              <w:t>和</w:t>
            </w:r>
            <w:r>
              <w:rPr>
                <w:bCs/>
                <w:sz w:val="24"/>
              </w:rPr>
              <w:t>噪声，水泥</w:t>
            </w:r>
            <w:r>
              <w:rPr>
                <w:rFonts w:hint="eastAsia"/>
                <w:bCs/>
                <w:sz w:val="24"/>
              </w:rPr>
              <w:t>罐</w:t>
            </w:r>
            <w:r>
              <w:rPr>
                <w:bCs/>
                <w:sz w:val="24"/>
              </w:rPr>
              <w:t>会产生呼吸粉尘。</w:t>
            </w:r>
          </w:p>
          <w:p w14:paraId="085AD36C">
            <w:pPr>
              <w:spacing w:line="360" w:lineRule="auto"/>
              <w:ind w:firstLine="480" w:firstLineChars="200"/>
              <w:rPr>
                <w:bCs/>
                <w:sz w:val="24"/>
              </w:rPr>
            </w:pPr>
            <w:r>
              <w:rPr>
                <w:bCs/>
                <w:sz w:val="24"/>
              </w:rPr>
              <w:fldChar w:fldCharType="begin"/>
            </w:r>
            <w:r>
              <w:rPr>
                <w:bCs/>
                <w:sz w:val="24"/>
              </w:rPr>
              <w:instrText xml:space="preserve"> = 3 \* GB3 \* MERGEFORMAT </w:instrText>
            </w:r>
            <w:r>
              <w:rPr>
                <w:bCs/>
                <w:sz w:val="24"/>
              </w:rPr>
              <w:fldChar w:fldCharType="separate"/>
            </w:r>
            <w:r>
              <w:rPr>
                <w:sz w:val="24"/>
              </w:rPr>
              <w:t>③</w:t>
            </w:r>
            <w:r>
              <w:rPr>
                <w:bCs/>
                <w:sz w:val="24"/>
              </w:rPr>
              <w:fldChar w:fldCharType="end"/>
            </w:r>
            <w:r>
              <w:rPr>
                <w:bCs/>
                <w:sz w:val="24"/>
              </w:rPr>
              <w:t>钢筋加工</w:t>
            </w:r>
          </w:p>
          <w:p w14:paraId="115C51FF">
            <w:pPr>
              <w:spacing w:line="360" w:lineRule="auto"/>
              <w:ind w:firstLine="480" w:firstLineChars="200"/>
              <w:rPr>
                <w:bCs/>
                <w:sz w:val="24"/>
              </w:rPr>
            </w:pPr>
            <w:r>
              <w:rPr>
                <w:bCs/>
                <w:sz w:val="24"/>
              </w:rPr>
              <w:t>钢筋骨架的主筋由人工穿过固定旋转盘相应模板圆孔至移动旋转盘的相应孔中进行固定，把盘筋端先焊接在一根主筋上，然后通过固定旋转盘及移动旋转盘转动把盘筋缠绕在主筋上（移动旋转盘一边旋转一边后移），同时进行焊接，从而形成钢筋骨架。此过程产生</w:t>
            </w:r>
            <w:r>
              <w:rPr>
                <w:rFonts w:hint="eastAsia"/>
                <w:bCs/>
                <w:sz w:val="24"/>
              </w:rPr>
              <w:t>焊接烟尘、</w:t>
            </w:r>
            <w:r>
              <w:rPr>
                <w:bCs/>
                <w:sz w:val="24"/>
              </w:rPr>
              <w:t>噪声和</w:t>
            </w:r>
            <w:r>
              <w:rPr>
                <w:rFonts w:hint="eastAsia"/>
                <w:bCs/>
                <w:sz w:val="24"/>
              </w:rPr>
              <w:t>钢筋边角料</w:t>
            </w:r>
            <w:r>
              <w:rPr>
                <w:bCs/>
                <w:sz w:val="24"/>
              </w:rPr>
              <w:t>。</w:t>
            </w:r>
          </w:p>
          <w:p w14:paraId="7A5B27D6">
            <w:pPr>
              <w:spacing w:line="360" w:lineRule="auto"/>
              <w:ind w:firstLine="480" w:firstLineChars="200"/>
              <w:rPr>
                <w:bCs/>
                <w:sz w:val="24"/>
              </w:rPr>
            </w:pPr>
            <w:r>
              <w:rPr>
                <w:rFonts w:hint="eastAsia"/>
                <w:sz w:val="24"/>
              </w:rPr>
              <w:fldChar w:fldCharType="begin"/>
            </w:r>
            <w:r>
              <w:rPr>
                <w:rFonts w:hint="eastAsia"/>
                <w:sz w:val="24"/>
              </w:rPr>
              <w:instrText xml:space="preserve"> = 4 \* GB3 \* MERGEFORMAT </w:instrText>
            </w:r>
            <w:r>
              <w:rPr>
                <w:rFonts w:hint="eastAsia"/>
                <w:sz w:val="24"/>
              </w:rPr>
              <w:fldChar w:fldCharType="separate"/>
            </w:r>
            <w:r>
              <w:rPr>
                <w:sz w:val="24"/>
              </w:rPr>
              <w:t>④</w:t>
            </w:r>
            <w:r>
              <w:rPr>
                <w:rFonts w:hint="eastAsia"/>
                <w:sz w:val="24"/>
              </w:rPr>
              <w:fldChar w:fldCharType="end"/>
            </w:r>
            <w:r>
              <w:rPr>
                <w:rFonts w:hint="eastAsia"/>
                <w:bCs/>
                <w:sz w:val="24"/>
              </w:rPr>
              <w:t>装模</w:t>
            </w:r>
          </w:p>
          <w:p w14:paraId="22B9622B">
            <w:pPr>
              <w:spacing w:line="360" w:lineRule="auto"/>
              <w:ind w:firstLine="480" w:firstLineChars="200"/>
              <w:rPr>
                <w:bCs/>
                <w:sz w:val="24"/>
              </w:rPr>
            </w:pPr>
            <w:r>
              <w:rPr>
                <w:bCs/>
                <w:sz w:val="24"/>
              </w:rPr>
              <w:t>模具采用两个半模进行拼装，将制作好的钢筋骨架放入模具中，将各个部位的连接紧固牢靠，把合好的模具通过叉车放到制管机工作台上。</w:t>
            </w:r>
          </w:p>
          <w:p w14:paraId="24406497">
            <w:pPr>
              <w:spacing w:line="360" w:lineRule="auto"/>
              <w:ind w:firstLine="480" w:firstLineChars="200"/>
              <w:rPr>
                <w:bCs/>
                <w:sz w:val="24"/>
              </w:rPr>
            </w:pPr>
            <w:r>
              <w:rPr>
                <w:rFonts w:hint="eastAsia"/>
                <w:sz w:val="24"/>
              </w:rPr>
              <w:t>⑤</w:t>
            </w:r>
            <w:r>
              <w:rPr>
                <w:bCs/>
                <w:sz w:val="24"/>
              </w:rPr>
              <w:t>成型</w:t>
            </w:r>
          </w:p>
          <w:p w14:paraId="52571402">
            <w:pPr>
              <w:spacing w:line="360" w:lineRule="auto"/>
              <w:ind w:firstLine="480" w:firstLineChars="200"/>
              <w:rPr>
                <w:bCs/>
                <w:sz w:val="24"/>
              </w:rPr>
            </w:pPr>
            <w:r>
              <w:rPr>
                <w:bCs/>
                <w:sz w:val="24"/>
              </w:rPr>
              <w:t>本项目水泥顶管和水泥排水管采用</w:t>
            </w:r>
            <w:r>
              <w:rPr>
                <w:rFonts w:hint="eastAsia"/>
                <w:bCs/>
                <w:sz w:val="24"/>
              </w:rPr>
              <w:t>离心成型机</w:t>
            </w:r>
            <w:r>
              <w:rPr>
                <w:bCs/>
                <w:sz w:val="24"/>
              </w:rPr>
              <w:t>成型。</w:t>
            </w:r>
          </w:p>
          <w:p w14:paraId="2571E85D">
            <w:pPr>
              <w:spacing w:line="360" w:lineRule="auto"/>
              <w:ind w:firstLine="480" w:firstLineChars="200"/>
              <w:rPr>
                <w:bCs/>
                <w:sz w:val="24"/>
              </w:rPr>
            </w:pPr>
            <w:r>
              <w:rPr>
                <w:rFonts w:hint="eastAsia"/>
                <w:sz w:val="24"/>
              </w:rPr>
              <w:fldChar w:fldCharType="begin"/>
            </w:r>
            <w:r>
              <w:rPr>
                <w:rFonts w:hint="eastAsia"/>
                <w:sz w:val="24"/>
              </w:rPr>
              <w:instrText xml:space="preserve"> = 6 \* GB3 \* MERGEFORMAT </w:instrText>
            </w:r>
            <w:r>
              <w:rPr>
                <w:rFonts w:hint="eastAsia"/>
                <w:sz w:val="24"/>
              </w:rPr>
              <w:fldChar w:fldCharType="separate"/>
            </w:r>
            <w:r>
              <w:rPr>
                <w:rFonts w:hint="eastAsia"/>
                <w:sz w:val="24"/>
              </w:rPr>
              <w:t>⑥</w:t>
            </w:r>
            <w:r>
              <w:rPr>
                <w:rFonts w:hint="eastAsia"/>
                <w:sz w:val="24"/>
              </w:rPr>
              <w:fldChar w:fldCharType="end"/>
            </w:r>
            <w:r>
              <w:rPr>
                <w:rFonts w:hint="eastAsia"/>
                <w:bCs/>
                <w:sz w:val="24"/>
              </w:rPr>
              <w:t>拆</w:t>
            </w:r>
            <w:r>
              <w:rPr>
                <w:bCs/>
                <w:sz w:val="24"/>
              </w:rPr>
              <w:t>模、养护</w:t>
            </w:r>
          </w:p>
          <w:p w14:paraId="53F34D88">
            <w:pPr>
              <w:spacing w:line="360" w:lineRule="auto"/>
              <w:ind w:firstLine="480" w:firstLineChars="200"/>
              <w:rPr>
                <w:bCs/>
                <w:sz w:val="24"/>
              </w:rPr>
            </w:pPr>
            <w:r>
              <w:rPr>
                <w:bCs/>
                <w:sz w:val="24"/>
              </w:rPr>
              <w:t>成型完毕的水泥制品通过叉车运送至成品区，并立即</w:t>
            </w:r>
            <w:r>
              <w:rPr>
                <w:rFonts w:hint="eastAsia"/>
                <w:bCs/>
                <w:sz w:val="24"/>
              </w:rPr>
              <w:t>拆</w:t>
            </w:r>
            <w:r>
              <w:rPr>
                <w:bCs/>
                <w:sz w:val="24"/>
              </w:rPr>
              <w:t>模</w:t>
            </w:r>
            <w:r>
              <w:rPr>
                <w:rFonts w:hint="eastAsia"/>
                <w:bCs/>
                <w:sz w:val="24"/>
              </w:rPr>
              <w:t>，</w:t>
            </w:r>
            <w:r>
              <w:rPr>
                <w:bCs/>
                <w:sz w:val="24"/>
              </w:rPr>
              <w:t>水泥制品</w:t>
            </w:r>
            <w:r>
              <w:rPr>
                <w:rFonts w:hint="eastAsia"/>
                <w:bCs/>
                <w:sz w:val="24"/>
              </w:rPr>
              <w:t>再</w:t>
            </w:r>
            <w:r>
              <w:rPr>
                <w:bCs/>
                <w:sz w:val="24"/>
              </w:rPr>
              <w:t>进行自然养护，强度达到98%以上后，即得到成品。</w:t>
            </w:r>
          </w:p>
          <w:p w14:paraId="608FE8C2">
            <w:pPr>
              <w:pStyle w:val="113"/>
              <w:ind w:firstLine="482" w:firstLineChars="200"/>
              <w:textAlignment w:val="center"/>
              <w:rPr>
                <w:bCs/>
              </w:rPr>
            </w:pPr>
            <w:r>
              <w:rPr>
                <w:rFonts w:hint="eastAsia"/>
                <w:bCs/>
              </w:rPr>
              <w:t>3、原有项目污染物、处置措施情况及达标排放分析</w:t>
            </w:r>
          </w:p>
          <w:p w14:paraId="36225120">
            <w:pPr>
              <w:pStyle w:val="113"/>
              <w:ind w:firstLine="480" w:firstLineChars="200"/>
              <w:textAlignment w:val="center"/>
              <w:rPr>
                <w:b w:val="0"/>
              </w:rPr>
            </w:pPr>
            <w:r>
              <w:rPr>
                <w:b w:val="0"/>
              </w:rPr>
              <w:t>(1)废气</w:t>
            </w:r>
          </w:p>
          <w:p w14:paraId="342020E3">
            <w:pPr>
              <w:pStyle w:val="113"/>
              <w:ind w:firstLine="480" w:firstLineChars="200"/>
              <w:textAlignment w:val="center"/>
              <w:rPr>
                <w:b w:val="0"/>
              </w:rPr>
            </w:pPr>
            <w:r>
              <w:rPr>
                <w:b w:val="0"/>
              </w:rPr>
              <w:t>①原有项目</w:t>
            </w:r>
            <w:r>
              <w:rPr>
                <w:rFonts w:hint="eastAsia"/>
                <w:b w:val="0"/>
              </w:rPr>
              <w:t>废气</w:t>
            </w:r>
            <w:r>
              <w:rPr>
                <w:b w:val="0"/>
              </w:rPr>
              <w:t>污染物</w:t>
            </w:r>
            <w:r>
              <w:rPr>
                <w:rFonts w:hint="eastAsia"/>
                <w:b w:val="0"/>
              </w:rPr>
              <w:t>、</w:t>
            </w:r>
            <w:r>
              <w:rPr>
                <w:b w:val="0"/>
              </w:rPr>
              <w:t>处置措施情况</w:t>
            </w:r>
          </w:p>
          <w:p w14:paraId="5E725222">
            <w:pPr>
              <w:pStyle w:val="113"/>
              <w:ind w:firstLine="480" w:firstLineChars="200"/>
              <w:textAlignment w:val="center"/>
              <w:rPr>
                <w:b w:val="0"/>
              </w:rPr>
            </w:pPr>
            <w:r>
              <w:rPr>
                <w:rFonts w:hint="eastAsia"/>
                <w:b w:val="0"/>
              </w:rPr>
              <w:t>原有项目运营期废气主要为原料堆场粉尘、原料卸料粉尘、石子及砂子输送粉尘、水泥罐呼吸粉尘、搅拌粉尘、焊接烟尘等。</w:t>
            </w:r>
          </w:p>
          <w:p w14:paraId="2B988E9F">
            <w:pPr>
              <w:spacing w:line="360" w:lineRule="auto"/>
              <w:ind w:firstLine="480" w:firstLineChars="200"/>
              <w:rPr>
                <w:bCs/>
                <w:sz w:val="24"/>
              </w:rPr>
            </w:pPr>
            <w:r>
              <w:rPr>
                <w:rFonts w:hint="eastAsia"/>
                <w:sz w:val="24"/>
              </w:rPr>
              <w:t>原料堆场</w:t>
            </w:r>
            <w:r>
              <w:rPr>
                <w:rFonts w:hint="eastAsia"/>
                <w:bCs/>
                <w:sz w:val="24"/>
              </w:rPr>
              <w:t>定期喷水，保持堆料表层湿润，保持表层含水率≥10%；石子、砂子物料在卸料时，洒水抑尘；</w:t>
            </w:r>
            <w:r>
              <w:rPr>
                <w:rFonts w:hint="eastAsia"/>
                <w:sz w:val="24"/>
              </w:rPr>
              <w:t>石子及砂子输送</w:t>
            </w:r>
            <w:r>
              <w:rPr>
                <w:rFonts w:hint="eastAsia"/>
                <w:bCs/>
                <w:sz w:val="24"/>
              </w:rPr>
              <w:t>采用皮带传输系统，</w:t>
            </w:r>
            <w:r>
              <w:rPr>
                <w:bCs/>
                <w:sz w:val="24"/>
              </w:rPr>
              <w:t>经皮带输送至备料斗内，备料斗</w:t>
            </w:r>
            <w:r>
              <w:rPr>
                <w:rFonts w:hint="eastAsia"/>
                <w:bCs/>
                <w:sz w:val="24"/>
              </w:rPr>
              <w:t>在输送</w:t>
            </w:r>
            <w:r>
              <w:rPr>
                <w:bCs/>
                <w:sz w:val="24"/>
              </w:rPr>
              <w:t>至搅拌机内，</w:t>
            </w:r>
            <w:r>
              <w:rPr>
                <w:rFonts w:hint="eastAsia"/>
                <w:bCs/>
                <w:sz w:val="24"/>
              </w:rPr>
              <w:t>进料、下料和转运的上方加装半密闭的防尘罩；水泥罐呼吸粉尘收集后经布袋除尘器处理后通过1根15m排气筒DA001排放；</w:t>
            </w:r>
            <w:r>
              <w:rPr>
                <w:bCs/>
                <w:sz w:val="24"/>
              </w:rPr>
              <w:t>搅拌为封闭式设备，搅拌装置全部密封，搅拌完毕后物料为湿料，在</w:t>
            </w:r>
            <w:r>
              <w:rPr>
                <w:rFonts w:hint="eastAsia"/>
                <w:bCs/>
                <w:sz w:val="24"/>
              </w:rPr>
              <w:t>搅拌</w:t>
            </w:r>
            <w:r>
              <w:rPr>
                <w:bCs/>
                <w:sz w:val="24"/>
              </w:rPr>
              <w:t>过程中粉尘产生</w:t>
            </w:r>
            <w:r>
              <w:rPr>
                <w:rFonts w:hint="eastAsia"/>
                <w:bCs/>
                <w:sz w:val="24"/>
              </w:rPr>
              <w:t>少；采用电阻热进行焊接，不使用焊丝、焊条等填充金属，以及氧、乙炔、氢等焊接材料，因此在焊接过程基本无有害气体（烟尘）产生。</w:t>
            </w:r>
          </w:p>
          <w:p w14:paraId="2B5F0F04">
            <w:pPr>
              <w:pStyle w:val="113"/>
              <w:ind w:firstLine="480" w:firstLineChars="200"/>
              <w:textAlignment w:val="center"/>
              <w:rPr>
                <w:b w:val="0"/>
              </w:rPr>
            </w:pPr>
            <w:r>
              <w:rPr>
                <w:b w:val="0"/>
              </w:rPr>
              <w:t>②原有项目</w:t>
            </w:r>
            <w:r>
              <w:rPr>
                <w:rFonts w:hint="eastAsia"/>
                <w:b w:val="0"/>
              </w:rPr>
              <w:t>废气</w:t>
            </w:r>
            <w:r>
              <w:rPr>
                <w:b w:val="0"/>
              </w:rPr>
              <w:t>污染物</w:t>
            </w:r>
            <w:r>
              <w:rPr>
                <w:rFonts w:hint="eastAsia"/>
                <w:b w:val="0"/>
              </w:rPr>
              <w:t>排放达标分析</w:t>
            </w:r>
          </w:p>
          <w:p w14:paraId="6AA73489">
            <w:pPr>
              <w:spacing w:line="360" w:lineRule="auto"/>
              <w:ind w:firstLine="480" w:firstLineChars="200"/>
              <w:rPr>
                <w:sz w:val="24"/>
              </w:rPr>
            </w:pPr>
            <w:r>
              <w:rPr>
                <w:sz w:val="24"/>
              </w:rPr>
              <w:t>根据验收监测结果表明：</w:t>
            </w:r>
            <w:r>
              <w:rPr>
                <w:rFonts w:hint="eastAsia"/>
                <w:sz w:val="24"/>
              </w:rPr>
              <w:t>A、</w:t>
            </w:r>
            <w:r>
              <w:rPr>
                <w:sz w:val="24"/>
              </w:rPr>
              <w:t>原有项目排气筒DA001排放的颗粒物浓度均小于1mg/m</w:t>
            </w:r>
            <w:r>
              <w:rPr>
                <w:sz w:val="24"/>
                <w:vertAlign w:val="superscript"/>
              </w:rPr>
              <w:t>3</w:t>
            </w:r>
            <w:r>
              <w:rPr>
                <w:sz w:val="24"/>
              </w:rPr>
              <w:t>，均符合《水泥工业大气污染物排放标准》(GB4915-2013)表2中散装水泥中转站及水泥制品生产特别排放限值要求。</w:t>
            </w:r>
            <w:r>
              <w:rPr>
                <w:rFonts w:hint="eastAsia"/>
                <w:sz w:val="24"/>
              </w:rPr>
              <w:t>B、</w:t>
            </w:r>
            <w:r>
              <w:rPr>
                <w:sz w:val="24"/>
              </w:rPr>
              <w:t>原有项目</w:t>
            </w:r>
            <w:r>
              <w:rPr>
                <w:rFonts w:hint="eastAsia"/>
                <w:sz w:val="24"/>
              </w:rPr>
              <w:t>厂界下风向无组织废气颗粒物</w:t>
            </w:r>
            <w:r>
              <w:rPr>
                <w:sz w:val="24"/>
              </w:rPr>
              <w:t>与参照点</w:t>
            </w:r>
            <w:r>
              <w:rPr>
                <w:rFonts w:hint="eastAsia"/>
                <w:sz w:val="24"/>
              </w:rPr>
              <w:t>的废气颗粒物</w:t>
            </w:r>
            <w:r>
              <w:rPr>
                <w:sz w:val="24"/>
              </w:rPr>
              <w:t>差值</w:t>
            </w:r>
            <w:r>
              <w:rPr>
                <w:rFonts w:hint="eastAsia"/>
                <w:sz w:val="24"/>
              </w:rPr>
              <w:t>均</w:t>
            </w:r>
            <w:r>
              <w:rPr>
                <w:sz w:val="24"/>
              </w:rPr>
              <w:t>小于0.5mg/m</w:t>
            </w:r>
            <w:r>
              <w:rPr>
                <w:sz w:val="24"/>
                <w:vertAlign w:val="superscript"/>
              </w:rPr>
              <w:t>3</w:t>
            </w:r>
            <w:r>
              <w:rPr>
                <w:rFonts w:hint="eastAsia"/>
                <w:sz w:val="24"/>
              </w:rPr>
              <w:t>，</w:t>
            </w:r>
            <w:r>
              <w:rPr>
                <w:sz w:val="24"/>
              </w:rPr>
              <w:t>项目厂界无组织废气排放浓度均符合《水泥工业大气污染物排放标准》(GB4915-2013)表3中的无组织排放限值。</w:t>
            </w:r>
          </w:p>
          <w:p w14:paraId="613D829B">
            <w:pPr>
              <w:pStyle w:val="113"/>
              <w:ind w:firstLine="480" w:firstLineChars="200"/>
              <w:textAlignment w:val="center"/>
              <w:rPr>
                <w:b w:val="0"/>
              </w:rPr>
            </w:pPr>
            <w:r>
              <w:rPr>
                <w:b w:val="0"/>
              </w:rPr>
              <w:t>(</w:t>
            </w:r>
            <w:r>
              <w:rPr>
                <w:rFonts w:hint="eastAsia"/>
                <w:b w:val="0"/>
              </w:rPr>
              <w:t>2</w:t>
            </w:r>
            <w:r>
              <w:rPr>
                <w:b w:val="0"/>
              </w:rPr>
              <w:t>)废</w:t>
            </w:r>
            <w:r>
              <w:rPr>
                <w:rFonts w:hint="eastAsia"/>
                <w:b w:val="0"/>
              </w:rPr>
              <w:t>水</w:t>
            </w:r>
          </w:p>
          <w:p w14:paraId="285EFD8B">
            <w:pPr>
              <w:pStyle w:val="113"/>
              <w:ind w:firstLine="480" w:firstLineChars="200"/>
              <w:textAlignment w:val="center"/>
              <w:rPr>
                <w:b w:val="0"/>
              </w:rPr>
            </w:pPr>
            <w:r>
              <w:rPr>
                <w:rFonts w:hint="eastAsia"/>
                <w:b w:val="0"/>
              </w:rPr>
              <w:t>原有项目运营期无生产废水排放。生活污水经化粪池处理后用于周边农田菜地施肥，不外排。</w:t>
            </w:r>
          </w:p>
          <w:p w14:paraId="73E03AD9">
            <w:pPr>
              <w:pStyle w:val="113"/>
              <w:ind w:firstLine="480" w:firstLineChars="200"/>
              <w:textAlignment w:val="center"/>
              <w:rPr>
                <w:b w:val="0"/>
              </w:rPr>
            </w:pPr>
            <w:r>
              <w:rPr>
                <w:b w:val="0"/>
              </w:rPr>
              <w:t>(</w:t>
            </w:r>
            <w:r>
              <w:rPr>
                <w:rFonts w:hint="eastAsia"/>
                <w:b w:val="0"/>
              </w:rPr>
              <w:t>3</w:t>
            </w:r>
            <w:r>
              <w:rPr>
                <w:b w:val="0"/>
              </w:rPr>
              <w:t>)</w:t>
            </w:r>
            <w:r>
              <w:rPr>
                <w:rFonts w:hint="eastAsia"/>
                <w:b w:val="0"/>
              </w:rPr>
              <w:t>噪声</w:t>
            </w:r>
          </w:p>
          <w:p w14:paraId="1D0E8A06">
            <w:pPr>
              <w:pStyle w:val="113"/>
              <w:ind w:firstLine="480" w:firstLineChars="200"/>
              <w:textAlignment w:val="center"/>
              <w:rPr>
                <w:b w:val="0"/>
              </w:rPr>
            </w:pPr>
            <w:r>
              <w:rPr>
                <w:b w:val="0"/>
              </w:rPr>
              <w:t>①原有项目</w:t>
            </w:r>
            <w:r>
              <w:rPr>
                <w:rFonts w:hint="eastAsia"/>
                <w:b w:val="0"/>
              </w:rPr>
              <w:t>噪声源、处理</w:t>
            </w:r>
            <w:r>
              <w:rPr>
                <w:b w:val="0"/>
              </w:rPr>
              <w:t>措施情况</w:t>
            </w:r>
          </w:p>
          <w:p w14:paraId="7E69F88C">
            <w:pPr>
              <w:pStyle w:val="113"/>
              <w:ind w:firstLine="480" w:firstLineChars="200"/>
              <w:textAlignment w:val="center"/>
              <w:rPr>
                <w:b w:val="0"/>
              </w:rPr>
            </w:pPr>
            <w:r>
              <w:rPr>
                <w:rFonts w:hint="eastAsia"/>
                <w:b w:val="0"/>
              </w:rPr>
              <w:t>原有项目运营期噪声主要来源于混凝土搅拌机、制管机等设备运行时产生的噪声。合理布局，高噪声设备采取基础减振等措施降低影响。</w:t>
            </w:r>
          </w:p>
          <w:p w14:paraId="3980FEE2">
            <w:pPr>
              <w:pStyle w:val="113"/>
              <w:ind w:firstLine="480" w:firstLineChars="200"/>
              <w:textAlignment w:val="center"/>
              <w:rPr>
                <w:b w:val="0"/>
              </w:rPr>
            </w:pPr>
            <w:r>
              <w:rPr>
                <w:b w:val="0"/>
              </w:rPr>
              <w:t>②原有项目</w:t>
            </w:r>
            <w:r>
              <w:rPr>
                <w:rFonts w:hint="eastAsia"/>
                <w:b w:val="0"/>
              </w:rPr>
              <w:t>厂界噪声排放达标分析</w:t>
            </w:r>
          </w:p>
          <w:p w14:paraId="6BE933B9">
            <w:pPr>
              <w:pStyle w:val="113"/>
              <w:ind w:firstLine="480" w:firstLineChars="200"/>
              <w:textAlignment w:val="center"/>
              <w:rPr>
                <w:b w:val="0"/>
              </w:rPr>
            </w:pPr>
            <w:r>
              <w:rPr>
                <w:rFonts w:hint="eastAsia"/>
                <w:b w:val="0"/>
              </w:rPr>
              <w:t>原有项目仅在昼间生产，</w:t>
            </w:r>
            <w:r>
              <w:rPr>
                <w:b w:val="0"/>
              </w:rPr>
              <w:t>根据验收监测结果表明：项目昼间厂界四周噪声值为52～59dB，均符合《工业企业厂界环境噪声排放标准》（GB12348-2008）表1中2类标准。</w:t>
            </w:r>
          </w:p>
          <w:p w14:paraId="7DA7499E">
            <w:pPr>
              <w:pStyle w:val="113"/>
              <w:ind w:firstLine="480" w:firstLineChars="200"/>
              <w:textAlignment w:val="center"/>
              <w:rPr>
                <w:b w:val="0"/>
              </w:rPr>
            </w:pPr>
            <w:r>
              <w:rPr>
                <w:b w:val="0"/>
              </w:rPr>
              <w:t>(</w:t>
            </w:r>
            <w:r>
              <w:rPr>
                <w:rFonts w:hint="eastAsia"/>
                <w:b w:val="0"/>
              </w:rPr>
              <w:t>4</w:t>
            </w:r>
            <w:r>
              <w:rPr>
                <w:b w:val="0"/>
              </w:rPr>
              <w:t>)</w:t>
            </w:r>
            <w:r>
              <w:rPr>
                <w:rFonts w:hint="eastAsia"/>
                <w:b w:val="0"/>
              </w:rPr>
              <w:t>固废</w:t>
            </w:r>
          </w:p>
          <w:p w14:paraId="3BCDC965">
            <w:pPr>
              <w:pStyle w:val="113"/>
              <w:ind w:firstLine="480" w:firstLineChars="200"/>
              <w:textAlignment w:val="center"/>
              <w:rPr>
                <w:b w:val="0"/>
              </w:rPr>
            </w:pPr>
            <w:r>
              <w:rPr>
                <w:rFonts w:hint="eastAsia"/>
                <w:b w:val="0"/>
              </w:rPr>
              <w:t>原有项目运营期固废主要为钢材边角料及员工生活垃圾。</w:t>
            </w:r>
          </w:p>
          <w:p w14:paraId="7052C9F4">
            <w:pPr>
              <w:pStyle w:val="113"/>
              <w:ind w:firstLine="480" w:firstLineChars="200"/>
              <w:textAlignment w:val="center"/>
              <w:rPr>
                <w:b w:val="0"/>
              </w:rPr>
            </w:pPr>
            <w:r>
              <w:rPr>
                <w:rFonts w:hint="eastAsia"/>
                <w:b w:val="0"/>
              </w:rPr>
              <w:t>钢材边角料收集外售物资回收中心；生活垃圾收集后由环卫部门清运。</w:t>
            </w:r>
          </w:p>
          <w:p w14:paraId="58DBC728">
            <w:pPr>
              <w:pStyle w:val="113"/>
              <w:ind w:firstLine="482" w:firstLineChars="200"/>
              <w:textAlignment w:val="center"/>
              <w:rPr>
                <w:bCs/>
              </w:rPr>
            </w:pPr>
            <w:r>
              <w:rPr>
                <w:rFonts w:hint="eastAsia"/>
                <w:bCs/>
              </w:rPr>
              <w:t>4、原有项目总量核算</w:t>
            </w:r>
          </w:p>
          <w:p w14:paraId="45AA932E">
            <w:pPr>
              <w:pStyle w:val="113"/>
              <w:ind w:firstLine="480" w:firstLineChars="200"/>
              <w:textAlignment w:val="center"/>
              <w:rPr>
                <w:b w:val="0"/>
              </w:rPr>
            </w:pPr>
            <w:r>
              <w:rPr>
                <w:rFonts w:hint="eastAsia"/>
                <w:b w:val="0"/>
              </w:rPr>
              <w:t>本项目运营期无废水外排，废气为粉尘。项目无需申请总量指标。</w:t>
            </w:r>
          </w:p>
          <w:p w14:paraId="021CF60E">
            <w:pPr>
              <w:pStyle w:val="113"/>
              <w:ind w:firstLine="482" w:firstLineChars="200"/>
              <w:textAlignment w:val="center"/>
              <w:rPr>
                <w:bCs/>
              </w:rPr>
            </w:pPr>
            <w:r>
              <w:rPr>
                <w:rFonts w:hint="eastAsia"/>
                <w:bCs/>
              </w:rPr>
              <w:t>5、企业迁建前的环境问题</w:t>
            </w:r>
            <w:r>
              <w:rPr>
                <w:rFonts w:hint="eastAsia"/>
                <w:kern w:val="0"/>
              </w:rPr>
              <w:t>及迁建前的退役期环境问题</w:t>
            </w:r>
          </w:p>
          <w:p w14:paraId="15076CBD">
            <w:pPr>
              <w:pStyle w:val="113"/>
              <w:ind w:firstLine="480" w:firstLineChars="200"/>
              <w:textAlignment w:val="center"/>
              <w:rPr>
                <w:b w:val="0"/>
              </w:rPr>
            </w:pPr>
            <w:r>
              <w:rPr>
                <w:rFonts w:hint="eastAsia"/>
                <w:b w:val="0"/>
              </w:rPr>
              <w:t>经了解调查，项目迁建前工程运营过程中无环保投诉记录。</w:t>
            </w:r>
          </w:p>
          <w:p w14:paraId="15D1A3A6">
            <w:pPr>
              <w:pStyle w:val="113"/>
              <w:ind w:firstLine="480" w:firstLineChars="200"/>
              <w:textAlignment w:val="center"/>
              <w:rPr>
                <w:b w:val="0"/>
              </w:rPr>
            </w:pPr>
            <w:r>
              <w:rPr>
                <w:rFonts w:hint="eastAsia"/>
                <w:b w:val="0"/>
              </w:rPr>
              <w:t>迁建前的各项污染物均能达标排放，根据现场踏勘，迁建前的项目已停止生产，厂区现状已恢复为农田，种植农作物，不会产生历史遗留问题。搬迁前的项目所在地现状图见附图3。</w:t>
            </w:r>
          </w:p>
          <w:p w14:paraId="5C5A7C2C">
            <w:pPr>
              <w:pStyle w:val="113"/>
              <w:ind w:firstLine="482" w:firstLineChars="200"/>
              <w:textAlignment w:val="center"/>
              <w:rPr>
                <w:color w:val="FF0000"/>
              </w:rPr>
            </w:pPr>
          </w:p>
          <w:p w14:paraId="15494123">
            <w:pPr>
              <w:pStyle w:val="113"/>
              <w:ind w:firstLine="482" w:firstLineChars="200"/>
              <w:textAlignment w:val="center"/>
              <w:rPr>
                <w:color w:val="FF0000"/>
              </w:rPr>
            </w:pPr>
          </w:p>
          <w:p w14:paraId="6F13E40E">
            <w:pPr>
              <w:pStyle w:val="113"/>
              <w:ind w:firstLine="482" w:firstLineChars="200"/>
              <w:textAlignment w:val="center"/>
              <w:rPr>
                <w:color w:val="FF0000"/>
              </w:rPr>
            </w:pPr>
          </w:p>
        </w:tc>
      </w:tr>
    </w:tbl>
    <w:p w14:paraId="12A6638B">
      <w:pPr>
        <w:pStyle w:val="29"/>
        <w:jc w:val="center"/>
        <w:rPr>
          <w:rFonts w:ascii="黑体" w:hAnsi="黑体" w:eastAsia="黑体"/>
          <w:snapToGrid w:val="0"/>
          <w:color w:val="FF0000"/>
          <w:kern w:val="21"/>
          <w:sz w:val="36"/>
          <w:szCs w:val="36"/>
        </w:rPr>
        <w:sectPr>
          <w:footerReference r:id="rId4" w:type="default"/>
          <w:pgSz w:w="11906" w:h="16838"/>
          <w:pgMar w:top="1701" w:right="1531" w:bottom="1701" w:left="1531" w:header="851" w:footer="851" w:gutter="0"/>
          <w:cols w:space="720" w:num="1"/>
          <w:docGrid w:linePitch="312" w:charSpace="0"/>
        </w:sectPr>
      </w:pPr>
    </w:p>
    <w:p w14:paraId="2990CA84">
      <w:pPr>
        <w:pStyle w:val="29"/>
        <w:jc w:val="center"/>
        <w:outlineLvl w:val="0"/>
        <w:rPr>
          <w:rFonts w:ascii="黑体" w:hAnsi="黑体" w:eastAsia="黑体"/>
          <w:snapToGrid w:val="0"/>
          <w:kern w:val="21"/>
          <w:sz w:val="30"/>
          <w:szCs w:val="30"/>
        </w:rPr>
      </w:pPr>
      <w:r>
        <w:rPr>
          <w:rFonts w:hint="eastAsia" w:ascii="黑体" w:hAnsi="黑体" w:eastAsia="黑体"/>
          <w:snapToGrid w:val="0"/>
          <w:kern w:val="21"/>
          <w:sz w:val="30"/>
          <w:szCs w:val="30"/>
        </w:rPr>
        <w:t>三、区域环境质量现状、环境保护目标及评价标准</w:t>
      </w:r>
    </w:p>
    <w:tbl>
      <w:tblPr>
        <w:tblStyle w:val="34"/>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608"/>
      </w:tblGrid>
      <w:tr w14:paraId="6A37C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3" w:type="dxa"/>
            <w:vAlign w:val="center"/>
          </w:tcPr>
          <w:p w14:paraId="5003BBCF">
            <w:pPr>
              <w:jc w:val="center"/>
              <w:rPr>
                <w:rFonts w:ascii="宋体" w:hAnsi="宋体" w:cs="宋体"/>
                <w:kern w:val="21"/>
                <w:sz w:val="24"/>
              </w:rPr>
            </w:pPr>
            <w:r>
              <w:rPr>
                <w:rFonts w:hint="eastAsia" w:ascii="宋体" w:hAnsi="宋体" w:cs="宋体"/>
                <w:kern w:val="21"/>
                <w:sz w:val="24"/>
              </w:rPr>
              <w:t>区域</w:t>
            </w:r>
          </w:p>
          <w:p w14:paraId="20AB2514">
            <w:pPr>
              <w:jc w:val="center"/>
              <w:rPr>
                <w:rFonts w:ascii="宋体" w:hAnsi="宋体" w:cs="宋体"/>
                <w:kern w:val="21"/>
                <w:sz w:val="24"/>
              </w:rPr>
            </w:pPr>
            <w:r>
              <w:rPr>
                <w:rFonts w:hint="eastAsia" w:ascii="宋体" w:hAnsi="宋体" w:cs="宋体"/>
                <w:kern w:val="21"/>
                <w:sz w:val="24"/>
              </w:rPr>
              <w:t>环境</w:t>
            </w:r>
          </w:p>
          <w:p w14:paraId="38321495">
            <w:pPr>
              <w:jc w:val="center"/>
              <w:rPr>
                <w:rFonts w:ascii="宋体" w:hAnsi="宋体" w:cs="宋体"/>
                <w:kern w:val="21"/>
                <w:sz w:val="24"/>
              </w:rPr>
            </w:pPr>
            <w:r>
              <w:rPr>
                <w:rFonts w:hint="eastAsia" w:ascii="宋体" w:hAnsi="宋体" w:cs="宋体"/>
                <w:kern w:val="21"/>
                <w:sz w:val="24"/>
              </w:rPr>
              <w:t>质量</w:t>
            </w:r>
          </w:p>
          <w:p w14:paraId="685909CE">
            <w:pPr>
              <w:jc w:val="center"/>
              <w:rPr>
                <w:rFonts w:ascii="宋体" w:hAnsi="宋体" w:cs="宋体"/>
                <w:color w:val="FF0000"/>
                <w:kern w:val="21"/>
                <w:szCs w:val="21"/>
              </w:rPr>
            </w:pPr>
            <w:r>
              <w:rPr>
                <w:rFonts w:hint="eastAsia" w:ascii="宋体" w:hAnsi="宋体" w:cs="宋体"/>
                <w:kern w:val="21"/>
                <w:sz w:val="24"/>
              </w:rPr>
              <w:t>现状</w:t>
            </w:r>
          </w:p>
        </w:tc>
        <w:tc>
          <w:tcPr>
            <w:tcW w:w="8608" w:type="dxa"/>
            <w:vAlign w:val="center"/>
          </w:tcPr>
          <w:p w14:paraId="5C123423">
            <w:pPr>
              <w:pStyle w:val="66"/>
              <w:ind w:firstLine="0" w:firstLineChars="0"/>
              <w:rPr>
                <w:b/>
                <w:bCs/>
                <w:kern w:val="2"/>
                <w:sz w:val="24"/>
                <w:szCs w:val="24"/>
              </w:rPr>
            </w:pPr>
            <w:r>
              <w:rPr>
                <w:rFonts w:hint="eastAsia"/>
                <w:b/>
                <w:bCs/>
                <w:kern w:val="2"/>
                <w:sz w:val="24"/>
                <w:szCs w:val="24"/>
              </w:rPr>
              <w:t>3.1区域环境质量</w:t>
            </w:r>
            <w:r>
              <w:rPr>
                <w:b/>
                <w:bCs/>
                <w:kern w:val="2"/>
                <w:sz w:val="24"/>
                <w:szCs w:val="24"/>
              </w:rPr>
              <w:t>现状</w:t>
            </w:r>
          </w:p>
          <w:p w14:paraId="6339F145">
            <w:pPr>
              <w:spacing w:line="360" w:lineRule="auto"/>
              <w:ind w:firstLine="480" w:firstLineChars="200"/>
              <w:contextualSpacing/>
              <w:rPr>
                <w:sz w:val="24"/>
              </w:rPr>
            </w:pPr>
            <w:r>
              <w:rPr>
                <w:sz w:val="24"/>
              </w:rPr>
              <w:t>(1)大气环境质量现状</w:t>
            </w:r>
          </w:p>
          <w:p w14:paraId="5CECC43C">
            <w:pPr>
              <w:spacing w:line="360" w:lineRule="auto"/>
              <w:ind w:firstLine="480" w:firstLineChars="200"/>
              <w:contextualSpacing/>
              <w:rPr>
                <w:sz w:val="24"/>
              </w:rPr>
            </w:pPr>
            <w:r>
              <w:rPr>
                <w:sz w:val="24"/>
              </w:rPr>
              <w:t>本</w:t>
            </w:r>
            <w:r>
              <w:rPr>
                <w:rFonts w:hint="eastAsia"/>
                <w:sz w:val="24"/>
              </w:rPr>
              <w:t>项目位于福州市福清市</w:t>
            </w:r>
            <w:r>
              <w:rPr>
                <w:sz w:val="24"/>
              </w:rPr>
              <w:t>江阴港城经济区</w:t>
            </w:r>
            <w:r>
              <w:rPr>
                <w:rFonts w:hint="eastAsia"/>
                <w:sz w:val="24"/>
              </w:rPr>
              <w:t>，</w:t>
            </w:r>
            <w:r>
              <w:rPr>
                <w:sz w:val="24"/>
              </w:rPr>
              <w:t>根据福州市人民政府榕政综[2014]30号文件正式批准实施《福州市环境空气质量功能区划(报批稿)》的规定，项目所在区域环境空气功能规划为二类区，环境空气质量执行《环境空气质量标准》(GB3095-2012)及其修改单中的二级标准</w:t>
            </w:r>
            <w:r>
              <w:rPr>
                <w:rFonts w:hint="eastAsia"/>
                <w:sz w:val="24"/>
              </w:rPr>
              <w:t>。</w:t>
            </w:r>
          </w:p>
          <w:p w14:paraId="4670ABF9">
            <w:pPr>
              <w:pStyle w:val="115"/>
              <w:wordWrap w:val="0"/>
              <w:rPr>
                <w:lang w:eastAsia="zh-CN"/>
              </w:rPr>
            </w:pPr>
            <w:r>
              <w:rPr>
                <w:rFonts w:hint="eastAsia"/>
                <w:lang w:eastAsia="zh-CN"/>
              </w:rPr>
              <w:t>①基本污染因子</w:t>
            </w:r>
          </w:p>
          <w:p w14:paraId="35A3F4C5">
            <w:pPr>
              <w:pStyle w:val="115"/>
              <w:wordWrap w:val="0"/>
              <w:rPr>
                <w:lang w:eastAsia="zh-CN"/>
              </w:rPr>
            </w:pPr>
            <w:r>
              <w:rPr>
                <w:lang w:eastAsia="zh-CN"/>
              </w:rPr>
              <w:t>根据福清市人民政府</w:t>
            </w:r>
            <w:r>
              <w:rPr>
                <w:rFonts w:hint="eastAsia"/>
                <w:lang w:eastAsia="zh-CN"/>
              </w:rPr>
              <w:t>门户网站公布的环境质量通报2023年1月~12月环境空气统计数据平均值</w:t>
            </w:r>
            <w:r>
              <w:rPr>
                <w:lang w:eastAsia="zh-CN"/>
              </w:rPr>
              <w:t>（链接：</w:t>
            </w:r>
            <w:r>
              <w:rPr>
                <w:rFonts w:hint="eastAsia"/>
                <w:lang w:eastAsia="zh-CN"/>
              </w:rPr>
              <w:t>http://www.fuqing.gov.cn/xjwz/zwgk/ztzl/sdgjz/dhwrfzgjz/hjzl/</w:t>
            </w:r>
            <w:r>
              <w:rPr>
                <w:lang w:eastAsia="zh-CN"/>
              </w:rPr>
              <w:t>）可知，</w:t>
            </w:r>
            <w:r>
              <w:rPr>
                <w:rFonts w:hint="eastAsia"/>
                <w:lang w:eastAsia="zh-CN"/>
              </w:rPr>
              <w:t>2023年福清市环境</w:t>
            </w:r>
            <w:r>
              <w:rPr>
                <w:lang w:eastAsia="zh-CN"/>
              </w:rPr>
              <w:t>空气环境中SO</w:t>
            </w:r>
            <w:r>
              <w:rPr>
                <w:vertAlign w:val="subscript"/>
                <w:lang w:eastAsia="zh-CN"/>
              </w:rPr>
              <w:t>2</w:t>
            </w:r>
            <w:r>
              <w:rPr>
                <w:lang w:eastAsia="zh-CN"/>
              </w:rPr>
              <w:t>、NO</w:t>
            </w:r>
            <w:r>
              <w:rPr>
                <w:vertAlign w:val="subscript"/>
                <w:lang w:eastAsia="zh-CN"/>
              </w:rPr>
              <w:t>2</w:t>
            </w:r>
            <w:r>
              <w:rPr>
                <w:lang w:eastAsia="zh-CN"/>
              </w:rPr>
              <w:t>、PM</w:t>
            </w:r>
            <w:r>
              <w:rPr>
                <w:vertAlign w:val="subscript"/>
                <w:lang w:eastAsia="zh-CN"/>
              </w:rPr>
              <w:t>10</w:t>
            </w:r>
            <w:r>
              <w:rPr>
                <w:lang w:eastAsia="zh-CN"/>
              </w:rPr>
              <w:t>、PM</w:t>
            </w:r>
            <w:r>
              <w:rPr>
                <w:vertAlign w:val="subscript"/>
                <w:lang w:eastAsia="zh-CN"/>
              </w:rPr>
              <w:t>2.5</w:t>
            </w:r>
            <w:r>
              <w:rPr>
                <w:lang w:eastAsia="zh-CN"/>
              </w:rPr>
              <w:t>以及CO日均值第95百分位数、O</w:t>
            </w:r>
            <w:r>
              <w:rPr>
                <w:vertAlign w:val="subscript"/>
                <w:lang w:eastAsia="zh-CN"/>
              </w:rPr>
              <w:t>3</w:t>
            </w:r>
            <w:r>
              <w:rPr>
                <w:lang w:eastAsia="zh-CN"/>
              </w:rPr>
              <w:t>日最大8小时值第90百分位数均未超过《环境空气质量标准》（GB3095-2012）及其修改单（生态环境部2018年第29号）中的二级浓度限值</w:t>
            </w:r>
            <w:r>
              <w:rPr>
                <w:rFonts w:hint="eastAsia"/>
                <w:lang w:eastAsia="zh-CN"/>
              </w:rPr>
              <w:t>，能达到环境空气质量二级标准要求，福清市属于大气达标区。具体详见表3.1-1。</w:t>
            </w:r>
          </w:p>
          <w:p w14:paraId="737E7A1F">
            <w:pPr>
              <w:jc w:val="center"/>
              <w:rPr>
                <w:b/>
                <w:bCs/>
                <w:sz w:val="24"/>
              </w:rPr>
            </w:pPr>
            <w:r>
              <w:rPr>
                <w:b/>
                <w:bCs/>
                <w:sz w:val="24"/>
              </w:rPr>
              <w:t>表3.1</w:t>
            </w:r>
            <w:r>
              <w:rPr>
                <w:rFonts w:hint="eastAsia"/>
                <w:b/>
                <w:bCs/>
                <w:sz w:val="24"/>
              </w:rPr>
              <w:t>-1</w:t>
            </w:r>
            <w:r>
              <w:rPr>
                <w:b/>
                <w:bCs/>
                <w:sz w:val="24"/>
              </w:rPr>
              <w:t xml:space="preserve">  </w:t>
            </w:r>
            <w:bookmarkStart w:id="21" w:name="_Toc26639"/>
            <w:r>
              <w:rPr>
                <w:b/>
                <w:bCs/>
                <w:sz w:val="24"/>
              </w:rPr>
              <w:t>福清市</w:t>
            </w:r>
            <w:r>
              <w:rPr>
                <w:rFonts w:hint="eastAsia"/>
                <w:b/>
                <w:bCs/>
                <w:sz w:val="24"/>
              </w:rPr>
              <w:t>2023年</w:t>
            </w:r>
            <w:r>
              <w:rPr>
                <w:b/>
                <w:bCs/>
                <w:sz w:val="24"/>
              </w:rPr>
              <w:t>环境空气质量监测结果</w:t>
            </w:r>
          </w:p>
          <w:tbl>
            <w:tblPr>
              <w:tblStyle w:val="34"/>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1201"/>
              <w:gridCol w:w="1186"/>
              <w:gridCol w:w="1088"/>
              <w:gridCol w:w="1213"/>
              <w:gridCol w:w="1209"/>
              <w:gridCol w:w="933"/>
            </w:tblGrid>
            <w:tr w14:paraId="6E211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74" w:type="dxa"/>
                  <w:vMerge w:val="restart"/>
                  <w:vAlign w:val="center"/>
                </w:tcPr>
                <w:p w14:paraId="1323414E">
                  <w:pPr>
                    <w:autoSpaceDE w:val="0"/>
                    <w:autoSpaceDN w:val="0"/>
                    <w:jc w:val="center"/>
                    <w:rPr>
                      <w:kern w:val="0"/>
                      <w:szCs w:val="20"/>
                    </w:rPr>
                  </w:pPr>
                  <w:r>
                    <w:rPr>
                      <w:kern w:val="0"/>
                      <w:szCs w:val="20"/>
                    </w:rPr>
                    <w:t>监测结果</w:t>
                  </w:r>
                </w:p>
              </w:tc>
              <w:tc>
                <w:tcPr>
                  <w:tcW w:w="6830" w:type="dxa"/>
                  <w:gridSpan w:val="6"/>
                  <w:vAlign w:val="center"/>
                </w:tcPr>
                <w:p w14:paraId="62C04D7B">
                  <w:pPr>
                    <w:autoSpaceDE w:val="0"/>
                    <w:autoSpaceDN w:val="0"/>
                    <w:jc w:val="center"/>
                    <w:rPr>
                      <w:kern w:val="0"/>
                      <w:szCs w:val="20"/>
                    </w:rPr>
                  </w:pPr>
                  <w:r>
                    <w:rPr>
                      <w:kern w:val="0"/>
                      <w:szCs w:val="20"/>
                    </w:rPr>
                    <w:t>月日均值*（mg/m³）</w:t>
                  </w:r>
                </w:p>
              </w:tc>
            </w:tr>
            <w:tr w14:paraId="65871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74" w:type="dxa"/>
                  <w:vMerge w:val="continue"/>
                  <w:vAlign w:val="center"/>
                </w:tcPr>
                <w:p w14:paraId="0EF0EE8F">
                  <w:pPr>
                    <w:autoSpaceDE w:val="0"/>
                    <w:autoSpaceDN w:val="0"/>
                    <w:jc w:val="center"/>
                    <w:rPr>
                      <w:kern w:val="0"/>
                      <w:szCs w:val="20"/>
                    </w:rPr>
                  </w:pPr>
                </w:p>
              </w:tc>
              <w:tc>
                <w:tcPr>
                  <w:tcW w:w="1201" w:type="dxa"/>
                  <w:vAlign w:val="center"/>
                </w:tcPr>
                <w:p w14:paraId="19FA5A97">
                  <w:pPr>
                    <w:autoSpaceDE w:val="0"/>
                    <w:autoSpaceDN w:val="0"/>
                    <w:jc w:val="center"/>
                    <w:rPr>
                      <w:kern w:val="0"/>
                      <w:szCs w:val="20"/>
                    </w:rPr>
                  </w:pPr>
                  <w:r>
                    <w:rPr>
                      <w:kern w:val="0"/>
                      <w:szCs w:val="20"/>
                    </w:rPr>
                    <w:t>SO</w:t>
                  </w:r>
                  <w:r>
                    <w:rPr>
                      <w:kern w:val="0"/>
                      <w:szCs w:val="20"/>
                      <w:vertAlign w:val="subscript"/>
                    </w:rPr>
                    <w:t>2</w:t>
                  </w:r>
                </w:p>
              </w:tc>
              <w:tc>
                <w:tcPr>
                  <w:tcW w:w="1186" w:type="dxa"/>
                  <w:vAlign w:val="center"/>
                </w:tcPr>
                <w:p w14:paraId="400CF98F">
                  <w:pPr>
                    <w:autoSpaceDE w:val="0"/>
                    <w:autoSpaceDN w:val="0"/>
                    <w:jc w:val="center"/>
                    <w:rPr>
                      <w:kern w:val="0"/>
                      <w:szCs w:val="20"/>
                    </w:rPr>
                  </w:pPr>
                  <w:r>
                    <w:rPr>
                      <w:kern w:val="0"/>
                      <w:szCs w:val="20"/>
                    </w:rPr>
                    <w:t>NO</w:t>
                  </w:r>
                  <w:r>
                    <w:rPr>
                      <w:kern w:val="0"/>
                      <w:szCs w:val="20"/>
                      <w:vertAlign w:val="subscript"/>
                    </w:rPr>
                    <w:t>2</w:t>
                  </w:r>
                </w:p>
              </w:tc>
              <w:tc>
                <w:tcPr>
                  <w:tcW w:w="1088" w:type="dxa"/>
                  <w:vAlign w:val="center"/>
                </w:tcPr>
                <w:p w14:paraId="4C1CFCB9">
                  <w:pPr>
                    <w:autoSpaceDE w:val="0"/>
                    <w:autoSpaceDN w:val="0"/>
                    <w:jc w:val="center"/>
                    <w:rPr>
                      <w:kern w:val="0"/>
                      <w:szCs w:val="20"/>
                    </w:rPr>
                  </w:pPr>
                  <w:r>
                    <w:rPr>
                      <w:kern w:val="0"/>
                      <w:szCs w:val="20"/>
                    </w:rPr>
                    <w:t>PM</w:t>
                  </w:r>
                  <w:r>
                    <w:rPr>
                      <w:kern w:val="0"/>
                      <w:szCs w:val="20"/>
                      <w:vertAlign w:val="subscript"/>
                    </w:rPr>
                    <w:t>10</w:t>
                  </w:r>
                </w:p>
              </w:tc>
              <w:tc>
                <w:tcPr>
                  <w:tcW w:w="1213" w:type="dxa"/>
                  <w:vAlign w:val="center"/>
                </w:tcPr>
                <w:p w14:paraId="3B416DB2">
                  <w:pPr>
                    <w:autoSpaceDE w:val="0"/>
                    <w:autoSpaceDN w:val="0"/>
                    <w:jc w:val="center"/>
                    <w:rPr>
                      <w:kern w:val="0"/>
                      <w:szCs w:val="20"/>
                    </w:rPr>
                  </w:pPr>
                  <w:r>
                    <w:t>PM</w:t>
                  </w:r>
                  <w:r>
                    <w:rPr>
                      <w:vertAlign w:val="subscript"/>
                    </w:rPr>
                    <w:t>2.5</w:t>
                  </w:r>
                </w:p>
              </w:tc>
              <w:tc>
                <w:tcPr>
                  <w:tcW w:w="1209" w:type="dxa"/>
                  <w:vAlign w:val="center"/>
                </w:tcPr>
                <w:p w14:paraId="5CB43292">
                  <w:pPr>
                    <w:autoSpaceDE w:val="0"/>
                    <w:autoSpaceDN w:val="0"/>
                    <w:jc w:val="center"/>
                    <w:rPr>
                      <w:kern w:val="0"/>
                      <w:szCs w:val="20"/>
                    </w:rPr>
                  </w:pPr>
                  <w:r>
                    <w:rPr>
                      <w:kern w:val="0"/>
                      <w:szCs w:val="20"/>
                    </w:rPr>
                    <w:t>CO</w:t>
                  </w:r>
                </w:p>
              </w:tc>
              <w:tc>
                <w:tcPr>
                  <w:tcW w:w="933" w:type="dxa"/>
                  <w:vAlign w:val="center"/>
                </w:tcPr>
                <w:p w14:paraId="5C330462">
                  <w:pPr>
                    <w:autoSpaceDE w:val="0"/>
                    <w:autoSpaceDN w:val="0"/>
                    <w:jc w:val="center"/>
                    <w:rPr>
                      <w:kern w:val="0"/>
                      <w:szCs w:val="20"/>
                    </w:rPr>
                  </w:pPr>
                  <w:r>
                    <w:rPr>
                      <w:kern w:val="0"/>
                      <w:szCs w:val="20"/>
                    </w:rPr>
                    <w:t>O</w:t>
                  </w:r>
                  <w:r>
                    <w:rPr>
                      <w:kern w:val="0"/>
                      <w:szCs w:val="20"/>
                      <w:vertAlign w:val="subscript"/>
                    </w:rPr>
                    <w:t>3</w:t>
                  </w:r>
                </w:p>
              </w:tc>
            </w:tr>
            <w:tr w14:paraId="24C17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042557F7">
                  <w:pPr>
                    <w:autoSpaceDE w:val="0"/>
                    <w:autoSpaceDN w:val="0"/>
                    <w:jc w:val="center"/>
                    <w:rPr>
                      <w:kern w:val="0"/>
                      <w:szCs w:val="20"/>
                    </w:rPr>
                  </w:pPr>
                  <w:r>
                    <w:t>202</w:t>
                  </w:r>
                  <w:r>
                    <w:rPr>
                      <w:rFonts w:hint="eastAsia"/>
                    </w:rPr>
                    <w:t>3</w:t>
                  </w:r>
                  <w:r>
                    <w:t>年1月</w:t>
                  </w:r>
                </w:p>
              </w:tc>
              <w:tc>
                <w:tcPr>
                  <w:tcW w:w="1201" w:type="dxa"/>
                  <w:vAlign w:val="center"/>
                </w:tcPr>
                <w:p w14:paraId="12A2DC20">
                  <w:pPr>
                    <w:autoSpaceDE w:val="0"/>
                    <w:autoSpaceDN w:val="0"/>
                    <w:jc w:val="center"/>
                    <w:rPr>
                      <w:kern w:val="0"/>
                      <w:szCs w:val="20"/>
                    </w:rPr>
                  </w:pPr>
                  <w:r>
                    <w:rPr>
                      <w:rFonts w:hint="eastAsia"/>
                      <w:kern w:val="0"/>
                      <w:szCs w:val="20"/>
                    </w:rPr>
                    <w:t>0.003</w:t>
                  </w:r>
                </w:p>
              </w:tc>
              <w:tc>
                <w:tcPr>
                  <w:tcW w:w="1186" w:type="dxa"/>
                  <w:vAlign w:val="center"/>
                </w:tcPr>
                <w:p w14:paraId="2A875EBE">
                  <w:pPr>
                    <w:autoSpaceDE w:val="0"/>
                    <w:autoSpaceDN w:val="0"/>
                    <w:jc w:val="center"/>
                    <w:rPr>
                      <w:kern w:val="0"/>
                      <w:szCs w:val="20"/>
                    </w:rPr>
                  </w:pPr>
                  <w:r>
                    <w:rPr>
                      <w:rFonts w:hint="eastAsia"/>
                      <w:kern w:val="0"/>
                      <w:szCs w:val="20"/>
                    </w:rPr>
                    <w:t>0.016</w:t>
                  </w:r>
                </w:p>
              </w:tc>
              <w:tc>
                <w:tcPr>
                  <w:tcW w:w="1088" w:type="dxa"/>
                  <w:vAlign w:val="center"/>
                </w:tcPr>
                <w:p w14:paraId="4580811F">
                  <w:pPr>
                    <w:autoSpaceDE w:val="0"/>
                    <w:autoSpaceDN w:val="0"/>
                    <w:jc w:val="center"/>
                    <w:rPr>
                      <w:kern w:val="0"/>
                      <w:szCs w:val="20"/>
                    </w:rPr>
                  </w:pPr>
                  <w:r>
                    <w:rPr>
                      <w:rFonts w:hint="eastAsia"/>
                      <w:kern w:val="0"/>
                      <w:szCs w:val="20"/>
                    </w:rPr>
                    <w:t>0.032</w:t>
                  </w:r>
                </w:p>
              </w:tc>
              <w:tc>
                <w:tcPr>
                  <w:tcW w:w="1213" w:type="dxa"/>
                  <w:vAlign w:val="center"/>
                </w:tcPr>
                <w:p w14:paraId="01198C80">
                  <w:pPr>
                    <w:autoSpaceDE w:val="0"/>
                    <w:autoSpaceDN w:val="0"/>
                    <w:jc w:val="center"/>
                    <w:rPr>
                      <w:kern w:val="0"/>
                      <w:szCs w:val="20"/>
                    </w:rPr>
                  </w:pPr>
                  <w:r>
                    <w:rPr>
                      <w:rFonts w:hint="eastAsia"/>
                      <w:kern w:val="0"/>
                      <w:szCs w:val="20"/>
                    </w:rPr>
                    <w:t>0.017</w:t>
                  </w:r>
                </w:p>
              </w:tc>
              <w:tc>
                <w:tcPr>
                  <w:tcW w:w="1209" w:type="dxa"/>
                  <w:vAlign w:val="center"/>
                </w:tcPr>
                <w:p w14:paraId="4D639EA7">
                  <w:pPr>
                    <w:autoSpaceDE w:val="0"/>
                    <w:autoSpaceDN w:val="0"/>
                    <w:jc w:val="center"/>
                    <w:rPr>
                      <w:kern w:val="0"/>
                      <w:szCs w:val="20"/>
                    </w:rPr>
                  </w:pPr>
                  <w:r>
                    <w:rPr>
                      <w:rFonts w:hint="eastAsia"/>
                      <w:kern w:val="0"/>
                      <w:szCs w:val="20"/>
                    </w:rPr>
                    <w:t>0.6</w:t>
                  </w:r>
                </w:p>
              </w:tc>
              <w:tc>
                <w:tcPr>
                  <w:tcW w:w="933" w:type="dxa"/>
                  <w:vAlign w:val="center"/>
                </w:tcPr>
                <w:p w14:paraId="5055AD03">
                  <w:pPr>
                    <w:autoSpaceDE w:val="0"/>
                    <w:autoSpaceDN w:val="0"/>
                    <w:jc w:val="center"/>
                    <w:rPr>
                      <w:kern w:val="0"/>
                      <w:szCs w:val="20"/>
                    </w:rPr>
                  </w:pPr>
                  <w:r>
                    <w:rPr>
                      <w:rFonts w:hint="eastAsia"/>
                      <w:kern w:val="0"/>
                      <w:szCs w:val="20"/>
                    </w:rPr>
                    <w:t>0.100</w:t>
                  </w:r>
                </w:p>
              </w:tc>
            </w:tr>
            <w:tr w14:paraId="76D7F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16B83BF0">
                  <w:pPr>
                    <w:autoSpaceDE w:val="0"/>
                    <w:autoSpaceDN w:val="0"/>
                    <w:jc w:val="center"/>
                    <w:rPr>
                      <w:kern w:val="0"/>
                      <w:szCs w:val="20"/>
                    </w:rPr>
                  </w:pPr>
                  <w:r>
                    <w:t>202</w:t>
                  </w:r>
                  <w:r>
                    <w:rPr>
                      <w:rFonts w:hint="eastAsia"/>
                    </w:rPr>
                    <w:t>3</w:t>
                  </w:r>
                  <w:r>
                    <w:t>年2月</w:t>
                  </w:r>
                </w:p>
              </w:tc>
              <w:tc>
                <w:tcPr>
                  <w:tcW w:w="1201" w:type="dxa"/>
                  <w:vAlign w:val="center"/>
                </w:tcPr>
                <w:p w14:paraId="04966FC4">
                  <w:pPr>
                    <w:autoSpaceDE w:val="0"/>
                    <w:autoSpaceDN w:val="0"/>
                    <w:jc w:val="center"/>
                    <w:rPr>
                      <w:kern w:val="0"/>
                      <w:szCs w:val="20"/>
                    </w:rPr>
                  </w:pPr>
                  <w:r>
                    <w:rPr>
                      <w:rFonts w:hint="eastAsia"/>
                      <w:kern w:val="0"/>
                      <w:szCs w:val="20"/>
                    </w:rPr>
                    <w:t>0.005</w:t>
                  </w:r>
                </w:p>
              </w:tc>
              <w:tc>
                <w:tcPr>
                  <w:tcW w:w="1186" w:type="dxa"/>
                  <w:vAlign w:val="center"/>
                </w:tcPr>
                <w:p w14:paraId="78A9E4FA">
                  <w:pPr>
                    <w:autoSpaceDE w:val="0"/>
                    <w:autoSpaceDN w:val="0"/>
                    <w:jc w:val="center"/>
                    <w:rPr>
                      <w:kern w:val="0"/>
                      <w:szCs w:val="20"/>
                    </w:rPr>
                  </w:pPr>
                  <w:r>
                    <w:rPr>
                      <w:rFonts w:hint="eastAsia"/>
                      <w:kern w:val="0"/>
                      <w:szCs w:val="20"/>
                    </w:rPr>
                    <w:t>0.020</w:t>
                  </w:r>
                </w:p>
              </w:tc>
              <w:tc>
                <w:tcPr>
                  <w:tcW w:w="1088" w:type="dxa"/>
                  <w:vAlign w:val="center"/>
                </w:tcPr>
                <w:p w14:paraId="163DCF8A">
                  <w:pPr>
                    <w:autoSpaceDE w:val="0"/>
                    <w:autoSpaceDN w:val="0"/>
                    <w:jc w:val="center"/>
                    <w:rPr>
                      <w:kern w:val="0"/>
                      <w:szCs w:val="20"/>
                    </w:rPr>
                  </w:pPr>
                  <w:r>
                    <w:rPr>
                      <w:rFonts w:hint="eastAsia"/>
                      <w:kern w:val="0"/>
                      <w:szCs w:val="20"/>
                    </w:rPr>
                    <w:t>0.033</w:t>
                  </w:r>
                </w:p>
              </w:tc>
              <w:tc>
                <w:tcPr>
                  <w:tcW w:w="1213" w:type="dxa"/>
                  <w:vAlign w:val="center"/>
                </w:tcPr>
                <w:p w14:paraId="7B79C017">
                  <w:pPr>
                    <w:autoSpaceDE w:val="0"/>
                    <w:autoSpaceDN w:val="0"/>
                    <w:jc w:val="center"/>
                    <w:rPr>
                      <w:kern w:val="0"/>
                      <w:szCs w:val="20"/>
                    </w:rPr>
                  </w:pPr>
                  <w:r>
                    <w:rPr>
                      <w:rFonts w:hint="eastAsia"/>
                      <w:kern w:val="0"/>
                      <w:szCs w:val="20"/>
                    </w:rPr>
                    <w:t>0.018</w:t>
                  </w:r>
                </w:p>
              </w:tc>
              <w:tc>
                <w:tcPr>
                  <w:tcW w:w="1209" w:type="dxa"/>
                  <w:vAlign w:val="center"/>
                </w:tcPr>
                <w:p w14:paraId="0EF2FECA">
                  <w:pPr>
                    <w:autoSpaceDE w:val="0"/>
                    <w:autoSpaceDN w:val="0"/>
                    <w:jc w:val="center"/>
                    <w:rPr>
                      <w:kern w:val="0"/>
                      <w:szCs w:val="20"/>
                    </w:rPr>
                  </w:pPr>
                  <w:r>
                    <w:rPr>
                      <w:rFonts w:hint="eastAsia"/>
                      <w:kern w:val="0"/>
                      <w:szCs w:val="20"/>
                    </w:rPr>
                    <w:t>0.8</w:t>
                  </w:r>
                </w:p>
              </w:tc>
              <w:tc>
                <w:tcPr>
                  <w:tcW w:w="933" w:type="dxa"/>
                  <w:vAlign w:val="center"/>
                </w:tcPr>
                <w:p w14:paraId="44D9EFDE">
                  <w:pPr>
                    <w:autoSpaceDE w:val="0"/>
                    <w:autoSpaceDN w:val="0"/>
                    <w:jc w:val="center"/>
                    <w:rPr>
                      <w:kern w:val="0"/>
                      <w:szCs w:val="20"/>
                    </w:rPr>
                  </w:pPr>
                  <w:r>
                    <w:rPr>
                      <w:rFonts w:hint="eastAsia"/>
                      <w:kern w:val="0"/>
                      <w:szCs w:val="20"/>
                    </w:rPr>
                    <w:t>0.105</w:t>
                  </w:r>
                </w:p>
              </w:tc>
            </w:tr>
            <w:tr w14:paraId="52952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5F3645C0">
                  <w:pPr>
                    <w:autoSpaceDE w:val="0"/>
                    <w:autoSpaceDN w:val="0"/>
                    <w:jc w:val="center"/>
                    <w:rPr>
                      <w:kern w:val="0"/>
                      <w:szCs w:val="20"/>
                    </w:rPr>
                  </w:pPr>
                  <w:r>
                    <w:t>202</w:t>
                  </w:r>
                  <w:r>
                    <w:rPr>
                      <w:rFonts w:hint="eastAsia"/>
                    </w:rPr>
                    <w:t>3</w:t>
                  </w:r>
                  <w:r>
                    <w:t>年3月</w:t>
                  </w:r>
                </w:p>
              </w:tc>
              <w:tc>
                <w:tcPr>
                  <w:tcW w:w="1201" w:type="dxa"/>
                  <w:vAlign w:val="center"/>
                </w:tcPr>
                <w:p w14:paraId="389FE494">
                  <w:pPr>
                    <w:autoSpaceDE w:val="0"/>
                    <w:autoSpaceDN w:val="0"/>
                    <w:jc w:val="center"/>
                    <w:rPr>
                      <w:kern w:val="0"/>
                      <w:szCs w:val="20"/>
                    </w:rPr>
                  </w:pPr>
                  <w:r>
                    <w:rPr>
                      <w:rFonts w:hint="eastAsia"/>
                      <w:kern w:val="0"/>
                      <w:szCs w:val="20"/>
                    </w:rPr>
                    <w:t>0.005</w:t>
                  </w:r>
                </w:p>
              </w:tc>
              <w:tc>
                <w:tcPr>
                  <w:tcW w:w="1186" w:type="dxa"/>
                  <w:vAlign w:val="center"/>
                </w:tcPr>
                <w:p w14:paraId="50CCC3C4">
                  <w:pPr>
                    <w:autoSpaceDE w:val="0"/>
                    <w:autoSpaceDN w:val="0"/>
                    <w:jc w:val="center"/>
                    <w:rPr>
                      <w:kern w:val="0"/>
                      <w:szCs w:val="20"/>
                    </w:rPr>
                  </w:pPr>
                  <w:r>
                    <w:rPr>
                      <w:rFonts w:hint="eastAsia"/>
                      <w:kern w:val="0"/>
                      <w:szCs w:val="20"/>
                    </w:rPr>
                    <w:t>0.024</w:t>
                  </w:r>
                </w:p>
              </w:tc>
              <w:tc>
                <w:tcPr>
                  <w:tcW w:w="1088" w:type="dxa"/>
                  <w:vAlign w:val="center"/>
                </w:tcPr>
                <w:p w14:paraId="0CB9D784">
                  <w:pPr>
                    <w:autoSpaceDE w:val="0"/>
                    <w:autoSpaceDN w:val="0"/>
                    <w:jc w:val="center"/>
                    <w:rPr>
                      <w:kern w:val="0"/>
                      <w:szCs w:val="20"/>
                    </w:rPr>
                  </w:pPr>
                  <w:r>
                    <w:rPr>
                      <w:rFonts w:hint="eastAsia"/>
                      <w:kern w:val="0"/>
                      <w:szCs w:val="20"/>
                    </w:rPr>
                    <w:t>0.042</w:t>
                  </w:r>
                </w:p>
              </w:tc>
              <w:tc>
                <w:tcPr>
                  <w:tcW w:w="1213" w:type="dxa"/>
                  <w:vAlign w:val="center"/>
                </w:tcPr>
                <w:p w14:paraId="1CE566F6">
                  <w:pPr>
                    <w:autoSpaceDE w:val="0"/>
                    <w:autoSpaceDN w:val="0"/>
                    <w:jc w:val="center"/>
                    <w:rPr>
                      <w:kern w:val="0"/>
                      <w:szCs w:val="20"/>
                    </w:rPr>
                  </w:pPr>
                  <w:r>
                    <w:rPr>
                      <w:rFonts w:hint="eastAsia"/>
                      <w:kern w:val="0"/>
                      <w:szCs w:val="20"/>
                    </w:rPr>
                    <w:t>0.020</w:t>
                  </w:r>
                </w:p>
              </w:tc>
              <w:tc>
                <w:tcPr>
                  <w:tcW w:w="1209" w:type="dxa"/>
                  <w:vAlign w:val="center"/>
                </w:tcPr>
                <w:p w14:paraId="1E129510">
                  <w:pPr>
                    <w:autoSpaceDE w:val="0"/>
                    <w:autoSpaceDN w:val="0"/>
                    <w:jc w:val="center"/>
                    <w:rPr>
                      <w:kern w:val="0"/>
                      <w:szCs w:val="20"/>
                    </w:rPr>
                  </w:pPr>
                  <w:r>
                    <w:rPr>
                      <w:rFonts w:hint="eastAsia"/>
                      <w:kern w:val="0"/>
                      <w:szCs w:val="20"/>
                    </w:rPr>
                    <w:t>0.8</w:t>
                  </w:r>
                </w:p>
              </w:tc>
              <w:tc>
                <w:tcPr>
                  <w:tcW w:w="933" w:type="dxa"/>
                  <w:vAlign w:val="center"/>
                </w:tcPr>
                <w:p w14:paraId="7E0D872E">
                  <w:pPr>
                    <w:autoSpaceDE w:val="0"/>
                    <w:autoSpaceDN w:val="0"/>
                    <w:jc w:val="center"/>
                    <w:rPr>
                      <w:kern w:val="0"/>
                      <w:szCs w:val="20"/>
                    </w:rPr>
                  </w:pPr>
                  <w:r>
                    <w:rPr>
                      <w:rFonts w:hint="eastAsia"/>
                      <w:kern w:val="0"/>
                      <w:szCs w:val="20"/>
                    </w:rPr>
                    <w:t>0.130</w:t>
                  </w:r>
                </w:p>
              </w:tc>
            </w:tr>
            <w:tr w14:paraId="70433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5DF4447F">
                  <w:pPr>
                    <w:autoSpaceDE w:val="0"/>
                    <w:autoSpaceDN w:val="0"/>
                    <w:jc w:val="center"/>
                    <w:rPr>
                      <w:kern w:val="0"/>
                      <w:szCs w:val="20"/>
                    </w:rPr>
                  </w:pPr>
                  <w:r>
                    <w:t>202</w:t>
                  </w:r>
                  <w:r>
                    <w:rPr>
                      <w:rFonts w:hint="eastAsia"/>
                    </w:rPr>
                    <w:t>3</w:t>
                  </w:r>
                  <w:r>
                    <w:t>年4月</w:t>
                  </w:r>
                </w:p>
              </w:tc>
              <w:tc>
                <w:tcPr>
                  <w:tcW w:w="1201" w:type="dxa"/>
                  <w:vAlign w:val="center"/>
                </w:tcPr>
                <w:p w14:paraId="3CE90EA6">
                  <w:pPr>
                    <w:autoSpaceDE w:val="0"/>
                    <w:autoSpaceDN w:val="0"/>
                    <w:jc w:val="center"/>
                    <w:rPr>
                      <w:kern w:val="0"/>
                      <w:szCs w:val="20"/>
                    </w:rPr>
                  </w:pPr>
                  <w:r>
                    <w:rPr>
                      <w:rFonts w:hint="eastAsia"/>
                      <w:kern w:val="0"/>
                      <w:szCs w:val="20"/>
                    </w:rPr>
                    <w:t>0.002</w:t>
                  </w:r>
                </w:p>
              </w:tc>
              <w:tc>
                <w:tcPr>
                  <w:tcW w:w="1186" w:type="dxa"/>
                  <w:vAlign w:val="center"/>
                </w:tcPr>
                <w:p w14:paraId="392504D3">
                  <w:pPr>
                    <w:autoSpaceDE w:val="0"/>
                    <w:autoSpaceDN w:val="0"/>
                    <w:jc w:val="center"/>
                    <w:rPr>
                      <w:kern w:val="0"/>
                      <w:szCs w:val="20"/>
                    </w:rPr>
                  </w:pPr>
                  <w:r>
                    <w:rPr>
                      <w:rFonts w:hint="eastAsia"/>
                      <w:kern w:val="0"/>
                      <w:szCs w:val="20"/>
                    </w:rPr>
                    <w:t>0.019</w:t>
                  </w:r>
                </w:p>
              </w:tc>
              <w:tc>
                <w:tcPr>
                  <w:tcW w:w="1088" w:type="dxa"/>
                  <w:vAlign w:val="center"/>
                </w:tcPr>
                <w:p w14:paraId="76D405E4">
                  <w:pPr>
                    <w:autoSpaceDE w:val="0"/>
                    <w:autoSpaceDN w:val="0"/>
                    <w:jc w:val="center"/>
                    <w:rPr>
                      <w:kern w:val="0"/>
                      <w:szCs w:val="20"/>
                    </w:rPr>
                  </w:pPr>
                  <w:r>
                    <w:rPr>
                      <w:rFonts w:hint="eastAsia"/>
                      <w:kern w:val="0"/>
                      <w:szCs w:val="20"/>
                    </w:rPr>
                    <w:t>0.047</w:t>
                  </w:r>
                </w:p>
              </w:tc>
              <w:tc>
                <w:tcPr>
                  <w:tcW w:w="1213" w:type="dxa"/>
                  <w:vAlign w:val="center"/>
                </w:tcPr>
                <w:p w14:paraId="6D1944DC">
                  <w:pPr>
                    <w:autoSpaceDE w:val="0"/>
                    <w:autoSpaceDN w:val="0"/>
                    <w:jc w:val="center"/>
                    <w:rPr>
                      <w:kern w:val="0"/>
                      <w:szCs w:val="20"/>
                    </w:rPr>
                  </w:pPr>
                  <w:r>
                    <w:rPr>
                      <w:rFonts w:hint="eastAsia"/>
                      <w:kern w:val="0"/>
                      <w:szCs w:val="20"/>
                    </w:rPr>
                    <w:t>0.020</w:t>
                  </w:r>
                </w:p>
              </w:tc>
              <w:tc>
                <w:tcPr>
                  <w:tcW w:w="1209" w:type="dxa"/>
                  <w:vAlign w:val="center"/>
                </w:tcPr>
                <w:p w14:paraId="3B664DA5">
                  <w:pPr>
                    <w:autoSpaceDE w:val="0"/>
                    <w:autoSpaceDN w:val="0"/>
                    <w:jc w:val="center"/>
                    <w:rPr>
                      <w:kern w:val="0"/>
                      <w:szCs w:val="20"/>
                    </w:rPr>
                  </w:pPr>
                  <w:r>
                    <w:rPr>
                      <w:rFonts w:hint="eastAsia"/>
                      <w:kern w:val="0"/>
                      <w:szCs w:val="20"/>
                    </w:rPr>
                    <w:t>0.9</w:t>
                  </w:r>
                </w:p>
              </w:tc>
              <w:tc>
                <w:tcPr>
                  <w:tcW w:w="933" w:type="dxa"/>
                  <w:vAlign w:val="center"/>
                </w:tcPr>
                <w:p w14:paraId="3F40A233">
                  <w:pPr>
                    <w:autoSpaceDE w:val="0"/>
                    <w:autoSpaceDN w:val="0"/>
                    <w:jc w:val="center"/>
                    <w:rPr>
                      <w:kern w:val="0"/>
                      <w:szCs w:val="20"/>
                    </w:rPr>
                  </w:pPr>
                  <w:r>
                    <w:rPr>
                      <w:rFonts w:hint="eastAsia"/>
                      <w:kern w:val="0"/>
                      <w:szCs w:val="20"/>
                    </w:rPr>
                    <w:t>0.151</w:t>
                  </w:r>
                </w:p>
              </w:tc>
            </w:tr>
            <w:tr w14:paraId="716170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54CB7B22">
                  <w:pPr>
                    <w:autoSpaceDE w:val="0"/>
                    <w:autoSpaceDN w:val="0"/>
                    <w:jc w:val="center"/>
                    <w:rPr>
                      <w:kern w:val="0"/>
                      <w:szCs w:val="20"/>
                    </w:rPr>
                  </w:pPr>
                  <w:r>
                    <w:t>202</w:t>
                  </w:r>
                  <w:r>
                    <w:rPr>
                      <w:rFonts w:hint="eastAsia"/>
                    </w:rPr>
                    <w:t>3</w:t>
                  </w:r>
                  <w:r>
                    <w:t>年5月</w:t>
                  </w:r>
                </w:p>
              </w:tc>
              <w:tc>
                <w:tcPr>
                  <w:tcW w:w="1201" w:type="dxa"/>
                  <w:vAlign w:val="center"/>
                </w:tcPr>
                <w:p w14:paraId="41BE85D8">
                  <w:pPr>
                    <w:autoSpaceDE w:val="0"/>
                    <w:autoSpaceDN w:val="0"/>
                    <w:jc w:val="center"/>
                    <w:rPr>
                      <w:kern w:val="0"/>
                      <w:szCs w:val="20"/>
                    </w:rPr>
                  </w:pPr>
                  <w:r>
                    <w:rPr>
                      <w:rFonts w:hint="eastAsia"/>
                      <w:kern w:val="0"/>
                      <w:szCs w:val="20"/>
                    </w:rPr>
                    <w:t>0.002</w:t>
                  </w:r>
                </w:p>
              </w:tc>
              <w:tc>
                <w:tcPr>
                  <w:tcW w:w="1186" w:type="dxa"/>
                  <w:vAlign w:val="center"/>
                </w:tcPr>
                <w:p w14:paraId="6ADD3C27">
                  <w:pPr>
                    <w:autoSpaceDE w:val="0"/>
                    <w:autoSpaceDN w:val="0"/>
                    <w:jc w:val="center"/>
                    <w:rPr>
                      <w:kern w:val="0"/>
                      <w:szCs w:val="20"/>
                    </w:rPr>
                  </w:pPr>
                  <w:r>
                    <w:rPr>
                      <w:rFonts w:hint="eastAsia"/>
                      <w:kern w:val="0"/>
                      <w:szCs w:val="20"/>
                    </w:rPr>
                    <w:t>0.013</w:t>
                  </w:r>
                </w:p>
              </w:tc>
              <w:tc>
                <w:tcPr>
                  <w:tcW w:w="1088" w:type="dxa"/>
                  <w:vAlign w:val="center"/>
                </w:tcPr>
                <w:p w14:paraId="56F02F51">
                  <w:pPr>
                    <w:autoSpaceDE w:val="0"/>
                    <w:autoSpaceDN w:val="0"/>
                    <w:jc w:val="center"/>
                    <w:rPr>
                      <w:kern w:val="0"/>
                      <w:szCs w:val="20"/>
                    </w:rPr>
                  </w:pPr>
                  <w:r>
                    <w:rPr>
                      <w:rFonts w:hint="eastAsia"/>
                      <w:kern w:val="0"/>
                      <w:szCs w:val="20"/>
                    </w:rPr>
                    <w:t>0.037</w:t>
                  </w:r>
                </w:p>
              </w:tc>
              <w:tc>
                <w:tcPr>
                  <w:tcW w:w="1213" w:type="dxa"/>
                  <w:vAlign w:val="center"/>
                </w:tcPr>
                <w:p w14:paraId="67BC5F57">
                  <w:pPr>
                    <w:autoSpaceDE w:val="0"/>
                    <w:autoSpaceDN w:val="0"/>
                    <w:jc w:val="center"/>
                    <w:rPr>
                      <w:kern w:val="0"/>
                      <w:szCs w:val="20"/>
                    </w:rPr>
                  </w:pPr>
                  <w:r>
                    <w:rPr>
                      <w:rFonts w:hint="eastAsia"/>
                      <w:kern w:val="0"/>
                      <w:szCs w:val="20"/>
                    </w:rPr>
                    <w:t>0.017</w:t>
                  </w:r>
                </w:p>
              </w:tc>
              <w:tc>
                <w:tcPr>
                  <w:tcW w:w="1209" w:type="dxa"/>
                  <w:vAlign w:val="center"/>
                </w:tcPr>
                <w:p w14:paraId="651577DD">
                  <w:pPr>
                    <w:autoSpaceDE w:val="0"/>
                    <w:autoSpaceDN w:val="0"/>
                    <w:jc w:val="center"/>
                    <w:rPr>
                      <w:kern w:val="0"/>
                      <w:szCs w:val="20"/>
                    </w:rPr>
                  </w:pPr>
                  <w:r>
                    <w:rPr>
                      <w:rFonts w:hint="eastAsia"/>
                      <w:kern w:val="0"/>
                      <w:szCs w:val="20"/>
                    </w:rPr>
                    <w:t>0.9</w:t>
                  </w:r>
                </w:p>
              </w:tc>
              <w:tc>
                <w:tcPr>
                  <w:tcW w:w="933" w:type="dxa"/>
                  <w:vAlign w:val="center"/>
                </w:tcPr>
                <w:p w14:paraId="14A556B5">
                  <w:pPr>
                    <w:autoSpaceDE w:val="0"/>
                    <w:autoSpaceDN w:val="0"/>
                    <w:jc w:val="center"/>
                    <w:rPr>
                      <w:kern w:val="0"/>
                      <w:szCs w:val="20"/>
                    </w:rPr>
                  </w:pPr>
                  <w:r>
                    <w:rPr>
                      <w:rFonts w:hint="eastAsia"/>
                      <w:kern w:val="0"/>
                      <w:szCs w:val="20"/>
                    </w:rPr>
                    <w:t>0.137</w:t>
                  </w:r>
                </w:p>
              </w:tc>
            </w:tr>
            <w:tr w14:paraId="591F9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0263D31C">
                  <w:pPr>
                    <w:autoSpaceDE w:val="0"/>
                    <w:autoSpaceDN w:val="0"/>
                    <w:jc w:val="center"/>
                    <w:rPr>
                      <w:kern w:val="0"/>
                      <w:szCs w:val="20"/>
                    </w:rPr>
                  </w:pPr>
                  <w:r>
                    <w:t>202</w:t>
                  </w:r>
                  <w:r>
                    <w:rPr>
                      <w:rFonts w:hint="eastAsia"/>
                    </w:rPr>
                    <w:t>3</w:t>
                  </w:r>
                  <w:r>
                    <w:t>年6月</w:t>
                  </w:r>
                </w:p>
              </w:tc>
              <w:tc>
                <w:tcPr>
                  <w:tcW w:w="1201" w:type="dxa"/>
                  <w:vAlign w:val="center"/>
                </w:tcPr>
                <w:p w14:paraId="2ABE4640">
                  <w:pPr>
                    <w:autoSpaceDE w:val="0"/>
                    <w:autoSpaceDN w:val="0"/>
                    <w:jc w:val="center"/>
                    <w:rPr>
                      <w:kern w:val="0"/>
                      <w:szCs w:val="20"/>
                    </w:rPr>
                  </w:pPr>
                  <w:r>
                    <w:rPr>
                      <w:rFonts w:hint="eastAsia"/>
                      <w:kern w:val="0"/>
                      <w:szCs w:val="20"/>
                    </w:rPr>
                    <w:t>0.002</w:t>
                  </w:r>
                </w:p>
              </w:tc>
              <w:tc>
                <w:tcPr>
                  <w:tcW w:w="1186" w:type="dxa"/>
                  <w:vAlign w:val="center"/>
                </w:tcPr>
                <w:p w14:paraId="2A03115F">
                  <w:pPr>
                    <w:autoSpaceDE w:val="0"/>
                    <w:autoSpaceDN w:val="0"/>
                    <w:jc w:val="center"/>
                    <w:rPr>
                      <w:kern w:val="0"/>
                      <w:szCs w:val="20"/>
                    </w:rPr>
                  </w:pPr>
                  <w:r>
                    <w:rPr>
                      <w:rFonts w:hint="eastAsia"/>
                      <w:kern w:val="0"/>
                      <w:szCs w:val="20"/>
                    </w:rPr>
                    <w:t>0.011</w:t>
                  </w:r>
                </w:p>
              </w:tc>
              <w:tc>
                <w:tcPr>
                  <w:tcW w:w="1088" w:type="dxa"/>
                  <w:vAlign w:val="center"/>
                </w:tcPr>
                <w:p w14:paraId="5B53E15F">
                  <w:pPr>
                    <w:autoSpaceDE w:val="0"/>
                    <w:autoSpaceDN w:val="0"/>
                    <w:jc w:val="center"/>
                    <w:rPr>
                      <w:kern w:val="0"/>
                      <w:szCs w:val="20"/>
                    </w:rPr>
                  </w:pPr>
                  <w:r>
                    <w:rPr>
                      <w:rFonts w:hint="eastAsia"/>
                      <w:kern w:val="0"/>
                      <w:szCs w:val="20"/>
                    </w:rPr>
                    <w:t>0.026</w:t>
                  </w:r>
                </w:p>
              </w:tc>
              <w:tc>
                <w:tcPr>
                  <w:tcW w:w="1213" w:type="dxa"/>
                  <w:vAlign w:val="center"/>
                </w:tcPr>
                <w:p w14:paraId="7A6FEA3A">
                  <w:pPr>
                    <w:autoSpaceDE w:val="0"/>
                    <w:autoSpaceDN w:val="0"/>
                    <w:jc w:val="center"/>
                    <w:rPr>
                      <w:kern w:val="0"/>
                      <w:szCs w:val="20"/>
                    </w:rPr>
                  </w:pPr>
                  <w:r>
                    <w:rPr>
                      <w:rFonts w:hint="eastAsia"/>
                      <w:kern w:val="0"/>
                      <w:szCs w:val="20"/>
                    </w:rPr>
                    <w:t>0.012</w:t>
                  </w:r>
                </w:p>
              </w:tc>
              <w:tc>
                <w:tcPr>
                  <w:tcW w:w="1209" w:type="dxa"/>
                  <w:vAlign w:val="center"/>
                </w:tcPr>
                <w:p w14:paraId="78D61F35">
                  <w:pPr>
                    <w:autoSpaceDE w:val="0"/>
                    <w:autoSpaceDN w:val="0"/>
                    <w:jc w:val="center"/>
                    <w:rPr>
                      <w:kern w:val="0"/>
                      <w:szCs w:val="20"/>
                    </w:rPr>
                  </w:pPr>
                  <w:r>
                    <w:rPr>
                      <w:rFonts w:hint="eastAsia"/>
                      <w:kern w:val="0"/>
                      <w:szCs w:val="20"/>
                    </w:rPr>
                    <w:t>0.6</w:t>
                  </w:r>
                </w:p>
              </w:tc>
              <w:tc>
                <w:tcPr>
                  <w:tcW w:w="933" w:type="dxa"/>
                  <w:vAlign w:val="center"/>
                </w:tcPr>
                <w:p w14:paraId="083B9881">
                  <w:pPr>
                    <w:autoSpaceDE w:val="0"/>
                    <w:autoSpaceDN w:val="0"/>
                    <w:jc w:val="center"/>
                    <w:rPr>
                      <w:kern w:val="0"/>
                      <w:szCs w:val="20"/>
                    </w:rPr>
                  </w:pPr>
                  <w:r>
                    <w:rPr>
                      <w:rFonts w:hint="eastAsia"/>
                      <w:kern w:val="0"/>
                      <w:szCs w:val="20"/>
                    </w:rPr>
                    <w:t>0.123</w:t>
                  </w:r>
                </w:p>
              </w:tc>
            </w:tr>
            <w:tr w14:paraId="455C2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011D3F0C">
                  <w:pPr>
                    <w:autoSpaceDE w:val="0"/>
                    <w:autoSpaceDN w:val="0"/>
                    <w:jc w:val="center"/>
                    <w:rPr>
                      <w:kern w:val="0"/>
                      <w:szCs w:val="20"/>
                    </w:rPr>
                  </w:pPr>
                  <w:r>
                    <w:t>202</w:t>
                  </w:r>
                  <w:r>
                    <w:rPr>
                      <w:rFonts w:hint="eastAsia"/>
                    </w:rPr>
                    <w:t>3</w:t>
                  </w:r>
                  <w:r>
                    <w:t>年7月</w:t>
                  </w:r>
                </w:p>
              </w:tc>
              <w:tc>
                <w:tcPr>
                  <w:tcW w:w="1201" w:type="dxa"/>
                  <w:vAlign w:val="center"/>
                </w:tcPr>
                <w:p w14:paraId="06B8E908">
                  <w:pPr>
                    <w:autoSpaceDE w:val="0"/>
                    <w:autoSpaceDN w:val="0"/>
                    <w:jc w:val="center"/>
                    <w:rPr>
                      <w:kern w:val="0"/>
                      <w:szCs w:val="20"/>
                    </w:rPr>
                  </w:pPr>
                  <w:r>
                    <w:rPr>
                      <w:rFonts w:hint="eastAsia"/>
                      <w:kern w:val="0"/>
                      <w:szCs w:val="20"/>
                    </w:rPr>
                    <w:t>0.002</w:t>
                  </w:r>
                </w:p>
              </w:tc>
              <w:tc>
                <w:tcPr>
                  <w:tcW w:w="1186" w:type="dxa"/>
                  <w:vAlign w:val="center"/>
                </w:tcPr>
                <w:p w14:paraId="0697C5B2">
                  <w:pPr>
                    <w:autoSpaceDE w:val="0"/>
                    <w:autoSpaceDN w:val="0"/>
                    <w:jc w:val="center"/>
                    <w:rPr>
                      <w:kern w:val="0"/>
                      <w:szCs w:val="20"/>
                    </w:rPr>
                  </w:pPr>
                  <w:r>
                    <w:rPr>
                      <w:rFonts w:hint="eastAsia"/>
                      <w:kern w:val="0"/>
                      <w:szCs w:val="20"/>
                    </w:rPr>
                    <w:t>0.008</w:t>
                  </w:r>
                </w:p>
              </w:tc>
              <w:tc>
                <w:tcPr>
                  <w:tcW w:w="1088" w:type="dxa"/>
                  <w:vAlign w:val="center"/>
                </w:tcPr>
                <w:p w14:paraId="03D75074">
                  <w:pPr>
                    <w:autoSpaceDE w:val="0"/>
                    <w:autoSpaceDN w:val="0"/>
                    <w:jc w:val="center"/>
                    <w:rPr>
                      <w:kern w:val="0"/>
                      <w:szCs w:val="20"/>
                    </w:rPr>
                  </w:pPr>
                  <w:r>
                    <w:rPr>
                      <w:rFonts w:hint="eastAsia"/>
                      <w:kern w:val="0"/>
                      <w:szCs w:val="20"/>
                    </w:rPr>
                    <w:t>0.027</w:t>
                  </w:r>
                </w:p>
              </w:tc>
              <w:tc>
                <w:tcPr>
                  <w:tcW w:w="1213" w:type="dxa"/>
                  <w:vAlign w:val="center"/>
                </w:tcPr>
                <w:p w14:paraId="36E34CF4">
                  <w:pPr>
                    <w:autoSpaceDE w:val="0"/>
                    <w:autoSpaceDN w:val="0"/>
                    <w:jc w:val="center"/>
                    <w:rPr>
                      <w:kern w:val="0"/>
                      <w:szCs w:val="20"/>
                    </w:rPr>
                  </w:pPr>
                  <w:r>
                    <w:rPr>
                      <w:rFonts w:hint="eastAsia"/>
                      <w:kern w:val="0"/>
                      <w:szCs w:val="20"/>
                    </w:rPr>
                    <w:t>0.010</w:t>
                  </w:r>
                </w:p>
              </w:tc>
              <w:tc>
                <w:tcPr>
                  <w:tcW w:w="1209" w:type="dxa"/>
                  <w:vAlign w:val="center"/>
                </w:tcPr>
                <w:p w14:paraId="3DA5C1F5">
                  <w:pPr>
                    <w:autoSpaceDE w:val="0"/>
                    <w:autoSpaceDN w:val="0"/>
                    <w:jc w:val="center"/>
                    <w:rPr>
                      <w:kern w:val="0"/>
                      <w:szCs w:val="20"/>
                    </w:rPr>
                  </w:pPr>
                  <w:r>
                    <w:rPr>
                      <w:rFonts w:hint="eastAsia"/>
                      <w:kern w:val="0"/>
                      <w:szCs w:val="20"/>
                    </w:rPr>
                    <w:t>0.6</w:t>
                  </w:r>
                </w:p>
              </w:tc>
              <w:tc>
                <w:tcPr>
                  <w:tcW w:w="933" w:type="dxa"/>
                  <w:vAlign w:val="center"/>
                </w:tcPr>
                <w:p w14:paraId="69C51992">
                  <w:pPr>
                    <w:autoSpaceDE w:val="0"/>
                    <w:autoSpaceDN w:val="0"/>
                    <w:jc w:val="center"/>
                    <w:rPr>
                      <w:kern w:val="0"/>
                      <w:szCs w:val="20"/>
                    </w:rPr>
                  </w:pPr>
                  <w:r>
                    <w:rPr>
                      <w:rFonts w:hint="eastAsia"/>
                      <w:kern w:val="0"/>
                      <w:szCs w:val="20"/>
                    </w:rPr>
                    <w:t>0.128</w:t>
                  </w:r>
                </w:p>
              </w:tc>
            </w:tr>
            <w:tr w14:paraId="5BC3C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1B176F12">
                  <w:pPr>
                    <w:autoSpaceDE w:val="0"/>
                    <w:autoSpaceDN w:val="0"/>
                    <w:jc w:val="center"/>
                    <w:rPr>
                      <w:kern w:val="0"/>
                      <w:szCs w:val="20"/>
                    </w:rPr>
                  </w:pPr>
                  <w:r>
                    <w:t>202</w:t>
                  </w:r>
                  <w:r>
                    <w:rPr>
                      <w:rFonts w:hint="eastAsia"/>
                    </w:rPr>
                    <w:t>3</w:t>
                  </w:r>
                  <w:r>
                    <w:t>年8月</w:t>
                  </w:r>
                </w:p>
              </w:tc>
              <w:tc>
                <w:tcPr>
                  <w:tcW w:w="1201" w:type="dxa"/>
                  <w:vAlign w:val="center"/>
                </w:tcPr>
                <w:p w14:paraId="3F84CD5F">
                  <w:pPr>
                    <w:autoSpaceDE w:val="0"/>
                    <w:autoSpaceDN w:val="0"/>
                    <w:jc w:val="center"/>
                    <w:rPr>
                      <w:kern w:val="0"/>
                      <w:szCs w:val="20"/>
                    </w:rPr>
                  </w:pPr>
                  <w:r>
                    <w:rPr>
                      <w:rFonts w:hint="eastAsia"/>
                      <w:kern w:val="0"/>
                      <w:szCs w:val="20"/>
                    </w:rPr>
                    <w:t>0.002</w:t>
                  </w:r>
                </w:p>
              </w:tc>
              <w:tc>
                <w:tcPr>
                  <w:tcW w:w="1186" w:type="dxa"/>
                  <w:vAlign w:val="center"/>
                </w:tcPr>
                <w:p w14:paraId="3B55A6F0">
                  <w:pPr>
                    <w:autoSpaceDE w:val="0"/>
                    <w:autoSpaceDN w:val="0"/>
                    <w:jc w:val="center"/>
                    <w:rPr>
                      <w:kern w:val="0"/>
                      <w:szCs w:val="20"/>
                    </w:rPr>
                  </w:pPr>
                  <w:r>
                    <w:rPr>
                      <w:rFonts w:hint="eastAsia"/>
                      <w:kern w:val="0"/>
                      <w:szCs w:val="20"/>
                    </w:rPr>
                    <w:t>0.011</w:t>
                  </w:r>
                </w:p>
              </w:tc>
              <w:tc>
                <w:tcPr>
                  <w:tcW w:w="1088" w:type="dxa"/>
                  <w:vAlign w:val="center"/>
                </w:tcPr>
                <w:p w14:paraId="536B6590">
                  <w:pPr>
                    <w:autoSpaceDE w:val="0"/>
                    <w:autoSpaceDN w:val="0"/>
                    <w:jc w:val="center"/>
                    <w:rPr>
                      <w:kern w:val="0"/>
                      <w:szCs w:val="20"/>
                    </w:rPr>
                  </w:pPr>
                  <w:r>
                    <w:rPr>
                      <w:rFonts w:hint="eastAsia"/>
                      <w:kern w:val="0"/>
                      <w:szCs w:val="20"/>
                    </w:rPr>
                    <w:t>0.027</w:t>
                  </w:r>
                </w:p>
              </w:tc>
              <w:tc>
                <w:tcPr>
                  <w:tcW w:w="1213" w:type="dxa"/>
                  <w:vAlign w:val="center"/>
                </w:tcPr>
                <w:p w14:paraId="4F53DF78">
                  <w:pPr>
                    <w:autoSpaceDE w:val="0"/>
                    <w:autoSpaceDN w:val="0"/>
                    <w:jc w:val="center"/>
                    <w:rPr>
                      <w:kern w:val="0"/>
                      <w:szCs w:val="20"/>
                    </w:rPr>
                  </w:pPr>
                  <w:r>
                    <w:rPr>
                      <w:rFonts w:hint="eastAsia"/>
                      <w:kern w:val="0"/>
                      <w:szCs w:val="20"/>
                    </w:rPr>
                    <w:t>0.012</w:t>
                  </w:r>
                </w:p>
              </w:tc>
              <w:tc>
                <w:tcPr>
                  <w:tcW w:w="1209" w:type="dxa"/>
                  <w:vAlign w:val="center"/>
                </w:tcPr>
                <w:p w14:paraId="18C8FC5D">
                  <w:pPr>
                    <w:autoSpaceDE w:val="0"/>
                    <w:autoSpaceDN w:val="0"/>
                    <w:jc w:val="center"/>
                    <w:rPr>
                      <w:kern w:val="0"/>
                      <w:szCs w:val="20"/>
                    </w:rPr>
                  </w:pPr>
                  <w:r>
                    <w:rPr>
                      <w:rFonts w:hint="eastAsia"/>
                      <w:kern w:val="0"/>
                      <w:szCs w:val="20"/>
                    </w:rPr>
                    <w:t>0.6</w:t>
                  </w:r>
                </w:p>
              </w:tc>
              <w:tc>
                <w:tcPr>
                  <w:tcW w:w="933" w:type="dxa"/>
                  <w:shd w:val="clear" w:color="auto" w:fill="auto"/>
                  <w:vAlign w:val="center"/>
                </w:tcPr>
                <w:p w14:paraId="1EEF5786">
                  <w:pPr>
                    <w:autoSpaceDE w:val="0"/>
                    <w:autoSpaceDN w:val="0"/>
                    <w:jc w:val="center"/>
                    <w:rPr>
                      <w:kern w:val="0"/>
                      <w:szCs w:val="20"/>
                    </w:rPr>
                  </w:pPr>
                  <w:r>
                    <w:rPr>
                      <w:rFonts w:hint="eastAsia"/>
                      <w:kern w:val="0"/>
                      <w:szCs w:val="20"/>
                    </w:rPr>
                    <w:t>0.124</w:t>
                  </w:r>
                </w:p>
              </w:tc>
            </w:tr>
            <w:tr w14:paraId="26D605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749DA50B">
                  <w:pPr>
                    <w:autoSpaceDE w:val="0"/>
                    <w:autoSpaceDN w:val="0"/>
                    <w:jc w:val="center"/>
                    <w:rPr>
                      <w:kern w:val="0"/>
                      <w:szCs w:val="20"/>
                    </w:rPr>
                  </w:pPr>
                  <w:r>
                    <w:t>202</w:t>
                  </w:r>
                  <w:r>
                    <w:rPr>
                      <w:rFonts w:hint="eastAsia"/>
                    </w:rPr>
                    <w:t>3</w:t>
                  </w:r>
                  <w:r>
                    <w:t>年9月</w:t>
                  </w:r>
                </w:p>
              </w:tc>
              <w:tc>
                <w:tcPr>
                  <w:tcW w:w="1201" w:type="dxa"/>
                  <w:vAlign w:val="center"/>
                </w:tcPr>
                <w:p w14:paraId="700706C2">
                  <w:pPr>
                    <w:autoSpaceDE w:val="0"/>
                    <w:autoSpaceDN w:val="0"/>
                    <w:jc w:val="center"/>
                    <w:rPr>
                      <w:kern w:val="0"/>
                      <w:szCs w:val="20"/>
                    </w:rPr>
                  </w:pPr>
                  <w:r>
                    <w:rPr>
                      <w:rFonts w:hint="eastAsia"/>
                      <w:kern w:val="0"/>
                      <w:szCs w:val="20"/>
                    </w:rPr>
                    <w:t>0.002</w:t>
                  </w:r>
                </w:p>
              </w:tc>
              <w:tc>
                <w:tcPr>
                  <w:tcW w:w="1186" w:type="dxa"/>
                  <w:vAlign w:val="center"/>
                </w:tcPr>
                <w:p w14:paraId="5A40F764">
                  <w:pPr>
                    <w:autoSpaceDE w:val="0"/>
                    <w:autoSpaceDN w:val="0"/>
                    <w:jc w:val="center"/>
                    <w:rPr>
                      <w:kern w:val="0"/>
                      <w:szCs w:val="20"/>
                    </w:rPr>
                  </w:pPr>
                  <w:r>
                    <w:rPr>
                      <w:rFonts w:hint="eastAsia"/>
                      <w:kern w:val="0"/>
                      <w:szCs w:val="20"/>
                    </w:rPr>
                    <w:t>0.007</w:t>
                  </w:r>
                </w:p>
              </w:tc>
              <w:tc>
                <w:tcPr>
                  <w:tcW w:w="1088" w:type="dxa"/>
                  <w:vAlign w:val="center"/>
                </w:tcPr>
                <w:p w14:paraId="53C7242F">
                  <w:pPr>
                    <w:autoSpaceDE w:val="0"/>
                    <w:autoSpaceDN w:val="0"/>
                    <w:jc w:val="center"/>
                    <w:rPr>
                      <w:kern w:val="0"/>
                      <w:szCs w:val="20"/>
                    </w:rPr>
                  </w:pPr>
                  <w:r>
                    <w:rPr>
                      <w:rFonts w:hint="eastAsia"/>
                      <w:kern w:val="0"/>
                      <w:szCs w:val="20"/>
                    </w:rPr>
                    <w:t>0.022</w:t>
                  </w:r>
                </w:p>
              </w:tc>
              <w:tc>
                <w:tcPr>
                  <w:tcW w:w="1213" w:type="dxa"/>
                  <w:vAlign w:val="center"/>
                </w:tcPr>
                <w:p w14:paraId="5428495B">
                  <w:pPr>
                    <w:autoSpaceDE w:val="0"/>
                    <w:autoSpaceDN w:val="0"/>
                    <w:jc w:val="center"/>
                    <w:rPr>
                      <w:kern w:val="0"/>
                      <w:szCs w:val="20"/>
                    </w:rPr>
                  </w:pPr>
                  <w:r>
                    <w:rPr>
                      <w:rFonts w:hint="eastAsia"/>
                      <w:kern w:val="0"/>
                      <w:szCs w:val="20"/>
                    </w:rPr>
                    <w:t>0.011</w:t>
                  </w:r>
                </w:p>
              </w:tc>
              <w:tc>
                <w:tcPr>
                  <w:tcW w:w="1209" w:type="dxa"/>
                  <w:vAlign w:val="center"/>
                </w:tcPr>
                <w:p w14:paraId="1A527E08">
                  <w:pPr>
                    <w:autoSpaceDE w:val="0"/>
                    <w:autoSpaceDN w:val="0"/>
                    <w:jc w:val="center"/>
                    <w:rPr>
                      <w:kern w:val="0"/>
                      <w:szCs w:val="20"/>
                    </w:rPr>
                  </w:pPr>
                  <w:r>
                    <w:rPr>
                      <w:rFonts w:hint="eastAsia"/>
                      <w:kern w:val="0"/>
                      <w:szCs w:val="20"/>
                    </w:rPr>
                    <w:t>0.6</w:t>
                  </w:r>
                </w:p>
              </w:tc>
              <w:tc>
                <w:tcPr>
                  <w:tcW w:w="933" w:type="dxa"/>
                  <w:shd w:val="clear" w:color="auto" w:fill="auto"/>
                  <w:vAlign w:val="center"/>
                </w:tcPr>
                <w:p w14:paraId="3CD74AC2">
                  <w:pPr>
                    <w:autoSpaceDE w:val="0"/>
                    <w:autoSpaceDN w:val="0"/>
                    <w:jc w:val="center"/>
                    <w:rPr>
                      <w:kern w:val="0"/>
                      <w:szCs w:val="20"/>
                    </w:rPr>
                  </w:pPr>
                  <w:r>
                    <w:rPr>
                      <w:rFonts w:hint="eastAsia"/>
                      <w:kern w:val="0"/>
                      <w:szCs w:val="20"/>
                    </w:rPr>
                    <w:t>0.115</w:t>
                  </w:r>
                </w:p>
              </w:tc>
            </w:tr>
            <w:tr w14:paraId="7B2ECE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688EF8F2">
                  <w:pPr>
                    <w:autoSpaceDE w:val="0"/>
                    <w:autoSpaceDN w:val="0"/>
                    <w:jc w:val="center"/>
                    <w:rPr>
                      <w:kern w:val="0"/>
                      <w:szCs w:val="20"/>
                    </w:rPr>
                  </w:pPr>
                  <w:r>
                    <w:t>202</w:t>
                  </w:r>
                  <w:r>
                    <w:rPr>
                      <w:rFonts w:hint="eastAsia"/>
                    </w:rPr>
                    <w:t>3</w:t>
                  </w:r>
                  <w:r>
                    <w:t>年10月</w:t>
                  </w:r>
                </w:p>
              </w:tc>
              <w:tc>
                <w:tcPr>
                  <w:tcW w:w="1201" w:type="dxa"/>
                  <w:vAlign w:val="center"/>
                </w:tcPr>
                <w:p w14:paraId="580A0644">
                  <w:pPr>
                    <w:autoSpaceDE w:val="0"/>
                    <w:autoSpaceDN w:val="0"/>
                    <w:jc w:val="center"/>
                    <w:rPr>
                      <w:kern w:val="0"/>
                      <w:szCs w:val="20"/>
                    </w:rPr>
                  </w:pPr>
                  <w:r>
                    <w:rPr>
                      <w:rFonts w:hint="eastAsia"/>
                      <w:kern w:val="0"/>
                      <w:szCs w:val="20"/>
                    </w:rPr>
                    <w:t>0.002</w:t>
                  </w:r>
                </w:p>
              </w:tc>
              <w:tc>
                <w:tcPr>
                  <w:tcW w:w="1186" w:type="dxa"/>
                  <w:vAlign w:val="center"/>
                </w:tcPr>
                <w:p w14:paraId="3FBA5420">
                  <w:pPr>
                    <w:autoSpaceDE w:val="0"/>
                    <w:autoSpaceDN w:val="0"/>
                    <w:jc w:val="center"/>
                    <w:rPr>
                      <w:kern w:val="0"/>
                      <w:szCs w:val="20"/>
                    </w:rPr>
                  </w:pPr>
                  <w:r>
                    <w:rPr>
                      <w:rFonts w:hint="eastAsia"/>
                      <w:kern w:val="0"/>
                      <w:szCs w:val="20"/>
                    </w:rPr>
                    <w:t>0.008</w:t>
                  </w:r>
                </w:p>
              </w:tc>
              <w:tc>
                <w:tcPr>
                  <w:tcW w:w="1088" w:type="dxa"/>
                  <w:vAlign w:val="center"/>
                </w:tcPr>
                <w:p w14:paraId="31255A3D">
                  <w:pPr>
                    <w:autoSpaceDE w:val="0"/>
                    <w:autoSpaceDN w:val="0"/>
                    <w:jc w:val="center"/>
                    <w:rPr>
                      <w:kern w:val="0"/>
                      <w:szCs w:val="20"/>
                    </w:rPr>
                  </w:pPr>
                  <w:r>
                    <w:rPr>
                      <w:rFonts w:hint="eastAsia"/>
                      <w:kern w:val="0"/>
                      <w:szCs w:val="20"/>
                    </w:rPr>
                    <w:t>0.028</w:t>
                  </w:r>
                </w:p>
              </w:tc>
              <w:tc>
                <w:tcPr>
                  <w:tcW w:w="1213" w:type="dxa"/>
                  <w:vAlign w:val="center"/>
                </w:tcPr>
                <w:p w14:paraId="4B920B11">
                  <w:pPr>
                    <w:autoSpaceDE w:val="0"/>
                    <w:autoSpaceDN w:val="0"/>
                    <w:jc w:val="center"/>
                    <w:rPr>
                      <w:kern w:val="0"/>
                      <w:szCs w:val="20"/>
                    </w:rPr>
                  </w:pPr>
                  <w:r>
                    <w:rPr>
                      <w:rFonts w:hint="eastAsia"/>
                      <w:kern w:val="0"/>
                      <w:szCs w:val="20"/>
                    </w:rPr>
                    <w:t>0.014</w:t>
                  </w:r>
                </w:p>
              </w:tc>
              <w:tc>
                <w:tcPr>
                  <w:tcW w:w="1209" w:type="dxa"/>
                  <w:vAlign w:val="center"/>
                </w:tcPr>
                <w:p w14:paraId="31C1B3EF">
                  <w:pPr>
                    <w:autoSpaceDE w:val="0"/>
                    <w:autoSpaceDN w:val="0"/>
                    <w:jc w:val="center"/>
                    <w:rPr>
                      <w:kern w:val="0"/>
                      <w:szCs w:val="20"/>
                    </w:rPr>
                  </w:pPr>
                  <w:r>
                    <w:rPr>
                      <w:rFonts w:hint="eastAsia"/>
                      <w:kern w:val="0"/>
                      <w:szCs w:val="20"/>
                    </w:rPr>
                    <w:t>0.6</w:t>
                  </w:r>
                </w:p>
              </w:tc>
              <w:tc>
                <w:tcPr>
                  <w:tcW w:w="933" w:type="dxa"/>
                  <w:shd w:val="clear" w:color="auto" w:fill="auto"/>
                  <w:vAlign w:val="center"/>
                </w:tcPr>
                <w:p w14:paraId="53917316">
                  <w:pPr>
                    <w:autoSpaceDE w:val="0"/>
                    <w:autoSpaceDN w:val="0"/>
                    <w:jc w:val="center"/>
                    <w:rPr>
                      <w:kern w:val="0"/>
                      <w:szCs w:val="20"/>
                    </w:rPr>
                  </w:pPr>
                  <w:r>
                    <w:rPr>
                      <w:rFonts w:hint="eastAsia"/>
                      <w:kern w:val="0"/>
                      <w:szCs w:val="20"/>
                    </w:rPr>
                    <w:t>0.137</w:t>
                  </w:r>
                </w:p>
              </w:tc>
            </w:tr>
            <w:tr w14:paraId="2F1F6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2615057F">
                  <w:pPr>
                    <w:autoSpaceDE w:val="0"/>
                    <w:autoSpaceDN w:val="0"/>
                    <w:jc w:val="center"/>
                    <w:rPr>
                      <w:kern w:val="0"/>
                      <w:szCs w:val="20"/>
                    </w:rPr>
                  </w:pPr>
                  <w:r>
                    <w:t>202</w:t>
                  </w:r>
                  <w:r>
                    <w:rPr>
                      <w:rFonts w:hint="eastAsia"/>
                    </w:rPr>
                    <w:t>3</w:t>
                  </w:r>
                  <w:r>
                    <w:t>年11月</w:t>
                  </w:r>
                </w:p>
              </w:tc>
              <w:tc>
                <w:tcPr>
                  <w:tcW w:w="1201" w:type="dxa"/>
                  <w:vAlign w:val="center"/>
                </w:tcPr>
                <w:p w14:paraId="5ED53469">
                  <w:pPr>
                    <w:autoSpaceDE w:val="0"/>
                    <w:autoSpaceDN w:val="0"/>
                    <w:jc w:val="center"/>
                    <w:rPr>
                      <w:kern w:val="0"/>
                      <w:szCs w:val="20"/>
                    </w:rPr>
                  </w:pPr>
                  <w:r>
                    <w:rPr>
                      <w:rFonts w:hint="eastAsia"/>
                    </w:rPr>
                    <w:t>0.002</w:t>
                  </w:r>
                </w:p>
              </w:tc>
              <w:tc>
                <w:tcPr>
                  <w:tcW w:w="1186" w:type="dxa"/>
                  <w:vAlign w:val="center"/>
                </w:tcPr>
                <w:p w14:paraId="0879F42B">
                  <w:pPr>
                    <w:autoSpaceDE w:val="0"/>
                    <w:autoSpaceDN w:val="0"/>
                    <w:jc w:val="center"/>
                    <w:rPr>
                      <w:kern w:val="0"/>
                      <w:szCs w:val="20"/>
                    </w:rPr>
                  </w:pPr>
                  <w:r>
                    <w:rPr>
                      <w:rFonts w:hint="eastAsia"/>
                      <w:kern w:val="0"/>
                      <w:szCs w:val="20"/>
                    </w:rPr>
                    <w:t>0.009</w:t>
                  </w:r>
                </w:p>
              </w:tc>
              <w:tc>
                <w:tcPr>
                  <w:tcW w:w="1088" w:type="dxa"/>
                  <w:vAlign w:val="center"/>
                </w:tcPr>
                <w:p w14:paraId="26BE3E90">
                  <w:pPr>
                    <w:autoSpaceDE w:val="0"/>
                    <w:autoSpaceDN w:val="0"/>
                    <w:jc w:val="center"/>
                    <w:rPr>
                      <w:kern w:val="0"/>
                      <w:szCs w:val="20"/>
                    </w:rPr>
                  </w:pPr>
                  <w:r>
                    <w:rPr>
                      <w:rFonts w:hint="eastAsia"/>
                      <w:kern w:val="0"/>
                      <w:szCs w:val="20"/>
                    </w:rPr>
                    <w:t>0.030</w:t>
                  </w:r>
                </w:p>
              </w:tc>
              <w:tc>
                <w:tcPr>
                  <w:tcW w:w="1213" w:type="dxa"/>
                  <w:vAlign w:val="center"/>
                </w:tcPr>
                <w:p w14:paraId="5A768168">
                  <w:pPr>
                    <w:autoSpaceDE w:val="0"/>
                    <w:autoSpaceDN w:val="0"/>
                    <w:jc w:val="center"/>
                    <w:rPr>
                      <w:kern w:val="0"/>
                      <w:szCs w:val="20"/>
                    </w:rPr>
                  </w:pPr>
                  <w:r>
                    <w:rPr>
                      <w:rFonts w:hint="eastAsia"/>
                      <w:kern w:val="0"/>
                      <w:szCs w:val="20"/>
                    </w:rPr>
                    <w:t>0.015</w:t>
                  </w:r>
                </w:p>
              </w:tc>
              <w:tc>
                <w:tcPr>
                  <w:tcW w:w="1209" w:type="dxa"/>
                  <w:vAlign w:val="center"/>
                </w:tcPr>
                <w:p w14:paraId="06586603">
                  <w:pPr>
                    <w:autoSpaceDE w:val="0"/>
                    <w:autoSpaceDN w:val="0"/>
                    <w:jc w:val="center"/>
                    <w:rPr>
                      <w:kern w:val="0"/>
                      <w:szCs w:val="20"/>
                    </w:rPr>
                  </w:pPr>
                  <w:r>
                    <w:rPr>
                      <w:rFonts w:hint="eastAsia"/>
                      <w:kern w:val="0"/>
                      <w:szCs w:val="20"/>
                    </w:rPr>
                    <w:t>0.6</w:t>
                  </w:r>
                </w:p>
              </w:tc>
              <w:tc>
                <w:tcPr>
                  <w:tcW w:w="933" w:type="dxa"/>
                  <w:shd w:val="clear" w:color="auto" w:fill="auto"/>
                  <w:vAlign w:val="center"/>
                </w:tcPr>
                <w:p w14:paraId="1042025B">
                  <w:pPr>
                    <w:autoSpaceDE w:val="0"/>
                    <w:autoSpaceDN w:val="0"/>
                    <w:jc w:val="center"/>
                    <w:rPr>
                      <w:kern w:val="0"/>
                      <w:szCs w:val="20"/>
                    </w:rPr>
                  </w:pPr>
                  <w:r>
                    <w:rPr>
                      <w:rFonts w:hint="eastAsia"/>
                      <w:kern w:val="0"/>
                      <w:szCs w:val="20"/>
                    </w:rPr>
                    <w:t>0.120</w:t>
                  </w:r>
                </w:p>
              </w:tc>
            </w:tr>
            <w:tr w14:paraId="461B5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00DD378F">
                  <w:pPr>
                    <w:autoSpaceDE w:val="0"/>
                    <w:autoSpaceDN w:val="0"/>
                    <w:jc w:val="center"/>
                    <w:rPr>
                      <w:kern w:val="0"/>
                      <w:szCs w:val="20"/>
                    </w:rPr>
                  </w:pPr>
                  <w:r>
                    <w:t>202</w:t>
                  </w:r>
                  <w:r>
                    <w:rPr>
                      <w:rFonts w:hint="eastAsia"/>
                    </w:rPr>
                    <w:t>3</w:t>
                  </w:r>
                  <w:r>
                    <w:t>年12月</w:t>
                  </w:r>
                </w:p>
              </w:tc>
              <w:tc>
                <w:tcPr>
                  <w:tcW w:w="1201" w:type="dxa"/>
                  <w:vAlign w:val="center"/>
                </w:tcPr>
                <w:p w14:paraId="0AEEFD85">
                  <w:pPr>
                    <w:autoSpaceDE w:val="0"/>
                    <w:autoSpaceDN w:val="0"/>
                    <w:jc w:val="center"/>
                    <w:rPr>
                      <w:kern w:val="0"/>
                      <w:szCs w:val="20"/>
                    </w:rPr>
                  </w:pPr>
                  <w:r>
                    <w:t>0.00</w:t>
                  </w:r>
                  <w:r>
                    <w:rPr>
                      <w:rFonts w:hint="eastAsia"/>
                    </w:rPr>
                    <w:t>3</w:t>
                  </w:r>
                </w:p>
              </w:tc>
              <w:tc>
                <w:tcPr>
                  <w:tcW w:w="1186" w:type="dxa"/>
                  <w:vAlign w:val="center"/>
                </w:tcPr>
                <w:p w14:paraId="44885EE2">
                  <w:pPr>
                    <w:autoSpaceDE w:val="0"/>
                    <w:autoSpaceDN w:val="0"/>
                    <w:jc w:val="center"/>
                    <w:rPr>
                      <w:kern w:val="0"/>
                      <w:szCs w:val="20"/>
                    </w:rPr>
                  </w:pPr>
                  <w:r>
                    <w:t>0.0</w:t>
                  </w:r>
                  <w:r>
                    <w:rPr>
                      <w:rFonts w:hint="eastAsia"/>
                    </w:rPr>
                    <w:t>19</w:t>
                  </w:r>
                </w:p>
              </w:tc>
              <w:tc>
                <w:tcPr>
                  <w:tcW w:w="1088" w:type="dxa"/>
                  <w:vAlign w:val="center"/>
                </w:tcPr>
                <w:p w14:paraId="339A27B6">
                  <w:pPr>
                    <w:autoSpaceDE w:val="0"/>
                    <w:autoSpaceDN w:val="0"/>
                    <w:jc w:val="center"/>
                    <w:rPr>
                      <w:kern w:val="0"/>
                      <w:szCs w:val="20"/>
                    </w:rPr>
                  </w:pPr>
                  <w:r>
                    <w:t>0.0</w:t>
                  </w:r>
                  <w:r>
                    <w:rPr>
                      <w:rFonts w:hint="eastAsia"/>
                    </w:rPr>
                    <w:t>30</w:t>
                  </w:r>
                </w:p>
              </w:tc>
              <w:tc>
                <w:tcPr>
                  <w:tcW w:w="1213" w:type="dxa"/>
                  <w:vAlign w:val="center"/>
                </w:tcPr>
                <w:p w14:paraId="587291B4">
                  <w:pPr>
                    <w:autoSpaceDE w:val="0"/>
                    <w:autoSpaceDN w:val="0"/>
                    <w:jc w:val="center"/>
                    <w:rPr>
                      <w:kern w:val="0"/>
                      <w:szCs w:val="20"/>
                    </w:rPr>
                  </w:pPr>
                  <w:r>
                    <w:t>0.01</w:t>
                  </w:r>
                  <w:r>
                    <w:rPr>
                      <w:rFonts w:hint="eastAsia"/>
                    </w:rPr>
                    <w:t>8</w:t>
                  </w:r>
                </w:p>
              </w:tc>
              <w:tc>
                <w:tcPr>
                  <w:tcW w:w="1209" w:type="dxa"/>
                  <w:vAlign w:val="center"/>
                </w:tcPr>
                <w:p w14:paraId="687586B6">
                  <w:pPr>
                    <w:autoSpaceDE w:val="0"/>
                    <w:autoSpaceDN w:val="0"/>
                    <w:jc w:val="center"/>
                    <w:rPr>
                      <w:kern w:val="0"/>
                      <w:szCs w:val="20"/>
                    </w:rPr>
                  </w:pPr>
                  <w:r>
                    <w:t>0.</w:t>
                  </w:r>
                  <w:r>
                    <w:rPr>
                      <w:rFonts w:hint="eastAsia"/>
                    </w:rPr>
                    <w:t>9</w:t>
                  </w:r>
                </w:p>
              </w:tc>
              <w:tc>
                <w:tcPr>
                  <w:tcW w:w="933" w:type="dxa"/>
                  <w:shd w:val="clear" w:color="auto" w:fill="auto"/>
                  <w:vAlign w:val="center"/>
                </w:tcPr>
                <w:p w14:paraId="1E41BBBD">
                  <w:pPr>
                    <w:autoSpaceDE w:val="0"/>
                    <w:autoSpaceDN w:val="0"/>
                    <w:jc w:val="center"/>
                    <w:rPr>
                      <w:kern w:val="0"/>
                      <w:szCs w:val="20"/>
                    </w:rPr>
                  </w:pPr>
                  <w:r>
                    <w:rPr>
                      <w:rFonts w:hint="eastAsia"/>
                      <w:kern w:val="0"/>
                      <w:szCs w:val="20"/>
                    </w:rPr>
                    <w:t>0.112</w:t>
                  </w:r>
                </w:p>
              </w:tc>
            </w:tr>
            <w:tr w14:paraId="14895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7D61B779">
                  <w:pPr>
                    <w:autoSpaceDE w:val="0"/>
                    <w:autoSpaceDN w:val="0"/>
                    <w:jc w:val="center"/>
                  </w:pPr>
                  <w:r>
                    <w:rPr>
                      <w:rFonts w:hint="eastAsia"/>
                    </w:rPr>
                    <w:t>2023年均值</w:t>
                  </w:r>
                </w:p>
              </w:tc>
              <w:tc>
                <w:tcPr>
                  <w:tcW w:w="1201" w:type="dxa"/>
                  <w:vAlign w:val="center"/>
                </w:tcPr>
                <w:p w14:paraId="52D09B63">
                  <w:pPr>
                    <w:autoSpaceDE w:val="0"/>
                    <w:autoSpaceDN w:val="0"/>
                    <w:jc w:val="center"/>
                  </w:pPr>
                  <w:r>
                    <w:rPr>
                      <w:rFonts w:hint="eastAsia"/>
                    </w:rPr>
                    <w:t>0.003</w:t>
                  </w:r>
                </w:p>
              </w:tc>
              <w:tc>
                <w:tcPr>
                  <w:tcW w:w="1186" w:type="dxa"/>
                  <w:vAlign w:val="center"/>
                </w:tcPr>
                <w:p w14:paraId="2369C9A2">
                  <w:pPr>
                    <w:autoSpaceDE w:val="0"/>
                    <w:autoSpaceDN w:val="0"/>
                    <w:jc w:val="center"/>
                  </w:pPr>
                  <w:r>
                    <w:rPr>
                      <w:rFonts w:hint="eastAsia"/>
                    </w:rPr>
                    <w:t>0.014</w:t>
                  </w:r>
                </w:p>
              </w:tc>
              <w:tc>
                <w:tcPr>
                  <w:tcW w:w="1088" w:type="dxa"/>
                  <w:vAlign w:val="center"/>
                </w:tcPr>
                <w:p w14:paraId="7B1F6311">
                  <w:pPr>
                    <w:autoSpaceDE w:val="0"/>
                    <w:autoSpaceDN w:val="0"/>
                    <w:jc w:val="center"/>
                  </w:pPr>
                  <w:r>
                    <w:rPr>
                      <w:rFonts w:hint="eastAsia"/>
                    </w:rPr>
                    <w:t>0.032</w:t>
                  </w:r>
                </w:p>
              </w:tc>
              <w:tc>
                <w:tcPr>
                  <w:tcW w:w="1213" w:type="dxa"/>
                  <w:vAlign w:val="center"/>
                </w:tcPr>
                <w:p w14:paraId="12F41D57">
                  <w:pPr>
                    <w:autoSpaceDE w:val="0"/>
                    <w:autoSpaceDN w:val="0"/>
                    <w:jc w:val="center"/>
                  </w:pPr>
                  <w:r>
                    <w:rPr>
                      <w:rFonts w:hint="eastAsia"/>
                    </w:rPr>
                    <w:t>0.015</w:t>
                  </w:r>
                </w:p>
              </w:tc>
              <w:tc>
                <w:tcPr>
                  <w:tcW w:w="1209" w:type="dxa"/>
                  <w:vAlign w:val="center"/>
                </w:tcPr>
                <w:p w14:paraId="49C73938">
                  <w:pPr>
                    <w:autoSpaceDE w:val="0"/>
                    <w:autoSpaceDN w:val="0"/>
                    <w:jc w:val="center"/>
                  </w:pPr>
                  <w:r>
                    <w:rPr>
                      <w:rFonts w:hint="eastAsia"/>
                    </w:rPr>
                    <w:t>0.708</w:t>
                  </w:r>
                </w:p>
              </w:tc>
              <w:tc>
                <w:tcPr>
                  <w:tcW w:w="933" w:type="dxa"/>
                  <w:vAlign w:val="center"/>
                </w:tcPr>
                <w:p w14:paraId="0B22D320">
                  <w:pPr>
                    <w:autoSpaceDE w:val="0"/>
                    <w:autoSpaceDN w:val="0"/>
                    <w:jc w:val="center"/>
                  </w:pPr>
                  <w:r>
                    <w:rPr>
                      <w:rFonts w:hint="eastAsia"/>
                    </w:rPr>
                    <w:t>0.124</w:t>
                  </w:r>
                </w:p>
              </w:tc>
            </w:tr>
            <w:tr w14:paraId="5AE063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476D5C47">
                  <w:pPr>
                    <w:autoSpaceDE w:val="0"/>
                    <w:autoSpaceDN w:val="0"/>
                    <w:jc w:val="center"/>
                  </w:pPr>
                  <w:r>
                    <w:rPr>
                      <w:rFonts w:hint="eastAsia"/>
                    </w:rPr>
                    <w:t>标准值（mg/m</w:t>
                  </w:r>
                  <w:r>
                    <w:rPr>
                      <w:rFonts w:hint="eastAsia"/>
                      <w:vertAlign w:val="superscript"/>
                    </w:rPr>
                    <w:t>3</w:t>
                  </w:r>
                  <w:r>
                    <w:rPr>
                      <w:rFonts w:hint="eastAsia"/>
                    </w:rPr>
                    <w:t>）</w:t>
                  </w:r>
                </w:p>
              </w:tc>
              <w:tc>
                <w:tcPr>
                  <w:tcW w:w="1201" w:type="dxa"/>
                  <w:vAlign w:val="center"/>
                </w:tcPr>
                <w:p w14:paraId="725EF010">
                  <w:pPr>
                    <w:autoSpaceDE w:val="0"/>
                    <w:autoSpaceDN w:val="0"/>
                    <w:jc w:val="center"/>
                  </w:pPr>
                  <w:r>
                    <w:rPr>
                      <w:rFonts w:hint="eastAsia"/>
                    </w:rPr>
                    <w:t>0.06</w:t>
                  </w:r>
                </w:p>
              </w:tc>
              <w:tc>
                <w:tcPr>
                  <w:tcW w:w="1186" w:type="dxa"/>
                  <w:vAlign w:val="center"/>
                </w:tcPr>
                <w:p w14:paraId="3EA71CF8">
                  <w:pPr>
                    <w:autoSpaceDE w:val="0"/>
                    <w:autoSpaceDN w:val="0"/>
                    <w:jc w:val="center"/>
                  </w:pPr>
                  <w:r>
                    <w:rPr>
                      <w:rFonts w:hint="eastAsia"/>
                    </w:rPr>
                    <w:t>0.04</w:t>
                  </w:r>
                </w:p>
              </w:tc>
              <w:tc>
                <w:tcPr>
                  <w:tcW w:w="1088" w:type="dxa"/>
                  <w:vAlign w:val="center"/>
                </w:tcPr>
                <w:p w14:paraId="5789DFD8">
                  <w:pPr>
                    <w:autoSpaceDE w:val="0"/>
                    <w:autoSpaceDN w:val="0"/>
                    <w:jc w:val="center"/>
                  </w:pPr>
                  <w:r>
                    <w:rPr>
                      <w:rFonts w:hint="eastAsia"/>
                    </w:rPr>
                    <w:t>0.07</w:t>
                  </w:r>
                </w:p>
              </w:tc>
              <w:tc>
                <w:tcPr>
                  <w:tcW w:w="1213" w:type="dxa"/>
                  <w:vAlign w:val="center"/>
                </w:tcPr>
                <w:p w14:paraId="1ED1F155">
                  <w:pPr>
                    <w:autoSpaceDE w:val="0"/>
                    <w:autoSpaceDN w:val="0"/>
                    <w:jc w:val="center"/>
                  </w:pPr>
                  <w:r>
                    <w:rPr>
                      <w:rFonts w:hint="eastAsia"/>
                    </w:rPr>
                    <w:t>0.035</w:t>
                  </w:r>
                </w:p>
              </w:tc>
              <w:tc>
                <w:tcPr>
                  <w:tcW w:w="1209" w:type="dxa"/>
                  <w:vAlign w:val="center"/>
                </w:tcPr>
                <w:p w14:paraId="2D93E9A0">
                  <w:pPr>
                    <w:autoSpaceDE w:val="0"/>
                    <w:autoSpaceDN w:val="0"/>
                    <w:jc w:val="center"/>
                  </w:pPr>
                  <w:r>
                    <w:rPr>
                      <w:rFonts w:hint="eastAsia"/>
                    </w:rPr>
                    <w:t>4</w:t>
                  </w:r>
                </w:p>
              </w:tc>
              <w:tc>
                <w:tcPr>
                  <w:tcW w:w="933" w:type="dxa"/>
                  <w:vAlign w:val="center"/>
                </w:tcPr>
                <w:p w14:paraId="6AC7F131">
                  <w:pPr>
                    <w:autoSpaceDE w:val="0"/>
                    <w:autoSpaceDN w:val="0"/>
                    <w:jc w:val="center"/>
                  </w:pPr>
                  <w:r>
                    <w:rPr>
                      <w:rFonts w:hint="eastAsia"/>
                    </w:rPr>
                    <w:t>0.16</w:t>
                  </w:r>
                </w:p>
              </w:tc>
            </w:tr>
            <w:tr w14:paraId="46085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4EB5277D">
                  <w:pPr>
                    <w:autoSpaceDE w:val="0"/>
                    <w:autoSpaceDN w:val="0"/>
                    <w:jc w:val="center"/>
                  </w:pPr>
                  <w:r>
                    <w:rPr>
                      <w:rFonts w:hint="eastAsia"/>
                    </w:rPr>
                    <w:t>占标率（%）</w:t>
                  </w:r>
                </w:p>
              </w:tc>
              <w:tc>
                <w:tcPr>
                  <w:tcW w:w="1201" w:type="dxa"/>
                  <w:vAlign w:val="center"/>
                </w:tcPr>
                <w:p w14:paraId="0E877A95">
                  <w:pPr>
                    <w:autoSpaceDE w:val="0"/>
                    <w:autoSpaceDN w:val="0"/>
                    <w:jc w:val="center"/>
                  </w:pPr>
                  <w:r>
                    <w:rPr>
                      <w:rFonts w:hint="eastAsia"/>
                    </w:rPr>
                    <w:t>5</w:t>
                  </w:r>
                </w:p>
              </w:tc>
              <w:tc>
                <w:tcPr>
                  <w:tcW w:w="1186" w:type="dxa"/>
                  <w:vAlign w:val="center"/>
                </w:tcPr>
                <w:p w14:paraId="7CBE0FC1">
                  <w:pPr>
                    <w:autoSpaceDE w:val="0"/>
                    <w:autoSpaceDN w:val="0"/>
                    <w:jc w:val="center"/>
                  </w:pPr>
                  <w:r>
                    <w:rPr>
                      <w:rFonts w:hint="eastAsia"/>
                    </w:rPr>
                    <w:t>35</w:t>
                  </w:r>
                </w:p>
              </w:tc>
              <w:tc>
                <w:tcPr>
                  <w:tcW w:w="1088" w:type="dxa"/>
                  <w:vAlign w:val="center"/>
                </w:tcPr>
                <w:p w14:paraId="2B2B1D05">
                  <w:pPr>
                    <w:autoSpaceDE w:val="0"/>
                    <w:autoSpaceDN w:val="0"/>
                    <w:jc w:val="center"/>
                  </w:pPr>
                  <w:r>
                    <w:rPr>
                      <w:rFonts w:hint="eastAsia"/>
                    </w:rPr>
                    <w:t>45.7</w:t>
                  </w:r>
                </w:p>
              </w:tc>
              <w:tc>
                <w:tcPr>
                  <w:tcW w:w="1213" w:type="dxa"/>
                  <w:vAlign w:val="center"/>
                </w:tcPr>
                <w:p w14:paraId="172345F6">
                  <w:pPr>
                    <w:autoSpaceDE w:val="0"/>
                    <w:autoSpaceDN w:val="0"/>
                    <w:jc w:val="center"/>
                  </w:pPr>
                  <w:r>
                    <w:rPr>
                      <w:rFonts w:hint="eastAsia"/>
                    </w:rPr>
                    <w:t>42.9</w:t>
                  </w:r>
                </w:p>
              </w:tc>
              <w:tc>
                <w:tcPr>
                  <w:tcW w:w="1209" w:type="dxa"/>
                  <w:vAlign w:val="center"/>
                </w:tcPr>
                <w:p w14:paraId="4DDDABF8">
                  <w:pPr>
                    <w:autoSpaceDE w:val="0"/>
                    <w:autoSpaceDN w:val="0"/>
                    <w:jc w:val="center"/>
                  </w:pPr>
                  <w:r>
                    <w:rPr>
                      <w:rFonts w:hint="eastAsia"/>
                    </w:rPr>
                    <w:t>17.7</w:t>
                  </w:r>
                </w:p>
              </w:tc>
              <w:tc>
                <w:tcPr>
                  <w:tcW w:w="933" w:type="dxa"/>
                  <w:vAlign w:val="center"/>
                </w:tcPr>
                <w:p w14:paraId="21E9983A">
                  <w:pPr>
                    <w:autoSpaceDE w:val="0"/>
                    <w:autoSpaceDN w:val="0"/>
                    <w:jc w:val="center"/>
                  </w:pPr>
                  <w:r>
                    <w:rPr>
                      <w:rFonts w:hint="eastAsia"/>
                    </w:rPr>
                    <w:t>77.5</w:t>
                  </w:r>
                </w:p>
              </w:tc>
            </w:tr>
            <w:tr w14:paraId="4A2535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19ABAFCB">
                  <w:pPr>
                    <w:autoSpaceDE w:val="0"/>
                    <w:autoSpaceDN w:val="0"/>
                    <w:jc w:val="center"/>
                  </w:pPr>
                  <w:r>
                    <w:rPr>
                      <w:rFonts w:hint="eastAsia"/>
                    </w:rPr>
                    <w:t>达标情况</w:t>
                  </w:r>
                </w:p>
              </w:tc>
              <w:tc>
                <w:tcPr>
                  <w:tcW w:w="1201" w:type="dxa"/>
                  <w:vAlign w:val="center"/>
                </w:tcPr>
                <w:p w14:paraId="6762A1AA">
                  <w:pPr>
                    <w:autoSpaceDE w:val="0"/>
                    <w:autoSpaceDN w:val="0"/>
                    <w:jc w:val="center"/>
                  </w:pPr>
                  <w:r>
                    <w:rPr>
                      <w:rFonts w:hint="eastAsia"/>
                    </w:rPr>
                    <w:t>达标</w:t>
                  </w:r>
                </w:p>
              </w:tc>
              <w:tc>
                <w:tcPr>
                  <w:tcW w:w="1186" w:type="dxa"/>
                  <w:vAlign w:val="center"/>
                </w:tcPr>
                <w:p w14:paraId="4BFBD6B1">
                  <w:pPr>
                    <w:autoSpaceDE w:val="0"/>
                    <w:autoSpaceDN w:val="0"/>
                    <w:jc w:val="center"/>
                  </w:pPr>
                  <w:r>
                    <w:rPr>
                      <w:rFonts w:hint="eastAsia"/>
                    </w:rPr>
                    <w:t>达标</w:t>
                  </w:r>
                </w:p>
              </w:tc>
              <w:tc>
                <w:tcPr>
                  <w:tcW w:w="1088" w:type="dxa"/>
                  <w:vAlign w:val="center"/>
                </w:tcPr>
                <w:p w14:paraId="7BB5273A">
                  <w:pPr>
                    <w:autoSpaceDE w:val="0"/>
                    <w:autoSpaceDN w:val="0"/>
                    <w:jc w:val="center"/>
                  </w:pPr>
                  <w:r>
                    <w:rPr>
                      <w:rFonts w:hint="eastAsia"/>
                    </w:rPr>
                    <w:t>达标</w:t>
                  </w:r>
                </w:p>
              </w:tc>
              <w:tc>
                <w:tcPr>
                  <w:tcW w:w="1213" w:type="dxa"/>
                  <w:vAlign w:val="center"/>
                </w:tcPr>
                <w:p w14:paraId="4B13C2ED">
                  <w:pPr>
                    <w:autoSpaceDE w:val="0"/>
                    <w:autoSpaceDN w:val="0"/>
                    <w:jc w:val="center"/>
                  </w:pPr>
                  <w:r>
                    <w:rPr>
                      <w:rFonts w:hint="eastAsia"/>
                    </w:rPr>
                    <w:t>达标</w:t>
                  </w:r>
                </w:p>
              </w:tc>
              <w:tc>
                <w:tcPr>
                  <w:tcW w:w="1209" w:type="dxa"/>
                  <w:vAlign w:val="center"/>
                </w:tcPr>
                <w:p w14:paraId="5B357C7E">
                  <w:pPr>
                    <w:autoSpaceDE w:val="0"/>
                    <w:autoSpaceDN w:val="0"/>
                    <w:jc w:val="center"/>
                  </w:pPr>
                  <w:r>
                    <w:rPr>
                      <w:rFonts w:hint="eastAsia"/>
                    </w:rPr>
                    <w:t>达标</w:t>
                  </w:r>
                </w:p>
              </w:tc>
              <w:tc>
                <w:tcPr>
                  <w:tcW w:w="933" w:type="dxa"/>
                  <w:vAlign w:val="center"/>
                </w:tcPr>
                <w:p w14:paraId="0FC46028">
                  <w:pPr>
                    <w:autoSpaceDE w:val="0"/>
                    <w:autoSpaceDN w:val="0"/>
                    <w:jc w:val="center"/>
                  </w:pPr>
                  <w:r>
                    <w:rPr>
                      <w:rFonts w:hint="eastAsia"/>
                    </w:rPr>
                    <w:t>达标</w:t>
                  </w:r>
                </w:p>
              </w:tc>
            </w:tr>
            <w:tr w14:paraId="2FFB3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4" w:type="dxa"/>
                  <w:vAlign w:val="center"/>
                </w:tcPr>
                <w:p w14:paraId="72D89546">
                  <w:pPr>
                    <w:autoSpaceDE w:val="0"/>
                    <w:autoSpaceDN w:val="0"/>
                    <w:jc w:val="center"/>
                    <w:rPr>
                      <w:kern w:val="0"/>
                      <w:szCs w:val="20"/>
                    </w:rPr>
                  </w:pPr>
                  <w:r>
                    <w:rPr>
                      <w:kern w:val="0"/>
                      <w:szCs w:val="20"/>
                    </w:rPr>
                    <w:t>备注</w:t>
                  </w:r>
                </w:p>
              </w:tc>
              <w:tc>
                <w:tcPr>
                  <w:tcW w:w="6830" w:type="dxa"/>
                  <w:gridSpan w:val="6"/>
                  <w:vAlign w:val="center"/>
                </w:tcPr>
                <w:p w14:paraId="7C354B6A">
                  <w:pPr>
                    <w:autoSpaceDE w:val="0"/>
                    <w:autoSpaceDN w:val="0"/>
                    <w:jc w:val="center"/>
                    <w:rPr>
                      <w:kern w:val="0"/>
                      <w:szCs w:val="20"/>
                    </w:rPr>
                  </w:pPr>
                  <w:r>
                    <w:rPr>
                      <w:kern w:val="0"/>
                      <w:szCs w:val="20"/>
                    </w:rPr>
                    <w:t>*CO为日均值第95百分位数，O</w:t>
                  </w:r>
                  <w:r>
                    <w:rPr>
                      <w:kern w:val="0"/>
                      <w:szCs w:val="20"/>
                      <w:vertAlign w:val="subscript"/>
                    </w:rPr>
                    <w:t>3</w:t>
                  </w:r>
                  <w:r>
                    <w:rPr>
                      <w:kern w:val="0"/>
                      <w:szCs w:val="20"/>
                    </w:rPr>
                    <w:t>为日最大8小时值第90百分位数。</w:t>
                  </w:r>
                </w:p>
              </w:tc>
            </w:tr>
            <w:bookmarkEnd w:id="21"/>
          </w:tbl>
          <w:p w14:paraId="5DD873B9">
            <w:pPr>
              <w:pStyle w:val="115"/>
              <w:wordWrap w:val="0"/>
              <w:rPr>
                <w:lang w:eastAsia="zh-CN"/>
              </w:rPr>
            </w:pPr>
            <w:r>
              <w:rPr>
                <w:szCs w:val="24"/>
                <w:lang w:eastAsia="zh-CN"/>
              </w:rPr>
              <w:fldChar w:fldCharType="begin"/>
            </w:r>
            <w:r>
              <w:rPr>
                <w:szCs w:val="24"/>
                <w:lang w:eastAsia="zh-CN"/>
              </w:rPr>
              <w:instrText xml:space="preserve"> = 2 \* GB3 \* MERGEFORMAT </w:instrText>
            </w:r>
            <w:r>
              <w:rPr>
                <w:szCs w:val="24"/>
                <w:lang w:eastAsia="zh-CN"/>
              </w:rPr>
              <w:fldChar w:fldCharType="separate"/>
            </w:r>
            <w:r>
              <w:rPr>
                <w:szCs w:val="24"/>
                <w:lang w:eastAsia="zh-CN"/>
              </w:rPr>
              <w:t>②</w:t>
            </w:r>
            <w:r>
              <w:rPr>
                <w:szCs w:val="24"/>
                <w:lang w:eastAsia="zh-CN"/>
              </w:rPr>
              <w:fldChar w:fldCharType="end"/>
            </w:r>
            <w:r>
              <w:rPr>
                <w:rFonts w:hint="eastAsia"/>
                <w:lang w:eastAsia="zh-CN"/>
              </w:rPr>
              <w:t>特征污染因子</w:t>
            </w:r>
          </w:p>
          <w:p w14:paraId="2186DAF3">
            <w:pPr>
              <w:pStyle w:val="122"/>
              <w:ind w:firstLine="480"/>
              <w:rPr>
                <w:rFonts w:ascii="Times New Roman" w:hAnsi="Times New Roman"/>
                <w:sz w:val="24"/>
                <w:szCs w:val="22"/>
              </w:rPr>
            </w:pPr>
            <w:r>
              <w:rPr>
                <w:rFonts w:ascii="Times New Roman" w:hAnsi="Times New Roman"/>
                <w:sz w:val="24"/>
                <w:szCs w:val="24"/>
              </w:rPr>
              <w:t>根据评价区域环境情况，结合本项目的特征，确定项目大气环境现状调查特征因子为</w:t>
            </w:r>
            <w:r>
              <w:rPr>
                <w:rFonts w:hint="eastAsia" w:ascii="Times New Roman" w:hAnsi="Times New Roman"/>
                <w:sz w:val="24"/>
                <w:szCs w:val="24"/>
              </w:rPr>
              <w:t>TSP</w:t>
            </w:r>
            <w:r>
              <w:rPr>
                <w:rFonts w:ascii="Times New Roman" w:hAnsi="Times New Roman"/>
                <w:sz w:val="24"/>
                <w:szCs w:val="24"/>
              </w:rPr>
              <w:t>，本评价引用“</w:t>
            </w:r>
            <w:r>
              <w:rPr>
                <w:rFonts w:hint="eastAsia" w:ascii="Times New Roman" w:hAnsi="Times New Roman"/>
                <w:sz w:val="24"/>
                <w:szCs w:val="22"/>
              </w:rPr>
              <w:t>福建乐橘新生资源再生有限公司</w:t>
            </w:r>
            <w:r>
              <w:rPr>
                <w:rFonts w:ascii="Times New Roman" w:hAnsi="Times New Roman"/>
                <w:sz w:val="24"/>
                <w:szCs w:val="22"/>
              </w:rPr>
              <w:t>于202</w:t>
            </w:r>
            <w:r>
              <w:rPr>
                <w:rFonts w:hint="eastAsia" w:ascii="Times New Roman" w:hAnsi="Times New Roman"/>
                <w:sz w:val="24"/>
                <w:szCs w:val="22"/>
              </w:rPr>
              <w:t>4</w:t>
            </w:r>
            <w:r>
              <w:rPr>
                <w:rFonts w:ascii="Times New Roman" w:hAnsi="Times New Roman"/>
                <w:sz w:val="24"/>
                <w:szCs w:val="22"/>
              </w:rPr>
              <w:t>年</w:t>
            </w:r>
            <w:r>
              <w:rPr>
                <w:rFonts w:hint="eastAsia" w:ascii="Times New Roman" w:hAnsi="Times New Roman"/>
                <w:sz w:val="24"/>
                <w:szCs w:val="22"/>
              </w:rPr>
              <w:t>1</w:t>
            </w:r>
            <w:r>
              <w:rPr>
                <w:rFonts w:ascii="Times New Roman" w:hAnsi="Times New Roman"/>
                <w:sz w:val="24"/>
                <w:szCs w:val="22"/>
              </w:rPr>
              <w:t>月</w:t>
            </w:r>
            <w:r>
              <w:rPr>
                <w:rFonts w:hint="eastAsia" w:ascii="Times New Roman" w:hAnsi="Times New Roman"/>
                <w:sz w:val="24"/>
                <w:szCs w:val="22"/>
              </w:rPr>
              <w:t>16</w:t>
            </w:r>
            <w:r>
              <w:rPr>
                <w:rFonts w:ascii="Times New Roman" w:hAnsi="Times New Roman"/>
                <w:sz w:val="24"/>
                <w:szCs w:val="22"/>
              </w:rPr>
              <w:t>日~202</w:t>
            </w:r>
            <w:r>
              <w:rPr>
                <w:rFonts w:hint="eastAsia" w:ascii="Times New Roman" w:hAnsi="Times New Roman"/>
                <w:sz w:val="24"/>
                <w:szCs w:val="22"/>
              </w:rPr>
              <w:t>4</w:t>
            </w:r>
            <w:r>
              <w:rPr>
                <w:rFonts w:ascii="Times New Roman" w:hAnsi="Times New Roman"/>
                <w:sz w:val="24"/>
                <w:szCs w:val="22"/>
              </w:rPr>
              <w:t>年</w:t>
            </w:r>
            <w:r>
              <w:rPr>
                <w:rFonts w:hint="eastAsia" w:ascii="Times New Roman" w:hAnsi="Times New Roman"/>
                <w:sz w:val="24"/>
                <w:szCs w:val="22"/>
              </w:rPr>
              <w:t>1</w:t>
            </w:r>
            <w:r>
              <w:rPr>
                <w:rFonts w:ascii="Times New Roman" w:hAnsi="Times New Roman"/>
                <w:sz w:val="24"/>
                <w:szCs w:val="22"/>
              </w:rPr>
              <w:t>月</w:t>
            </w:r>
            <w:r>
              <w:rPr>
                <w:rFonts w:hint="eastAsia" w:ascii="Times New Roman" w:hAnsi="Times New Roman"/>
                <w:sz w:val="24"/>
                <w:szCs w:val="22"/>
              </w:rPr>
              <w:t>22</w:t>
            </w:r>
            <w:r>
              <w:rPr>
                <w:rFonts w:ascii="Times New Roman" w:hAnsi="Times New Roman"/>
                <w:sz w:val="24"/>
                <w:szCs w:val="22"/>
              </w:rPr>
              <w:t>日(七天)委托福建九五检测技术服务有限公司对项目附近的</w:t>
            </w:r>
            <w:r>
              <w:rPr>
                <w:rFonts w:hint="eastAsia" w:ascii="Times New Roman" w:hAnsi="Times New Roman"/>
                <w:sz w:val="24"/>
                <w:szCs w:val="22"/>
              </w:rPr>
              <w:t>下堡村</w:t>
            </w:r>
            <w:r>
              <w:rPr>
                <w:rFonts w:ascii="Times New Roman" w:hAnsi="Times New Roman"/>
                <w:sz w:val="24"/>
                <w:szCs w:val="22"/>
              </w:rPr>
              <w:t>监测点</w:t>
            </w:r>
            <w:r>
              <w:rPr>
                <w:rFonts w:hint="eastAsia" w:ascii="Times New Roman" w:hAnsi="Times New Roman"/>
                <w:sz w:val="24"/>
                <w:szCs w:val="22"/>
              </w:rPr>
              <w:t>TSP</w:t>
            </w:r>
            <w:r>
              <w:rPr>
                <w:rFonts w:ascii="Times New Roman" w:hAnsi="Times New Roman"/>
                <w:sz w:val="24"/>
                <w:szCs w:val="22"/>
              </w:rPr>
              <w:t>的监测数据</w:t>
            </w:r>
            <w:r>
              <w:rPr>
                <w:rFonts w:ascii="Times New Roman" w:hAnsi="Times New Roman"/>
                <w:sz w:val="24"/>
                <w:szCs w:val="24"/>
              </w:rPr>
              <w:t>”</w:t>
            </w:r>
            <w:r>
              <w:rPr>
                <w:rFonts w:ascii="Times New Roman" w:hAnsi="Times New Roman"/>
                <w:sz w:val="24"/>
                <w:szCs w:val="22"/>
              </w:rPr>
              <w:t>，监测点</w:t>
            </w:r>
            <w:r>
              <w:rPr>
                <w:rFonts w:hint="eastAsia" w:ascii="Times New Roman" w:hAnsi="Times New Roman"/>
                <w:sz w:val="24"/>
                <w:szCs w:val="22"/>
              </w:rPr>
              <w:t>下堡村（点位坐标：E：119.316195°、N：25.442930°）为本项目西北侧725m处，</w:t>
            </w:r>
            <w:r>
              <w:rPr>
                <w:rFonts w:ascii="Times New Roman" w:hAnsi="Times New Roman"/>
                <w:sz w:val="24"/>
                <w:szCs w:val="22"/>
              </w:rPr>
              <w:t>该监测</w:t>
            </w:r>
            <w:r>
              <w:rPr>
                <w:rFonts w:hint="eastAsia" w:ascii="Times New Roman" w:hAnsi="Times New Roman"/>
                <w:sz w:val="24"/>
                <w:szCs w:val="22"/>
              </w:rPr>
              <w:t>数据</w:t>
            </w:r>
            <w:r>
              <w:rPr>
                <w:rFonts w:ascii="Times New Roman" w:hAnsi="Times New Roman"/>
                <w:sz w:val="24"/>
                <w:szCs w:val="22"/>
              </w:rPr>
              <w:t>来源于</w:t>
            </w:r>
            <w:r>
              <w:rPr>
                <w:rFonts w:hint="eastAsia" w:ascii="Times New Roman" w:hAnsi="Times New Roman"/>
                <w:sz w:val="24"/>
                <w:szCs w:val="22"/>
              </w:rPr>
              <w:t>《</w:t>
            </w:r>
            <w:r>
              <w:rPr>
                <w:color w:val="000000"/>
                <w:sz w:val="24"/>
              </w:rPr>
              <w:t>乐橘循环包装和再生新材料产业化项目(</w:t>
            </w:r>
            <w:r>
              <w:rPr>
                <w:rFonts w:hint="eastAsia"/>
                <w:color w:val="000000"/>
                <w:sz w:val="24"/>
              </w:rPr>
              <w:t>一</w:t>
            </w:r>
            <w:r>
              <w:rPr>
                <w:color w:val="000000"/>
                <w:sz w:val="24"/>
              </w:rPr>
              <w:t>期）</w:t>
            </w:r>
            <w:r>
              <w:rPr>
                <w:rFonts w:ascii="Times New Roman" w:hAnsi="Times New Roman"/>
                <w:sz w:val="24"/>
                <w:szCs w:val="22"/>
              </w:rPr>
              <w:t>环境影响报告</w:t>
            </w:r>
            <w:r>
              <w:rPr>
                <w:rFonts w:hint="eastAsia" w:ascii="Times New Roman" w:hAnsi="Times New Roman"/>
                <w:sz w:val="24"/>
                <w:szCs w:val="22"/>
              </w:rPr>
              <w:t>表》</w:t>
            </w:r>
            <w:r>
              <w:rPr>
                <w:rFonts w:ascii="Times New Roman" w:hAnsi="Times New Roman"/>
                <w:sz w:val="24"/>
                <w:szCs w:val="22"/>
              </w:rPr>
              <w:t>，福州市生态环境局于202</w:t>
            </w:r>
            <w:r>
              <w:rPr>
                <w:rFonts w:hint="eastAsia" w:ascii="Times New Roman" w:hAnsi="Times New Roman"/>
                <w:sz w:val="24"/>
                <w:szCs w:val="22"/>
              </w:rPr>
              <w:t>4</w:t>
            </w:r>
            <w:r>
              <w:rPr>
                <w:rFonts w:ascii="Times New Roman" w:hAnsi="Times New Roman"/>
                <w:sz w:val="24"/>
                <w:szCs w:val="22"/>
              </w:rPr>
              <w:t>年</w:t>
            </w:r>
            <w:r>
              <w:rPr>
                <w:rFonts w:hint="eastAsia" w:ascii="Times New Roman" w:hAnsi="Times New Roman"/>
                <w:sz w:val="24"/>
                <w:szCs w:val="22"/>
              </w:rPr>
              <w:t>9</w:t>
            </w:r>
            <w:r>
              <w:rPr>
                <w:rFonts w:ascii="Times New Roman" w:hAnsi="Times New Roman"/>
                <w:sz w:val="24"/>
                <w:szCs w:val="22"/>
              </w:rPr>
              <w:t>月出具了关于《</w:t>
            </w:r>
            <w:r>
              <w:rPr>
                <w:color w:val="000000"/>
                <w:sz w:val="24"/>
              </w:rPr>
              <w:t>乐橘循环包装和再生新材料产业化项目(</w:t>
            </w:r>
            <w:r>
              <w:rPr>
                <w:rFonts w:hint="eastAsia"/>
                <w:color w:val="000000"/>
                <w:sz w:val="24"/>
              </w:rPr>
              <w:t>一</w:t>
            </w:r>
            <w:r>
              <w:rPr>
                <w:color w:val="000000"/>
                <w:sz w:val="24"/>
              </w:rPr>
              <w:t>期）</w:t>
            </w:r>
            <w:r>
              <w:rPr>
                <w:rFonts w:ascii="Times New Roman" w:hAnsi="Times New Roman"/>
                <w:sz w:val="24"/>
                <w:szCs w:val="22"/>
              </w:rPr>
              <w:t>环境影响报告</w:t>
            </w:r>
            <w:r>
              <w:rPr>
                <w:rFonts w:hint="eastAsia" w:ascii="Times New Roman" w:hAnsi="Times New Roman"/>
                <w:sz w:val="24"/>
                <w:szCs w:val="22"/>
              </w:rPr>
              <w:t>表</w:t>
            </w:r>
            <w:r>
              <w:rPr>
                <w:rFonts w:ascii="Times New Roman" w:hAnsi="Times New Roman"/>
                <w:sz w:val="24"/>
                <w:szCs w:val="22"/>
              </w:rPr>
              <w:t>》的批复意见。</w:t>
            </w:r>
          </w:p>
          <w:p w14:paraId="7740FADE">
            <w:pPr>
              <w:pStyle w:val="122"/>
              <w:ind w:firstLine="480"/>
              <w:rPr>
                <w:sz w:val="24"/>
                <w:szCs w:val="24"/>
              </w:rPr>
            </w:pPr>
            <w:r>
              <w:rPr>
                <w:rFonts w:ascii="Times New Roman" w:hAnsi="Times New Roman"/>
                <w:sz w:val="24"/>
                <w:szCs w:val="24"/>
              </w:rPr>
              <w:t>引用监测评价结果</w:t>
            </w:r>
            <w:r>
              <w:rPr>
                <w:rFonts w:hint="eastAsia" w:ascii="Times New Roman" w:hAnsi="Times New Roman"/>
                <w:sz w:val="24"/>
                <w:szCs w:val="24"/>
              </w:rPr>
              <w:t>为TSP满足《环境空气质量标准》（GB3095-2012）表2二级标准限值要求</w:t>
            </w:r>
            <w:r>
              <w:rPr>
                <w:rFonts w:ascii="Times New Roman" w:hAnsi="Times New Roman"/>
                <w:sz w:val="24"/>
                <w:szCs w:val="24"/>
              </w:rPr>
              <w:t>，监测点位与本项目位置关系图3.1-1。</w:t>
            </w:r>
          </w:p>
          <w:p w14:paraId="7F44F1C7">
            <w:pPr>
              <w:pStyle w:val="2"/>
              <w:rPr>
                <w:color w:val="auto"/>
              </w:rPr>
            </w:pPr>
            <w:r>
              <w:drawing>
                <wp:inline distT="0" distB="0" distL="114300" distR="114300">
                  <wp:extent cx="5323205" cy="3288030"/>
                  <wp:effectExtent l="0" t="0" r="10795" b="762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5" cstate="print"/>
                          <a:stretch>
                            <a:fillRect/>
                          </a:stretch>
                        </pic:blipFill>
                        <pic:spPr>
                          <a:xfrm>
                            <a:off x="0" y="0"/>
                            <a:ext cx="5323205" cy="3288030"/>
                          </a:xfrm>
                          <a:prstGeom prst="rect">
                            <a:avLst/>
                          </a:prstGeom>
                          <a:noFill/>
                          <a:ln>
                            <a:noFill/>
                          </a:ln>
                        </pic:spPr>
                      </pic:pic>
                    </a:graphicData>
                  </a:graphic>
                </wp:inline>
              </w:drawing>
            </w:r>
          </w:p>
          <w:p w14:paraId="49A5E09F">
            <w:pPr>
              <w:spacing w:line="360" w:lineRule="auto"/>
              <w:contextualSpacing/>
              <w:jc w:val="center"/>
              <w:rPr>
                <w:rFonts w:ascii="宋体" w:hAnsi="宋体" w:cs="宋体"/>
                <w:sz w:val="24"/>
              </w:rPr>
            </w:pPr>
            <w:r>
              <w:rPr>
                <w:rFonts w:hint="eastAsia"/>
                <w:b/>
                <w:bCs/>
                <w:sz w:val="24"/>
              </w:rPr>
              <w:t>图</w:t>
            </w:r>
            <w:r>
              <w:rPr>
                <w:b/>
                <w:bCs/>
                <w:sz w:val="24"/>
              </w:rPr>
              <w:t>3.1-</w:t>
            </w:r>
            <w:r>
              <w:rPr>
                <w:rFonts w:hint="eastAsia"/>
                <w:b/>
                <w:bCs/>
                <w:sz w:val="24"/>
              </w:rPr>
              <w:t>1</w:t>
            </w:r>
            <w:r>
              <w:rPr>
                <w:b/>
                <w:bCs/>
                <w:sz w:val="24"/>
              </w:rPr>
              <w:t xml:space="preserve">  </w:t>
            </w:r>
            <w:r>
              <w:rPr>
                <w:rFonts w:hint="eastAsia"/>
                <w:b/>
                <w:bCs/>
                <w:sz w:val="24"/>
              </w:rPr>
              <w:t>引用的大气</w:t>
            </w:r>
            <w:r>
              <w:rPr>
                <w:b/>
                <w:bCs/>
                <w:sz w:val="24"/>
              </w:rPr>
              <w:t>监测点位与本项目位置关系图</w:t>
            </w:r>
          </w:p>
          <w:p w14:paraId="276E401E">
            <w:pPr>
              <w:pStyle w:val="122"/>
              <w:ind w:firstLine="480"/>
              <w:rPr>
                <w:rFonts w:ascii="Times New Roman" w:hAnsi="Times New Roman"/>
                <w:sz w:val="24"/>
                <w:szCs w:val="24"/>
              </w:rPr>
            </w:pPr>
            <w:r>
              <w:rPr>
                <w:rFonts w:ascii="Times New Roman" w:hAnsi="Times New Roman"/>
                <w:sz w:val="24"/>
                <w:szCs w:val="24"/>
              </w:rPr>
              <w:t>根据《建设项目环境影响报告表编制技术指南（污染影响类）》（试行）的要求，排放国家、地方环境空气质量标准中有标准限值要求的特征污染物时，引用建设项目周边5千米范围内近3年的现有监测数据，无相关数据的选择当季主导风向下风向1个点位补充不少于3天的监测数据。本次评价引用</w:t>
            </w:r>
            <w:r>
              <w:rPr>
                <w:rFonts w:hint="eastAsia" w:ascii="Times New Roman" w:hAnsi="Times New Roman"/>
                <w:sz w:val="24"/>
                <w:szCs w:val="22"/>
              </w:rPr>
              <w:t>福建乐橘新生资源再生有限公司</w:t>
            </w:r>
            <w:r>
              <w:rPr>
                <w:rFonts w:ascii="Times New Roman" w:hAnsi="Times New Roman"/>
                <w:sz w:val="24"/>
                <w:szCs w:val="22"/>
              </w:rPr>
              <w:t>于202</w:t>
            </w:r>
            <w:r>
              <w:rPr>
                <w:rFonts w:hint="eastAsia" w:ascii="Times New Roman" w:hAnsi="Times New Roman"/>
                <w:sz w:val="24"/>
                <w:szCs w:val="22"/>
              </w:rPr>
              <w:t>4</w:t>
            </w:r>
            <w:r>
              <w:rPr>
                <w:rFonts w:ascii="Times New Roman" w:hAnsi="Times New Roman"/>
                <w:sz w:val="24"/>
                <w:szCs w:val="22"/>
              </w:rPr>
              <w:t>年</w:t>
            </w:r>
            <w:r>
              <w:rPr>
                <w:rFonts w:hint="eastAsia" w:ascii="Times New Roman" w:hAnsi="Times New Roman"/>
                <w:sz w:val="24"/>
                <w:szCs w:val="22"/>
              </w:rPr>
              <w:t>1</w:t>
            </w:r>
            <w:r>
              <w:rPr>
                <w:rFonts w:ascii="Times New Roman" w:hAnsi="Times New Roman"/>
                <w:sz w:val="24"/>
                <w:szCs w:val="22"/>
              </w:rPr>
              <w:t>月</w:t>
            </w:r>
            <w:r>
              <w:rPr>
                <w:rFonts w:hint="eastAsia" w:ascii="Times New Roman" w:hAnsi="Times New Roman"/>
                <w:sz w:val="24"/>
                <w:szCs w:val="22"/>
              </w:rPr>
              <w:t>16</w:t>
            </w:r>
            <w:r>
              <w:rPr>
                <w:rFonts w:ascii="Times New Roman" w:hAnsi="Times New Roman"/>
                <w:sz w:val="24"/>
                <w:szCs w:val="22"/>
              </w:rPr>
              <w:t>日~202</w:t>
            </w:r>
            <w:r>
              <w:rPr>
                <w:rFonts w:hint="eastAsia" w:ascii="Times New Roman" w:hAnsi="Times New Roman"/>
                <w:sz w:val="24"/>
                <w:szCs w:val="22"/>
              </w:rPr>
              <w:t>4</w:t>
            </w:r>
            <w:r>
              <w:rPr>
                <w:rFonts w:ascii="Times New Roman" w:hAnsi="Times New Roman"/>
                <w:sz w:val="24"/>
                <w:szCs w:val="22"/>
              </w:rPr>
              <w:t>年</w:t>
            </w:r>
            <w:r>
              <w:rPr>
                <w:rFonts w:hint="eastAsia" w:ascii="Times New Roman" w:hAnsi="Times New Roman"/>
                <w:sz w:val="24"/>
                <w:szCs w:val="22"/>
              </w:rPr>
              <w:t>1</w:t>
            </w:r>
            <w:r>
              <w:rPr>
                <w:rFonts w:ascii="Times New Roman" w:hAnsi="Times New Roman"/>
                <w:sz w:val="24"/>
                <w:szCs w:val="22"/>
              </w:rPr>
              <w:t>月</w:t>
            </w:r>
            <w:r>
              <w:rPr>
                <w:rFonts w:hint="eastAsia" w:ascii="Times New Roman" w:hAnsi="Times New Roman"/>
                <w:sz w:val="24"/>
                <w:szCs w:val="22"/>
              </w:rPr>
              <w:t>22</w:t>
            </w:r>
            <w:r>
              <w:rPr>
                <w:rFonts w:ascii="Times New Roman" w:hAnsi="Times New Roman"/>
                <w:sz w:val="24"/>
                <w:szCs w:val="22"/>
              </w:rPr>
              <w:t>日(七天)委托福建九五检测技术服务有限公司对项目附近的</w:t>
            </w:r>
            <w:r>
              <w:rPr>
                <w:rFonts w:hint="eastAsia" w:ascii="Times New Roman" w:hAnsi="Times New Roman"/>
                <w:sz w:val="24"/>
                <w:szCs w:val="22"/>
              </w:rPr>
              <w:t>下堡村</w:t>
            </w:r>
            <w:r>
              <w:rPr>
                <w:rFonts w:ascii="Times New Roman" w:hAnsi="Times New Roman"/>
                <w:sz w:val="24"/>
                <w:szCs w:val="22"/>
              </w:rPr>
              <w:t>监测点</w:t>
            </w:r>
            <w:r>
              <w:rPr>
                <w:rFonts w:hint="eastAsia" w:ascii="Times New Roman" w:hAnsi="Times New Roman"/>
                <w:sz w:val="24"/>
                <w:szCs w:val="22"/>
              </w:rPr>
              <w:t>TSP</w:t>
            </w:r>
            <w:r>
              <w:rPr>
                <w:rFonts w:ascii="Times New Roman" w:hAnsi="Times New Roman"/>
                <w:sz w:val="24"/>
                <w:szCs w:val="22"/>
              </w:rPr>
              <w:t>的监测数据</w:t>
            </w:r>
            <w:r>
              <w:rPr>
                <w:rFonts w:ascii="Times New Roman" w:hAnsi="Times New Roman"/>
                <w:sz w:val="24"/>
                <w:szCs w:val="24"/>
              </w:rPr>
              <w:t>，</w:t>
            </w:r>
            <w:r>
              <w:rPr>
                <w:rFonts w:ascii="Times New Roman" w:hAnsi="Times New Roman"/>
                <w:sz w:val="24"/>
                <w:szCs w:val="22"/>
              </w:rPr>
              <w:t>监测点</w:t>
            </w:r>
            <w:r>
              <w:rPr>
                <w:rFonts w:hint="eastAsia" w:ascii="Times New Roman" w:hAnsi="Times New Roman"/>
                <w:sz w:val="24"/>
                <w:szCs w:val="22"/>
              </w:rPr>
              <w:t>下堡村为本项目西北侧725m处，</w:t>
            </w:r>
            <w:r>
              <w:rPr>
                <w:rFonts w:ascii="Times New Roman" w:hAnsi="Times New Roman"/>
                <w:sz w:val="24"/>
                <w:szCs w:val="24"/>
              </w:rPr>
              <w:t>符合建设项目周边5千米范围内近3年</w:t>
            </w:r>
            <w:r>
              <w:rPr>
                <w:rFonts w:hint="eastAsia" w:ascii="Times New Roman" w:hAnsi="Times New Roman"/>
                <w:sz w:val="24"/>
                <w:szCs w:val="24"/>
              </w:rPr>
              <w:t>内</w:t>
            </w:r>
            <w:r>
              <w:rPr>
                <w:rFonts w:ascii="Times New Roman" w:hAnsi="Times New Roman"/>
                <w:sz w:val="24"/>
                <w:szCs w:val="24"/>
              </w:rPr>
              <w:t>的现有监测数据，《建设项目环境影响报告表编制技术指南（污染影响类）（试行）》要求。</w:t>
            </w:r>
          </w:p>
          <w:p w14:paraId="09EE67A3">
            <w:pPr>
              <w:spacing w:line="360" w:lineRule="auto"/>
              <w:ind w:firstLine="480" w:firstLineChars="200"/>
              <w:contextualSpacing/>
              <w:rPr>
                <w:sz w:val="24"/>
              </w:rPr>
            </w:pPr>
            <w:r>
              <w:rPr>
                <w:sz w:val="24"/>
              </w:rPr>
              <w:t>(2)地表水</w:t>
            </w:r>
            <w:r>
              <w:rPr>
                <w:rFonts w:hint="eastAsia"/>
                <w:sz w:val="24"/>
              </w:rPr>
              <w:t>环境现状</w:t>
            </w:r>
          </w:p>
          <w:p w14:paraId="10F23722">
            <w:pPr>
              <w:pStyle w:val="115"/>
              <w:wordWrap w:val="0"/>
              <w:rPr>
                <w:lang w:eastAsia="zh-CN"/>
              </w:rPr>
            </w:pPr>
            <w:r>
              <w:rPr>
                <w:rFonts w:hint="eastAsia"/>
                <w:lang w:eastAsia="zh-CN"/>
              </w:rPr>
              <w:t>①地表水水质</w:t>
            </w:r>
          </w:p>
          <w:p w14:paraId="10F75A0D">
            <w:pPr>
              <w:pStyle w:val="134"/>
              <w:ind w:firstLine="480"/>
              <w:rPr>
                <w:rFonts w:ascii="宋体"/>
                <w:color w:val="000000"/>
              </w:rPr>
            </w:pPr>
            <w:r>
              <w:rPr>
                <w:rFonts w:ascii="宋体"/>
                <w:color w:val="000000"/>
              </w:rPr>
              <w:t>本项目所在区域涉及的水体为</w:t>
            </w:r>
            <w:r>
              <w:rPr>
                <w:rFonts w:hint="eastAsia" w:ascii="宋体"/>
                <w:color w:val="000000"/>
              </w:rPr>
              <w:t>占泽渠</w:t>
            </w:r>
            <w:r>
              <w:rPr>
                <w:rFonts w:ascii="宋体"/>
                <w:color w:val="000000"/>
              </w:rPr>
              <w:t>，根据《福建省人民政府办公厅关于印发加强入河入海排污口监督管理工作方案的通知》</w:t>
            </w:r>
            <w:r>
              <w:rPr>
                <w:color w:val="000000"/>
              </w:rPr>
              <w:t>（闽政办〔2022〕43号）</w:t>
            </w:r>
            <w:r>
              <w:rPr>
                <w:rFonts w:ascii="宋体"/>
                <w:color w:val="000000"/>
              </w:rPr>
              <w:t>，对于入河入海沟渠“</w:t>
            </w:r>
            <w:r>
              <w:rPr>
                <w:color w:val="000000"/>
              </w:rPr>
              <w:t>有环境功能区划的执行对应标准；无环境功能区划的，执行《地表水环境质量标准》（GB3838-2002）中Ⅴ类水质标准”。规划区内的占泽渠、芝港渠、圣发渠、西渠、沙塘渠、南曹渠、壁头渠、壁头支渠等地表水体水体为泄洪渠，且未划定地表水功能区，水环境功能参照《地表水环境质量标准》（GB3838-2002）</w:t>
            </w:r>
            <w:r>
              <w:rPr>
                <w:rFonts w:ascii="宋体"/>
                <w:color w:val="000000"/>
              </w:rPr>
              <w:t>中Ⅴ类水质标准执行。</w:t>
            </w:r>
          </w:p>
          <w:p w14:paraId="6705AA31">
            <w:pPr>
              <w:wordWrap w:val="0"/>
              <w:autoSpaceDE w:val="0"/>
              <w:autoSpaceDN w:val="0"/>
              <w:spacing w:line="360" w:lineRule="auto"/>
              <w:ind w:firstLine="480" w:firstLineChars="200"/>
              <w:textAlignment w:val="bottom"/>
              <w:rPr>
                <w:sz w:val="24"/>
              </w:rPr>
            </w:pPr>
            <w:r>
              <w:rPr>
                <w:rFonts w:hint="eastAsia"/>
                <w:color w:val="000000"/>
                <w:sz w:val="24"/>
              </w:rPr>
              <w:t>本项目位于福建省福清市，福清市地表水域属于龙江流域，</w:t>
            </w:r>
            <w:r>
              <w:rPr>
                <w:sz w:val="24"/>
              </w:rPr>
              <w:t>为了解项目</w:t>
            </w:r>
            <w:r>
              <w:rPr>
                <w:rFonts w:hint="eastAsia"/>
                <w:sz w:val="24"/>
              </w:rPr>
              <w:t>所在区域</w:t>
            </w:r>
            <w:r>
              <w:rPr>
                <w:sz w:val="24"/>
              </w:rPr>
              <w:t>地表水环境质量现状，根据福建省生态环境厅网站</w:t>
            </w:r>
            <w:r>
              <w:rPr>
                <w:rFonts w:hint="eastAsia"/>
                <w:sz w:val="24"/>
              </w:rPr>
              <w:t>公布的《</w:t>
            </w:r>
            <w:r>
              <w:rPr>
                <w:sz w:val="24"/>
              </w:rPr>
              <w:t>福建省地表水水质状况排名（202</w:t>
            </w:r>
            <w:r>
              <w:rPr>
                <w:rFonts w:hint="eastAsia"/>
                <w:sz w:val="24"/>
              </w:rPr>
              <w:t>3</w:t>
            </w:r>
            <w:r>
              <w:rPr>
                <w:sz w:val="24"/>
              </w:rPr>
              <w:t>年1-12月）</w:t>
            </w:r>
            <w:r>
              <w:rPr>
                <w:rFonts w:hint="eastAsia"/>
                <w:sz w:val="24"/>
              </w:rPr>
              <w:t>》（网址：https://sthjt.fujian.gov.cn/zwgk/sjfb/hjsj/qshjzljtb/202401/t20240122_6384455.htm）</w:t>
            </w:r>
            <w:r>
              <w:rPr>
                <w:sz w:val="24"/>
              </w:rPr>
              <w:t>显示，202</w:t>
            </w:r>
            <w:r>
              <w:rPr>
                <w:rFonts w:hint="eastAsia"/>
                <w:sz w:val="24"/>
              </w:rPr>
              <w:t>3</w:t>
            </w:r>
            <w:r>
              <w:rPr>
                <w:sz w:val="24"/>
              </w:rPr>
              <w:t>年1-12月，全省主要流域总体水质从相对较好开始排名，具体为：闽江、交溪、霍童溪、萩芦溪</w:t>
            </w:r>
            <w:r>
              <w:rPr>
                <w:rFonts w:hint="eastAsia"/>
                <w:sz w:val="24"/>
              </w:rPr>
              <w:t>、</w:t>
            </w:r>
            <w:r>
              <w:rPr>
                <w:sz w:val="24"/>
              </w:rPr>
              <w:t>汀江（韩江）、九龙江、晋江、木兰溪、敖江、东西溪、诏安东溪、龙江、漳江、鹿溪。根据福建省生态环境厅网站</w:t>
            </w:r>
            <w:r>
              <w:rPr>
                <w:rFonts w:hint="eastAsia"/>
                <w:sz w:val="24"/>
              </w:rPr>
              <w:t>公布的</w:t>
            </w:r>
            <w:r>
              <w:rPr>
                <w:sz w:val="24"/>
              </w:rPr>
              <w:t>《福建省流域水环境质量状况(202</w:t>
            </w:r>
            <w:r>
              <w:rPr>
                <w:rFonts w:hint="eastAsia"/>
                <w:sz w:val="24"/>
              </w:rPr>
              <w:t>3</w:t>
            </w:r>
            <w:r>
              <w:rPr>
                <w:sz w:val="24"/>
              </w:rPr>
              <w:t>年1-12月)》</w:t>
            </w:r>
            <w:r>
              <w:rPr>
                <w:rFonts w:hint="eastAsia"/>
                <w:sz w:val="24"/>
              </w:rPr>
              <w:t>（网址；https://sthjt.fujian.gov.cn/zwgk/sjfb/hjsj/qshjzljtb/202401/t20240122_6384448.htm）</w:t>
            </w:r>
            <w:r>
              <w:rPr>
                <w:sz w:val="24"/>
              </w:rPr>
              <w:t>显示：202</w:t>
            </w:r>
            <w:r>
              <w:rPr>
                <w:rFonts w:hint="eastAsia"/>
                <w:sz w:val="24"/>
              </w:rPr>
              <w:t>3</w:t>
            </w:r>
            <w:r>
              <w:rPr>
                <w:sz w:val="24"/>
              </w:rPr>
              <w:t>年1-12月，全省主要流域总体水质为优。</w:t>
            </w:r>
            <w:r>
              <w:rPr>
                <w:rFonts w:hint="eastAsia"/>
                <w:sz w:val="24"/>
              </w:rPr>
              <w:t>国控断面</w:t>
            </w:r>
            <w:r>
              <w:rPr>
                <w:sz w:val="24"/>
              </w:rPr>
              <w:t>Ⅰ～Ⅲ类水质比例9</w:t>
            </w:r>
            <w:r>
              <w:rPr>
                <w:rFonts w:hint="eastAsia"/>
                <w:sz w:val="24"/>
              </w:rPr>
              <w:t>9.0</w:t>
            </w:r>
            <w:r>
              <w:rPr>
                <w:sz w:val="24"/>
              </w:rPr>
              <w:t>%，其中Ⅰ～Ⅱ类水质比例</w:t>
            </w:r>
            <w:r>
              <w:rPr>
                <w:rFonts w:hint="eastAsia"/>
                <w:sz w:val="24"/>
              </w:rPr>
              <w:t>68.6</w:t>
            </w:r>
            <w:r>
              <w:rPr>
                <w:sz w:val="24"/>
              </w:rPr>
              <w:t>%</w:t>
            </w:r>
            <w:r>
              <w:rPr>
                <w:rFonts w:hint="eastAsia"/>
                <w:sz w:val="24"/>
              </w:rPr>
              <w:t>；国控及省控断面Ⅰ～Ⅲ类水质比例99.5</w:t>
            </w:r>
            <w:r>
              <w:rPr>
                <w:sz w:val="24"/>
              </w:rPr>
              <w:t>%</w:t>
            </w:r>
            <w:r>
              <w:rPr>
                <w:rFonts w:hint="eastAsia"/>
                <w:sz w:val="24"/>
              </w:rPr>
              <w:t>，其中Ⅰ～Ⅱ类水质比例65.3</w:t>
            </w:r>
            <w:r>
              <w:rPr>
                <w:sz w:val="24"/>
              </w:rPr>
              <w:t>%。各类水质比例如下：Ⅰ类占1.</w:t>
            </w:r>
            <w:r>
              <w:rPr>
                <w:rFonts w:hint="eastAsia"/>
                <w:sz w:val="24"/>
              </w:rPr>
              <w:t>9</w:t>
            </w:r>
            <w:r>
              <w:rPr>
                <w:sz w:val="24"/>
              </w:rPr>
              <w:t>%，Ⅱ类占</w:t>
            </w:r>
            <w:r>
              <w:rPr>
                <w:rFonts w:hint="eastAsia"/>
                <w:sz w:val="24"/>
              </w:rPr>
              <w:t>63.5</w:t>
            </w:r>
            <w:r>
              <w:rPr>
                <w:sz w:val="24"/>
              </w:rPr>
              <w:t>%，Ⅲ类占</w:t>
            </w:r>
            <w:r>
              <w:rPr>
                <w:rFonts w:hint="eastAsia"/>
                <w:sz w:val="24"/>
              </w:rPr>
              <w:t>34.1</w:t>
            </w:r>
            <w:r>
              <w:rPr>
                <w:sz w:val="24"/>
              </w:rPr>
              <w:t>%，Ⅳ类占</w:t>
            </w:r>
            <w:r>
              <w:rPr>
                <w:rFonts w:hint="eastAsia"/>
                <w:sz w:val="24"/>
              </w:rPr>
              <w:t>0.5</w:t>
            </w:r>
            <w:r>
              <w:rPr>
                <w:sz w:val="24"/>
              </w:rPr>
              <w:t>%，无Ⅴ类和劣Ⅴ类水。由此可知龙江水质可达到《地表水环境质量标准》(GB3838-2002)Ⅴ类水标准。</w:t>
            </w:r>
          </w:p>
          <w:p w14:paraId="2BE944C1">
            <w:pPr>
              <w:pStyle w:val="115"/>
              <w:wordWrap w:val="0"/>
              <w:rPr>
                <w:lang w:eastAsia="zh-CN"/>
              </w:rPr>
            </w:pPr>
            <w:r>
              <w:rPr>
                <w:szCs w:val="24"/>
                <w:shd w:val="clear" w:color="auto" w:fill="FFFFFF"/>
                <w:lang w:eastAsia="zh-CN"/>
              </w:rPr>
              <w:fldChar w:fldCharType="begin"/>
            </w:r>
            <w:r>
              <w:rPr>
                <w:szCs w:val="24"/>
                <w:shd w:val="clear" w:color="auto" w:fill="FFFFFF"/>
                <w:lang w:eastAsia="zh-CN"/>
              </w:rPr>
              <w:instrText xml:space="preserve"> = 2 \* GB3 \* MERGEFORMAT </w:instrText>
            </w:r>
            <w:r>
              <w:rPr>
                <w:szCs w:val="24"/>
                <w:shd w:val="clear" w:color="auto" w:fill="FFFFFF"/>
                <w:lang w:eastAsia="zh-CN"/>
              </w:rPr>
              <w:fldChar w:fldCharType="separate"/>
            </w:r>
            <w:r>
              <w:rPr>
                <w:szCs w:val="24"/>
                <w:lang w:eastAsia="zh-CN"/>
              </w:rPr>
              <w:t>②</w:t>
            </w:r>
            <w:r>
              <w:rPr>
                <w:szCs w:val="24"/>
                <w:shd w:val="clear" w:color="auto" w:fill="FFFFFF"/>
                <w:lang w:eastAsia="zh-CN"/>
              </w:rPr>
              <w:fldChar w:fldCharType="end"/>
            </w:r>
            <w:r>
              <w:rPr>
                <w:rFonts w:hint="eastAsia"/>
                <w:lang w:eastAsia="zh-CN"/>
              </w:rPr>
              <w:t>海域水质</w:t>
            </w:r>
          </w:p>
          <w:p w14:paraId="2B420BAC">
            <w:pPr>
              <w:pStyle w:val="135"/>
              <w:rPr>
                <w:color w:val="000000"/>
              </w:rPr>
            </w:pPr>
            <w:r>
              <w:rPr>
                <w:color w:val="000000"/>
              </w:rPr>
              <w:t>项目周边的海域为兴化湾，根据福建省人民政府《关于印发福建省近岸海域环境功能区划（修编）的通知》（闽政文[2011]45号），规划区周边海域兴化湾主体海域为二类区，江阴港区近岸海域环境功能为四类区。本项目所在区域位于福建省兴化湾西北部江阴半岛东南部海域，隶属福清市行政管辖。江阴工业集中区污水处理厂排污口处于江阴港区1#码头南侧前沿约768m位置，</w:t>
            </w:r>
            <w:r>
              <w:rPr>
                <w:rFonts w:ascii="宋体"/>
                <w:color w:val="000000"/>
              </w:rPr>
              <w:t>根据《福</w:t>
            </w:r>
            <w:r>
              <w:rPr>
                <w:color w:val="000000"/>
              </w:rPr>
              <w:t>建省近岸海域环境功能区划（2011～2020年）》，该海域属于兴化湾江阴壁头四类区（FJ053-D-Ⅲ），</w:t>
            </w:r>
            <w:r>
              <w:rPr>
                <w:rFonts w:ascii="宋体"/>
                <w:color w:val="000000"/>
              </w:rPr>
              <w:t>主要环境功能为港口、航运，辅助环境功能为一般工业用水，海水</w:t>
            </w:r>
            <w:r>
              <w:rPr>
                <w:color w:val="000000"/>
              </w:rPr>
              <w:t>水质执行《海水水质标准》（GB3097-1997）第三类</w:t>
            </w:r>
            <w:r>
              <w:rPr>
                <w:rFonts w:ascii="宋体"/>
                <w:color w:val="000000"/>
              </w:rPr>
              <w:t>标准</w:t>
            </w:r>
            <w:r>
              <w:rPr>
                <w:rFonts w:hint="eastAsia" w:ascii="宋体"/>
                <w:color w:val="000000"/>
              </w:rPr>
              <w:t>。</w:t>
            </w:r>
          </w:p>
          <w:p w14:paraId="59BCE69C">
            <w:pPr>
              <w:pStyle w:val="135"/>
              <w:wordWrap w:val="0"/>
              <w:rPr>
                <w:color w:val="000000"/>
              </w:rPr>
            </w:pPr>
            <w:r>
              <w:rPr>
                <w:color w:val="000000"/>
              </w:rPr>
              <w:t>根据福建省生态环境厅网站</w:t>
            </w:r>
            <w:r>
              <w:rPr>
                <w:rFonts w:hint="eastAsia"/>
                <w:color w:val="000000"/>
              </w:rPr>
              <w:t>公布的《</w:t>
            </w:r>
            <w:r>
              <w:rPr>
                <w:color w:val="000000"/>
              </w:rPr>
              <w:t>福建省近岸海域水质状况(2023年1-1</w:t>
            </w:r>
            <w:r>
              <w:rPr>
                <w:rFonts w:hint="eastAsia"/>
                <w:color w:val="000000"/>
              </w:rPr>
              <w:t>2</w:t>
            </w:r>
            <w:r>
              <w:rPr>
                <w:color w:val="000000"/>
              </w:rPr>
              <w:t>月)</w:t>
            </w:r>
            <w:r>
              <w:rPr>
                <w:rFonts w:hint="eastAsia"/>
                <w:color w:val="000000"/>
              </w:rPr>
              <w:t>》（网址：https://sthjt.fujian.gov.cn/zwgk/sjfb/hjsj/jahysz_1/202312/t20231229_6369592.htm）</w:t>
            </w:r>
            <w:r>
              <w:t>显示，</w:t>
            </w:r>
            <w:r>
              <w:rPr>
                <w:color w:val="000000"/>
              </w:rPr>
              <w:t>2023年1-1</w:t>
            </w:r>
            <w:r>
              <w:rPr>
                <w:rFonts w:hint="eastAsia"/>
                <w:color w:val="000000"/>
              </w:rPr>
              <w:t>1</w:t>
            </w:r>
            <w:r>
              <w:rPr>
                <w:color w:val="000000"/>
              </w:rPr>
              <w:t>月，全省近岸海域142个国控监测点位，按面积法评价，优良面积水质比例88.7%；全省近岸海域235个国省控监测点位，按照面积法评价，优良面积水质比例89.1%，各类水质比例如下：一类占74.5</w:t>
            </w:r>
            <w:r>
              <w:t>%</w:t>
            </w:r>
            <w:r>
              <w:rPr>
                <w:color w:val="000000"/>
              </w:rPr>
              <w:t>，二类占14.6</w:t>
            </w:r>
            <w:r>
              <w:t>%</w:t>
            </w:r>
            <w:r>
              <w:rPr>
                <w:color w:val="000000"/>
              </w:rPr>
              <w:t>，三类占5.5</w:t>
            </w:r>
            <w:r>
              <w:t>%</w:t>
            </w:r>
            <w:r>
              <w:rPr>
                <w:color w:val="000000"/>
              </w:rPr>
              <w:t>，四类占3.0</w:t>
            </w:r>
            <w:r>
              <w:t>%</w:t>
            </w:r>
            <w:r>
              <w:rPr>
                <w:color w:val="000000"/>
              </w:rPr>
              <w:t>，劣四类占2.4</w:t>
            </w:r>
            <w:r>
              <w:t>%</w:t>
            </w:r>
            <w:r>
              <w:rPr>
                <w:color w:val="000000"/>
              </w:rPr>
              <w:t>。其中，2023年秋季，全省近岸海域235个国省控监测点位，按照面积法评价，优良面积水质比例为78.9%。各类水质比例为：一类占53.5</w:t>
            </w:r>
            <w:r>
              <w:t>%</w:t>
            </w:r>
            <w:r>
              <w:rPr>
                <w:color w:val="000000"/>
              </w:rPr>
              <w:t>，二类占25.4</w:t>
            </w:r>
            <w:r>
              <w:t>%</w:t>
            </w:r>
            <w:r>
              <w:rPr>
                <w:color w:val="000000"/>
              </w:rPr>
              <w:t>，三类占12.2</w:t>
            </w:r>
            <w:r>
              <w:t>%</w:t>
            </w:r>
            <w:r>
              <w:rPr>
                <w:color w:val="000000"/>
              </w:rPr>
              <w:t>，四类占5.8</w:t>
            </w:r>
            <w:r>
              <w:t>%</w:t>
            </w:r>
            <w:r>
              <w:rPr>
                <w:color w:val="000000"/>
              </w:rPr>
              <w:t>，劣四类占3.1</w:t>
            </w:r>
            <w:r>
              <w:t>%</w:t>
            </w:r>
            <w:r>
              <w:rPr>
                <w:color w:val="000000"/>
              </w:rPr>
              <w:t>。沿海各设区市近岸海域优良面积水质比例分别为：泉州93.0%、莆田92.8%、漳州89.3%、福州71.7%、厦门71.4%、宁德58.4%。</w:t>
            </w:r>
          </w:p>
          <w:p w14:paraId="38A6B32C">
            <w:pPr>
              <w:pStyle w:val="135"/>
              <w:rPr>
                <w:color w:val="000000"/>
              </w:rPr>
            </w:pPr>
            <w:r>
              <w:rPr>
                <w:color w:val="000000"/>
              </w:rPr>
              <w:t>根据《建设项目环境影响报告表编制技术指南(污染影响类)(试行)》(环办环评〔2020〕33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color w:val="000000"/>
              </w:rPr>
              <w:t>本次</w:t>
            </w:r>
            <w:r>
              <w:rPr>
                <w:color w:val="000000"/>
              </w:rPr>
              <w:t>评价选取福建省生态环境厅网站发布</w:t>
            </w:r>
            <w:r>
              <w:rPr>
                <w:rFonts w:hint="eastAsia"/>
                <w:color w:val="000000"/>
              </w:rPr>
              <w:t>的</w:t>
            </w:r>
            <w:r>
              <w:rPr>
                <w:color w:val="000000"/>
              </w:rPr>
              <w:t>水环境状况信息，符合《建设项目环境影响报告表编制技术指南(污染影响类)(试行)》(环办环评〔2020〕33号)的要求。</w:t>
            </w:r>
          </w:p>
          <w:p w14:paraId="2F89ED6C">
            <w:pPr>
              <w:spacing w:line="360" w:lineRule="auto"/>
              <w:ind w:firstLine="480" w:firstLineChars="200"/>
              <w:contextualSpacing/>
              <w:rPr>
                <w:sz w:val="24"/>
              </w:rPr>
            </w:pPr>
            <w:r>
              <w:rPr>
                <w:rFonts w:hint="eastAsia"/>
                <w:sz w:val="24"/>
              </w:rPr>
              <w:t>(3)</w:t>
            </w:r>
            <w:r>
              <w:rPr>
                <w:sz w:val="24"/>
              </w:rPr>
              <w:t>声环境质量现状</w:t>
            </w:r>
          </w:p>
          <w:p w14:paraId="401A5D0A">
            <w:pPr>
              <w:spacing w:line="360" w:lineRule="auto"/>
              <w:ind w:firstLine="480" w:firstLineChars="200"/>
              <w:rPr>
                <w:sz w:val="24"/>
              </w:rPr>
            </w:pPr>
            <w:r>
              <w:rPr>
                <w:sz w:val="24"/>
              </w:rPr>
              <w:t>本项目位于</w:t>
            </w:r>
            <w:r>
              <w:rPr>
                <w:rFonts w:hint="eastAsia"/>
                <w:sz w:val="24"/>
              </w:rPr>
              <w:t>福州市福清市</w:t>
            </w:r>
            <w:r>
              <w:rPr>
                <w:sz w:val="24"/>
              </w:rPr>
              <w:t>江阴港城经济区的</w:t>
            </w:r>
            <w:r>
              <w:rPr>
                <w:rFonts w:hint="eastAsia"/>
                <w:sz w:val="24"/>
              </w:rPr>
              <w:t>东</w:t>
            </w:r>
            <w:r>
              <w:rPr>
                <w:sz w:val="24"/>
              </w:rPr>
              <w:t>部临港产业区内</w:t>
            </w:r>
            <w:r>
              <w:rPr>
                <w:rFonts w:hint="eastAsia"/>
              </w:rPr>
              <w:t>，</w:t>
            </w:r>
            <w:r>
              <w:rPr>
                <w:sz w:val="24"/>
              </w:rPr>
              <w:t>项目周边以工业生产、仓储物流为主要功能的区域，项目所在区域声环境为3类功能区，声环境功能执行《声环境质量标准》(GB3096-2008)表1中3类标准。</w:t>
            </w:r>
          </w:p>
          <w:p w14:paraId="09428174">
            <w:pPr>
              <w:pStyle w:val="123"/>
              <w:ind w:firstLine="480"/>
              <w:rPr>
                <w:kern w:val="2"/>
                <w:szCs w:val="24"/>
              </w:rPr>
            </w:pPr>
            <w:r>
              <w:rPr>
                <w:kern w:val="2"/>
                <w:szCs w:val="24"/>
              </w:rPr>
              <w:t>根据生态环境部环境工程评估中心《建设项目环境影响报告表》内容、格式及编制技术指南常见问题解答：“厂界外周边50米范围内存在声环境保护目标的建设项目，应监测声环境质量现状，监测点位为声环境保护目标处</w:t>
            </w:r>
            <w:r>
              <w:rPr>
                <w:rFonts w:hint="eastAsia"/>
                <w:kern w:val="2"/>
                <w:szCs w:val="24"/>
              </w:rPr>
              <w:t>；</w:t>
            </w:r>
            <w:r>
              <w:rPr>
                <w:kern w:val="2"/>
                <w:szCs w:val="24"/>
              </w:rPr>
              <w:t>厂界外周边50米范围内无声环境保护目标建设项目，不要求提供声环境质量现状监测数据”</w:t>
            </w:r>
            <w:r>
              <w:rPr>
                <w:rFonts w:hint="eastAsia"/>
                <w:kern w:val="2"/>
                <w:szCs w:val="24"/>
              </w:rPr>
              <w:t>。</w:t>
            </w:r>
          </w:p>
          <w:p w14:paraId="309DCFFF">
            <w:pPr>
              <w:pStyle w:val="123"/>
              <w:ind w:firstLine="480"/>
            </w:pPr>
            <w:r>
              <w:t>根据现场踏勘可知，项目</w:t>
            </w:r>
            <w:r>
              <w:rPr>
                <w:rFonts w:hint="eastAsia"/>
              </w:rPr>
              <w:t>厂界外</w:t>
            </w:r>
            <w:r>
              <w:t>周边50米范围内无声环境保护目标，可不进行声环境质量现状的监测。</w:t>
            </w:r>
          </w:p>
          <w:p w14:paraId="680CC59E">
            <w:pPr>
              <w:spacing w:line="360" w:lineRule="auto"/>
              <w:ind w:firstLine="480" w:firstLineChars="200"/>
              <w:contextualSpacing/>
              <w:rPr>
                <w:sz w:val="24"/>
              </w:rPr>
            </w:pPr>
            <w:r>
              <w:rPr>
                <w:rFonts w:hint="eastAsia"/>
                <w:sz w:val="24"/>
              </w:rPr>
              <w:t>(4)生态环境质量现状</w:t>
            </w:r>
          </w:p>
          <w:p w14:paraId="7599A77E">
            <w:pPr>
              <w:spacing w:line="360" w:lineRule="auto"/>
              <w:ind w:firstLine="480"/>
              <w:rPr>
                <w:kern w:val="0"/>
                <w:sz w:val="24"/>
              </w:rPr>
            </w:pPr>
            <w:r>
              <w:rPr>
                <w:rFonts w:hint="eastAsia"/>
                <w:kern w:val="0"/>
                <w:sz w:val="24"/>
              </w:rPr>
              <w:t>本</w:t>
            </w:r>
            <w:r>
              <w:rPr>
                <w:kern w:val="0"/>
                <w:sz w:val="24"/>
              </w:rPr>
              <w:t>项目位于福州市福清市江阴港城经济区内，无需进行生态现状调查。</w:t>
            </w:r>
          </w:p>
          <w:p w14:paraId="6E438A92">
            <w:pPr>
              <w:spacing w:line="360" w:lineRule="auto"/>
              <w:ind w:firstLine="480" w:firstLineChars="200"/>
              <w:contextualSpacing/>
              <w:rPr>
                <w:sz w:val="24"/>
              </w:rPr>
            </w:pPr>
            <w:r>
              <w:rPr>
                <w:rFonts w:hint="eastAsia"/>
                <w:sz w:val="24"/>
              </w:rPr>
              <w:t>(5)地下水、土壤环境质量现状</w:t>
            </w:r>
          </w:p>
          <w:p w14:paraId="41CE0476">
            <w:pPr>
              <w:spacing w:line="360" w:lineRule="auto"/>
              <w:ind w:firstLine="480" w:firstLineChars="200"/>
              <w:rPr>
                <w:kern w:val="0"/>
                <w:sz w:val="24"/>
              </w:rPr>
            </w:pPr>
            <w:r>
              <w:rPr>
                <w:kern w:val="0"/>
                <w:sz w:val="24"/>
              </w:rPr>
              <w:t>根据《建设项目环境影响报告表编制技术指南(污染影响类)</w:t>
            </w:r>
            <w:r>
              <w:rPr>
                <w:rFonts w:hint="eastAsia"/>
                <w:kern w:val="0"/>
                <w:sz w:val="24"/>
              </w:rPr>
              <w:t>(</w:t>
            </w:r>
            <w:r>
              <w:rPr>
                <w:kern w:val="0"/>
                <w:sz w:val="24"/>
              </w:rPr>
              <w:t>试行)》(环办环评〔2020〕33号)规定，“原则上不开展环境质量现状调查。建设项目存在土壤、地下水环境污染途径的，应结合污染源、保护目标分布情况开展现状调查以留作背景值。</w:t>
            </w:r>
          </w:p>
          <w:p w14:paraId="4A4C588A">
            <w:pPr>
              <w:spacing w:line="360" w:lineRule="auto"/>
              <w:ind w:firstLine="480" w:firstLineChars="200"/>
              <w:rPr>
                <w:sz w:val="24"/>
              </w:rPr>
            </w:pPr>
            <w:r>
              <w:rPr>
                <w:sz w:val="24"/>
              </w:rPr>
              <w:t>项目位于</w:t>
            </w:r>
            <w:r>
              <w:rPr>
                <w:rFonts w:hint="eastAsia"/>
                <w:sz w:val="24"/>
              </w:rPr>
              <w:t>福建省福州市福清市江阴镇江阴港城经济区三峡路与兴林路交叉口东南侧，</w:t>
            </w:r>
            <w:r>
              <w:rPr>
                <w:sz w:val="24"/>
              </w:rPr>
              <w:t>根据现场勘查，周边以</w:t>
            </w:r>
            <w:r>
              <w:rPr>
                <w:rFonts w:hint="eastAsia"/>
                <w:sz w:val="24"/>
              </w:rPr>
              <w:t>农田、</w:t>
            </w:r>
            <w:r>
              <w:rPr>
                <w:sz w:val="24"/>
              </w:rPr>
              <w:t>工业企业为主；项目周边地下水、土壤环境相对不敏感，采取有效的防渗措施后，项目对地下水、土壤环境影响很小，基本不存在</w:t>
            </w:r>
            <w:r>
              <w:rPr>
                <w:kern w:val="0"/>
                <w:sz w:val="24"/>
              </w:rPr>
              <w:t>土壤、地下水环境污染途径，因此，</w:t>
            </w:r>
            <w:r>
              <w:rPr>
                <w:sz w:val="24"/>
              </w:rPr>
              <w:t>本评价不对项目地下水、土壤环境质量进行补充监测。</w:t>
            </w:r>
          </w:p>
          <w:p w14:paraId="122363EE">
            <w:pPr>
              <w:spacing w:line="360" w:lineRule="auto"/>
              <w:ind w:firstLine="480" w:firstLineChars="200"/>
              <w:contextualSpacing/>
              <w:rPr>
                <w:sz w:val="24"/>
              </w:rPr>
            </w:pPr>
            <w:r>
              <w:rPr>
                <w:rFonts w:hint="eastAsia"/>
                <w:sz w:val="24"/>
              </w:rPr>
              <w:t>(6)电磁辐射</w:t>
            </w:r>
          </w:p>
          <w:p w14:paraId="2FAE42BA">
            <w:pPr>
              <w:pStyle w:val="33"/>
              <w:ind w:leftChars="0" w:firstLine="480"/>
            </w:pPr>
            <w:r>
              <w:rPr>
                <w:rFonts w:hint="eastAsia"/>
              </w:rPr>
              <w:t>本项目非电磁辐射类项目，无需对电磁辐射现状开展监测与评价。</w:t>
            </w:r>
          </w:p>
        </w:tc>
      </w:tr>
      <w:tr w14:paraId="301A33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3" w:type="dxa"/>
            <w:vAlign w:val="center"/>
          </w:tcPr>
          <w:p w14:paraId="05DF544F">
            <w:pPr>
              <w:jc w:val="center"/>
              <w:rPr>
                <w:rFonts w:ascii="宋体" w:hAnsi="宋体" w:cs="宋体"/>
                <w:kern w:val="21"/>
                <w:sz w:val="24"/>
              </w:rPr>
            </w:pPr>
            <w:r>
              <w:rPr>
                <w:rFonts w:hint="eastAsia" w:ascii="宋体" w:hAnsi="宋体" w:cs="宋体"/>
                <w:kern w:val="21"/>
                <w:sz w:val="24"/>
              </w:rPr>
              <w:t>环境</w:t>
            </w:r>
          </w:p>
          <w:p w14:paraId="022ADD2D">
            <w:pPr>
              <w:jc w:val="center"/>
              <w:rPr>
                <w:rFonts w:ascii="宋体" w:hAnsi="宋体" w:cs="宋体"/>
                <w:kern w:val="21"/>
                <w:sz w:val="24"/>
              </w:rPr>
            </w:pPr>
            <w:r>
              <w:rPr>
                <w:rFonts w:hint="eastAsia" w:ascii="宋体" w:hAnsi="宋体" w:cs="宋体"/>
                <w:kern w:val="21"/>
                <w:sz w:val="24"/>
              </w:rPr>
              <w:t>保护</w:t>
            </w:r>
          </w:p>
          <w:p w14:paraId="37D721D5">
            <w:pPr>
              <w:jc w:val="center"/>
              <w:rPr>
                <w:rFonts w:ascii="宋体" w:hAnsi="宋体" w:cs="宋体"/>
                <w:color w:val="FF0000"/>
                <w:kern w:val="21"/>
                <w:szCs w:val="21"/>
              </w:rPr>
            </w:pPr>
            <w:r>
              <w:rPr>
                <w:rFonts w:hint="eastAsia" w:ascii="宋体" w:hAnsi="宋体" w:cs="宋体"/>
                <w:kern w:val="21"/>
                <w:sz w:val="24"/>
              </w:rPr>
              <w:t>目标</w:t>
            </w:r>
          </w:p>
        </w:tc>
        <w:tc>
          <w:tcPr>
            <w:tcW w:w="8608" w:type="dxa"/>
            <w:vAlign w:val="center"/>
          </w:tcPr>
          <w:p w14:paraId="5F4E17EA">
            <w:pPr>
              <w:pStyle w:val="66"/>
              <w:ind w:firstLine="0" w:firstLineChars="0"/>
              <w:rPr>
                <w:b/>
                <w:bCs/>
                <w:kern w:val="2"/>
                <w:sz w:val="24"/>
                <w:szCs w:val="24"/>
              </w:rPr>
            </w:pPr>
            <w:r>
              <w:rPr>
                <w:b/>
                <w:bCs/>
                <w:kern w:val="2"/>
                <w:sz w:val="24"/>
                <w:szCs w:val="24"/>
              </w:rPr>
              <w:t>3.2环境保护目标</w:t>
            </w:r>
          </w:p>
          <w:p w14:paraId="2FD5045B">
            <w:pPr>
              <w:spacing w:line="360" w:lineRule="auto"/>
              <w:ind w:firstLine="480"/>
              <w:rPr>
                <w:kern w:val="0"/>
                <w:sz w:val="24"/>
              </w:rPr>
            </w:pPr>
            <w:r>
              <w:rPr>
                <w:rFonts w:hint="eastAsia"/>
                <w:kern w:val="0"/>
                <w:sz w:val="24"/>
              </w:rPr>
              <w:t>(1)大气、声、地下水环境保护目标</w:t>
            </w:r>
          </w:p>
          <w:p w14:paraId="14E681E0">
            <w:pPr>
              <w:spacing w:line="360" w:lineRule="auto"/>
              <w:ind w:firstLine="480"/>
              <w:rPr>
                <w:color w:val="000000"/>
                <w:sz w:val="24"/>
              </w:rPr>
            </w:pPr>
            <w:r>
              <w:rPr>
                <w:kern w:val="0"/>
                <w:sz w:val="24"/>
              </w:rPr>
              <w:t>根据《建设项目环境影响报告表编制技术指南(污染影响类)(试行)》(环办环评〔2020〕33号)要求以及对项目周边环境的调查，</w:t>
            </w:r>
            <w:r>
              <w:rPr>
                <w:rFonts w:hint="eastAsia"/>
                <w:kern w:val="0"/>
                <w:sz w:val="24"/>
              </w:rPr>
              <w:t>项目厂界外500m范围内有下堡村1个大气环境敏感目标，</w:t>
            </w:r>
            <w:r>
              <w:rPr>
                <w:color w:val="000000"/>
                <w:sz w:val="24"/>
              </w:rPr>
              <w:t>项目厂界外50米范围内无声环境保护目标，</w:t>
            </w:r>
            <w:r>
              <w:rPr>
                <w:rFonts w:hint="eastAsia"/>
                <w:color w:val="000000"/>
                <w:sz w:val="24"/>
              </w:rPr>
              <w:t>项目</w:t>
            </w:r>
            <w:r>
              <w:rPr>
                <w:color w:val="000000"/>
                <w:sz w:val="24"/>
              </w:rPr>
              <w:t>厂界外500米范围内无地下水集中式饮用水水源和热水、矿泉水、温泉等特殊地下水资源。</w:t>
            </w:r>
          </w:p>
          <w:p w14:paraId="6C84915F">
            <w:pPr>
              <w:pStyle w:val="66"/>
              <w:ind w:firstLine="480"/>
              <w:rPr>
                <w:kern w:val="2"/>
                <w:sz w:val="24"/>
                <w:szCs w:val="24"/>
              </w:rPr>
            </w:pPr>
            <w:r>
              <w:rPr>
                <w:sz w:val="24"/>
              </w:rPr>
              <w:t>本项目大气环境</w:t>
            </w:r>
            <w:r>
              <w:rPr>
                <w:rFonts w:hint="eastAsia"/>
                <w:sz w:val="24"/>
              </w:rPr>
              <w:t>(厂界外500m范围内)</w:t>
            </w:r>
            <w:r>
              <w:rPr>
                <w:sz w:val="24"/>
              </w:rPr>
              <w:t>、</w:t>
            </w:r>
            <w:r>
              <w:rPr>
                <w:rFonts w:hint="eastAsia"/>
                <w:sz w:val="24"/>
              </w:rPr>
              <w:t>地下水环境（500m范围内）、</w:t>
            </w:r>
            <w:r>
              <w:rPr>
                <w:sz w:val="24"/>
              </w:rPr>
              <w:t>声环境</w:t>
            </w:r>
            <w:r>
              <w:rPr>
                <w:rFonts w:hint="eastAsia"/>
                <w:sz w:val="24"/>
              </w:rPr>
              <w:t>(厂界外50m范围内)的环境保护目标</w:t>
            </w:r>
            <w:r>
              <w:rPr>
                <w:sz w:val="24"/>
              </w:rPr>
              <w:t>见表3.</w:t>
            </w:r>
            <w:r>
              <w:rPr>
                <w:rFonts w:hint="eastAsia"/>
                <w:sz w:val="24"/>
              </w:rPr>
              <w:t>2-1和附图2</w:t>
            </w:r>
            <w:r>
              <w:rPr>
                <w:rFonts w:hint="eastAsia"/>
                <w:kern w:val="2"/>
                <w:sz w:val="24"/>
                <w:szCs w:val="24"/>
              </w:rPr>
              <w:t>。</w:t>
            </w:r>
          </w:p>
          <w:p w14:paraId="1B070DB8">
            <w:pPr>
              <w:pStyle w:val="74"/>
              <w:ind w:firstLine="482"/>
              <w:rPr>
                <w:sz w:val="24"/>
              </w:rPr>
            </w:pPr>
            <w:bookmarkStart w:id="22" w:name="_Toc17865_WPSOffice_Level2"/>
            <w:r>
              <w:rPr>
                <w:sz w:val="24"/>
              </w:rPr>
              <w:t>表</w:t>
            </w:r>
            <w:r>
              <w:rPr>
                <w:rFonts w:hint="eastAsia"/>
                <w:sz w:val="24"/>
              </w:rPr>
              <w:t xml:space="preserve">3.2-1 </w:t>
            </w:r>
            <w:r>
              <w:rPr>
                <w:sz w:val="24"/>
              </w:rPr>
              <w:t xml:space="preserve"> 项目主要环境敏感保护目标一览表</w:t>
            </w:r>
            <w:bookmarkEnd w:id="22"/>
          </w:p>
          <w:tbl>
            <w:tblPr>
              <w:tblStyle w:val="3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335"/>
              <w:gridCol w:w="1515"/>
              <w:gridCol w:w="1350"/>
              <w:gridCol w:w="1184"/>
              <w:gridCol w:w="2469"/>
            </w:tblGrid>
            <w:tr w14:paraId="040F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tcBorders>
                    <w:top w:val="single" w:color="auto" w:sz="12" w:space="0"/>
                    <w:left w:val="nil"/>
                  </w:tcBorders>
                  <w:vAlign w:val="center"/>
                </w:tcPr>
                <w:p w14:paraId="5677116C">
                  <w:pPr>
                    <w:jc w:val="center"/>
                    <w:rPr>
                      <w:szCs w:val="21"/>
                    </w:rPr>
                  </w:pPr>
                  <w:r>
                    <w:rPr>
                      <w:szCs w:val="21"/>
                    </w:rPr>
                    <w:t>序号</w:t>
                  </w:r>
                </w:p>
              </w:tc>
              <w:tc>
                <w:tcPr>
                  <w:tcW w:w="1335" w:type="dxa"/>
                  <w:tcBorders>
                    <w:top w:val="single" w:color="auto" w:sz="12" w:space="0"/>
                  </w:tcBorders>
                  <w:vAlign w:val="center"/>
                </w:tcPr>
                <w:p w14:paraId="44205A34">
                  <w:pPr>
                    <w:jc w:val="center"/>
                    <w:rPr>
                      <w:szCs w:val="21"/>
                    </w:rPr>
                  </w:pPr>
                  <w:r>
                    <w:rPr>
                      <w:szCs w:val="21"/>
                    </w:rPr>
                    <w:t>环境要素</w:t>
                  </w:r>
                </w:p>
              </w:tc>
              <w:tc>
                <w:tcPr>
                  <w:tcW w:w="1515" w:type="dxa"/>
                  <w:tcBorders>
                    <w:top w:val="single" w:color="auto" w:sz="12" w:space="0"/>
                  </w:tcBorders>
                  <w:vAlign w:val="center"/>
                </w:tcPr>
                <w:p w14:paraId="478AA591">
                  <w:pPr>
                    <w:jc w:val="center"/>
                    <w:rPr>
                      <w:szCs w:val="21"/>
                    </w:rPr>
                  </w:pPr>
                  <w:r>
                    <w:rPr>
                      <w:szCs w:val="21"/>
                    </w:rPr>
                    <w:t>敏感目标</w:t>
                  </w:r>
                </w:p>
              </w:tc>
              <w:tc>
                <w:tcPr>
                  <w:tcW w:w="1350" w:type="dxa"/>
                  <w:tcBorders>
                    <w:top w:val="single" w:color="auto" w:sz="12" w:space="0"/>
                  </w:tcBorders>
                  <w:vAlign w:val="center"/>
                </w:tcPr>
                <w:p w14:paraId="3B062460">
                  <w:pPr>
                    <w:jc w:val="center"/>
                    <w:rPr>
                      <w:szCs w:val="21"/>
                    </w:rPr>
                  </w:pPr>
                  <w:r>
                    <w:rPr>
                      <w:szCs w:val="21"/>
                    </w:rPr>
                    <w:t>方位、距离</w:t>
                  </w:r>
                </w:p>
              </w:tc>
              <w:tc>
                <w:tcPr>
                  <w:tcW w:w="1184" w:type="dxa"/>
                  <w:tcBorders>
                    <w:top w:val="single" w:color="auto" w:sz="12" w:space="0"/>
                  </w:tcBorders>
                  <w:vAlign w:val="center"/>
                </w:tcPr>
                <w:p w14:paraId="5F99E3AC">
                  <w:pPr>
                    <w:jc w:val="center"/>
                    <w:rPr>
                      <w:szCs w:val="21"/>
                    </w:rPr>
                  </w:pPr>
                  <w:r>
                    <w:rPr>
                      <w:szCs w:val="21"/>
                    </w:rPr>
                    <w:t>规模</w:t>
                  </w:r>
                </w:p>
              </w:tc>
              <w:tc>
                <w:tcPr>
                  <w:tcW w:w="2469" w:type="dxa"/>
                  <w:tcBorders>
                    <w:top w:val="single" w:color="auto" w:sz="12" w:space="0"/>
                    <w:right w:val="nil"/>
                  </w:tcBorders>
                  <w:vAlign w:val="center"/>
                </w:tcPr>
                <w:p w14:paraId="269A1A5E">
                  <w:pPr>
                    <w:jc w:val="center"/>
                    <w:rPr>
                      <w:szCs w:val="21"/>
                    </w:rPr>
                  </w:pPr>
                  <w:r>
                    <w:rPr>
                      <w:szCs w:val="21"/>
                    </w:rPr>
                    <w:t>环境保护要求</w:t>
                  </w:r>
                </w:p>
              </w:tc>
            </w:tr>
            <w:tr w14:paraId="4F76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tcBorders>
                    <w:left w:val="nil"/>
                  </w:tcBorders>
                  <w:vAlign w:val="center"/>
                </w:tcPr>
                <w:p w14:paraId="5B45C37E">
                  <w:pPr>
                    <w:jc w:val="center"/>
                    <w:rPr>
                      <w:szCs w:val="21"/>
                    </w:rPr>
                  </w:pPr>
                  <w:r>
                    <w:rPr>
                      <w:rFonts w:hint="eastAsia"/>
                      <w:szCs w:val="21"/>
                    </w:rPr>
                    <w:t>1</w:t>
                  </w:r>
                </w:p>
              </w:tc>
              <w:tc>
                <w:tcPr>
                  <w:tcW w:w="1335" w:type="dxa"/>
                  <w:vAlign w:val="center"/>
                </w:tcPr>
                <w:p w14:paraId="52FFE3BC">
                  <w:pPr>
                    <w:jc w:val="center"/>
                    <w:rPr>
                      <w:szCs w:val="21"/>
                    </w:rPr>
                  </w:pPr>
                  <w:r>
                    <w:rPr>
                      <w:szCs w:val="21"/>
                    </w:rPr>
                    <w:t>环境</w:t>
                  </w:r>
                  <w:r>
                    <w:rPr>
                      <w:rFonts w:hint="eastAsia"/>
                      <w:szCs w:val="21"/>
                    </w:rPr>
                    <w:t>空气</w:t>
                  </w:r>
                </w:p>
              </w:tc>
              <w:tc>
                <w:tcPr>
                  <w:tcW w:w="1515" w:type="dxa"/>
                  <w:vAlign w:val="center"/>
                </w:tcPr>
                <w:p w14:paraId="4C511033">
                  <w:pPr>
                    <w:jc w:val="center"/>
                  </w:pPr>
                  <w:r>
                    <w:rPr>
                      <w:rFonts w:hint="eastAsia"/>
                    </w:rPr>
                    <w:t>下堡村</w:t>
                  </w:r>
                </w:p>
              </w:tc>
              <w:tc>
                <w:tcPr>
                  <w:tcW w:w="1350" w:type="dxa"/>
                  <w:vAlign w:val="center"/>
                </w:tcPr>
                <w:p w14:paraId="14C6C490">
                  <w:pPr>
                    <w:jc w:val="center"/>
                    <w:rPr>
                      <w:szCs w:val="21"/>
                    </w:rPr>
                  </w:pPr>
                  <w:r>
                    <w:rPr>
                      <w:rFonts w:hint="eastAsia"/>
                      <w:szCs w:val="21"/>
                    </w:rPr>
                    <w:t>西北侧250m</w:t>
                  </w:r>
                </w:p>
              </w:tc>
              <w:tc>
                <w:tcPr>
                  <w:tcW w:w="1184" w:type="dxa"/>
                  <w:vAlign w:val="center"/>
                </w:tcPr>
                <w:p w14:paraId="60F69903">
                  <w:pPr>
                    <w:jc w:val="center"/>
                    <w:rPr>
                      <w:szCs w:val="21"/>
                    </w:rPr>
                  </w:pPr>
                  <w:r>
                    <w:rPr>
                      <w:rFonts w:hint="eastAsia"/>
                    </w:rPr>
                    <w:t>约2631</w:t>
                  </w:r>
                  <w:r>
                    <w:t>人</w:t>
                  </w:r>
                </w:p>
              </w:tc>
              <w:tc>
                <w:tcPr>
                  <w:tcW w:w="2469" w:type="dxa"/>
                  <w:tcBorders>
                    <w:right w:val="nil"/>
                  </w:tcBorders>
                  <w:vAlign w:val="center"/>
                </w:tcPr>
                <w:p w14:paraId="47FF8A21">
                  <w:pPr>
                    <w:jc w:val="center"/>
                    <w:rPr>
                      <w:szCs w:val="21"/>
                    </w:rPr>
                  </w:pPr>
                  <w:r>
                    <w:rPr>
                      <w:szCs w:val="21"/>
                    </w:rPr>
                    <w:t>《环境空气质量标准》（GB3095-2012）</w:t>
                  </w:r>
                  <w:r>
                    <w:rPr>
                      <w:rFonts w:hint="eastAsia"/>
                      <w:szCs w:val="21"/>
                    </w:rPr>
                    <w:t>及其修改单</w:t>
                  </w:r>
                  <w:r>
                    <w:rPr>
                      <w:szCs w:val="21"/>
                    </w:rPr>
                    <w:t>中的二级标准</w:t>
                  </w:r>
                </w:p>
              </w:tc>
            </w:tr>
            <w:tr w14:paraId="1DBD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tcBorders>
                    <w:left w:val="nil"/>
                  </w:tcBorders>
                  <w:vAlign w:val="center"/>
                </w:tcPr>
                <w:p w14:paraId="309C4A47">
                  <w:pPr>
                    <w:jc w:val="center"/>
                    <w:rPr>
                      <w:szCs w:val="21"/>
                    </w:rPr>
                  </w:pPr>
                  <w:r>
                    <w:rPr>
                      <w:rFonts w:hint="eastAsia"/>
                      <w:szCs w:val="21"/>
                    </w:rPr>
                    <w:t>2</w:t>
                  </w:r>
                </w:p>
              </w:tc>
              <w:tc>
                <w:tcPr>
                  <w:tcW w:w="1335" w:type="dxa"/>
                  <w:vAlign w:val="center"/>
                </w:tcPr>
                <w:p w14:paraId="61008CD9">
                  <w:pPr>
                    <w:jc w:val="center"/>
                    <w:rPr>
                      <w:szCs w:val="21"/>
                    </w:rPr>
                  </w:pPr>
                  <w:r>
                    <w:rPr>
                      <w:szCs w:val="21"/>
                    </w:rPr>
                    <w:t>噪</w:t>
                  </w:r>
                  <w:r>
                    <w:rPr>
                      <w:rFonts w:hint="eastAsia"/>
                      <w:szCs w:val="21"/>
                    </w:rPr>
                    <w:t>声环境</w:t>
                  </w:r>
                </w:p>
              </w:tc>
              <w:tc>
                <w:tcPr>
                  <w:tcW w:w="6518" w:type="dxa"/>
                  <w:gridSpan w:val="4"/>
                  <w:tcBorders>
                    <w:right w:val="nil"/>
                  </w:tcBorders>
                  <w:vAlign w:val="center"/>
                </w:tcPr>
                <w:p w14:paraId="7FDB073B">
                  <w:pPr>
                    <w:jc w:val="center"/>
                    <w:rPr>
                      <w:szCs w:val="21"/>
                    </w:rPr>
                  </w:pPr>
                  <w:r>
                    <w:rPr>
                      <w:rFonts w:hint="eastAsia"/>
                      <w:szCs w:val="21"/>
                    </w:rPr>
                    <w:t>项目厂界外5</w:t>
                  </w:r>
                  <w:r>
                    <w:rPr>
                      <w:szCs w:val="21"/>
                    </w:rPr>
                    <w:t>0</w:t>
                  </w:r>
                  <w:r>
                    <w:rPr>
                      <w:rFonts w:hint="eastAsia"/>
                      <w:szCs w:val="21"/>
                    </w:rPr>
                    <w:t>米范围内无声环境敏感目标</w:t>
                  </w:r>
                </w:p>
              </w:tc>
            </w:tr>
            <w:tr w14:paraId="2E413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tcBorders>
                    <w:left w:val="nil"/>
                    <w:bottom w:val="single" w:color="auto" w:sz="12" w:space="0"/>
                  </w:tcBorders>
                  <w:vAlign w:val="center"/>
                </w:tcPr>
                <w:p w14:paraId="084C7C81">
                  <w:pPr>
                    <w:jc w:val="center"/>
                    <w:rPr>
                      <w:szCs w:val="21"/>
                    </w:rPr>
                  </w:pPr>
                  <w:r>
                    <w:rPr>
                      <w:rFonts w:hint="eastAsia"/>
                      <w:szCs w:val="21"/>
                    </w:rPr>
                    <w:t>3</w:t>
                  </w:r>
                </w:p>
              </w:tc>
              <w:tc>
                <w:tcPr>
                  <w:tcW w:w="1335" w:type="dxa"/>
                  <w:tcBorders>
                    <w:bottom w:val="single" w:color="auto" w:sz="12" w:space="0"/>
                  </w:tcBorders>
                  <w:vAlign w:val="center"/>
                </w:tcPr>
                <w:p w14:paraId="531C10DA">
                  <w:pPr>
                    <w:jc w:val="center"/>
                    <w:rPr>
                      <w:szCs w:val="21"/>
                    </w:rPr>
                  </w:pPr>
                  <w:r>
                    <w:rPr>
                      <w:rFonts w:hint="eastAsia"/>
                      <w:szCs w:val="21"/>
                    </w:rPr>
                    <w:t>地下水环境</w:t>
                  </w:r>
                </w:p>
              </w:tc>
              <w:tc>
                <w:tcPr>
                  <w:tcW w:w="6518" w:type="dxa"/>
                  <w:gridSpan w:val="4"/>
                  <w:tcBorders>
                    <w:bottom w:val="single" w:color="auto" w:sz="12" w:space="0"/>
                    <w:right w:val="nil"/>
                  </w:tcBorders>
                  <w:vAlign w:val="center"/>
                </w:tcPr>
                <w:p w14:paraId="038E857D">
                  <w:pPr>
                    <w:jc w:val="center"/>
                    <w:rPr>
                      <w:szCs w:val="21"/>
                    </w:rPr>
                  </w:pPr>
                  <w:r>
                    <w:rPr>
                      <w:rFonts w:hint="eastAsia"/>
                      <w:szCs w:val="21"/>
                    </w:rPr>
                    <w:t>项目厂界外500米范围内的地下水集中式饮用水水源和热水、矿泉水、温泉等特殊地下水资源</w:t>
                  </w:r>
                </w:p>
              </w:tc>
            </w:tr>
          </w:tbl>
          <w:p w14:paraId="64154303">
            <w:pPr>
              <w:spacing w:line="360" w:lineRule="auto"/>
              <w:ind w:firstLine="480" w:firstLineChars="200"/>
              <w:rPr>
                <w:kern w:val="21"/>
                <w:sz w:val="24"/>
              </w:rPr>
            </w:pPr>
            <w:r>
              <w:rPr>
                <w:kern w:val="21"/>
                <w:sz w:val="24"/>
              </w:rPr>
              <w:t>(2)</w:t>
            </w:r>
            <w:r>
              <w:rPr>
                <w:rFonts w:hint="eastAsia"/>
                <w:kern w:val="21"/>
                <w:sz w:val="24"/>
              </w:rPr>
              <w:t>生态环境保护目标</w:t>
            </w:r>
          </w:p>
          <w:p w14:paraId="0174ADA8">
            <w:pPr>
              <w:spacing w:line="360" w:lineRule="auto"/>
              <w:ind w:firstLine="480" w:firstLineChars="200"/>
            </w:pPr>
            <w:r>
              <w:rPr>
                <w:kern w:val="0"/>
                <w:sz w:val="24"/>
              </w:rPr>
              <w:t>根据《建设项目环境影响报告表编制技术指南(污染影响类)(试行)》(环办环评〔2020〕33号)</w:t>
            </w:r>
            <w:r>
              <w:rPr>
                <w:rFonts w:hint="eastAsia"/>
                <w:kern w:val="0"/>
                <w:sz w:val="24"/>
              </w:rPr>
              <w:t>，</w:t>
            </w:r>
            <w:r>
              <w:rPr>
                <w:kern w:val="21"/>
                <w:sz w:val="24"/>
              </w:rPr>
              <w:t>“产业园区外建设项目新增用地的，应明确新增用地范围内生态环境保护目标”。本项目所在区域为</w:t>
            </w:r>
            <w:r>
              <w:rPr>
                <w:kern w:val="0"/>
                <w:sz w:val="24"/>
              </w:rPr>
              <w:t>福州市福清市江阴港城经济区内</w:t>
            </w:r>
            <w:r>
              <w:rPr>
                <w:rFonts w:hint="eastAsia"/>
                <w:kern w:val="0"/>
                <w:sz w:val="24"/>
              </w:rPr>
              <w:t>，</w:t>
            </w:r>
            <w:r>
              <w:rPr>
                <w:kern w:val="21"/>
                <w:sz w:val="24"/>
              </w:rPr>
              <w:t>占地均为工业用地</w:t>
            </w:r>
            <w:r>
              <w:rPr>
                <w:rFonts w:hint="eastAsia"/>
                <w:kern w:val="21"/>
                <w:sz w:val="24"/>
              </w:rPr>
              <w:t>。</w:t>
            </w:r>
          </w:p>
        </w:tc>
      </w:tr>
      <w:tr w14:paraId="1956B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 w:type="dxa"/>
            <w:tcMar>
              <w:left w:w="28" w:type="dxa"/>
              <w:right w:w="28" w:type="dxa"/>
            </w:tcMar>
            <w:vAlign w:val="center"/>
          </w:tcPr>
          <w:p w14:paraId="3706DC36">
            <w:pPr>
              <w:jc w:val="center"/>
              <w:rPr>
                <w:rFonts w:ascii="宋体" w:hAnsi="宋体" w:cs="宋体"/>
                <w:kern w:val="21"/>
                <w:sz w:val="24"/>
              </w:rPr>
            </w:pPr>
            <w:r>
              <w:rPr>
                <w:rFonts w:hint="eastAsia" w:ascii="宋体" w:hAnsi="宋体" w:cs="宋体"/>
                <w:kern w:val="21"/>
                <w:sz w:val="24"/>
              </w:rPr>
              <w:t>污染</w:t>
            </w:r>
          </w:p>
          <w:p w14:paraId="0091DF09">
            <w:pPr>
              <w:jc w:val="center"/>
              <w:rPr>
                <w:rFonts w:ascii="宋体" w:hAnsi="宋体" w:cs="宋体"/>
                <w:kern w:val="21"/>
                <w:sz w:val="24"/>
              </w:rPr>
            </w:pPr>
            <w:r>
              <w:rPr>
                <w:rFonts w:hint="eastAsia" w:ascii="宋体" w:hAnsi="宋体" w:cs="宋体"/>
                <w:kern w:val="21"/>
                <w:sz w:val="24"/>
              </w:rPr>
              <w:t>物排</w:t>
            </w:r>
          </w:p>
          <w:p w14:paraId="14E82691">
            <w:pPr>
              <w:jc w:val="center"/>
              <w:rPr>
                <w:rFonts w:ascii="宋体" w:hAnsi="宋体" w:cs="宋体"/>
                <w:kern w:val="21"/>
                <w:sz w:val="24"/>
              </w:rPr>
            </w:pPr>
            <w:r>
              <w:rPr>
                <w:rFonts w:hint="eastAsia" w:ascii="宋体" w:hAnsi="宋体" w:cs="宋体"/>
                <w:kern w:val="21"/>
                <w:sz w:val="24"/>
              </w:rPr>
              <w:t>放控</w:t>
            </w:r>
          </w:p>
          <w:p w14:paraId="6E326E02">
            <w:pPr>
              <w:jc w:val="center"/>
              <w:rPr>
                <w:rFonts w:ascii="宋体" w:hAnsi="宋体" w:cs="宋体"/>
                <w:kern w:val="21"/>
                <w:sz w:val="24"/>
              </w:rPr>
            </w:pPr>
            <w:r>
              <w:rPr>
                <w:rFonts w:hint="eastAsia" w:ascii="宋体" w:hAnsi="宋体" w:cs="宋体"/>
                <w:kern w:val="21"/>
                <w:sz w:val="24"/>
              </w:rPr>
              <w:t>制标</w:t>
            </w:r>
          </w:p>
          <w:p w14:paraId="29FD3303">
            <w:pPr>
              <w:jc w:val="center"/>
              <w:rPr>
                <w:rFonts w:ascii="宋体" w:hAnsi="宋体" w:cs="宋体"/>
                <w:color w:val="FF0000"/>
                <w:kern w:val="21"/>
                <w:szCs w:val="21"/>
              </w:rPr>
            </w:pPr>
            <w:r>
              <w:rPr>
                <w:rFonts w:hint="eastAsia" w:ascii="宋体" w:hAnsi="宋体" w:cs="宋体"/>
                <w:kern w:val="21"/>
                <w:sz w:val="24"/>
              </w:rPr>
              <w:t>准</w:t>
            </w:r>
          </w:p>
        </w:tc>
        <w:tc>
          <w:tcPr>
            <w:tcW w:w="8608" w:type="dxa"/>
            <w:vAlign w:val="center"/>
          </w:tcPr>
          <w:p w14:paraId="398AE5DB">
            <w:pPr>
              <w:pStyle w:val="66"/>
              <w:ind w:firstLine="0" w:firstLineChars="0"/>
              <w:rPr>
                <w:b/>
                <w:bCs/>
                <w:kern w:val="2"/>
                <w:sz w:val="24"/>
                <w:szCs w:val="24"/>
              </w:rPr>
            </w:pPr>
            <w:r>
              <w:rPr>
                <w:rFonts w:hint="eastAsia"/>
                <w:b/>
                <w:bCs/>
                <w:kern w:val="2"/>
                <w:sz w:val="24"/>
                <w:szCs w:val="24"/>
              </w:rPr>
              <w:t>3.3污染物排放标准</w:t>
            </w:r>
          </w:p>
          <w:p w14:paraId="3B7AE647">
            <w:pPr>
              <w:spacing w:line="360" w:lineRule="auto"/>
              <w:ind w:firstLine="480" w:firstLineChars="200"/>
              <w:jc w:val="left"/>
              <w:rPr>
                <w:sz w:val="24"/>
              </w:rPr>
            </w:pPr>
            <w:r>
              <w:rPr>
                <w:sz w:val="24"/>
              </w:rPr>
              <w:t>(</w:t>
            </w:r>
            <w:r>
              <w:rPr>
                <w:rFonts w:hint="eastAsia"/>
                <w:sz w:val="24"/>
              </w:rPr>
              <w:t>1</w:t>
            </w:r>
            <w:r>
              <w:rPr>
                <w:sz w:val="24"/>
              </w:rPr>
              <w:t>)</w:t>
            </w:r>
            <w:r>
              <w:rPr>
                <w:rFonts w:hint="eastAsia"/>
                <w:sz w:val="24"/>
              </w:rPr>
              <w:t>水污染物排放标准</w:t>
            </w:r>
          </w:p>
          <w:p w14:paraId="77FAFF00">
            <w:pPr>
              <w:spacing w:line="360" w:lineRule="auto"/>
              <w:ind w:firstLine="480" w:firstLineChars="200"/>
              <w:jc w:val="left"/>
              <w:rPr>
                <w:sz w:val="24"/>
              </w:rPr>
            </w:pPr>
            <w:r>
              <w:rPr>
                <w:sz w:val="24"/>
              </w:rPr>
              <w:fldChar w:fldCharType="begin"/>
            </w:r>
            <w:r>
              <w:rPr>
                <w:sz w:val="24"/>
              </w:rPr>
              <w:instrText xml:space="preserve"> = 1 \* GB3 \* MERGEFORMAT </w:instrText>
            </w:r>
            <w:r>
              <w:rPr>
                <w:sz w:val="24"/>
              </w:rPr>
              <w:fldChar w:fldCharType="separate"/>
            </w:r>
            <w:r>
              <w:rPr>
                <w:sz w:val="24"/>
              </w:rPr>
              <w:t>①</w:t>
            </w:r>
            <w:r>
              <w:rPr>
                <w:sz w:val="24"/>
              </w:rPr>
              <w:fldChar w:fldCharType="end"/>
            </w:r>
            <w:r>
              <w:rPr>
                <w:rFonts w:hint="eastAsia"/>
                <w:sz w:val="24"/>
              </w:rPr>
              <w:t>项目</w:t>
            </w:r>
            <w:r>
              <w:rPr>
                <w:sz w:val="24"/>
              </w:rPr>
              <w:t>水污染物排放标准</w:t>
            </w:r>
          </w:p>
          <w:p w14:paraId="4CE68D5F">
            <w:pPr>
              <w:spacing w:line="360" w:lineRule="auto"/>
              <w:ind w:firstLine="480" w:firstLineChars="200"/>
              <w:rPr>
                <w:color w:val="FF0000"/>
                <w:sz w:val="24"/>
                <w:szCs w:val="22"/>
              </w:rPr>
            </w:pPr>
            <w:r>
              <w:rPr>
                <w:sz w:val="24"/>
                <w:szCs w:val="22"/>
              </w:rPr>
              <w:t>项目无其他生产废水，只有少量的职工生活污水</w:t>
            </w:r>
            <w:r>
              <w:rPr>
                <w:rFonts w:hint="eastAsia"/>
                <w:sz w:val="24"/>
                <w:szCs w:val="22"/>
              </w:rPr>
              <w:t>，</w:t>
            </w:r>
            <w:r>
              <w:rPr>
                <w:sz w:val="24"/>
                <w:szCs w:val="22"/>
              </w:rPr>
              <w:t>参照生态环境部部长信箱2019年3月21日关于行业标准中生活污水执行问题的回复：若项目生活与生产废水完全隔绝，且采取了有效措施防止二者混排等风险，这类生活污水可按一般生活污水管理”，本项目无生产废水排放，因此，可不执行行业水污染物排放标准。</w:t>
            </w:r>
          </w:p>
          <w:p w14:paraId="5B9DA7B5">
            <w:pPr>
              <w:spacing w:line="360" w:lineRule="auto"/>
              <w:ind w:firstLine="480" w:firstLineChars="200"/>
              <w:jc w:val="left"/>
              <w:rPr>
                <w:sz w:val="24"/>
                <w:szCs w:val="22"/>
              </w:rPr>
            </w:pPr>
            <w:r>
              <w:rPr>
                <w:sz w:val="24"/>
                <w:szCs w:val="22"/>
              </w:rPr>
              <w:t>本项目产生的生活污水</w:t>
            </w:r>
            <w:r>
              <w:rPr>
                <w:rFonts w:hint="eastAsia"/>
                <w:sz w:val="24"/>
                <w:szCs w:val="22"/>
              </w:rPr>
              <w:t>经厂区内化粪池处理后</w:t>
            </w:r>
            <w:r>
              <w:rPr>
                <w:sz w:val="24"/>
              </w:rPr>
              <w:t>接入市政污水管网</w:t>
            </w:r>
            <w:r>
              <w:rPr>
                <w:rFonts w:hint="eastAsia"/>
                <w:sz w:val="24"/>
              </w:rPr>
              <w:t>进入江阴工业集中区污水处理厂处理，</w:t>
            </w:r>
            <w:r>
              <w:rPr>
                <w:sz w:val="24"/>
                <w:szCs w:val="20"/>
              </w:rPr>
              <w:t>处理后污水厂尾水最终排入兴化湾深海。</w:t>
            </w:r>
            <w:r>
              <w:rPr>
                <w:sz w:val="24"/>
              </w:rPr>
              <w:t>项目生活污水排放执行《污水综合排放标准》(GB8978-1996)表4三级标准(其中氨氮参照执行《污水排入城镇下水道水质标准》(GB/T31962-2015)表1中B级标准限值)，</w:t>
            </w:r>
            <w:r>
              <w:rPr>
                <w:sz w:val="24"/>
                <w:szCs w:val="22"/>
              </w:rPr>
              <w:t>具体详见表3.3-1。</w:t>
            </w:r>
          </w:p>
          <w:p w14:paraId="074A8ABD">
            <w:pPr>
              <w:jc w:val="center"/>
              <w:rPr>
                <w:b/>
                <w:bCs/>
                <w:sz w:val="24"/>
              </w:rPr>
            </w:pPr>
            <w:r>
              <w:rPr>
                <w:b/>
                <w:bCs/>
                <w:sz w:val="24"/>
              </w:rPr>
              <w:t>表3.</w:t>
            </w:r>
            <w:r>
              <w:rPr>
                <w:rFonts w:hint="eastAsia"/>
                <w:b/>
                <w:bCs/>
                <w:sz w:val="24"/>
              </w:rPr>
              <w:t>3-</w:t>
            </w:r>
            <w:r>
              <w:rPr>
                <w:b/>
                <w:bCs/>
                <w:sz w:val="24"/>
              </w:rPr>
              <w:t>1  项目</w:t>
            </w:r>
            <w:r>
              <w:rPr>
                <w:rFonts w:hint="eastAsia"/>
                <w:b/>
                <w:bCs/>
                <w:sz w:val="24"/>
              </w:rPr>
              <w:t>生活污水</w:t>
            </w:r>
            <w:r>
              <w:rPr>
                <w:b/>
                <w:bCs/>
                <w:sz w:val="24"/>
              </w:rPr>
              <w:t>执行的污水排放标准</w:t>
            </w:r>
          </w:p>
          <w:tbl>
            <w:tblPr>
              <w:tblStyle w:val="34"/>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2370"/>
              <w:gridCol w:w="4471"/>
            </w:tblGrid>
            <w:tr w14:paraId="78EA4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63" w:type="dxa"/>
                  <w:vAlign w:val="center"/>
                </w:tcPr>
                <w:p w14:paraId="44B36ECA">
                  <w:pPr>
                    <w:pStyle w:val="84"/>
                    <w:rPr>
                      <w:snapToGrid w:val="0"/>
                      <w:kern w:val="18"/>
                      <w:szCs w:val="21"/>
                    </w:rPr>
                  </w:pPr>
                  <w:r>
                    <w:rPr>
                      <w:snapToGrid w:val="0"/>
                      <w:kern w:val="18"/>
                      <w:szCs w:val="21"/>
                    </w:rPr>
                    <w:t>污染物名称</w:t>
                  </w:r>
                </w:p>
              </w:tc>
              <w:tc>
                <w:tcPr>
                  <w:tcW w:w="2370" w:type="dxa"/>
                  <w:vAlign w:val="center"/>
                </w:tcPr>
                <w:p w14:paraId="6A9557FB">
                  <w:pPr>
                    <w:pStyle w:val="84"/>
                    <w:rPr>
                      <w:snapToGrid w:val="0"/>
                      <w:kern w:val="18"/>
                      <w:szCs w:val="21"/>
                    </w:rPr>
                  </w:pPr>
                  <w:r>
                    <w:rPr>
                      <w:snapToGrid w:val="0"/>
                      <w:kern w:val="18"/>
                      <w:szCs w:val="21"/>
                    </w:rPr>
                    <w:t>标准值</w:t>
                  </w:r>
                </w:p>
              </w:tc>
              <w:tc>
                <w:tcPr>
                  <w:tcW w:w="4471" w:type="dxa"/>
                  <w:vAlign w:val="center"/>
                </w:tcPr>
                <w:p w14:paraId="7A7183FD">
                  <w:pPr>
                    <w:pStyle w:val="84"/>
                    <w:rPr>
                      <w:snapToGrid w:val="0"/>
                      <w:kern w:val="18"/>
                      <w:szCs w:val="21"/>
                    </w:rPr>
                  </w:pPr>
                  <w:r>
                    <w:rPr>
                      <w:snapToGrid w:val="0"/>
                      <w:kern w:val="18"/>
                      <w:szCs w:val="21"/>
                    </w:rPr>
                    <w:t>标准来源</w:t>
                  </w:r>
                </w:p>
              </w:tc>
            </w:tr>
            <w:tr w14:paraId="6307A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63" w:type="dxa"/>
                  <w:vAlign w:val="center"/>
                </w:tcPr>
                <w:p w14:paraId="26EEF67E">
                  <w:pPr>
                    <w:pStyle w:val="84"/>
                    <w:rPr>
                      <w:snapToGrid w:val="0"/>
                      <w:kern w:val="18"/>
                      <w:szCs w:val="21"/>
                    </w:rPr>
                  </w:pPr>
                  <w:r>
                    <w:rPr>
                      <w:snapToGrid w:val="0"/>
                      <w:kern w:val="18"/>
                      <w:szCs w:val="21"/>
                    </w:rPr>
                    <w:t>pH</w:t>
                  </w:r>
                </w:p>
              </w:tc>
              <w:tc>
                <w:tcPr>
                  <w:tcW w:w="2370" w:type="dxa"/>
                  <w:vAlign w:val="center"/>
                </w:tcPr>
                <w:p w14:paraId="2ED552BD">
                  <w:pPr>
                    <w:pStyle w:val="84"/>
                    <w:rPr>
                      <w:snapToGrid w:val="0"/>
                      <w:kern w:val="18"/>
                      <w:szCs w:val="21"/>
                    </w:rPr>
                  </w:pPr>
                  <w:r>
                    <w:rPr>
                      <w:snapToGrid w:val="0"/>
                      <w:kern w:val="18"/>
                      <w:szCs w:val="21"/>
                    </w:rPr>
                    <w:t>6～9(无量纲)</w:t>
                  </w:r>
                </w:p>
              </w:tc>
              <w:tc>
                <w:tcPr>
                  <w:tcW w:w="4471" w:type="dxa"/>
                  <w:vMerge w:val="restart"/>
                  <w:vAlign w:val="center"/>
                </w:tcPr>
                <w:p w14:paraId="664BCD9E">
                  <w:pPr>
                    <w:pStyle w:val="84"/>
                    <w:rPr>
                      <w:snapToGrid w:val="0"/>
                      <w:kern w:val="18"/>
                      <w:szCs w:val="21"/>
                    </w:rPr>
                  </w:pPr>
                  <w:r>
                    <w:rPr>
                      <w:snapToGrid w:val="0"/>
                      <w:kern w:val="18"/>
                      <w:szCs w:val="21"/>
                    </w:rPr>
                    <w:t>《污水综合排放标准》(GB8978-1996)</w:t>
                  </w:r>
                </w:p>
                <w:p w14:paraId="139AD969">
                  <w:pPr>
                    <w:pStyle w:val="84"/>
                    <w:rPr>
                      <w:snapToGrid w:val="0"/>
                      <w:kern w:val="18"/>
                      <w:szCs w:val="21"/>
                    </w:rPr>
                  </w:pPr>
                  <w:r>
                    <w:rPr>
                      <w:snapToGrid w:val="0"/>
                      <w:kern w:val="18"/>
                      <w:szCs w:val="21"/>
                    </w:rPr>
                    <w:t>中表4三级标准</w:t>
                  </w:r>
                </w:p>
              </w:tc>
            </w:tr>
            <w:tr w14:paraId="757CD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63" w:type="dxa"/>
                  <w:vAlign w:val="center"/>
                </w:tcPr>
                <w:p w14:paraId="6E2F6D86">
                  <w:pPr>
                    <w:pStyle w:val="84"/>
                    <w:rPr>
                      <w:snapToGrid w:val="0"/>
                      <w:kern w:val="18"/>
                      <w:szCs w:val="21"/>
                    </w:rPr>
                  </w:pPr>
                  <w:r>
                    <w:rPr>
                      <w:snapToGrid w:val="0"/>
                      <w:kern w:val="18"/>
                      <w:szCs w:val="21"/>
                    </w:rPr>
                    <w:t>COD</w:t>
                  </w:r>
                </w:p>
              </w:tc>
              <w:tc>
                <w:tcPr>
                  <w:tcW w:w="2370" w:type="dxa"/>
                  <w:vAlign w:val="center"/>
                </w:tcPr>
                <w:p w14:paraId="2BC0960A">
                  <w:pPr>
                    <w:pStyle w:val="84"/>
                    <w:rPr>
                      <w:snapToGrid w:val="0"/>
                      <w:kern w:val="18"/>
                      <w:szCs w:val="21"/>
                    </w:rPr>
                  </w:pPr>
                  <w:r>
                    <w:rPr>
                      <w:snapToGrid w:val="0"/>
                      <w:kern w:val="18"/>
                      <w:szCs w:val="21"/>
                    </w:rPr>
                    <w:t>500mg/L</w:t>
                  </w:r>
                </w:p>
              </w:tc>
              <w:tc>
                <w:tcPr>
                  <w:tcW w:w="4471" w:type="dxa"/>
                  <w:vMerge w:val="continue"/>
                  <w:vAlign w:val="center"/>
                </w:tcPr>
                <w:p w14:paraId="42FC822C">
                  <w:pPr>
                    <w:pStyle w:val="84"/>
                    <w:rPr>
                      <w:snapToGrid w:val="0"/>
                      <w:kern w:val="18"/>
                      <w:szCs w:val="21"/>
                    </w:rPr>
                  </w:pPr>
                </w:p>
              </w:tc>
            </w:tr>
            <w:tr w14:paraId="648C2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63" w:type="dxa"/>
                  <w:vAlign w:val="center"/>
                </w:tcPr>
                <w:p w14:paraId="53B2899D">
                  <w:pPr>
                    <w:pStyle w:val="84"/>
                    <w:rPr>
                      <w:snapToGrid w:val="0"/>
                      <w:kern w:val="18"/>
                      <w:szCs w:val="21"/>
                    </w:rPr>
                  </w:pPr>
                  <w:r>
                    <w:rPr>
                      <w:snapToGrid w:val="0"/>
                      <w:kern w:val="18"/>
                      <w:szCs w:val="21"/>
                    </w:rPr>
                    <w:t>BOD</w:t>
                  </w:r>
                  <w:r>
                    <w:rPr>
                      <w:snapToGrid w:val="0"/>
                      <w:kern w:val="18"/>
                      <w:szCs w:val="21"/>
                      <w:vertAlign w:val="subscript"/>
                    </w:rPr>
                    <w:t>5</w:t>
                  </w:r>
                </w:p>
              </w:tc>
              <w:tc>
                <w:tcPr>
                  <w:tcW w:w="2370" w:type="dxa"/>
                  <w:vAlign w:val="center"/>
                </w:tcPr>
                <w:p w14:paraId="1BE598C4">
                  <w:pPr>
                    <w:pStyle w:val="84"/>
                    <w:rPr>
                      <w:snapToGrid w:val="0"/>
                      <w:kern w:val="18"/>
                      <w:szCs w:val="21"/>
                    </w:rPr>
                  </w:pPr>
                  <w:r>
                    <w:rPr>
                      <w:snapToGrid w:val="0"/>
                      <w:kern w:val="18"/>
                      <w:szCs w:val="21"/>
                    </w:rPr>
                    <w:t>300mg/L</w:t>
                  </w:r>
                </w:p>
              </w:tc>
              <w:tc>
                <w:tcPr>
                  <w:tcW w:w="4471" w:type="dxa"/>
                  <w:vMerge w:val="continue"/>
                  <w:vAlign w:val="center"/>
                </w:tcPr>
                <w:p w14:paraId="13EE95C1">
                  <w:pPr>
                    <w:pStyle w:val="84"/>
                    <w:rPr>
                      <w:snapToGrid w:val="0"/>
                      <w:kern w:val="18"/>
                      <w:szCs w:val="21"/>
                    </w:rPr>
                  </w:pPr>
                </w:p>
              </w:tc>
            </w:tr>
            <w:tr w14:paraId="2D9F4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63" w:type="dxa"/>
                  <w:vAlign w:val="center"/>
                </w:tcPr>
                <w:p w14:paraId="02C3ACB4">
                  <w:pPr>
                    <w:pStyle w:val="84"/>
                    <w:rPr>
                      <w:snapToGrid w:val="0"/>
                      <w:kern w:val="18"/>
                      <w:szCs w:val="21"/>
                    </w:rPr>
                  </w:pPr>
                  <w:r>
                    <w:rPr>
                      <w:snapToGrid w:val="0"/>
                      <w:kern w:val="18"/>
                      <w:szCs w:val="21"/>
                    </w:rPr>
                    <w:t>SS</w:t>
                  </w:r>
                </w:p>
              </w:tc>
              <w:tc>
                <w:tcPr>
                  <w:tcW w:w="2370" w:type="dxa"/>
                  <w:vAlign w:val="center"/>
                </w:tcPr>
                <w:p w14:paraId="6C668DB4">
                  <w:pPr>
                    <w:pStyle w:val="84"/>
                    <w:rPr>
                      <w:snapToGrid w:val="0"/>
                      <w:kern w:val="18"/>
                      <w:szCs w:val="21"/>
                    </w:rPr>
                  </w:pPr>
                  <w:r>
                    <w:rPr>
                      <w:snapToGrid w:val="0"/>
                      <w:kern w:val="18"/>
                      <w:szCs w:val="21"/>
                    </w:rPr>
                    <w:t>400mg/L</w:t>
                  </w:r>
                </w:p>
              </w:tc>
              <w:tc>
                <w:tcPr>
                  <w:tcW w:w="4471" w:type="dxa"/>
                  <w:vMerge w:val="continue"/>
                  <w:vAlign w:val="center"/>
                </w:tcPr>
                <w:p w14:paraId="34DF5F82">
                  <w:pPr>
                    <w:pStyle w:val="84"/>
                    <w:rPr>
                      <w:snapToGrid w:val="0"/>
                      <w:kern w:val="18"/>
                      <w:szCs w:val="21"/>
                    </w:rPr>
                  </w:pPr>
                </w:p>
              </w:tc>
            </w:tr>
            <w:tr w14:paraId="35A79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63" w:type="dxa"/>
                  <w:vAlign w:val="center"/>
                </w:tcPr>
                <w:p w14:paraId="31CA7E0C">
                  <w:pPr>
                    <w:pStyle w:val="84"/>
                    <w:rPr>
                      <w:snapToGrid w:val="0"/>
                      <w:kern w:val="18"/>
                      <w:szCs w:val="21"/>
                    </w:rPr>
                  </w:pPr>
                  <w:r>
                    <w:rPr>
                      <w:snapToGrid w:val="0"/>
                      <w:kern w:val="18"/>
                      <w:szCs w:val="21"/>
                    </w:rPr>
                    <w:t>NH</w:t>
                  </w:r>
                  <w:r>
                    <w:rPr>
                      <w:snapToGrid w:val="0"/>
                      <w:kern w:val="18"/>
                      <w:szCs w:val="21"/>
                      <w:vertAlign w:val="subscript"/>
                    </w:rPr>
                    <w:t>3</w:t>
                  </w:r>
                  <w:r>
                    <w:rPr>
                      <w:snapToGrid w:val="0"/>
                      <w:kern w:val="18"/>
                      <w:szCs w:val="21"/>
                    </w:rPr>
                    <w:t>-N</w:t>
                  </w:r>
                </w:p>
              </w:tc>
              <w:tc>
                <w:tcPr>
                  <w:tcW w:w="2370" w:type="dxa"/>
                  <w:vAlign w:val="center"/>
                </w:tcPr>
                <w:p w14:paraId="07BC57D0">
                  <w:pPr>
                    <w:pStyle w:val="84"/>
                    <w:rPr>
                      <w:snapToGrid w:val="0"/>
                      <w:kern w:val="18"/>
                      <w:szCs w:val="21"/>
                    </w:rPr>
                  </w:pPr>
                  <w:r>
                    <w:rPr>
                      <w:snapToGrid w:val="0"/>
                      <w:kern w:val="18"/>
                      <w:szCs w:val="21"/>
                    </w:rPr>
                    <w:t>45mg/L</w:t>
                  </w:r>
                </w:p>
              </w:tc>
              <w:tc>
                <w:tcPr>
                  <w:tcW w:w="4471" w:type="dxa"/>
                  <w:vAlign w:val="center"/>
                </w:tcPr>
                <w:p w14:paraId="354D1FA3">
                  <w:pPr>
                    <w:pStyle w:val="84"/>
                    <w:rPr>
                      <w:snapToGrid w:val="0"/>
                      <w:kern w:val="18"/>
                      <w:szCs w:val="21"/>
                    </w:rPr>
                  </w:pPr>
                  <w:r>
                    <w:rPr>
                      <w:snapToGrid w:val="0"/>
                      <w:kern w:val="18"/>
                      <w:szCs w:val="21"/>
                    </w:rPr>
                    <w:t>参照执行《污水排入城镇下水道水质标准》(GB/T31962-2015)表1中B级标准</w:t>
                  </w:r>
                </w:p>
              </w:tc>
            </w:tr>
          </w:tbl>
          <w:p w14:paraId="16F73E3A">
            <w:pPr>
              <w:numPr>
                <w:ins w:id="0" w:author="fu qiang" w:date="2018-03-27T11:06:00Z"/>
              </w:numPr>
              <w:spacing w:beforeLines="50" w:line="360" w:lineRule="auto"/>
              <w:ind w:firstLine="480" w:firstLineChars="200"/>
              <w:rPr>
                <w:sz w:val="24"/>
                <w:shd w:val="clear" w:color="auto" w:fill="FFFFFF"/>
              </w:rPr>
            </w:pPr>
            <w:bookmarkStart w:id="23" w:name="_Toc7698"/>
            <w:bookmarkStart w:id="24" w:name="_Toc492278611"/>
            <w:bookmarkStart w:id="25" w:name="_Toc461002554"/>
            <w:bookmarkStart w:id="26" w:name="_Toc490031198"/>
            <w:bookmarkStart w:id="27" w:name="_Toc31355_WPSOffice_Level2"/>
            <w:r>
              <w:rPr>
                <w:sz w:val="24"/>
              </w:rPr>
              <w:fldChar w:fldCharType="begin"/>
            </w:r>
            <w:r>
              <w:rPr>
                <w:sz w:val="24"/>
              </w:rPr>
              <w:instrText xml:space="preserve"> = 2 \* GB3 \* MERGEFORMAT </w:instrText>
            </w:r>
            <w:r>
              <w:rPr>
                <w:sz w:val="24"/>
              </w:rPr>
              <w:fldChar w:fldCharType="separate"/>
            </w:r>
            <w:r>
              <w:rPr>
                <w:sz w:val="24"/>
              </w:rPr>
              <w:t>②</w:t>
            </w:r>
            <w:r>
              <w:rPr>
                <w:sz w:val="24"/>
              </w:rPr>
              <w:fldChar w:fldCharType="end"/>
            </w:r>
            <w:r>
              <w:rPr>
                <w:sz w:val="24"/>
                <w:shd w:val="clear" w:color="auto" w:fill="FFFFFF"/>
              </w:rPr>
              <w:t>污水厂排放标准</w:t>
            </w:r>
          </w:p>
          <w:bookmarkEnd w:id="23"/>
          <w:bookmarkEnd w:id="24"/>
          <w:bookmarkEnd w:id="25"/>
          <w:bookmarkEnd w:id="26"/>
          <w:p w14:paraId="05170EC2">
            <w:pPr>
              <w:spacing w:line="360" w:lineRule="auto"/>
              <w:ind w:firstLine="480" w:firstLineChars="200"/>
              <w:rPr>
                <w:sz w:val="24"/>
              </w:rPr>
            </w:pPr>
            <w:r>
              <w:rPr>
                <w:sz w:val="24"/>
              </w:rPr>
              <w:t>根据调查，</w:t>
            </w:r>
            <w:r>
              <w:rPr>
                <w:rFonts w:hint="eastAsia"/>
                <w:sz w:val="24"/>
              </w:rPr>
              <w:t>江阴工业集中区污水处理厂</w:t>
            </w:r>
            <w:r>
              <w:rPr>
                <w:sz w:val="24"/>
              </w:rPr>
              <w:t>尾水排放执行《城镇污水处理厂污染物排放标准》(GB18918-2002)及其修改单表1的一级标准A标准，</w:t>
            </w:r>
            <w:r>
              <w:rPr>
                <w:rFonts w:hint="eastAsia"/>
                <w:sz w:val="24"/>
              </w:rPr>
              <w:t>尾水达标后排入</w:t>
            </w:r>
            <w:r>
              <w:rPr>
                <w:sz w:val="24"/>
                <w:szCs w:val="20"/>
              </w:rPr>
              <w:t>兴化湾深海</w:t>
            </w:r>
            <w:r>
              <w:rPr>
                <w:rFonts w:hint="eastAsia"/>
                <w:sz w:val="24"/>
              </w:rPr>
              <w:t>。</w:t>
            </w:r>
            <w:r>
              <w:rPr>
                <w:sz w:val="24"/>
              </w:rPr>
              <w:t>具体详见表</w:t>
            </w:r>
            <w:r>
              <w:rPr>
                <w:rFonts w:hint="eastAsia"/>
                <w:sz w:val="24"/>
              </w:rPr>
              <w:t>3.3-2</w:t>
            </w:r>
            <w:r>
              <w:rPr>
                <w:sz w:val="24"/>
              </w:rPr>
              <w:t>。</w:t>
            </w:r>
          </w:p>
          <w:p w14:paraId="1EF7AA71">
            <w:pPr>
              <w:jc w:val="center"/>
              <w:rPr>
                <w:b/>
                <w:bCs/>
                <w:sz w:val="24"/>
              </w:rPr>
            </w:pPr>
            <w:r>
              <w:rPr>
                <w:rFonts w:hint="eastAsia"/>
                <w:b/>
                <w:bCs/>
                <w:sz w:val="24"/>
              </w:rPr>
              <w:t xml:space="preserve">表3.3-2  </w:t>
            </w:r>
            <w:r>
              <w:rPr>
                <w:b/>
                <w:bCs/>
                <w:sz w:val="24"/>
              </w:rPr>
              <w:t>污水处理厂污水排放标准</w:t>
            </w:r>
          </w:p>
          <w:tbl>
            <w:tblPr>
              <w:tblStyle w:val="34"/>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2430"/>
              <w:gridCol w:w="4786"/>
            </w:tblGrid>
            <w:tr w14:paraId="41DE6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88" w:type="dxa"/>
                  <w:vAlign w:val="center"/>
                </w:tcPr>
                <w:p w14:paraId="0884DBD5">
                  <w:pPr>
                    <w:pStyle w:val="84"/>
                    <w:rPr>
                      <w:snapToGrid w:val="0"/>
                      <w:kern w:val="18"/>
                    </w:rPr>
                  </w:pPr>
                  <w:r>
                    <w:rPr>
                      <w:snapToGrid w:val="0"/>
                      <w:kern w:val="18"/>
                    </w:rPr>
                    <w:t>污染物名称</w:t>
                  </w:r>
                </w:p>
              </w:tc>
              <w:tc>
                <w:tcPr>
                  <w:tcW w:w="2430" w:type="dxa"/>
                  <w:vAlign w:val="center"/>
                </w:tcPr>
                <w:p w14:paraId="6D4E91C1">
                  <w:pPr>
                    <w:pStyle w:val="84"/>
                    <w:rPr>
                      <w:snapToGrid w:val="0"/>
                      <w:kern w:val="18"/>
                    </w:rPr>
                  </w:pPr>
                  <w:r>
                    <w:rPr>
                      <w:snapToGrid w:val="0"/>
                      <w:kern w:val="18"/>
                    </w:rPr>
                    <w:t>一级标准A标准限值</w:t>
                  </w:r>
                </w:p>
              </w:tc>
              <w:tc>
                <w:tcPr>
                  <w:tcW w:w="4786" w:type="dxa"/>
                  <w:vAlign w:val="center"/>
                </w:tcPr>
                <w:p w14:paraId="45585B1D">
                  <w:pPr>
                    <w:pStyle w:val="84"/>
                    <w:rPr>
                      <w:snapToGrid w:val="0"/>
                      <w:kern w:val="18"/>
                    </w:rPr>
                  </w:pPr>
                  <w:r>
                    <w:rPr>
                      <w:snapToGrid w:val="0"/>
                      <w:kern w:val="18"/>
                    </w:rPr>
                    <w:t>标准来源</w:t>
                  </w:r>
                </w:p>
              </w:tc>
            </w:tr>
            <w:tr w14:paraId="45D46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88" w:type="dxa"/>
                  <w:vAlign w:val="center"/>
                </w:tcPr>
                <w:p w14:paraId="0D8F74B4">
                  <w:pPr>
                    <w:pStyle w:val="84"/>
                    <w:rPr>
                      <w:snapToGrid w:val="0"/>
                      <w:kern w:val="18"/>
                    </w:rPr>
                  </w:pPr>
                  <w:r>
                    <w:rPr>
                      <w:snapToGrid w:val="0"/>
                      <w:kern w:val="18"/>
                    </w:rPr>
                    <w:t>pH</w:t>
                  </w:r>
                </w:p>
              </w:tc>
              <w:tc>
                <w:tcPr>
                  <w:tcW w:w="2430" w:type="dxa"/>
                  <w:vAlign w:val="center"/>
                </w:tcPr>
                <w:p w14:paraId="2AC7B1E5">
                  <w:pPr>
                    <w:pStyle w:val="84"/>
                    <w:rPr>
                      <w:snapToGrid w:val="0"/>
                      <w:kern w:val="18"/>
                    </w:rPr>
                  </w:pPr>
                  <w:r>
                    <w:rPr>
                      <w:snapToGrid w:val="0"/>
                      <w:kern w:val="18"/>
                    </w:rPr>
                    <w:t>6～9 (无量纲)</w:t>
                  </w:r>
                </w:p>
              </w:tc>
              <w:tc>
                <w:tcPr>
                  <w:tcW w:w="4786" w:type="dxa"/>
                  <w:vMerge w:val="restart"/>
                  <w:vAlign w:val="center"/>
                </w:tcPr>
                <w:p w14:paraId="10B0190E">
                  <w:pPr>
                    <w:pStyle w:val="84"/>
                    <w:rPr>
                      <w:snapToGrid w:val="0"/>
                      <w:kern w:val="18"/>
                    </w:rPr>
                  </w:pPr>
                  <w:r>
                    <w:rPr>
                      <w:snapToGrid w:val="0"/>
                      <w:kern w:val="18"/>
                    </w:rPr>
                    <w:t>《城镇污水处理厂污染物排放标准》(GB18918-2002)及其修改单表1的一级标准A标准</w:t>
                  </w:r>
                </w:p>
              </w:tc>
            </w:tr>
            <w:tr w14:paraId="32F32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88" w:type="dxa"/>
                  <w:vAlign w:val="center"/>
                </w:tcPr>
                <w:p w14:paraId="39950608">
                  <w:pPr>
                    <w:pStyle w:val="84"/>
                    <w:rPr>
                      <w:snapToGrid w:val="0"/>
                      <w:kern w:val="18"/>
                    </w:rPr>
                  </w:pPr>
                  <w:r>
                    <w:rPr>
                      <w:snapToGrid w:val="0"/>
                      <w:kern w:val="18"/>
                    </w:rPr>
                    <w:t>COD</w:t>
                  </w:r>
                </w:p>
              </w:tc>
              <w:tc>
                <w:tcPr>
                  <w:tcW w:w="2430" w:type="dxa"/>
                  <w:vAlign w:val="center"/>
                </w:tcPr>
                <w:p w14:paraId="480715EF">
                  <w:pPr>
                    <w:pStyle w:val="84"/>
                    <w:rPr>
                      <w:snapToGrid w:val="0"/>
                      <w:kern w:val="18"/>
                    </w:rPr>
                  </w:pPr>
                  <w:r>
                    <w:rPr>
                      <w:snapToGrid w:val="0"/>
                      <w:kern w:val="18"/>
                    </w:rPr>
                    <w:t>50mg/L</w:t>
                  </w:r>
                </w:p>
              </w:tc>
              <w:tc>
                <w:tcPr>
                  <w:tcW w:w="4786" w:type="dxa"/>
                  <w:vMerge w:val="continue"/>
                  <w:vAlign w:val="center"/>
                </w:tcPr>
                <w:p w14:paraId="6DDB2E15">
                  <w:pPr>
                    <w:pStyle w:val="84"/>
                    <w:rPr>
                      <w:snapToGrid w:val="0"/>
                      <w:kern w:val="18"/>
                    </w:rPr>
                  </w:pPr>
                </w:p>
              </w:tc>
            </w:tr>
            <w:tr w14:paraId="03AEE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88" w:type="dxa"/>
                  <w:vAlign w:val="center"/>
                </w:tcPr>
                <w:p w14:paraId="399CAD8D">
                  <w:pPr>
                    <w:pStyle w:val="84"/>
                    <w:rPr>
                      <w:snapToGrid w:val="0"/>
                      <w:kern w:val="18"/>
                    </w:rPr>
                  </w:pPr>
                  <w:r>
                    <w:rPr>
                      <w:snapToGrid w:val="0"/>
                      <w:kern w:val="18"/>
                    </w:rPr>
                    <w:t>BOD</w:t>
                  </w:r>
                  <w:r>
                    <w:rPr>
                      <w:snapToGrid w:val="0"/>
                      <w:kern w:val="18"/>
                      <w:vertAlign w:val="subscript"/>
                    </w:rPr>
                    <w:t>5</w:t>
                  </w:r>
                </w:p>
              </w:tc>
              <w:tc>
                <w:tcPr>
                  <w:tcW w:w="2430" w:type="dxa"/>
                  <w:vAlign w:val="center"/>
                </w:tcPr>
                <w:p w14:paraId="39E5AEA4">
                  <w:pPr>
                    <w:pStyle w:val="84"/>
                    <w:rPr>
                      <w:snapToGrid w:val="0"/>
                      <w:kern w:val="18"/>
                    </w:rPr>
                  </w:pPr>
                  <w:r>
                    <w:rPr>
                      <w:snapToGrid w:val="0"/>
                      <w:kern w:val="18"/>
                    </w:rPr>
                    <w:t>10mg/L</w:t>
                  </w:r>
                </w:p>
              </w:tc>
              <w:tc>
                <w:tcPr>
                  <w:tcW w:w="4786" w:type="dxa"/>
                  <w:vMerge w:val="continue"/>
                  <w:vAlign w:val="center"/>
                </w:tcPr>
                <w:p w14:paraId="4F670668">
                  <w:pPr>
                    <w:pStyle w:val="84"/>
                    <w:rPr>
                      <w:snapToGrid w:val="0"/>
                      <w:kern w:val="18"/>
                    </w:rPr>
                  </w:pPr>
                </w:p>
              </w:tc>
            </w:tr>
            <w:tr w14:paraId="7FC90E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88" w:type="dxa"/>
                  <w:vAlign w:val="center"/>
                </w:tcPr>
                <w:p w14:paraId="6F3B0587">
                  <w:pPr>
                    <w:pStyle w:val="84"/>
                    <w:rPr>
                      <w:snapToGrid w:val="0"/>
                      <w:kern w:val="18"/>
                    </w:rPr>
                  </w:pPr>
                  <w:r>
                    <w:rPr>
                      <w:snapToGrid w:val="0"/>
                      <w:kern w:val="18"/>
                    </w:rPr>
                    <w:t>SS</w:t>
                  </w:r>
                </w:p>
              </w:tc>
              <w:tc>
                <w:tcPr>
                  <w:tcW w:w="2430" w:type="dxa"/>
                  <w:vAlign w:val="center"/>
                </w:tcPr>
                <w:p w14:paraId="60658EDA">
                  <w:pPr>
                    <w:pStyle w:val="84"/>
                    <w:rPr>
                      <w:snapToGrid w:val="0"/>
                      <w:kern w:val="18"/>
                    </w:rPr>
                  </w:pPr>
                  <w:r>
                    <w:rPr>
                      <w:snapToGrid w:val="0"/>
                      <w:kern w:val="18"/>
                    </w:rPr>
                    <w:t>10mg/L</w:t>
                  </w:r>
                </w:p>
              </w:tc>
              <w:tc>
                <w:tcPr>
                  <w:tcW w:w="4786" w:type="dxa"/>
                  <w:vMerge w:val="continue"/>
                  <w:vAlign w:val="center"/>
                </w:tcPr>
                <w:p w14:paraId="47DF9256">
                  <w:pPr>
                    <w:pStyle w:val="84"/>
                    <w:rPr>
                      <w:snapToGrid w:val="0"/>
                      <w:kern w:val="18"/>
                    </w:rPr>
                  </w:pPr>
                </w:p>
              </w:tc>
            </w:tr>
            <w:tr w14:paraId="11969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88" w:type="dxa"/>
                  <w:vAlign w:val="center"/>
                </w:tcPr>
                <w:p w14:paraId="33F3FCC8">
                  <w:pPr>
                    <w:pStyle w:val="84"/>
                    <w:rPr>
                      <w:snapToGrid w:val="0"/>
                      <w:kern w:val="18"/>
                    </w:rPr>
                  </w:pPr>
                  <w:r>
                    <w:rPr>
                      <w:snapToGrid w:val="0"/>
                      <w:kern w:val="18"/>
                    </w:rPr>
                    <w:t>NH</w:t>
                  </w:r>
                  <w:r>
                    <w:rPr>
                      <w:snapToGrid w:val="0"/>
                      <w:kern w:val="18"/>
                      <w:vertAlign w:val="subscript"/>
                    </w:rPr>
                    <w:t>3</w:t>
                  </w:r>
                  <w:r>
                    <w:rPr>
                      <w:snapToGrid w:val="0"/>
                      <w:kern w:val="18"/>
                    </w:rPr>
                    <w:t>-N</w:t>
                  </w:r>
                </w:p>
              </w:tc>
              <w:tc>
                <w:tcPr>
                  <w:tcW w:w="2430" w:type="dxa"/>
                  <w:vAlign w:val="center"/>
                </w:tcPr>
                <w:p w14:paraId="36D1F2DD">
                  <w:pPr>
                    <w:pStyle w:val="84"/>
                    <w:rPr>
                      <w:snapToGrid w:val="0"/>
                      <w:kern w:val="18"/>
                    </w:rPr>
                  </w:pPr>
                  <w:r>
                    <w:rPr>
                      <w:snapToGrid w:val="0"/>
                      <w:kern w:val="18"/>
                    </w:rPr>
                    <w:t>5</w:t>
                  </w:r>
                  <w:r>
                    <w:rPr>
                      <w:rFonts w:hint="eastAsia"/>
                      <w:snapToGrid w:val="0"/>
                      <w:kern w:val="18"/>
                    </w:rPr>
                    <w:t>（8）</w:t>
                  </w:r>
                  <w:r>
                    <w:rPr>
                      <w:snapToGrid w:val="0"/>
                      <w:kern w:val="18"/>
                    </w:rPr>
                    <w:t>mg/L</w:t>
                  </w:r>
                </w:p>
              </w:tc>
              <w:tc>
                <w:tcPr>
                  <w:tcW w:w="4786" w:type="dxa"/>
                  <w:vMerge w:val="continue"/>
                  <w:vAlign w:val="center"/>
                </w:tcPr>
                <w:p w14:paraId="51994F95">
                  <w:pPr>
                    <w:pStyle w:val="84"/>
                    <w:rPr>
                      <w:snapToGrid w:val="0"/>
                      <w:kern w:val="18"/>
                    </w:rPr>
                  </w:pPr>
                </w:p>
              </w:tc>
            </w:tr>
            <w:tr w14:paraId="1AC32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04" w:type="dxa"/>
                  <w:gridSpan w:val="3"/>
                  <w:vAlign w:val="center"/>
                </w:tcPr>
                <w:p w14:paraId="0B152691">
                  <w:pPr>
                    <w:rPr>
                      <w:szCs w:val="21"/>
                    </w:rPr>
                  </w:pPr>
                  <w:r>
                    <w:rPr>
                      <w:szCs w:val="21"/>
                    </w:rPr>
                    <w:t>注：括号外数值为水温&gt;12℃时的控制指标，括号内数值为水温≤12℃时的控制指标。</w:t>
                  </w:r>
                </w:p>
                <w:p w14:paraId="4889587E">
                  <w:pPr>
                    <w:pStyle w:val="84"/>
                    <w:jc w:val="both"/>
                    <w:rPr>
                      <w:snapToGrid w:val="0"/>
                      <w:kern w:val="18"/>
                    </w:rPr>
                  </w:pPr>
                </w:p>
              </w:tc>
            </w:tr>
          </w:tbl>
          <w:p w14:paraId="609AF272">
            <w:pPr>
              <w:spacing w:line="360" w:lineRule="auto"/>
              <w:ind w:firstLine="480" w:firstLineChars="200"/>
              <w:jc w:val="left"/>
              <w:rPr>
                <w:sz w:val="24"/>
              </w:rPr>
            </w:pPr>
            <w:r>
              <w:rPr>
                <w:sz w:val="24"/>
              </w:rPr>
              <w:t>(</w:t>
            </w:r>
            <w:r>
              <w:rPr>
                <w:rFonts w:hint="eastAsia"/>
                <w:sz w:val="24"/>
              </w:rPr>
              <w:t>2</w:t>
            </w:r>
            <w:r>
              <w:rPr>
                <w:sz w:val="24"/>
              </w:rPr>
              <w:t>)</w:t>
            </w:r>
            <w:r>
              <w:rPr>
                <w:rFonts w:hint="eastAsia"/>
                <w:sz w:val="24"/>
              </w:rPr>
              <w:t>废气污染物排放标准</w:t>
            </w:r>
          </w:p>
          <w:p w14:paraId="56602DFA">
            <w:pPr>
              <w:spacing w:line="360" w:lineRule="auto"/>
              <w:ind w:firstLine="480" w:firstLineChars="200"/>
              <w:rPr>
                <w:sz w:val="24"/>
                <w:shd w:val="clear" w:color="auto" w:fill="FFFFFF"/>
              </w:rPr>
            </w:pPr>
            <w:r>
              <w:rPr>
                <w:sz w:val="24"/>
                <w:shd w:val="clear" w:color="auto" w:fill="FFFFFF"/>
              </w:rPr>
              <w:fldChar w:fldCharType="begin"/>
            </w:r>
            <w:r>
              <w:rPr>
                <w:sz w:val="24"/>
                <w:shd w:val="clear" w:color="auto" w:fill="FFFFFF"/>
              </w:rPr>
              <w:instrText xml:space="preserve"> = 1 \* GB3 \* MERGEFORMAT </w:instrText>
            </w:r>
            <w:r>
              <w:rPr>
                <w:sz w:val="24"/>
                <w:shd w:val="clear" w:color="auto" w:fill="FFFFFF"/>
              </w:rPr>
              <w:fldChar w:fldCharType="separate"/>
            </w:r>
            <w:r>
              <w:rPr>
                <w:sz w:val="24"/>
              </w:rPr>
              <w:t>①</w:t>
            </w:r>
            <w:r>
              <w:rPr>
                <w:sz w:val="24"/>
                <w:shd w:val="clear" w:color="auto" w:fill="FFFFFF"/>
              </w:rPr>
              <w:fldChar w:fldCharType="end"/>
            </w:r>
            <w:r>
              <w:rPr>
                <w:rFonts w:hint="eastAsia"/>
                <w:sz w:val="24"/>
                <w:shd w:val="clear" w:color="auto" w:fill="FFFFFF"/>
              </w:rPr>
              <w:t>施工期：</w:t>
            </w:r>
            <w:r>
              <w:rPr>
                <w:sz w:val="24"/>
              </w:rPr>
              <w:t>施工过程产生施工粉尘废气排放执行《大气污染物综合排放标准》（GB16297-1996）表2“无组织排放监控浓度限值”，颗粒物1.0mg/m</w:t>
            </w:r>
            <w:r>
              <w:rPr>
                <w:sz w:val="24"/>
                <w:vertAlign w:val="superscript"/>
              </w:rPr>
              <w:t>3</w:t>
            </w:r>
            <w:r>
              <w:rPr>
                <w:sz w:val="24"/>
              </w:rPr>
              <w:t>。</w:t>
            </w:r>
          </w:p>
          <w:p w14:paraId="2E1C95C6">
            <w:pPr>
              <w:spacing w:line="360" w:lineRule="auto"/>
              <w:ind w:firstLine="480" w:firstLineChars="200"/>
              <w:rPr>
                <w:sz w:val="24"/>
                <w:shd w:val="clear" w:color="auto" w:fill="FFFFFF"/>
              </w:rPr>
            </w:pPr>
            <w:r>
              <w:rPr>
                <w:sz w:val="24"/>
                <w:shd w:val="clear" w:color="auto" w:fill="FFFFFF"/>
              </w:rPr>
              <w:fldChar w:fldCharType="begin"/>
            </w:r>
            <w:r>
              <w:rPr>
                <w:sz w:val="24"/>
                <w:shd w:val="clear" w:color="auto" w:fill="FFFFFF"/>
              </w:rPr>
              <w:instrText xml:space="preserve"> = 2 \* GB3 \* MERGEFORMAT </w:instrText>
            </w:r>
            <w:r>
              <w:rPr>
                <w:sz w:val="24"/>
                <w:shd w:val="clear" w:color="auto" w:fill="FFFFFF"/>
              </w:rPr>
              <w:fldChar w:fldCharType="separate"/>
            </w:r>
            <w:r>
              <w:rPr>
                <w:sz w:val="24"/>
              </w:rPr>
              <w:t>②</w:t>
            </w:r>
            <w:r>
              <w:rPr>
                <w:sz w:val="24"/>
                <w:shd w:val="clear" w:color="auto" w:fill="FFFFFF"/>
              </w:rPr>
              <w:fldChar w:fldCharType="end"/>
            </w:r>
            <w:r>
              <w:rPr>
                <w:rFonts w:hint="eastAsia"/>
                <w:sz w:val="24"/>
                <w:shd w:val="clear" w:color="auto" w:fill="FFFFFF"/>
              </w:rPr>
              <w:t>运营期：</w:t>
            </w:r>
            <w:r>
              <w:rPr>
                <w:sz w:val="24"/>
                <w:shd w:val="clear" w:color="auto" w:fill="FFFFFF"/>
              </w:rPr>
              <w:t>项目</w:t>
            </w:r>
            <w:r>
              <w:rPr>
                <w:rFonts w:hint="eastAsia"/>
                <w:sz w:val="24"/>
                <w:shd w:val="clear" w:color="auto" w:fill="FFFFFF"/>
              </w:rPr>
              <w:t>运营期</w:t>
            </w:r>
            <w:r>
              <w:rPr>
                <w:sz w:val="24"/>
                <w:shd w:val="clear" w:color="auto" w:fill="FFFFFF"/>
              </w:rPr>
              <w:t>废气</w:t>
            </w:r>
            <w:r>
              <w:rPr>
                <w:rFonts w:hint="eastAsia"/>
                <w:sz w:val="24"/>
                <w:shd w:val="clear" w:color="auto" w:fill="FFFFFF"/>
              </w:rPr>
              <w:t>污染物主要为颗粒物和厨房油烟，颗粒物执行《水泥工业大气污染物排放标准》（GB4915-2013）表3中无组织排放限值要求，厨房油烟执行</w:t>
            </w:r>
            <w:r>
              <w:rPr>
                <w:rFonts w:hint="eastAsia"/>
                <w:sz w:val="24"/>
              </w:rPr>
              <w:t>《饮食业油烟排放标准（试行）》（GB18483-2001）小型标准，</w:t>
            </w:r>
            <w:r>
              <w:rPr>
                <w:rFonts w:hint="eastAsia"/>
                <w:sz w:val="24"/>
                <w:shd w:val="clear" w:color="auto" w:fill="FFFFFF"/>
              </w:rPr>
              <w:t>具体详见表3.3-3。</w:t>
            </w:r>
          </w:p>
          <w:p w14:paraId="20985316">
            <w:pPr>
              <w:pStyle w:val="77"/>
              <w:rPr>
                <w:sz w:val="24"/>
                <w:szCs w:val="24"/>
              </w:rPr>
            </w:pPr>
          </w:p>
          <w:p w14:paraId="55BB055F">
            <w:pPr>
              <w:pStyle w:val="77"/>
              <w:rPr>
                <w:sz w:val="24"/>
                <w:szCs w:val="24"/>
              </w:rPr>
            </w:pPr>
          </w:p>
          <w:p w14:paraId="08230F0F">
            <w:pPr>
              <w:pStyle w:val="77"/>
              <w:rPr>
                <w:sz w:val="24"/>
                <w:szCs w:val="24"/>
              </w:rPr>
            </w:pPr>
          </w:p>
          <w:p w14:paraId="0B90CDCF">
            <w:pPr>
              <w:pStyle w:val="77"/>
              <w:rPr>
                <w:sz w:val="24"/>
                <w:szCs w:val="24"/>
              </w:rPr>
            </w:pPr>
            <w:r>
              <w:rPr>
                <w:rFonts w:hint="eastAsia"/>
                <w:sz w:val="24"/>
                <w:szCs w:val="24"/>
              </w:rPr>
              <w:t>表3.3-3  运营期废气污染物排放标准</w:t>
            </w:r>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780"/>
              <w:gridCol w:w="1989"/>
              <w:gridCol w:w="2253"/>
              <w:gridCol w:w="2254"/>
            </w:tblGrid>
            <w:tr w14:paraId="32522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8" w:type="dxa"/>
                  <w:tcBorders>
                    <w:tl2br w:val="nil"/>
                    <w:tr2bl w:val="nil"/>
                  </w:tcBorders>
                  <w:vAlign w:val="center"/>
                </w:tcPr>
                <w:p w14:paraId="7014C690">
                  <w:pPr>
                    <w:pStyle w:val="27"/>
                    <w:jc w:val="center"/>
                    <w:rPr>
                      <w:szCs w:val="21"/>
                    </w:rPr>
                  </w:pPr>
                  <w:r>
                    <w:rPr>
                      <w:rFonts w:hint="eastAsia"/>
                      <w:szCs w:val="21"/>
                    </w:rPr>
                    <w:t>污染项目</w:t>
                  </w:r>
                </w:p>
              </w:tc>
              <w:tc>
                <w:tcPr>
                  <w:tcW w:w="780" w:type="dxa"/>
                  <w:tcBorders>
                    <w:tl2br w:val="nil"/>
                    <w:tr2bl w:val="nil"/>
                  </w:tcBorders>
                  <w:vAlign w:val="center"/>
                </w:tcPr>
                <w:p w14:paraId="754F720B">
                  <w:pPr>
                    <w:pStyle w:val="27"/>
                    <w:jc w:val="center"/>
                    <w:rPr>
                      <w:szCs w:val="21"/>
                    </w:rPr>
                  </w:pPr>
                  <w:r>
                    <w:rPr>
                      <w:rFonts w:hint="eastAsia"/>
                      <w:szCs w:val="21"/>
                    </w:rPr>
                    <w:t>限值</w:t>
                  </w:r>
                </w:p>
              </w:tc>
              <w:tc>
                <w:tcPr>
                  <w:tcW w:w="1989" w:type="dxa"/>
                  <w:tcBorders>
                    <w:tl2br w:val="nil"/>
                    <w:tr2bl w:val="nil"/>
                  </w:tcBorders>
                  <w:vAlign w:val="center"/>
                </w:tcPr>
                <w:p w14:paraId="01C861BF">
                  <w:pPr>
                    <w:pStyle w:val="27"/>
                    <w:jc w:val="center"/>
                    <w:rPr>
                      <w:szCs w:val="21"/>
                    </w:rPr>
                  </w:pPr>
                  <w:r>
                    <w:rPr>
                      <w:rFonts w:hint="eastAsia"/>
                      <w:szCs w:val="21"/>
                    </w:rPr>
                    <w:t>限值含义</w:t>
                  </w:r>
                </w:p>
              </w:tc>
              <w:tc>
                <w:tcPr>
                  <w:tcW w:w="2253" w:type="dxa"/>
                  <w:tcBorders>
                    <w:tl2br w:val="nil"/>
                    <w:tr2bl w:val="nil"/>
                  </w:tcBorders>
                  <w:vAlign w:val="center"/>
                </w:tcPr>
                <w:p w14:paraId="4703D5C1">
                  <w:pPr>
                    <w:pStyle w:val="27"/>
                    <w:jc w:val="center"/>
                    <w:rPr>
                      <w:szCs w:val="21"/>
                    </w:rPr>
                  </w:pPr>
                  <w:r>
                    <w:rPr>
                      <w:rFonts w:hint="eastAsia"/>
                      <w:szCs w:val="21"/>
                    </w:rPr>
                    <w:t>无组织排放监控位置</w:t>
                  </w:r>
                </w:p>
              </w:tc>
              <w:tc>
                <w:tcPr>
                  <w:tcW w:w="2254" w:type="dxa"/>
                  <w:tcBorders>
                    <w:tl2br w:val="nil"/>
                    <w:tr2bl w:val="nil"/>
                  </w:tcBorders>
                  <w:vAlign w:val="center"/>
                </w:tcPr>
                <w:p w14:paraId="3B88612D">
                  <w:pPr>
                    <w:pStyle w:val="27"/>
                    <w:jc w:val="center"/>
                    <w:rPr>
                      <w:szCs w:val="21"/>
                    </w:rPr>
                  </w:pPr>
                  <w:r>
                    <w:rPr>
                      <w:rFonts w:hint="eastAsia"/>
                      <w:szCs w:val="21"/>
                    </w:rPr>
                    <w:t>排放标准</w:t>
                  </w:r>
                </w:p>
              </w:tc>
            </w:tr>
            <w:tr w14:paraId="72CF1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8" w:type="dxa"/>
                  <w:tcBorders>
                    <w:tl2br w:val="nil"/>
                    <w:tr2bl w:val="nil"/>
                  </w:tcBorders>
                  <w:vAlign w:val="center"/>
                </w:tcPr>
                <w:p w14:paraId="28A789D2">
                  <w:pPr>
                    <w:pStyle w:val="27"/>
                    <w:jc w:val="center"/>
                    <w:rPr>
                      <w:szCs w:val="21"/>
                    </w:rPr>
                  </w:pPr>
                  <w:r>
                    <w:rPr>
                      <w:rFonts w:hint="eastAsia"/>
                      <w:szCs w:val="21"/>
                    </w:rPr>
                    <w:t>颗粒物</w:t>
                  </w:r>
                </w:p>
              </w:tc>
              <w:tc>
                <w:tcPr>
                  <w:tcW w:w="780" w:type="dxa"/>
                  <w:tcBorders>
                    <w:tl2br w:val="nil"/>
                    <w:tr2bl w:val="nil"/>
                  </w:tcBorders>
                  <w:vAlign w:val="center"/>
                </w:tcPr>
                <w:p w14:paraId="065413A0">
                  <w:pPr>
                    <w:pStyle w:val="27"/>
                    <w:jc w:val="center"/>
                    <w:rPr>
                      <w:szCs w:val="21"/>
                    </w:rPr>
                  </w:pPr>
                  <w:r>
                    <w:rPr>
                      <w:rFonts w:hint="eastAsia"/>
                      <w:szCs w:val="21"/>
                    </w:rPr>
                    <w:t>0.5</w:t>
                  </w:r>
                </w:p>
              </w:tc>
              <w:tc>
                <w:tcPr>
                  <w:tcW w:w="1989" w:type="dxa"/>
                  <w:tcBorders>
                    <w:tl2br w:val="nil"/>
                    <w:tr2bl w:val="nil"/>
                  </w:tcBorders>
                  <w:vAlign w:val="center"/>
                </w:tcPr>
                <w:p w14:paraId="2A5EC281">
                  <w:pPr>
                    <w:pStyle w:val="27"/>
                    <w:jc w:val="center"/>
                    <w:rPr>
                      <w:szCs w:val="21"/>
                    </w:rPr>
                  </w:pPr>
                  <w:r>
                    <w:rPr>
                      <w:rFonts w:hint="eastAsia"/>
                      <w:szCs w:val="21"/>
                    </w:rPr>
                    <w:t>监控点与参照点总悬浮颗粒物（TSP）1小时浓度值的差值</w:t>
                  </w:r>
                </w:p>
              </w:tc>
              <w:tc>
                <w:tcPr>
                  <w:tcW w:w="2253" w:type="dxa"/>
                  <w:tcBorders>
                    <w:tl2br w:val="nil"/>
                    <w:tr2bl w:val="nil"/>
                  </w:tcBorders>
                  <w:vAlign w:val="center"/>
                </w:tcPr>
                <w:p w14:paraId="5FF31B28">
                  <w:pPr>
                    <w:pStyle w:val="27"/>
                    <w:jc w:val="center"/>
                    <w:rPr>
                      <w:szCs w:val="21"/>
                    </w:rPr>
                  </w:pPr>
                  <w:r>
                    <w:rPr>
                      <w:rFonts w:hint="eastAsia"/>
                      <w:szCs w:val="21"/>
                    </w:rPr>
                    <w:t>厂界外20m处上风向设参照点，下风向设监控点</w:t>
                  </w:r>
                </w:p>
              </w:tc>
              <w:tc>
                <w:tcPr>
                  <w:tcW w:w="2254" w:type="dxa"/>
                  <w:tcBorders>
                    <w:tl2br w:val="nil"/>
                    <w:tr2bl w:val="nil"/>
                  </w:tcBorders>
                  <w:vAlign w:val="center"/>
                </w:tcPr>
                <w:p w14:paraId="7CB42A2C">
                  <w:pPr>
                    <w:pStyle w:val="27"/>
                    <w:jc w:val="center"/>
                    <w:rPr>
                      <w:szCs w:val="21"/>
                    </w:rPr>
                  </w:pPr>
                  <w:r>
                    <w:rPr>
                      <w:rFonts w:hint="eastAsia"/>
                      <w:szCs w:val="21"/>
                    </w:rPr>
                    <w:t>《水泥工业大气污染物排放标准》（GB4915-2013）表3中无组织排放限值</w:t>
                  </w:r>
                </w:p>
              </w:tc>
            </w:tr>
            <w:tr w14:paraId="075FE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8" w:type="dxa"/>
                  <w:tcBorders>
                    <w:tl2br w:val="nil"/>
                    <w:tr2bl w:val="nil"/>
                  </w:tcBorders>
                  <w:vAlign w:val="center"/>
                </w:tcPr>
                <w:p w14:paraId="17B3F7E8">
                  <w:pPr>
                    <w:pStyle w:val="27"/>
                    <w:jc w:val="center"/>
                    <w:rPr>
                      <w:szCs w:val="21"/>
                    </w:rPr>
                  </w:pPr>
                  <w:r>
                    <w:rPr>
                      <w:rFonts w:hint="eastAsia"/>
                      <w:szCs w:val="21"/>
                    </w:rPr>
                    <w:t>油烟</w:t>
                  </w:r>
                </w:p>
              </w:tc>
              <w:tc>
                <w:tcPr>
                  <w:tcW w:w="780" w:type="dxa"/>
                  <w:tcBorders>
                    <w:tl2br w:val="nil"/>
                    <w:tr2bl w:val="nil"/>
                  </w:tcBorders>
                  <w:vAlign w:val="center"/>
                </w:tcPr>
                <w:p w14:paraId="5E3B0C38">
                  <w:pPr>
                    <w:pStyle w:val="27"/>
                    <w:jc w:val="center"/>
                    <w:rPr>
                      <w:szCs w:val="21"/>
                    </w:rPr>
                  </w:pPr>
                  <w:r>
                    <w:rPr>
                      <w:rFonts w:hint="eastAsia"/>
                      <w:szCs w:val="21"/>
                    </w:rPr>
                    <w:t>2.0</w:t>
                  </w:r>
                </w:p>
              </w:tc>
              <w:tc>
                <w:tcPr>
                  <w:tcW w:w="1989" w:type="dxa"/>
                  <w:tcBorders>
                    <w:tl2br w:val="nil"/>
                    <w:tr2bl w:val="nil"/>
                  </w:tcBorders>
                  <w:vAlign w:val="center"/>
                </w:tcPr>
                <w:p w14:paraId="118696BF">
                  <w:pPr>
                    <w:pStyle w:val="27"/>
                    <w:jc w:val="center"/>
                    <w:rPr>
                      <w:szCs w:val="21"/>
                    </w:rPr>
                  </w:pPr>
                  <w:r>
                    <w:rPr>
                      <w:rFonts w:hint="eastAsia"/>
                      <w:szCs w:val="21"/>
                    </w:rPr>
                    <w:t>/</w:t>
                  </w:r>
                </w:p>
              </w:tc>
              <w:tc>
                <w:tcPr>
                  <w:tcW w:w="2253" w:type="dxa"/>
                  <w:tcBorders>
                    <w:tl2br w:val="nil"/>
                    <w:tr2bl w:val="nil"/>
                  </w:tcBorders>
                  <w:vAlign w:val="center"/>
                </w:tcPr>
                <w:p w14:paraId="67CA03D5">
                  <w:pPr>
                    <w:pStyle w:val="27"/>
                    <w:jc w:val="center"/>
                    <w:rPr>
                      <w:szCs w:val="21"/>
                    </w:rPr>
                  </w:pPr>
                  <w:r>
                    <w:rPr>
                      <w:rFonts w:hint="eastAsia"/>
                      <w:szCs w:val="21"/>
                    </w:rPr>
                    <w:t>排气筒</w:t>
                  </w:r>
                </w:p>
                <w:p w14:paraId="302A867B">
                  <w:pPr>
                    <w:pStyle w:val="27"/>
                    <w:jc w:val="center"/>
                    <w:rPr>
                      <w:szCs w:val="21"/>
                    </w:rPr>
                  </w:pPr>
                  <w:r>
                    <w:rPr>
                      <w:rFonts w:hint="eastAsia"/>
                      <w:szCs w:val="21"/>
                    </w:rPr>
                    <w:t>（高于屋顶）</w:t>
                  </w:r>
                </w:p>
              </w:tc>
              <w:tc>
                <w:tcPr>
                  <w:tcW w:w="2254" w:type="dxa"/>
                  <w:tcBorders>
                    <w:tl2br w:val="nil"/>
                    <w:tr2bl w:val="nil"/>
                  </w:tcBorders>
                  <w:vAlign w:val="center"/>
                </w:tcPr>
                <w:p w14:paraId="5DF628C8">
                  <w:pPr>
                    <w:pStyle w:val="27"/>
                    <w:jc w:val="center"/>
                    <w:rPr>
                      <w:szCs w:val="21"/>
                    </w:rPr>
                  </w:pPr>
                  <w:r>
                    <w:rPr>
                      <w:rFonts w:hint="eastAsia"/>
                      <w:szCs w:val="21"/>
                    </w:rPr>
                    <w:t>《饮食业油烟排放标准（试行）》（GB18483-2001）表2中的小型规模标准排放限值</w:t>
                  </w:r>
                </w:p>
              </w:tc>
            </w:tr>
            <w:bookmarkEnd w:id="27"/>
          </w:tbl>
          <w:p w14:paraId="03DF6DDB">
            <w:pPr>
              <w:pStyle w:val="66"/>
              <w:ind w:firstLine="480"/>
              <w:rPr>
                <w:kern w:val="2"/>
                <w:sz w:val="24"/>
                <w:szCs w:val="24"/>
              </w:rPr>
            </w:pPr>
            <w:r>
              <w:rPr>
                <w:rFonts w:hint="eastAsia"/>
                <w:kern w:val="2"/>
                <w:sz w:val="24"/>
                <w:szCs w:val="24"/>
              </w:rPr>
              <w:t>(3)噪声污染物排放标准</w:t>
            </w:r>
          </w:p>
          <w:p w14:paraId="42601A00">
            <w:pPr>
              <w:pStyle w:val="66"/>
              <w:ind w:firstLine="480"/>
              <w:rPr>
                <w:color w:val="FF0000"/>
                <w:kern w:val="2"/>
                <w:sz w:val="24"/>
                <w:szCs w:val="24"/>
              </w:rPr>
            </w:pPr>
            <w:r>
              <w:rPr>
                <w:sz w:val="24"/>
                <w:szCs w:val="24"/>
                <w:shd w:val="clear" w:color="auto" w:fill="FFFFFF"/>
              </w:rPr>
              <w:fldChar w:fldCharType="begin"/>
            </w:r>
            <w:r>
              <w:rPr>
                <w:sz w:val="24"/>
                <w:szCs w:val="24"/>
                <w:shd w:val="clear" w:color="auto" w:fill="FFFFFF"/>
              </w:rPr>
              <w:instrText xml:space="preserve"> = 1 \* GB3 \* MERGEFORMAT </w:instrText>
            </w:r>
            <w:r>
              <w:rPr>
                <w:sz w:val="24"/>
                <w:szCs w:val="24"/>
                <w:shd w:val="clear" w:color="auto" w:fill="FFFFFF"/>
              </w:rPr>
              <w:fldChar w:fldCharType="separate"/>
            </w:r>
            <w:r>
              <w:rPr>
                <w:sz w:val="24"/>
                <w:szCs w:val="24"/>
              </w:rPr>
              <w:t>①</w:t>
            </w:r>
            <w:r>
              <w:rPr>
                <w:sz w:val="24"/>
                <w:szCs w:val="24"/>
                <w:shd w:val="clear" w:color="auto" w:fill="FFFFFF"/>
              </w:rPr>
              <w:fldChar w:fldCharType="end"/>
            </w:r>
            <w:r>
              <w:rPr>
                <w:rFonts w:hint="eastAsia"/>
                <w:sz w:val="24"/>
                <w:szCs w:val="24"/>
                <w:shd w:val="clear" w:color="auto" w:fill="FFFFFF"/>
              </w:rPr>
              <w:t>施工期：本项目施工期噪声执行《建筑施工场界环境噪声排放标准》（GB12523-2011），详见表3.3-4。</w:t>
            </w:r>
          </w:p>
          <w:p w14:paraId="33C92136">
            <w:pPr>
              <w:spacing w:line="360" w:lineRule="auto"/>
              <w:ind w:firstLine="480" w:firstLineChars="200"/>
              <w:rPr>
                <w:sz w:val="24"/>
              </w:rPr>
            </w:pPr>
            <w:r>
              <w:rPr>
                <w:sz w:val="24"/>
                <w:shd w:val="clear" w:color="auto" w:fill="FFFFFF"/>
              </w:rPr>
              <w:fldChar w:fldCharType="begin"/>
            </w:r>
            <w:r>
              <w:rPr>
                <w:sz w:val="24"/>
                <w:shd w:val="clear" w:color="auto" w:fill="FFFFFF"/>
              </w:rPr>
              <w:instrText xml:space="preserve"> = 2 \* GB3 \* MERGEFORMAT </w:instrText>
            </w:r>
            <w:r>
              <w:rPr>
                <w:sz w:val="24"/>
                <w:shd w:val="clear" w:color="auto" w:fill="FFFFFF"/>
              </w:rPr>
              <w:fldChar w:fldCharType="separate"/>
            </w:r>
            <w:r>
              <w:rPr>
                <w:sz w:val="24"/>
              </w:rPr>
              <w:t>②</w:t>
            </w:r>
            <w:r>
              <w:rPr>
                <w:sz w:val="24"/>
                <w:shd w:val="clear" w:color="auto" w:fill="FFFFFF"/>
              </w:rPr>
              <w:fldChar w:fldCharType="end"/>
            </w:r>
            <w:r>
              <w:rPr>
                <w:sz w:val="24"/>
              </w:rPr>
              <w:t>运营期：</w:t>
            </w:r>
            <w:r>
              <w:rPr>
                <w:rFonts w:hint="eastAsia"/>
                <w:sz w:val="24"/>
              </w:rPr>
              <w:t>本</w:t>
            </w:r>
            <w:r>
              <w:rPr>
                <w:sz w:val="24"/>
              </w:rPr>
              <w:t>项目位于</w:t>
            </w:r>
            <w:r>
              <w:rPr>
                <w:rFonts w:hint="eastAsia"/>
                <w:sz w:val="24"/>
              </w:rPr>
              <w:t>福建省福州市福清市江阴镇江阴港城经济区三峡路与兴林路交叉口东南侧，属于</w:t>
            </w:r>
            <w:r>
              <w:rPr>
                <w:sz w:val="24"/>
              </w:rPr>
              <w:t>工业集中区，属于《声环境质量标准》（GB3096-2008）中的3类区，运营期间厂界噪声执行《工业企业厂界环境噪声排放标准》(GB12348-2008)中3类标准</w:t>
            </w:r>
            <w:r>
              <w:rPr>
                <w:rFonts w:hint="eastAsia"/>
                <w:sz w:val="24"/>
              </w:rPr>
              <w:t>，</w:t>
            </w:r>
            <w:r>
              <w:rPr>
                <w:sz w:val="24"/>
              </w:rPr>
              <w:t>详见表</w:t>
            </w:r>
            <w:r>
              <w:rPr>
                <w:rFonts w:hint="eastAsia"/>
                <w:sz w:val="24"/>
                <w:shd w:val="clear" w:color="auto" w:fill="FFFFFF"/>
              </w:rPr>
              <w:t>3.3-5。</w:t>
            </w:r>
          </w:p>
          <w:p w14:paraId="2D8DA0B9">
            <w:pPr>
              <w:pStyle w:val="77"/>
              <w:rPr>
                <w:sz w:val="24"/>
                <w:szCs w:val="24"/>
              </w:rPr>
            </w:pPr>
            <w:r>
              <w:rPr>
                <w:rFonts w:hint="eastAsia"/>
                <w:sz w:val="24"/>
                <w:szCs w:val="24"/>
              </w:rPr>
              <w:t>表3.3-4  《建筑施工场界环境噪声排放标准》（GB12523-2011）单位：dB(A)</w:t>
            </w:r>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13"/>
              <w:gridCol w:w="3991"/>
            </w:tblGrid>
            <w:tr w14:paraId="0C4D3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3" w:type="dxa"/>
                  <w:tcBorders>
                    <w:tl2br w:val="nil"/>
                    <w:tr2bl w:val="nil"/>
                  </w:tcBorders>
                  <w:vAlign w:val="center"/>
                </w:tcPr>
                <w:p w14:paraId="05C0E68B">
                  <w:pPr>
                    <w:pStyle w:val="27"/>
                    <w:jc w:val="center"/>
                    <w:rPr>
                      <w:szCs w:val="21"/>
                    </w:rPr>
                  </w:pPr>
                  <w:r>
                    <w:rPr>
                      <w:rFonts w:hint="eastAsia"/>
                      <w:szCs w:val="21"/>
                    </w:rPr>
                    <w:t>昼间</w:t>
                  </w:r>
                </w:p>
              </w:tc>
              <w:tc>
                <w:tcPr>
                  <w:tcW w:w="3991" w:type="dxa"/>
                  <w:tcBorders>
                    <w:tl2br w:val="nil"/>
                    <w:tr2bl w:val="nil"/>
                  </w:tcBorders>
                  <w:vAlign w:val="center"/>
                </w:tcPr>
                <w:p w14:paraId="028E7213">
                  <w:pPr>
                    <w:pStyle w:val="27"/>
                    <w:jc w:val="center"/>
                    <w:rPr>
                      <w:szCs w:val="21"/>
                    </w:rPr>
                  </w:pPr>
                  <w:r>
                    <w:rPr>
                      <w:rFonts w:hint="eastAsia"/>
                      <w:szCs w:val="21"/>
                    </w:rPr>
                    <w:t>夜间</w:t>
                  </w:r>
                </w:p>
              </w:tc>
            </w:tr>
            <w:tr w14:paraId="39A86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3" w:type="dxa"/>
                  <w:tcBorders>
                    <w:tl2br w:val="nil"/>
                    <w:tr2bl w:val="nil"/>
                  </w:tcBorders>
                  <w:vAlign w:val="center"/>
                </w:tcPr>
                <w:p w14:paraId="57C5EA42">
                  <w:pPr>
                    <w:pStyle w:val="27"/>
                    <w:jc w:val="center"/>
                    <w:rPr>
                      <w:szCs w:val="21"/>
                    </w:rPr>
                  </w:pPr>
                  <w:r>
                    <w:rPr>
                      <w:rFonts w:hint="eastAsia"/>
                      <w:szCs w:val="21"/>
                    </w:rPr>
                    <w:t>70</w:t>
                  </w:r>
                </w:p>
              </w:tc>
              <w:tc>
                <w:tcPr>
                  <w:tcW w:w="3991" w:type="dxa"/>
                  <w:tcBorders>
                    <w:tl2br w:val="nil"/>
                    <w:tr2bl w:val="nil"/>
                  </w:tcBorders>
                  <w:vAlign w:val="center"/>
                </w:tcPr>
                <w:p w14:paraId="26F17EDF">
                  <w:pPr>
                    <w:pStyle w:val="27"/>
                    <w:jc w:val="center"/>
                    <w:rPr>
                      <w:szCs w:val="21"/>
                    </w:rPr>
                  </w:pPr>
                  <w:r>
                    <w:rPr>
                      <w:rFonts w:hint="eastAsia"/>
                      <w:szCs w:val="21"/>
                    </w:rPr>
                    <w:t>55</w:t>
                  </w:r>
                </w:p>
              </w:tc>
            </w:tr>
          </w:tbl>
          <w:p w14:paraId="171795C0">
            <w:pPr>
              <w:pStyle w:val="77"/>
              <w:rPr>
                <w:sz w:val="24"/>
                <w:szCs w:val="24"/>
              </w:rPr>
            </w:pPr>
            <w:r>
              <w:rPr>
                <w:rFonts w:hint="eastAsia"/>
                <w:sz w:val="24"/>
                <w:szCs w:val="24"/>
              </w:rPr>
              <w:t xml:space="preserve">表3.3-5  </w:t>
            </w:r>
            <w:r>
              <w:rPr>
                <w:sz w:val="24"/>
              </w:rPr>
              <w:t>《工业企业厂界环境噪声排放标准》(GB12348-2008)</w:t>
            </w:r>
            <w:r>
              <w:rPr>
                <w:rFonts w:hint="eastAsia"/>
                <w:sz w:val="24"/>
                <w:szCs w:val="24"/>
              </w:rPr>
              <w:t>单位：dB(A)</w:t>
            </w:r>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43"/>
              <w:gridCol w:w="2835"/>
              <w:gridCol w:w="2326"/>
            </w:tblGrid>
            <w:tr w14:paraId="7F647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3" w:type="dxa"/>
                  <w:tcBorders>
                    <w:tl2br w:val="nil"/>
                    <w:tr2bl w:val="nil"/>
                  </w:tcBorders>
                  <w:vAlign w:val="center"/>
                </w:tcPr>
                <w:p w14:paraId="5EA83487">
                  <w:pPr>
                    <w:pStyle w:val="27"/>
                    <w:jc w:val="center"/>
                    <w:rPr>
                      <w:szCs w:val="21"/>
                    </w:rPr>
                  </w:pPr>
                  <w:r>
                    <w:rPr>
                      <w:rFonts w:hint="eastAsia"/>
                      <w:szCs w:val="21"/>
                    </w:rPr>
                    <w:t>类别</w:t>
                  </w:r>
                </w:p>
              </w:tc>
              <w:tc>
                <w:tcPr>
                  <w:tcW w:w="2835" w:type="dxa"/>
                  <w:tcBorders>
                    <w:tl2br w:val="nil"/>
                    <w:tr2bl w:val="nil"/>
                  </w:tcBorders>
                  <w:vAlign w:val="center"/>
                </w:tcPr>
                <w:p w14:paraId="2792EDBB">
                  <w:pPr>
                    <w:pStyle w:val="27"/>
                    <w:jc w:val="center"/>
                    <w:rPr>
                      <w:szCs w:val="21"/>
                    </w:rPr>
                  </w:pPr>
                  <w:r>
                    <w:rPr>
                      <w:rFonts w:hint="eastAsia"/>
                      <w:szCs w:val="21"/>
                    </w:rPr>
                    <w:t>昼间</w:t>
                  </w:r>
                </w:p>
              </w:tc>
              <w:tc>
                <w:tcPr>
                  <w:tcW w:w="2326" w:type="dxa"/>
                  <w:tcBorders>
                    <w:tl2br w:val="nil"/>
                    <w:tr2bl w:val="nil"/>
                  </w:tcBorders>
                  <w:vAlign w:val="center"/>
                </w:tcPr>
                <w:p w14:paraId="54677638">
                  <w:pPr>
                    <w:pStyle w:val="27"/>
                    <w:jc w:val="center"/>
                    <w:rPr>
                      <w:szCs w:val="21"/>
                    </w:rPr>
                  </w:pPr>
                  <w:r>
                    <w:rPr>
                      <w:rFonts w:hint="eastAsia"/>
                      <w:szCs w:val="21"/>
                    </w:rPr>
                    <w:t>夜间</w:t>
                  </w:r>
                </w:p>
              </w:tc>
            </w:tr>
            <w:tr w14:paraId="170FB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3" w:type="dxa"/>
                  <w:tcBorders>
                    <w:tl2br w:val="nil"/>
                    <w:tr2bl w:val="nil"/>
                  </w:tcBorders>
                  <w:vAlign w:val="center"/>
                </w:tcPr>
                <w:p w14:paraId="0B627BBF">
                  <w:pPr>
                    <w:pStyle w:val="27"/>
                    <w:jc w:val="center"/>
                    <w:rPr>
                      <w:szCs w:val="21"/>
                    </w:rPr>
                  </w:pPr>
                  <w:r>
                    <w:rPr>
                      <w:rFonts w:hint="eastAsia"/>
                      <w:szCs w:val="21"/>
                    </w:rPr>
                    <w:t>3类</w:t>
                  </w:r>
                </w:p>
              </w:tc>
              <w:tc>
                <w:tcPr>
                  <w:tcW w:w="2835" w:type="dxa"/>
                  <w:tcBorders>
                    <w:tl2br w:val="nil"/>
                    <w:tr2bl w:val="nil"/>
                  </w:tcBorders>
                  <w:vAlign w:val="center"/>
                </w:tcPr>
                <w:p w14:paraId="479A1692">
                  <w:pPr>
                    <w:pStyle w:val="27"/>
                    <w:jc w:val="center"/>
                    <w:rPr>
                      <w:szCs w:val="21"/>
                    </w:rPr>
                  </w:pPr>
                  <w:r>
                    <w:rPr>
                      <w:rFonts w:hint="eastAsia"/>
                      <w:szCs w:val="21"/>
                    </w:rPr>
                    <w:t>65</w:t>
                  </w:r>
                </w:p>
              </w:tc>
              <w:tc>
                <w:tcPr>
                  <w:tcW w:w="2326" w:type="dxa"/>
                  <w:tcBorders>
                    <w:tl2br w:val="nil"/>
                    <w:tr2bl w:val="nil"/>
                  </w:tcBorders>
                  <w:vAlign w:val="center"/>
                </w:tcPr>
                <w:p w14:paraId="71CB2CC5">
                  <w:pPr>
                    <w:pStyle w:val="27"/>
                    <w:jc w:val="center"/>
                    <w:rPr>
                      <w:szCs w:val="21"/>
                    </w:rPr>
                  </w:pPr>
                  <w:r>
                    <w:rPr>
                      <w:rFonts w:hint="eastAsia"/>
                      <w:szCs w:val="21"/>
                    </w:rPr>
                    <w:t>55</w:t>
                  </w:r>
                </w:p>
              </w:tc>
            </w:tr>
          </w:tbl>
          <w:p w14:paraId="2C6E53DB">
            <w:pPr>
              <w:pStyle w:val="66"/>
              <w:ind w:firstLine="480"/>
              <w:rPr>
                <w:kern w:val="2"/>
                <w:sz w:val="24"/>
                <w:szCs w:val="24"/>
              </w:rPr>
            </w:pPr>
            <w:r>
              <w:rPr>
                <w:rFonts w:hint="eastAsia"/>
                <w:kern w:val="2"/>
                <w:sz w:val="24"/>
                <w:szCs w:val="24"/>
              </w:rPr>
              <w:t>(4)固废执行标准</w:t>
            </w:r>
          </w:p>
          <w:p w14:paraId="35AB7929">
            <w:pPr>
              <w:pStyle w:val="66"/>
              <w:ind w:firstLine="480"/>
              <w:rPr>
                <w:color w:val="FF0000"/>
                <w:kern w:val="21"/>
                <w:sz w:val="24"/>
                <w:szCs w:val="24"/>
              </w:rPr>
            </w:pPr>
            <w:r>
              <w:rPr>
                <w:rFonts w:hint="eastAsia"/>
                <w:sz w:val="24"/>
                <w:szCs w:val="24"/>
              </w:rPr>
              <w:t>一般工业固体废物执行《一般工业固体废物贮存和填埋污染控制标准》（GB18599-2020）中的相关要求。</w:t>
            </w:r>
          </w:p>
        </w:tc>
      </w:tr>
      <w:tr w14:paraId="076D6A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3" w:type="dxa"/>
            <w:vAlign w:val="center"/>
          </w:tcPr>
          <w:p w14:paraId="7C4FFE84">
            <w:pPr>
              <w:jc w:val="center"/>
              <w:rPr>
                <w:rFonts w:ascii="宋体" w:hAnsi="宋体" w:cs="宋体"/>
                <w:kern w:val="21"/>
                <w:sz w:val="24"/>
              </w:rPr>
            </w:pPr>
            <w:r>
              <w:rPr>
                <w:rFonts w:hint="eastAsia" w:ascii="宋体" w:hAnsi="宋体" w:cs="宋体"/>
                <w:kern w:val="21"/>
                <w:sz w:val="24"/>
              </w:rPr>
              <w:t>总量</w:t>
            </w:r>
          </w:p>
          <w:p w14:paraId="3DBE8AD3">
            <w:pPr>
              <w:jc w:val="center"/>
              <w:rPr>
                <w:rFonts w:ascii="宋体" w:hAnsi="宋体" w:cs="宋体"/>
                <w:kern w:val="21"/>
                <w:sz w:val="24"/>
              </w:rPr>
            </w:pPr>
            <w:r>
              <w:rPr>
                <w:rFonts w:hint="eastAsia" w:ascii="宋体" w:hAnsi="宋体" w:cs="宋体"/>
                <w:kern w:val="21"/>
                <w:sz w:val="24"/>
              </w:rPr>
              <w:t>控制</w:t>
            </w:r>
          </w:p>
          <w:p w14:paraId="589A3648">
            <w:pPr>
              <w:jc w:val="center"/>
              <w:rPr>
                <w:rFonts w:ascii="宋体" w:hAnsi="宋体" w:cs="宋体"/>
                <w:color w:val="FF0000"/>
                <w:kern w:val="21"/>
                <w:szCs w:val="21"/>
              </w:rPr>
            </w:pPr>
            <w:r>
              <w:rPr>
                <w:rFonts w:hint="eastAsia" w:ascii="宋体" w:hAnsi="宋体" w:cs="宋体"/>
                <w:kern w:val="21"/>
                <w:sz w:val="24"/>
              </w:rPr>
              <w:t>指标</w:t>
            </w:r>
          </w:p>
        </w:tc>
        <w:tc>
          <w:tcPr>
            <w:tcW w:w="8608" w:type="dxa"/>
            <w:vAlign w:val="center"/>
          </w:tcPr>
          <w:p w14:paraId="47A2C2FB">
            <w:pPr>
              <w:pStyle w:val="66"/>
              <w:ind w:firstLine="0" w:firstLineChars="0"/>
              <w:rPr>
                <w:b/>
                <w:bCs/>
                <w:kern w:val="2"/>
                <w:sz w:val="24"/>
                <w:szCs w:val="24"/>
              </w:rPr>
            </w:pPr>
            <w:r>
              <w:rPr>
                <w:b/>
                <w:bCs/>
                <w:kern w:val="2"/>
                <w:sz w:val="24"/>
                <w:szCs w:val="24"/>
              </w:rPr>
              <w:t>3.4总量控制指标</w:t>
            </w:r>
          </w:p>
          <w:p w14:paraId="1DD0E596">
            <w:pPr>
              <w:pStyle w:val="66"/>
              <w:ind w:firstLine="480"/>
              <w:rPr>
                <w:kern w:val="2"/>
                <w:sz w:val="24"/>
                <w:szCs w:val="24"/>
              </w:rPr>
            </w:pPr>
            <w:r>
              <w:rPr>
                <w:rFonts w:hint="eastAsia"/>
                <w:sz w:val="24"/>
              </w:rPr>
              <w:t>本</w:t>
            </w:r>
            <w:r>
              <w:rPr>
                <w:sz w:val="24"/>
              </w:rPr>
              <w:t>项目无生产废水的排放，</w:t>
            </w:r>
            <w:r>
              <w:rPr>
                <w:rFonts w:hint="eastAsia"/>
                <w:sz w:val="24"/>
              </w:rPr>
              <w:t>根据《福建省环保厅关于进一步明确排污权工作有关问题的通知》(闽环保财[2017]22号)，现有工业排污单位的水污染物的初始排污权只核定工业废水部分，项目生活污水排放暂不需要购买相应的排污权指标，因此，无需申请总量控制指标。</w:t>
            </w:r>
          </w:p>
          <w:p w14:paraId="7A9F9A47">
            <w:pPr>
              <w:pStyle w:val="129"/>
              <w:spacing w:after="0" w:line="360" w:lineRule="auto"/>
              <w:ind w:left="0" w:leftChars="0" w:firstLine="480"/>
              <w:rPr>
                <w:rFonts w:cs="Times New Roman"/>
                <w:kern w:val="2"/>
                <w:szCs w:val="24"/>
                <w:shd w:val="clear" w:color="auto" w:fill="FFFFFF"/>
              </w:rPr>
            </w:pPr>
            <w:r>
              <w:rPr>
                <w:rFonts w:cs="Times New Roman"/>
                <w:kern w:val="2"/>
                <w:szCs w:val="24"/>
                <w:shd w:val="clear" w:color="auto" w:fill="FFFFFF"/>
              </w:rPr>
              <w:t>项目废气</w:t>
            </w:r>
            <w:r>
              <w:rPr>
                <w:rFonts w:hint="eastAsia" w:cs="Times New Roman"/>
                <w:kern w:val="2"/>
                <w:szCs w:val="24"/>
                <w:shd w:val="clear" w:color="auto" w:fill="FFFFFF"/>
              </w:rPr>
              <w:t>不涉及</w:t>
            </w:r>
            <w:r>
              <w:rPr>
                <w:rFonts w:cs="Times New Roman"/>
                <w:kern w:val="2"/>
                <w:szCs w:val="24"/>
                <w:shd w:val="clear" w:color="auto" w:fill="FFFFFF"/>
              </w:rPr>
              <w:t>SO</w:t>
            </w:r>
            <w:r>
              <w:rPr>
                <w:rFonts w:cs="Times New Roman"/>
                <w:kern w:val="2"/>
                <w:szCs w:val="24"/>
                <w:shd w:val="clear" w:color="auto" w:fill="FFFFFF"/>
                <w:vertAlign w:val="subscript"/>
              </w:rPr>
              <w:t>2</w:t>
            </w:r>
            <w:r>
              <w:rPr>
                <w:rFonts w:cs="Times New Roman"/>
                <w:kern w:val="2"/>
                <w:szCs w:val="24"/>
                <w:shd w:val="clear" w:color="auto" w:fill="FFFFFF"/>
              </w:rPr>
              <w:t>、NO</w:t>
            </w:r>
            <w:r>
              <w:rPr>
                <w:rFonts w:cs="Times New Roman"/>
                <w:kern w:val="2"/>
                <w:szCs w:val="24"/>
                <w:shd w:val="clear" w:color="auto" w:fill="FFFFFF"/>
                <w:vertAlign w:val="subscript"/>
              </w:rPr>
              <w:t>x</w:t>
            </w:r>
            <w:r>
              <w:rPr>
                <w:rFonts w:hint="eastAsia" w:cs="Times New Roman"/>
                <w:kern w:val="2"/>
                <w:szCs w:val="24"/>
                <w:shd w:val="clear" w:color="auto" w:fill="FFFFFF"/>
              </w:rPr>
              <w:t>等</w:t>
            </w:r>
            <w:r>
              <w:rPr>
                <w:rFonts w:cs="Times New Roman"/>
                <w:kern w:val="2"/>
                <w:szCs w:val="24"/>
                <w:shd w:val="clear" w:color="auto" w:fill="FFFFFF"/>
              </w:rPr>
              <w:t>属于国家和地方有偿使用和交易的排污权总量指标</w:t>
            </w:r>
            <w:r>
              <w:rPr>
                <w:rFonts w:hint="eastAsia" w:cs="Times New Roman"/>
                <w:kern w:val="2"/>
                <w:szCs w:val="24"/>
                <w:shd w:val="clear" w:color="auto" w:fill="FFFFFF"/>
              </w:rPr>
              <w:t>；项目废气污染物排放总量指标详见表3.4-1。</w:t>
            </w:r>
          </w:p>
          <w:p w14:paraId="2CADF3EA">
            <w:pPr>
              <w:pStyle w:val="29"/>
              <w:widowControl w:val="0"/>
              <w:autoSpaceDE w:val="0"/>
              <w:autoSpaceDN w:val="0"/>
              <w:spacing w:before="0" w:beforeAutospacing="0" w:after="0" w:afterAutospacing="0"/>
              <w:jc w:val="center"/>
              <w:textAlignment w:val="baseline"/>
              <w:rPr>
                <w:rFonts w:ascii="Times New Roman" w:hAnsi="Times New Roman"/>
                <w:b/>
                <w:bCs/>
              </w:rPr>
            </w:pPr>
            <w:r>
              <w:rPr>
                <w:rFonts w:ascii="Times New Roman" w:hAnsi="Times New Roman"/>
                <w:b/>
                <w:bCs/>
              </w:rPr>
              <w:t>表</w:t>
            </w:r>
            <w:r>
              <w:rPr>
                <w:rFonts w:hint="eastAsia" w:ascii="Times New Roman" w:hAnsi="Times New Roman"/>
                <w:b/>
                <w:bCs/>
              </w:rPr>
              <w:t xml:space="preserve">3.4-1  </w:t>
            </w:r>
            <w:r>
              <w:rPr>
                <w:rFonts w:ascii="Times New Roman" w:hAnsi="Times New Roman"/>
                <w:b/>
                <w:bCs/>
              </w:rPr>
              <w:t>项目废气污染物排放总量指标一览表</w:t>
            </w:r>
          </w:p>
          <w:tbl>
            <w:tblPr>
              <w:tblStyle w:val="34"/>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371"/>
              <w:gridCol w:w="1853"/>
              <w:gridCol w:w="3280"/>
            </w:tblGrid>
            <w:tr w14:paraId="439892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71" w:type="dxa"/>
                  <w:vAlign w:val="center"/>
                </w:tcPr>
                <w:p w14:paraId="7433586D">
                  <w:pPr>
                    <w:jc w:val="center"/>
                    <w:rPr>
                      <w:snapToGrid w:val="0"/>
                      <w:kern w:val="18"/>
                      <w:szCs w:val="21"/>
                    </w:rPr>
                  </w:pPr>
                  <w:r>
                    <w:rPr>
                      <w:snapToGrid w:val="0"/>
                      <w:kern w:val="18"/>
                      <w:szCs w:val="21"/>
                    </w:rPr>
                    <w:t>污染物</w:t>
                  </w:r>
                </w:p>
              </w:tc>
              <w:tc>
                <w:tcPr>
                  <w:tcW w:w="1853" w:type="dxa"/>
                  <w:vAlign w:val="center"/>
                </w:tcPr>
                <w:p w14:paraId="7CA67156">
                  <w:pPr>
                    <w:jc w:val="center"/>
                    <w:rPr>
                      <w:snapToGrid w:val="0"/>
                      <w:kern w:val="18"/>
                      <w:szCs w:val="21"/>
                    </w:rPr>
                  </w:pPr>
                  <w:r>
                    <w:rPr>
                      <w:snapToGrid w:val="0"/>
                      <w:kern w:val="18"/>
                      <w:szCs w:val="21"/>
                    </w:rPr>
                    <w:t>排放量</w:t>
                  </w:r>
                </w:p>
              </w:tc>
              <w:tc>
                <w:tcPr>
                  <w:tcW w:w="3280" w:type="dxa"/>
                  <w:vAlign w:val="center"/>
                </w:tcPr>
                <w:p w14:paraId="2CDA1653">
                  <w:pPr>
                    <w:jc w:val="center"/>
                    <w:rPr>
                      <w:snapToGrid w:val="0"/>
                      <w:kern w:val="18"/>
                      <w:szCs w:val="21"/>
                    </w:rPr>
                  </w:pPr>
                  <w:r>
                    <w:rPr>
                      <w:snapToGrid w:val="0"/>
                      <w:kern w:val="18"/>
                      <w:szCs w:val="21"/>
                    </w:rPr>
                    <w:t>总量控制指标</w:t>
                  </w:r>
                </w:p>
              </w:tc>
            </w:tr>
            <w:tr w14:paraId="6DB097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71" w:type="dxa"/>
                  <w:vAlign w:val="center"/>
                </w:tcPr>
                <w:p w14:paraId="3BB98454">
                  <w:pPr>
                    <w:jc w:val="center"/>
                    <w:rPr>
                      <w:snapToGrid w:val="0"/>
                      <w:kern w:val="18"/>
                      <w:szCs w:val="21"/>
                    </w:rPr>
                  </w:pPr>
                  <w:r>
                    <w:rPr>
                      <w:rFonts w:hint="eastAsia"/>
                      <w:snapToGrid w:val="0"/>
                      <w:kern w:val="18"/>
                      <w:szCs w:val="21"/>
                    </w:rPr>
                    <w:t>颗粒物</w:t>
                  </w:r>
                </w:p>
              </w:tc>
              <w:tc>
                <w:tcPr>
                  <w:tcW w:w="1853" w:type="dxa"/>
                  <w:vAlign w:val="center"/>
                </w:tcPr>
                <w:p w14:paraId="4F752BFC">
                  <w:pPr>
                    <w:jc w:val="center"/>
                    <w:rPr>
                      <w:snapToGrid w:val="0"/>
                      <w:kern w:val="18"/>
                      <w:szCs w:val="21"/>
                    </w:rPr>
                  </w:pPr>
                  <w:r>
                    <w:rPr>
                      <w:rFonts w:hint="eastAsia"/>
                      <w:snapToGrid w:val="0"/>
                      <w:kern w:val="18"/>
                      <w:szCs w:val="21"/>
                    </w:rPr>
                    <w:t>2.301</w:t>
                  </w:r>
                  <w:r>
                    <w:rPr>
                      <w:snapToGrid w:val="0"/>
                      <w:kern w:val="18"/>
                      <w:szCs w:val="21"/>
                    </w:rPr>
                    <w:t>/a</w:t>
                  </w:r>
                </w:p>
              </w:tc>
              <w:tc>
                <w:tcPr>
                  <w:tcW w:w="3280" w:type="dxa"/>
                  <w:vAlign w:val="center"/>
                </w:tcPr>
                <w:p w14:paraId="4B4CE632">
                  <w:pPr>
                    <w:jc w:val="center"/>
                    <w:rPr>
                      <w:snapToGrid w:val="0"/>
                      <w:kern w:val="18"/>
                      <w:szCs w:val="21"/>
                    </w:rPr>
                  </w:pPr>
                  <w:r>
                    <w:rPr>
                      <w:rFonts w:hint="eastAsia"/>
                      <w:snapToGrid w:val="0"/>
                      <w:kern w:val="18"/>
                      <w:szCs w:val="21"/>
                    </w:rPr>
                    <w:t>/</w:t>
                  </w:r>
                </w:p>
              </w:tc>
            </w:tr>
          </w:tbl>
          <w:p w14:paraId="1ADC21DA">
            <w:pPr>
              <w:spacing w:beforeLines="50" w:line="360" w:lineRule="auto"/>
              <w:ind w:firstLine="480" w:firstLineChars="200"/>
              <w:rPr>
                <w:color w:val="FF0000"/>
                <w:sz w:val="24"/>
              </w:rPr>
            </w:pPr>
            <w:r>
              <w:rPr>
                <w:sz w:val="24"/>
                <w:shd w:val="clear" w:color="auto" w:fill="FFFFFF"/>
              </w:rPr>
              <w:t>项目</w:t>
            </w:r>
            <w:r>
              <w:rPr>
                <w:rFonts w:hint="eastAsia"/>
                <w:sz w:val="24"/>
                <w:shd w:val="clear" w:color="auto" w:fill="FFFFFF"/>
              </w:rPr>
              <w:t>颗粒物排放量为2.301t/a。</w:t>
            </w:r>
          </w:p>
        </w:tc>
      </w:tr>
    </w:tbl>
    <w:p w14:paraId="6CF2EBF4">
      <w:pPr>
        <w:pStyle w:val="29"/>
        <w:jc w:val="center"/>
        <w:outlineLvl w:val="0"/>
        <w:rPr>
          <w:rFonts w:ascii="黑体" w:hAnsi="黑体" w:eastAsia="黑体"/>
          <w:snapToGrid w:val="0"/>
          <w:color w:val="FF0000"/>
          <w:kern w:val="21"/>
          <w:sz w:val="30"/>
          <w:szCs w:val="30"/>
        </w:rPr>
      </w:pPr>
      <w:r>
        <w:rPr>
          <w:rFonts w:ascii="黑体" w:hAnsi="黑体" w:eastAsia="黑体"/>
          <w:snapToGrid w:val="0"/>
          <w:color w:val="FF0000"/>
          <w:kern w:val="21"/>
          <w:sz w:val="36"/>
          <w:szCs w:val="36"/>
        </w:rPr>
        <w:br w:type="page"/>
      </w:r>
      <w:r>
        <w:rPr>
          <w:rFonts w:hint="eastAsia" w:ascii="黑体" w:hAnsi="黑体" w:eastAsia="黑体"/>
          <w:snapToGrid w:val="0"/>
          <w:kern w:val="21"/>
          <w:sz w:val="30"/>
          <w:szCs w:val="30"/>
        </w:rPr>
        <w:t>四、主要环境影响和保护措施</w:t>
      </w:r>
    </w:p>
    <w:tbl>
      <w:tblPr>
        <w:tblStyle w:val="3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06"/>
      </w:tblGrid>
      <w:tr w14:paraId="5BC26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5" w:type="dxa"/>
            <w:tcMar>
              <w:left w:w="28" w:type="dxa"/>
              <w:right w:w="28" w:type="dxa"/>
            </w:tcMar>
            <w:vAlign w:val="center"/>
          </w:tcPr>
          <w:p w14:paraId="5E0AB176">
            <w:pPr>
              <w:pStyle w:val="29"/>
              <w:spacing w:before="0" w:beforeAutospacing="0" w:after="0" w:afterAutospacing="0"/>
              <w:jc w:val="center"/>
              <w:rPr>
                <w:rFonts w:ascii="Times New Roman" w:hAnsi="Times New Roman"/>
                <w:kern w:val="21"/>
                <w:szCs w:val="24"/>
              </w:rPr>
            </w:pPr>
            <w:r>
              <w:rPr>
                <w:rFonts w:ascii="Times New Roman" w:hAnsi="Times New Roman"/>
                <w:kern w:val="21"/>
                <w:szCs w:val="24"/>
              </w:rPr>
              <w:t>施工</w:t>
            </w:r>
          </w:p>
          <w:p w14:paraId="41A667BC">
            <w:pPr>
              <w:pStyle w:val="29"/>
              <w:spacing w:before="0" w:beforeAutospacing="0" w:after="0" w:afterAutospacing="0"/>
              <w:jc w:val="center"/>
              <w:rPr>
                <w:rFonts w:ascii="Times New Roman" w:hAnsi="Times New Roman"/>
                <w:kern w:val="21"/>
                <w:szCs w:val="24"/>
              </w:rPr>
            </w:pPr>
            <w:r>
              <w:rPr>
                <w:rFonts w:ascii="Times New Roman" w:hAnsi="Times New Roman"/>
                <w:kern w:val="21"/>
                <w:szCs w:val="24"/>
              </w:rPr>
              <w:t>期环</w:t>
            </w:r>
          </w:p>
          <w:p w14:paraId="79CC3775">
            <w:pPr>
              <w:pStyle w:val="29"/>
              <w:spacing w:before="0" w:beforeAutospacing="0" w:after="0" w:afterAutospacing="0"/>
              <w:jc w:val="center"/>
              <w:rPr>
                <w:rFonts w:ascii="Times New Roman" w:hAnsi="Times New Roman"/>
                <w:kern w:val="21"/>
                <w:szCs w:val="24"/>
              </w:rPr>
            </w:pPr>
            <w:r>
              <w:rPr>
                <w:rFonts w:ascii="Times New Roman" w:hAnsi="Times New Roman"/>
                <w:kern w:val="21"/>
                <w:szCs w:val="24"/>
              </w:rPr>
              <w:t>境保</w:t>
            </w:r>
          </w:p>
          <w:p w14:paraId="5139619A">
            <w:pPr>
              <w:pStyle w:val="29"/>
              <w:spacing w:before="0" w:beforeAutospacing="0" w:after="0" w:afterAutospacing="0"/>
              <w:jc w:val="center"/>
              <w:rPr>
                <w:rFonts w:ascii="Times New Roman" w:hAnsi="Times New Roman"/>
                <w:kern w:val="21"/>
                <w:szCs w:val="24"/>
              </w:rPr>
            </w:pPr>
            <w:r>
              <w:rPr>
                <w:rFonts w:ascii="Times New Roman" w:hAnsi="Times New Roman"/>
                <w:kern w:val="21"/>
                <w:szCs w:val="24"/>
              </w:rPr>
              <w:t>护措</w:t>
            </w:r>
          </w:p>
          <w:p w14:paraId="77EB08D3">
            <w:pPr>
              <w:pStyle w:val="29"/>
              <w:spacing w:before="0" w:beforeAutospacing="0" w:after="0" w:afterAutospacing="0"/>
              <w:jc w:val="center"/>
              <w:rPr>
                <w:rFonts w:ascii="Times New Roman" w:hAnsi="Times New Roman"/>
                <w:bCs/>
                <w:color w:val="FF0000"/>
                <w:kern w:val="21"/>
                <w:sz w:val="21"/>
                <w:szCs w:val="21"/>
              </w:rPr>
            </w:pPr>
            <w:r>
              <w:rPr>
                <w:rFonts w:ascii="Times New Roman" w:hAnsi="Times New Roman"/>
                <w:kern w:val="21"/>
                <w:szCs w:val="24"/>
              </w:rPr>
              <w:t>施</w:t>
            </w:r>
          </w:p>
        </w:tc>
        <w:tc>
          <w:tcPr>
            <w:tcW w:w="8606" w:type="dxa"/>
            <w:vAlign w:val="center"/>
          </w:tcPr>
          <w:p w14:paraId="6219BC35">
            <w:pPr>
              <w:pStyle w:val="66"/>
              <w:ind w:firstLine="0" w:firstLineChars="0"/>
              <w:rPr>
                <w:b/>
                <w:bCs/>
                <w:kern w:val="2"/>
                <w:sz w:val="24"/>
                <w:szCs w:val="24"/>
              </w:rPr>
            </w:pPr>
            <w:r>
              <w:rPr>
                <w:b/>
                <w:bCs/>
                <w:kern w:val="2"/>
                <w:sz w:val="24"/>
                <w:szCs w:val="24"/>
              </w:rPr>
              <w:t>4.</w:t>
            </w:r>
            <w:r>
              <w:rPr>
                <w:rFonts w:hint="eastAsia"/>
                <w:b/>
                <w:bCs/>
                <w:kern w:val="2"/>
                <w:sz w:val="24"/>
                <w:szCs w:val="24"/>
              </w:rPr>
              <w:t>1施工期环境保护</w:t>
            </w:r>
            <w:r>
              <w:rPr>
                <w:b/>
                <w:bCs/>
                <w:kern w:val="2"/>
                <w:sz w:val="24"/>
                <w:szCs w:val="24"/>
              </w:rPr>
              <w:t>措施</w:t>
            </w:r>
          </w:p>
          <w:p w14:paraId="10DBA06F">
            <w:pPr>
              <w:autoSpaceDE w:val="0"/>
              <w:autoSpaceDN w:val="0"/>
              <w:spacing w:line="360" w:lineRule="auto"/>
              <w:ind w:firstLine="480" w:firstLineChars="200"/>
              <w:rPr>
                <w:color w:val="FF0000"/>
                <w:sz w:val="24"/>
              </w:rPr>
            </w:pPr>
            <w:r>
              <w:rPr>
                <w:sz w:val="24"/>
              </w:rPr>
              <w:t>项目厂址位于</w:t>
            </w:r>
            <w:r>
              <w:rPr>
                <w:rFonts w:hint="eastAsia"/>
                <w:sz w:val="24"/>
              </w:rPr>
              <w:t>福建省福州市福清市江阴镇江阴港城经济区三峡路与兴林路交叉口东南侧，</w:t>
            </w:r>
            <w:r>
              <w:rPr>
                <w:rFonts w:hint="eastAsia"/>
                <w:kern w:val="0"/>
                <w:sz w:val="24"/>
              </w:rPr>
              <w:t>根据现场踏勘，场地现状门卫、宿舍楼、办公楼已基本建设完成，施工期主要为生产车间、厂区道路、停车场等建设以及设备安装、调试等，施工期主要会有施工废气、施工废水、施工噪声、施工固废等。</w:t>
            </w:r>
          </w:p>
          <w:p w14:paraId="03482051">
            <w:pPr>
              <w:numPr>
                <w:ilvl w:val="0"/>
                <w:numId w:val="7"/>
              </w:numPr>
              <w:spacing w:line="360" w:lineRule="auto"/>
              <w:ind w:firstLine="482" w:firstLineChars="200"/>
              <w:rPr>
                <w:b/>
                <w:bCs/>
                <w:color w:val="000000"/>
                <w:kern w:val="0"/>
                <w:sz w:val="24"/>
              </w:rPr>
            </w:pPr>
            <w:r>
              <w:rPr>
                <w:rFonts w:hint="eastAsia"/>
                <w:b/>
                <w:bCs/>
                <w:color w:val="000000"/>
                <w:kern w:val="0"/>
                <w:sz w:val="24"/>
              </w:rPr>
              <w:t>施工期废气</w:t>
            </w:r>
          </w:p>
          <w:p w14:paraId="4E07B8AD">
            <w:pPr>
              <w:spacing w:line="360" w:lineRule="auto"/>
              <w:ind w:firstLine="480" w:firstLineChars="200"/>
              <w:rPr>
                <w:color w:val="000000"/>
                <w:kern w:val="0"/>
                <w:sz w:val="24"/>
              </w:rPr>
            </w:pPr>
            <w:r>
              <w:rPr>
                <w:color w:val="000000"/>
                <w:kern w:val="0"/>
                <w:sz w:val="24"/>
              </w:rPr>
              <w:t>本项目施工期大气环境污染源主要有：施工道路扬尘；施工车辆、施工机械出的含NO</w:t>
            </w:r>
            <w:r>
              <w:rPr>
                <w:color w:val="000000"/>
                <w:kern w:val="0"/>
                <w:sz w:val="24"/>
                <w:vertAlign w:val="subscript"/>
              </w:rPr>
              <w:t>2</w:t>
            </w:r>
            <w:r>
              <w:rPr>
                <w:color w:val="000000"/>
                <w:kern w:val="0"/>
                <w:sz w:val="24"/>
              </w:rPr>
              <w:t>、CO、THC等尾气。</w:t>
            </w:r>
          </w:p>
          <w:p w14:paraId="17A53B99">
            <w:pPr>
              <w:spacing w:line="360" w:lineRule="auto"/>
              <w:ind w:firstLine="480" w:firstLineChars="200"/>
              <w:rPr>
                <w:color w:val="000000"/>
                <w:kern w:val="0"/>
                <w:sz w:val="24"/>
              </w:rPr>
            </w:pPr>
            <w:r>
              <w:rPr>
                <w:rFonts w:hint="eastAsia"/>
                <w:color w:val="000000"/>
                <w:kern w:val="0"/>
                <w:sz w:val="24"/>
              </w:rPr>
              <w:t>(1)</w:t>
            </w:r>
            <w:r>
              <w:rPr>
                <w:color w:val="000000"/>
                <w:kern w:val="0"/>
                <w:sz w:val="24"/>
              </w:rPr>
              <w:t>施工粉尘</w:t>
            </w:r>
          </w:p>
          <w:p w14:paraId="0B9E52A9">
            <w:pPr>
              <w:spacing w:line="360" w:lineRule="auto"/>
              <w:ind w:firstLine="480" w:firstLineChars="200"/>
              <w:rPr>
                <w:color w:val="000000"/>
                <w:kern w:val="0"/>
                <w:sz w:val="24"/>
              </w:rPr>
            </w:pPr>
            <w:r>
              <w:rPr>
                <w:color w:val="000000"/>
                <w:kern w:val="0"/>
                <w:sz w:val="24"/>
              </w:rPr>
              <w:t>本项目建筑材料及建筑渣土在运输过程中如管理不当，会造成撒漏而逸散进入空气；另外施工及运输车辆在通过未硬化路面或落有较多尘土的路面时，将有路面二次扬尘的产生；此外，建筑材料在堆存和制备过程，遇大风等气象条件，均可能有粉状物料逸散，产生施工扬尘。</w:t>
            </w:r>
          </w:p>
          <w:p w14:paraId="61C227D1">
            <w:pPr>
              <w:spacing w:line="360" w:lineRule="auto"/>
              <w:ind w:firstLine="480" w:firstLineChars="200"/>
              <w:rPr>
                <w:color w:val="000000"/>
                <w:kern w:val="0"/>
                <w:sz w:val="24"/>
              </w:rPr>
            </w:pPr>
            <w:r>
              <w:rPr>
                <w:color w:val="000000"/>
                <w:kern w:val="0"/>
                <w:sz w:val="24"/>
              </w:rPr>
              <w:t>施工扬尘的排放源属于无组织的面源，地面上的粉尘在环境风速足够大时(大于颗粒土沙的起动速度时)就产生了扬尘，其源强大小与颗粒物的粒径大小、比重，以及环境的风速、湿度等因素有关，风速越大，颗粒越小，土沙的含水率越小，扬尘的含水率越小，扬尘的产生量就越大。</w:t>
            </w:r>
          </w:p>
          <w:p w14:paraId="07FC2D08">
            <w:pPr>
              <w:spacing w:line="360" w:lineRule="auto"/>
              <w:ind w:firstLine="480" w:firstLineChars="200"/>
              <w:rPr>
                <w:color w:val="000000"/>
                <w:kern w:val="0"/>
                <w:sz w:val="24"/>
              </w:rPr>
            </w:pPr>
            <w:r>
              <w:rPr>
                <w:color w:val="000000"/>
                <w:kern w:val="0"/>
                <w:sz w:val="24"/>
              </w:rPr>
              <w:t>从类比结果来看，一般情况下施工扬尘的影响范围在200m以内。在扬尘点下风向0~50m为较重污染带、50~100m为污染带、100~200m为轻污染带，200m以外对大气影响甚微。根据调查，工程区周边距离200m范围没有村庄等居民密集点分布。因此，项目施工对附近村庄的环境空气影响不大。考虑工程区施工过程中会进行开挖土石方、清除表土层等场地平整作业，运输车辆沿途扬尘客观存在，施工场地四周</w:t>
            </w:r>
            <w:r>
              <w:rPr>
                <w:rFonts w:hint="eastAsia"/>
                <w:color w:val="000000"/>
                <w:kern w:val="0"/>
                <w:sz w:val="24"/>
              </w:rPr>
              <w:t>已</w:t>
            </w:r>
            <w:r>
              <w:rPr>
                <w:color w:val="000000"/>
                <w:kern w:val="0"/>
                <w:sz w:val="24"/>
              </w:rPr>
              <w:t>设置屏障控制</w:t>
            </w:r>
            <w:r>
              <w:rPr>
                <w:rFonts w:hint="eastAsia"/>
                <w:color w:val="000000"/>
                <w:kern w:val="0"/>
                <w:sz w:val="24"/>
              </w:rPr>
              <w:t>扬尘</w:t>
            </w:r>
            <w:r>
              <w:rPr>
                <w:color w:val="000000"/>
                <w:kern w:val="0"/>
                <w:sz w:val="24"/>
              </w:rPr>
              <w:t>措施，建议工程在施工过程中针对施工场地采取洒水保湿、降低大风季节施工扬尘对施工厂界外环境空气的影响，确保将工程建设对当地居民的生活环境不利影响降至最低。</w:t>
            </w:r>
          </w:p>
          <w:p w14:paraId="79881180">
            <w:pPr>
              <w:spacing w:line="360" w:lineRule="auto"/>
              <w:ind w:firstLine="480" w:firstLineChars="200"/>
              <w:rPr>
                <w:color w:val="000000"/>
                <w:kern w:val="0"/>
                <w:sz w:val="24"/>
              </w:rPr>
            </w:pPr>
            <w:r>
              <w:rPr>
                <w:color w:val="000000"/>
                <w:kern w:val="0"/>
                <w:sz w:val="24"/>
              </w:rPr>
              <w:t>工程建筑材料及建筑渣土的运输主要采用陆运方式，如在建筑材料运输过程中未采取必要的遮盖措施，导致建筑渣土等散落至路面，在运输车辆行驶过程中将产生二次扬尘，对沿途村庄的环境空气造成较大影响，为此，工程建设方应采取措施保持运输路面的清洁，并要求运输车辆限速行驶，减少建筑材料运输过程的起尘量，降低对沿途居住区的不利影响，混凝土应采用全封闭式搅拌车制备运输，降低扬尘的污染。</w:t>
            </w:r>
          </w:p>
          <w:p w14:paraId="211BFA8E">
            <w:pPr>
              <w:spacing w:line="360" w:lineRule="auto"/>
              <w:ind w:firstLine="480" w:firstLineChars="200"/>
              <w:rPr>
                <w:color w:val="000000"/>
                <w:kern w:val="0"/>
                <w:sz w:val="24"/>
              </w:rPr>
            </w:pPr>
            <w:r>
              <w:rPr>
                <w:color w:val="000000"/>
                <w:kern w:val="0"/>
                <w:sz w:val="24"/>
              </w:rPr>
              <w:t>总体而言，施工期间，建筑材料及渣土的运输和堆放、装卸过程将产生二次扬尘，在一定范围内对工程区及其附近和运输道路沿线的村庄环境空气造成不利影响，但其影响范围和程度有限，且能够通过加强环境管理和采取必要的措施得到有效的控制。</w:t>
            </w:r>
          </w:p>
          <w:p w14:paraId="25D4630C">
            <w:pPr>
              <w:spacing w:line="360" w:lineRule="auto"/>
              <w:ind w:firstLine="480" w:firstLineChars="200"/>
              <w:rPr>
                <w:color w:val="000000"/>
                <w:kern w:val="0"/>
                <w:sz w:val="24"/>
              </w:rPr>
            </w:pPr>
            <w:r>
              <w:rPr>
                <w:rFonts w:hint="eastAsia"/>
                <w:color w:val="000000"/>
                <w:kern w:val="0"/>
                <w:sz w:val="24"/>
              </w:rPr>
              <w:t>(2)</w:t>
            </w:r>
            <w:r>
              <w:rPr>
                <w:color w:val="000000"/>
                <w:kern w:val="0"/>
                <w:sz w:val="24"/>
              </w:rPr>
              <w:t>施工机械、施工车辆燃油产生的尾气</w:t>
            </w:r>
          </w:p>
          <w:p w14:paraId="1A4467E8">
            <w:pPr>
              <w:pStyle w:val="144"/>
              <w:spacing w:after="0"/>
              <w:ind w:firstLine="240" w:firstLineChars="100"/>
              <w:rPr>
                <w:rFonts w:ascii="Times New Roman" w:hAnsi="Times New Roman"/>
                <w:color w:val="000000"/>
              </w:rPr>
            </w:pPr>
            <w:r>
              <w:rPr>
                <w:rFonts w:ascii="Times New Roman" w:hAnsi="Times New Roman"/>
                <w:color w:val="000000"/>
              </w:rPr>
              <w:t>施工机械运输和车辆动力源为柴油，主要污染物为NO</w:t>
            </w:r>
            <w:r>
              <w:rPr>
                <w:rFonts w:ascii="Times New Roman" w:hAnsi="Times New Roman"/>
                <w:color w:val="000000"/>
                <w:vertAlign w:val="subscript"/>
              </w:rPr>
              <w:t>2</w:t>
            </w:r>
            <w:r>
              <w:rPr>
                <w:rFonts w:ascii="Times New Roman" w:hAnsi="Times New Roman"/>
                <w:color w:val="000000"/>
              </w:rPr>
              <w:t>、CO和THC（碳氢化合物）等。一般来说，施工机械排放的废气和运输车辆尾气的污染源较分散，且是流动性的，因数量少，影响较为轻微。</w:t>
            </w:r>
          </w:p>
          <w:p w14:paraId="6F068BC0">
            <w:pPr>
              <w:numPr>
                <w:ilvl w:val="0"/>
                <w:numId w:val="7"/>
              </w:numPr>
              <w:spacing w:line="360" w:lineRule="auto"/>
              <w:ind w:firstLine="482" w:firstLineChars="200"/>
              <w:rPr>
                <w:b/>
                <w:bCs/>
                <w:color w:val="000000"/>
                <w:kern w:val="0"/>
                <w:sz w:val="24"/>
              </w:rPr>
            </w:pPr>
            <w:r>
              <w:rPr>
                <w:rFonts w:hint="eastAsia"/>
                <w:b/>
                <w:bCs/>
                <w:color w:val="000000"/>
                <w:kern w:val="0"/>
                <w:sz w:val="24"/>
              </w:rPr>
              <w:t>施工期废水</w:t>
            </w:r>
          </w:p>
          <w:p w14:paraId="2A57B0CB">
            <w:pPr>
              <w:pStyle w:val="146"/>
              <w:spacing w:after="0"/>
              <w:ind w:firstLine="480"/>
              <w:rPr>
                <w:rFonts w:ascii="Times New Roman" w:hAnsi="Times New Roman" w:eastAsia="宋体"/>
                <w:sz w:val="24"/>
                <w:szCs w:val="24"/>
              </w:rPr>
            </w:pPr>
            <w:r>
              <w:rPr>
                <w:rFonts w:ascii="Times New Roman" w:hAnsi="Times New Roman" w:eastAsia="宋体"/>
                <w:sz w:val="24"/>
                <w:szCs w:val="24"/>
              </w:rPr>
              <w:t>施工期水污染源来自施工营地的施工生产废水与施工生活污水，主要包括施工人员生活污水、施工泥浆水、水泥混凝土浇筑养护用水、车辆和机械设备洗涤水等。</w:t>
            </w:r>
          </w:p>
          <w:p w14:paraId="5EC206F7">
            <w:pPr>
              <w:pStyle w:val="146"/>
              <w:spacing w:after="0"/>
              <w:ind w:firstLine="480"/>
              <w:rPr>
                <w:rFonts w:ascii="Times New Roman" w:hAnsi="Times New Roman" w:eastAsia="宋体"/>
                <w:sz w:val="24"/>
                <w:szCs w:val="24"/>
              </w:rPr>
            </w:pPr>
            <w:r>
              <w:rPr>
                <w:rFonts w:hint="eastAsia" w:ascii="Times New Roman" w:hAnsi="Times New Roman" w:eastAsia="宋体"/>
                <w:sz w:val="24"/>
                <w:szCs w:val="24"/>
              </w:rPr>
              <w:t>(1)</w:t>
            </w:r>
            <w:r>
              <w:rPr>
                <w:rFonts w:ascii="Times New Roman" w:hAnsi="Times New Roman" w:eastAsia="宋体"/>
                <w:sz w:val="24"/>
                <w:szCs w:val="24"/>
              </w:rPr>
              <w:t>施工人员生活污水</w:t>
            </w:r>
          </w:p>
          <w:p w14:paraId="675B4781">
            <w:pPr>
              <w:pStyle w:val="146"/>
              <w:spacing w:after="0"/>
              <w:ind w:firstLine="480"/>
              <w:jc w:val="both"/>
              <w:rPr>
                <w:rFonts w:ascii="Times New Roman" w:hAnsi="Times New Roman" w:eastAsia="宋体"/>
                <w:sz w:val="24"/>
                <w:szCs w:val="24"/>
              </w:rPr>
            </w:pPr>
            <w:r>
              <w:rPr>
                <w:rFonts w:ascii="Times New Roman" w:hAnsi="Times New Roman" w:eastAsia="宋体"/>
                <w:sz w:val="24"/>
                <w:szCs w:val="24"/>
              </w:rPr>
              <w:t>本项目施工期生活污水包括施工人员粪便污水、洗涤污水等，主要含有COD、BOD</w:t>
            </w:r>
            <w:r>
              <w:rPr>
                <w:rFonts w:ascii="Times New Roman" w:hAnsi="Times New Roman" w:eastAsia="宋体"/>
                <w:sz w:val="24"/>
                <w:szCs w:val="24"/>
                <w:vertAlign w:val="subscript"/>
              </w:rPr>
              <w:t>5</w:t>
            </w:r>
            <w:r>
              <w:rPr>
                <w:rFonts w:ascii="Times New Roman" w:hAnsi="Times New Roman" w:eastAsia="宋体"/>
                <w:sz w:val="24"/>
                <w:szCs w:val="24"/>
              </w:rPr>
              <w:t>、SS、NH</w:t>
            </w:r>
            <w:r>
              <w:rPr>
                <w:rFonts w:ascii="Times New Roman" w:hAnsi="Times New Roman" w:eastAsia="宋体"/>
                <w:sz w:val="24"/>
                <w:szCs w:val="24"/>
                <w:vertAlign w:val="subscript"/>
              </w:rPr>
              <w:t>3</w:t>
            </w:r>
            <w:r>
              <w:rPr>
                <w:rFonts w:ascii="Times New Roman" w:hAnsi="Times New Roman" w:eastAsia="宋体"/>
                <w:sz w:val="24"/>
                <w:szCs w:val="24"/>
              </w:rPr>
              <w:t>-N以及粪大肠菌群等污染物</w:t>
            </w:r>
            <w:r>
              <w:rPr>
                <w:rFonts w:hint="eastAsia" w:ascii="Times New Roman" w:hAnsi="Times New Roman" w:eastAsia="宋体"/>
                <w:sz w:val="24"/>
                <w:szCs w:val="24"/>
              </w:rPr>
              <w:t>，</w:t>
            </w:r>
            <w:r>
              <w:rPr>
                <w:rFonts w:ascii="Times New Roman" w:hAnsi="Times New Roman" w:eastAsia="宋体"/>
                <w:sz w:val="24"/>
                <w:szCs w:val="24"/>
              </w:rPr>
              <w:t>施工生活污水</w:t>
            </w:r>
            <w:r>
              <w:rPr>
                <w:rFonts w:hint="eastAsia" w:ascii="Times New Roman" w:hAnsi="Times New Roman" w:eastAsia="宋体"/>
                <w:sz w:val="24"/>
                <w:szCs w:val="24"/>
              </w:rPr>
              <w:t>经简易化粪池预处理后委托有资质的单位拉运处理</w:t>
            </w:r>
            <w:r>
              <w:rPr>
                <w:rFonts w:ascii="Times New Roman" w:hAnsi="Times New Roman" w:eastAsia="宋体"/>
                <w:sz w:val="24"/>
                <w:szCs w:val="24"/>
              </w:rPr>
              <w:t>，对周围环境影响较小。</w:t>
            </w:r>
          </w:p>
          <w:p w14:paraId="4E5973EC">
            <w:pPr>
              <w:pStyle w:val="146"/>
              <w:spacing w:after="0"/>
              <w:ind w:firstLine="480"/>
              <w:rPr>
                <w:rFonts w:ascii="Times New Roman" w:hAnsi="Times New Roman" w:eastAsia="宋体"/>
                <w:sz w:val="24"/>
                <w:szCs w:val="24"/>
              </w:rPr>
            </w:pPr>
            <w:r>
              <w:rPr>
                <w:rFonts w:hint="eastAsia" w:ascii="Times New Roman" w:hAnsi="Times New Roman" w:eastAsia="宋体"/>
                <w:sz w:val="24"/>
                <w:szCs w:val="24"/>
              </w:rPr>
              <w:t>(2)</w:t>
            </w:r>
            <w:r>
              <w:rPr>
                <w:rFonts w:ascii="Times New Roman" w:hAnsi="Times New Roman" w:eastAsia="宋体"/>
                <w:sz w:val="24"/>
                <w:szCs w:val="24"/>
              </w:rPr>
              <w:t>施工生产废水</w:t>
            </w:r>
          </w:p>
          <w:p w14:paraId="2FCC9645">
            <w:pPr>
              <w:pStyle w:val="146"/>
              <w:spacing w:after="0"/>
              <w:ind w:firstLine="480"/>
              <w:jc w:val="both"/>
              <w:rPr>
                <w:rFonts w:ascii="Times New Roman" w:hAnsi="Times New Roman" w:eastAsia="宋体"/>
                <w:sz w:val="24"/>
                <w:szCs w:val="24"/>
              </w:rPr>
            </w:pPr>
            <w:r>
              <w:rPr>
                <w:rFonts w:ascii="Times New Roman" w:hAnsi="Times New Roman" w:eastAsia="宋体"/>
                <w:sz w:val="24"/>
                <w:szCs w:val="24"/>
              </w:rPr>
              <w:t>本项目施工期生产废水主要来自汽车机械设备冲洗含油废水以及施工场地泥浆水、水泥混凝土浇筑养护用水等。</w:t>
            </w:r>
          </w:p>
          <w:p w14:paraId="7D9939BA">
            <w:pPr>
              <w:pStyle w:val="146"/>
              <w:spacing w:after="0"/>
              <w:ind w:firstLine="480"/>
              <w:rPr>
                <w:rFonts w:ascii="Times New Roman" w:hAnsi="Times New Roman" w:eastAsia="宋体"/>
                <w:sz w:val="24"/>
                <w:szCs w:val="24"/>
              </w:rPr>
            </w:pPr>
            <w:r>
              <w:rPr>
                <w:rFonts w:ascii="Times New Roman" w:hAnsi="Times New Roman" w:eastAsia="宋体"/>
                <w:sz w:val="24"/>
                <w:szCs w:val="24"/>
              </w:rPr>
              <w:t>施工高峰期运输车辆和机械设备包括挖掘机、推土机、自卸汽车以及各类车辆大约共有</w:t>
            </w:r>
            <w:r>
              <w:rPr>
                <w:rFonts w:hint="eastAsia" w:ascii="Times New Roman" w:hAnsi="Times New Roman" w:eastAsia="宋体"/>
                <w:sz w:val="24"/>
                <w:szCs w:val="24"/>
              </w:rPr>
              <w:t>2</w:t>
            </w:r>
            <w:r>
              <w:rPr>
                <w:rFonts w:ascii="Times New Roman" w:hAnsi="Times New Roman" w:eastAsia="宋体"/>
                <w:sz w:val="24"/>
                <w:szCs w:val="24"/>
              </w:rPr>
              <w:t>0辆（台）。汽车机械临时保养站（含停车场）对运输车辆和机械设备冲洗主要集中在每日晚上进行1次，冲洗废水主要污染物是含有高浓度的泥沙和较高浓度的石油类物质，在厂区内经隔油沉淀后回用。施工场地设置简易的泥浆水收集池，使泥浆水自然渗透过滤，避免泥浆水直接流入周边水域，影响水域水质环境。水泥混凝土浇筑养护用水自然蒸发不外排。</w:t>
            </w:r>
          </w:p>
          <w:p w14:paraId="55371429">
            <w:pPr>
              <w:spacing w:line="360" w:lineRule="auto"/>
              <w:ind w:firstLine="482" w:firstLineChars="200"/>
              <w:rPr>
                <w:b/>
                <w:bCs/>
                <w:color w:val="000000"/>
                <w:sz w:val="24"/>
              </w:rPr>
            </w:pPr>
            <w:r>
              <w:rPr>
                <w:rFonts w:hint="eastAsia"/>
                <w:b/>
                <w:bCs/>
                <w:color w:val="000000"/>
                <w:sz w:val="24"/>
              </w:rPr>
              <w:t>3、施工期噪声</w:t>
            </w:r>
          </w:p>
          <w:p w14:paraId="1F29A2F6">
            <w:pPr>
              <w:spacing w:line="360" w:lineRule="auto"/>
              <w:ind w:firstLine="480" w:firstLineChars="200"/>
              <w:rPr>
                <w:color w:val="000000"/>
                <w:sz w:val="24"/>
              </w:rPr>
            </w:pPr>
            <w:r>
              <w:rPr>
                <w:color w:val="000000"/>
                <w:sz w:val="24"/>
              </w:rPr>
              <w:t>施工期间，运输车辆和各种施工机械如挖掘机、推土机、起重机都是主要的噪声源。根据有关资料，这些机械、设备运行时的噪声值在80-105dB(A)之间，具有间歇性。施工单位</w:t>
            </w:r>
            <w:r>
              <w:rPr>
                <w:rFonts w:hint="eastAsia"/>
                <w:color w:val="000000"/>
                <w:sz w:val="24"/>
              </w:rPr>
              <w:t>应</w:t>
            </w:r>
            <w:r>
              <w:rPr>
                <w:color w:val="000000"/>
                <w:sz w:val="24"/>
              </w:rPr>
              <w:t>通过</w:t>
            </w:r>
            <w:r>
              <w:rPr>
                <w:rFonts w:hint="eastAsia"/>
                <w:color w:val="000000"/>
                <w:sz w:val="24"/>
              </w:rPr>
              <w:t>采取以下措施，减少噪声污染。</w:t>
            </w:r>
          </w:p>
          <w:p w14:paraId="0BEDD58D">
            <w:pPr>
              <w:spacing w:line="360" w:lineRule="auto"/>
              <w:ind w:firstLine="480" w:firstLineChars="200"/>
              <w:rPr>
                <w:color w:val="000000"/>
                <w:sz w:val="24"/>
              </w:rPr>
            </w:pPr>
            <w:r>
              <w:rPr>
                <w:rFonts w:hint="eastAsia"/>
                <w:color w:val="000000"/>
                <w:sz w:val="24"/>
              </w:rPr>
              <w:t>(1)</w:t>
            </w:r>
            <w:r>
              <w:rPr>
                <w:color w:val="000000"/>
                <w:sz w:val="24"/>
              </w:rPr>
              <w:t>严禁夜间施工，从严控制车辆鸣笛。</w:t>
            </w:r>
          </w:p>
          <w:p w14:paraId="5E58C4F0">
            <w:pPr>
              <w:spacing w:line="360" w:lineRule="auto"/>
              <w:ind w:firstLine="480" w:firstLineChars="200"/>
              <w:rPr>
                <w:color w:val="000000"/>
                <w:sz w:val="24"/>
              </w:rPr>
            </w:pPr>
            <w:r>
              <w:rPr>
                <w:rFonts w:hint="eastAsia"/>
                <w:color w:val="000000"/>
                <w:sz w:val="24"/>
              </w:rPr>
              <w:t>(2)</w:t>
            </w:r>
            <w:r>
              <w:rPr>
                <w:color w:val="000000"/>
                <w:sz w:val="24"/>
              </w:rPr>
              <w:t>建设单位应合理安排施工进度，避免高噪声设备集中运作，尽量将高噪声设备摆放在距离厂界较远的位置，定期进行维护和检修。</w:t>
            </w:r>
          </w:p>
          <w:p w14:paraId="0E96809B">
            <w:pPr>
              <w:spacing w:line="360" w:lineRule="auto"/>
              <w:ind w:firstLine="480" w:firstLineChars="200"/>
              <w:rPr>
                <w:color w:val="000000"/>
                <w:sz w:val="24"/>
              </w:rPr>
            </w:pPr>
            <w:r>
              <w:rPr>
                <w:rFonts w:hint="eastAsia"/>
                <w:color w:val="000000"/>
                <w:sz w:val="24"/>
              </w:rPr>
              <w:t>(3)</w:t>
            </w:r>
            <w:r>
              <w:rPr>
                <w:color w:val="000000"/>
                <w:sz w:val="24"/>
              </w:rPr>
              <w:t>施工期厂界周边设置围墙。</w:t>
            </w:r>
          </w:p>
          <w:p w14:paraId="2B49D5CC">
            <w:pPr>
              <w:spacing w:line="360" w:lineRule="auto"/>
              <w:ind w:firstLine="480" w:firstLineChars="200"/>
              <w:rPr>
                <w:color w:val="000000"/>
                <w:sz w:val="24"/>
              </w:rPr>
            </w:pPr>
            <w:r>
              <w:rPr>
                <w:rFonts w:hint="eastAsia"/>
                <w:color w:val="000000"/>
                <w:sz w:val="24"/>
              </w:rPr>
              <w:t>(4)</w:t>
            </w:r>
            <w:r>
              <w:rPr>
                <w:color w:val="000000"/>
                <w:sz w:val="24"/>
              </w:rPr>
              <w:t>对高噪声设备进行隔声减振处理。</w:t>
            </w:r>
          </w:p>
          <w:p w14:paraId="09112341">
            <w:pPr>
              <w:spacing w:line="360" w:lineRule="auto"/>
              <w:ind w:firstLine="482" w:firstLineChars="200"/>
              <w:rPr>
                <w:b/>
                <w:bCs/>
                <w:color w:val="000000"/>
                <w:sz w:val="24"/>
              </w:rPr>
            </w:pPr>
            <w:r>
              <w:rPr>
                <w:rFonts w:hint="eastAsia"/>
                <w:b/>
                <w:bCs/>
                <w:color w:val="000000"/>
                <w:sz w:val="24"/>
              </w:rPr>
              <w:t>4、施工期固废</w:t>
            </w:r>
          </w:p>
          <w:p w14:paraId="1C67B20E">
            <w:pPr>
              <w:spacing w:line="360" w:lineRule="auto"/>
              <w:ind w:firstLine="480" w:firstLineChars="200"/>
              <w:rPr>
                <w:color w:val="000000"/>
                <w:sz w:val="24"/>
              </w:rPr>
            </w:pPr>
            <w:r>
              <w:rPr>
                <w:rFonts w:hint="eastAsia"/>
                <w:color w:val="000000"/>
                <w:sz w:val="24"/>
              </w:rPr>
              <w:t>(1)</w:t>
            </w:r>
            <w:r>
              <w:rPr>
                <w:color w:val="000000"/>
                <w:sz w:val="24"/>
              </w:rPr>
              <w:t>施工建筑垃圾</w:t>
            </w:r>
          </w:p>
          <w:p w14:paraId="76446ACA">
            <w:pPr>
              <w:spacing w:line="360" w:lineRule="auto"/>
              <w:ind w:firstLine="480" w:firstLineChars="200"/>
              <w:rPr>
                <w:color w:val="000000"/>
                <w:sz w:val="24"/>
              </w:rPr>
            </w:pPr>
            <w:r>
              <w:rPr>
                <w:color w:val="000000"/>
                <w:sz w:val="24"/>
              </w:rPr>
              <w:t>本项目施工作业固体废物主要为建筑模板、建筑材料下脚料、断残钢筋头、破钢管、包装袋、废旧设备零件以及建筑碎片、碎砖头、水泥块、石子、沙子等建筑材料废弃物和少量机械修配擦油布等。这些施工固体废物中，建筑模板、建筑材料下脚料、断残钢筋头、破钢管、包装袋、废旧设备零件等可回收综合利用；建筑碎片、碎砖头、水泥块、石子、沙子等建筑材料废弃物可作为本项目厂区场地</w:t>
            </w:r>
            <w:r>
              <w:rPr>
                <w:rFonts w:hint="eastAsia"/>
                <w:color w:val="000000"/>
                <w:sz w:val="24"/>
              </w:rPr>
              <w:t>低洼地</w:t>
            </w:r>
            <w:r>
              <w:rPr>
                <w:color w:val="000000"/>
                <w:sz w:val="24"/>
              </w:rPr>
              <w:t>平整填方。</w:t>
            </w:r>
          </w:p>
          <w:p w14:paraId="271576BA">
            <w:pPr>
              <w:spacing w:line="360" w:lineRule="auto"/>
              <w:ind w:firstLine="480" w:firstLineChars="200"/>
              <w:rPr>
                <w:color w:val="000000"/>
                <w:sz w:val="24"/>
              </w:rPr>
            </w:pPr>
            <w:r>
              <w:rPr>
                <w:rFonts w:hint="eastAsia"/>
                <w:color w:val="000000"/>
                <w:sz w:val="24"/>
              </w:rPr>
              <w:t>(2)</w:t>
            </w:r>
            <w:r>
              <w:rPr>
                <w:color w:val="000000"/>
                <w:sz w:val="24"/>
              </w:rPr>
              <w:t>生活垃圾</w:t>
            </w:r>
          </w:p>
          <w:p w14:paraId="39D47F33">
            <w:pPr>
              <w:spacing w:line="360" w:lineRule="auto"/>
              <w:ind w:firstLine="480" w:firstLineChars="200"/>
            </w:pPr>
            <w:r>
              <w:rPr>
                <w:color w:val="000000"/>
                <w:sz w:val="24"/>
              </w:rPr>
              <w:t>拟建项目施工高峰期各类施工人员约</w:t>
            </w:r>
            <w:r>
              <w:rPr>
                <w:rFonts w:hint="eastAsia"/>
                <w:color w:val="000000"/>
                <w:sz w:val="24"/>
              </w:rPr>
              <w:t>4</w:t>
            </w:r>
            <w:r>
              <w:rPr>
                <w:color w:val="000000"/>
                <w:sz w:val="24"/>
              </w:rPr>
              <w:t>0人，按每人每天产生1kg生活垃圾估算，则项目施工期生活垃圾产生量为</w:t>
            </w:r>
            <w:r>
              <w:rPr>
                <w:rFonts w:hint="eastAsia"/>
                <w:color w:val="000000"/>
                <w:sz w:val="24"/>
              </w:rPr>
              <w:t>4</w:t>
            </w:r>
            <w:r>
              <w:rPr>
                <w:color w:val="000000"/>
                <w:sz w:val="24"/>
              </w:rPr>
              <w:t>0kg/d。生活垃圾包括残剩食物、废纸、塑料和各种玻璃瓶等，由当地环卫部门统一收集处理。</w:t>
            </w:r>
          </w:p>
        </w:tc>
      </w:tr>
      <w:tr w14:paraId="0D427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5" w:type="dxa"/>
            <w:tcMar>
              <w:left w:w="28" w:type="dxa"/>
              <w:right w:w="28" w:type="dxa"/>
            </w:tcMar>
            <w:vAlign w:val="center"/>
          </w:tcPr>
          <w:p w14:paraId="37A572B6">
            <w:pPr>
              <w:jc w:val="center"/>
              <w:rPr>
                <w:bCs/>
                <w:kern w:val="21"/>
                <w:sz w:val="24"/>
              </w:rPr>
            </w:pPr>
            <w:r>
              <w:rPr>
                <w:bCs/>
                <w:kern w:val="21"/>
                <w:sz w:val="24"/>
              </w:rPr>
              <w:t>运营</w:t>
            </w:r>
          </w:p>
          <w:p w14:paraId="538B5014">
            <w:pPr>
              <w:jc w:val="center"/>
              <w:rPr>
                <w:bCs/>
                <w:kern w:val="21"/>
                <w:sz w:val="24"/>
              </w:rPr>
            </w:pPr>
            <w:r>
              <w:rPr>
                <w:bCs/>
                <w:kern w:val="21"/>
                <w:sz w:val="24"/>
              </w:rPr>
              <w:t>期环</w:t>
            </w:r>
          </w:p>
          <w:p w14:paraId="5B49705C">
            <w:pPr>
              <w:jc w:val="center"/>
              <w:rPr>
                <w:bCs/>
                <w:kern w:val="21"/>
                <w:sz w:val="24"/>
              </w:rPr>
            </w:pPr>
            <w:r>
              <w:rPr>
                <w:bCs/>
                <w:kern w:val="21"/>
                <w:sz w:val="24"/>
              </w:rPr>
              <w:t>境影</w:t>
            </w:r>
          </w:p>
          <w:p w14:paraId="29CB8618">
            <w:pPr>
              <w:jc w:val="center"/>
              <w:rPr>
                <w:bCs/>
                <w:kern w:val="21"/>
                <w:sz w:val="24"/>
              </w:rPr>
            </w:pPr>
            <w:r>
              <w:rPr>
                <w:bCs/>
                <w:kern w:val="21"/>
                <w:sz w:val="24"/>
              </w:rPr>
              <w:t>响和</w:t>
            </w:r>
          </w:p>
          <w:p w14:paraId="5FC0AE0D">
            <w:pPr>
              <w:jc w:val="center"/>
              <w:rPr>
                <w:bCs/>
                <w:kern w:val="21"/>
                <w:sz w:val="24"/>
              </w:rPr>
            </w:pPr>
            <w:r>
              <w:rPr>
                <w:bCs/>
                <w:kern w:val="21"/>
                <w:sz w:val="24"/>
              </w:rPr>
              <w:t>保护</w:t>
            </w:r>
          </w:p>
          <w:p w14:paraId="6016B8BF">
            <w:pPr>
              <w:jc w:val="center"/>
              <w:rPr>
                <w:bCs/>
                <w:color w:val="FF0000"/>
                <w:kern w:val="21"/>
                <w:szCs w:val="21"/>
              </w:rPr>
            </w:pPr>
            <w:r>
              <w:rPr>
                <w:bCs/>
                <w:kern w:val="21"/>
                <w:sz w:val="24"/>
              </w:rPr>
              <w:t>措施</w:t>
            </w:r>
          </w:p>
        </w:tc>
        <w:tc>
          <w:tcPr>
            <w:tcW w:w="8606" w:type="dxa"/>
            <w:vAlign w:val="center"/>
          </w:tcPr>
          <w:p w14:paraId="2F7280C6">
            <w:pPr>
              <w:pStyle w:val="66"/>
              <w:ind w:firstLine="0" w:firstLineChars="0"/>
              <w:rPr>
                <w:b/>
                <w:bCs/>
                <w:kern w:val="2"/>
                <w:sz w:val="24"/>
                <w:szCs w:val="24"/>
              </w:rPr>
            </w:pPr>
            <w:r>
              <w:rPr>
                <w:b/>
                <w:bCs/>
                <w:kern w:val="2"/>
                <w:sz w:val="24"/>
                <w:szCs w:val="24"/>
              </w:rPr>
              <w:t>4.</w:t>
            </w:r>
            <w:r>
              <w:rPr>
                <w:rFonts w:hint="eastAsia"/>
                <w:b/>
                <w:bCs/>
                <w:kern w:val="2"/>
                <w:sz w:val="24"/>
                <w:szCs w:val="24"/>
              </w:rPr>
              <w:t>2运营期废气</w:t>
            </w:r>
            <w:r>
              <w:rPr>
                <w:b/>
                <w:bCs/>
                <w:kern w:val="2"/>
                <w:sz w:val="24"/>
                <w:szCs w:val="24"/>
              </w:rPr>
              <w:t>污染源核算及环保措施</w:t>
            </w:r>
          </w:p>
          <w:p w14:paraId="5FA6F252">
            <w:pPr>
              <w:pStyle w:val="66"/>
              <w:ind w:firstLine="482"/>
              <w:rPr>
                <w:b/>
                <w:bCs/>
                <w:kern w:val="2"/>
                <w:sz w:val="24"/>
                <w:szCs w:val="24"/>
              </w:rPr>
            </w:pPr>
            <w:r>
              <w:rPr>
                <w:rFonts w:hint="eastAsia"/>
                <w:b/>
                <w:bCs/>
                <w:kern w:val="2"/>
                <w:sz w:val="24"/>
                <w:szCs w:val="24"/>
              </w:rPr>
              <w:t>1.</w:t>
            </w:r>
            <w:r>
              <w:rPr>
                <w:b/>
                <w:bCs/>
                <w:kern w:val="2"/>
                <w:sz w:val="24"/>
                <w:szCs w:val="24"/>
              </w:rPr>
              <w:t>废气污源核算</w:t>
            </w:r>
          </w:p>
          <w:p w14:paraId="340228ED">
            <w:pPr>
              <w:spacing w:line="360" w:lineRule="auto"/>
              <w:ind w:firstLine="480"/>
              <w:rPr>
                <w:sz w:val="24"/>
              </w:rPr>
            </w:pPr>
            <w:r>
              <w:rPr>
                <w:rFonts w:hint="eastAsia"/>
                <w:sz w:val="24"/>
              </w:rPr>
              <w:t>水泥输料系统、计量系统均采用密闭式管道输料，基本不产生粉尘。本项目运营期废气主要为原料卸料粉尘、石子及砂子输送粉尘、水泥罐呼吸粉尘、配料搅拌粉尘、焊接烟尘和厨房油烟等。根据《污染源源强核算技术指南水泥工业》（HJ886-2018），污染物源强核算方法可采用物料衡算法、实测法、产污系数法、类比法、实验法等方法。本次环评废气源强采用产污系数法，具体源强分析如下。</w:t>
            </w:r>
          </w:p>
          <w:p w14:paraId="76D59D6D">
            <w:pPr>
              <w:spacing w:line="360" w:lineRule="auto"/>
              <w:ind w:firstLine="480"/>
              <w:rPr>
                <w:sz w:val="24"/>
              </w:rPr>
            </w:pPr>
            <w:r>
              <w:rPr>
                <w:rFonts w:hint="eastAsia"/>
                <w:sz w:val="24"/>
              </w:rPr>
              <w:t>(1)原料装卸粉尘</w:t>
            </w:r>
          </w:p>
          <w:p w14:paraId="74581133">
            <w:pPr>
              <w:spacing w:line="360" w:lineRule="auto"/>
              <w:ind w:firstLine="480"/>
              <w:rPr>
                <w:sz w:val="24"/>
              </w:rPr>
            </w:pPr>
            <w:r>
              <w:rPr>
                <w:rFonts w:hint="eastAsia"/>
                <w:sz w:val="24"/>
              </w:rPr>
              <w:t>本项目原料（石子、砂子）需用汽车运输进入生产车间石子、砂子原料堆场，装卸过程中产生的扬尘采用《逸散性工业粉尘控制技术》第十八章粒料加工厂排放源中表18-1 粒料加工厂逸散尘的排放因子-卸料（卡车）-碎石-0.02kg/t（卸料），项目需装卸的原料（石子、砂子）年用量为25万t，则装卸过程中粉尘的产生量为5t/a。建设单位拟在砂子、石子卸料过程洒水抑尘，并对原料石子、砂子堆场定期喷水，保持堆料表层湿润，保持表层含水率≥10%，用篷布遮盖；根据《工业源固体物料堆场颗粒物核算系数手册》附录5 洒水抑尘效率以74%计，此外，项目运输原料石子、砂子的车辆采用密闭车斗，其装载高度不得超过车辆槽帮上沿，车斗要用苫布遮盖严实，苫布边缘至少要遮住槽帮上沿以下150mm，保证物料不外露。则本项目原料装卸粉尘无组织排放量为1.3t/a。</w:t>
            </w:r>
          </w:p>
          <w:p w14:paraId="5908B50D">
            <w:pPr>
              <w:spacing w:line="360" w:lineRule="auto"/>
              <w:ind w:firstLine="480"/>
              <w:rPr>
                <w:sz w:val="24"/>
              </w:rPr>
            </w:pPr>
            <w:r>
              <w:rPr>
                <w:rFonts w:hint="eastAsia"/>
                <w:sz w:val="24"/>
              </w:rPr>
              <w:t>(2)石子及砂子输送粉尘</w:t>
            </w:r>
          </w:p>
          <w:p w14:paraId="0221FFA3">
            <w:pPr>
              <w:spacing w:line="360" w:lineRule="auto"/>
              <w:ind w:firstLine="480"/>
              <w:rPr>
                <w:sz w:val="24"/>
              </w:rPr>
            </w:pPr>
            <w:r>
              <w:rPr>
                <w:sz w:val="24"/>
              </w:rPr>
              <w:t>石子、砂子均采用皮带传输系统，进料、下料和转运的上方加装半密闭的防尘罩，石子、砂子输送过程会有少量粉尘溢散，污染因子为颗粒物。参照《逸散性工业粉尘控制技术》（中国环境出版社）中“表18-1 粒料加工厂逸散粉尘的排放因子”，碎石进料排放因子为0.0007kg/t-进料，项目石子</w:t>
            </w:r>
            <w:r>
              <w:rPr>
                <w:rFonts w:hint="eastAsia"/>
                <w:sz w:val="24"/>
              </w:rPr>
              <w:t>、砂子</w:t>
            </w:r>
            <w:r>
              <w:rPr>
                <w:sz w:val="24"/>
              </w:rPr>
              <w:t>的年用量为</w:t>
            </w:r>
            <w:r>
              <w:rPr>
                <w:rFonts w:hint="eastAsia"/>
                <w:sz w:val="24"/>
              </w:rPr>
              <w:t>25万t</w:t>
            </w:r>
            <w:r>
              <w:rPr>
                <w:sz w:val="24"/>
              </w:rPr>
              <w:t>，</w:t>
            </w:r>
            <w:r>
              <w:rPr>
                <w:rFonts w:hint="eastAsia"/>
                <w:sz w:val="24"/>
              </w:rPr>
              <w:t>则</w:t>
            </w:r>
            <w:r>
              <w:rPr>
                <w:sz w:val="24"/>
              </w:rPr>
              <w:t>输送过程中粉尘</w:t>
            </w:r>
            <w:r>
              <w:rPr>
                <w:rFonts w:hint="eastAsia"/>
                <w:sz w:val="24"/>
              </w:rPr>
              <w:t>产生</w:t>
            </w:r>
            <w:r>
              <w:rPr>
                <w:sz w:val="24"/>
              </w:rPr>
              <w:t>量为</w:t>
            </w:r>
            <w:r>
              <w:rPr>
                <w:rFonts w:hint="eastAsia"/>
                <w:sz w:val="24"/>
              </w:rPr>
              <w:t>0.175</w:t>
            </w:r>
            <w:r>
              <w:rPr>
                <w:sz w:val="24"/>
              </w:rPr>
              <w:t>t/a。</w:t>
            </w:r>
          </w:p>
          <w:p w14:paraId="552C1447">
            <w:pPr>
              <w:spacing w:line="360" w:lineRule="auto"/>
              <w:ind w:firstLine="480"/>
              <w:rPr>
                <w:sz w:val="24"/>
              </w:rPr>
            </w:pPr>
            <w:r>
              <w:rPr>
                <w:rFonts w:hint="eastAsia"/>
                <w:sz w:val="24"/>
              </w:rPr>
              <w:t>(3)水泥罐呼吸粉尘</w:t>
            </w:r>
          </w:p>
          <w:p w14:paraId="52907BD9">
            <w:pPr>
              <w:spacing w:line="360" w:lineRule="auto"/>
              <w:ind w:firstLine="480"/>
              <w:rPr>
                <w:sz w:val="24"/>
              </w:rPr>
            </w:pPr>
            <w:r>
              <w:rPr>
                <w:rFonts w:hint="eastAsia"/>
                <w:sz w:val="24"/>
              </w:rPr>
              <w:t>本项目水泥储存在生产车间水泥罐中，水泥罐顶部设有呼吸口，水泥粉料用密闭罐车运输到生产车间内，通过泵连接管道采用负压方式将水泥粉料打入水泥罐中，卸料过程为密闭，但当泵打入水泥罐的时候，由于气压的原因，出口处气流速度较大，储罐顶部呼吸孔会有气体溢出，从而带出一部分粉尘，此为大呼吸；同时由于气温变化形成温度差引起气体压力变化有部分粉尘随水泥罐里的空气从水泥罐顶部的排气孔中排出，此为小呼吸。本项目的水泥罐顶部呼吸口直接连接一个滤筒式袋式除尘器进行处理，项目水泥罐呼吸口含尘产生量参照《逸散性工业粉尘控制技术》</w:t>
            </w:r>
            <w:r>
              <w:rPr>
                <w:sz w:val="24"/>
              </w:rPr>
              <w:t>“表22-1 混凝土分批搅拌厂的散逸尘排放因子”中“卸水泥至高架贮仓”排污系数为0.12kg/t-卸料</w:t>
            </w:r>
            <w:r>
              <w:rPr>
                <w:rFonts w:hint="eastAsia"/>
                <w:sz w:val="24"/>
              </w:rPr>
              <w:t>，</w:t>
            </w:r>
            <w:r>
              <w:rPr>
                <w:sz w:val="24"/>
              </w:rPr>
              <w:t>“贮仓排气”排污系数为0.12kg/t。</w:t>
            </w:r>
            <w:r>
              <w:rPr>
                <w:rFonts w:hint="eastAsia"/>
                <w:sz w:val="24"/>
              </w:rPr>
              <w:t>本</w:t>
            </w:r>
            <w:r>
              <w:rPr>
                <w:sz w:val="24"/>
              </w:rPr>
              <w:t>项目水泥上料量为</w:t>
            </w:r>
            <w:r>
              <w:rPr>
                <w:rFonts w:hint="eastAsia"/>
                <w:sz w:val="24"/>
              </w:rPr>
              <w:t>5.8万</w:t>
            </w:r>
            <w:r>
              <w:rPr>
                <w:sz w:val="24"/>
              </w:rPr>
              <w:t>t/a，则水泥</w:t>
            </w:r>
            <w:r>
              <w:rPr>
                <w:rFonts w:hint="eastAsia"/>
                <w:sz w:val="24"/>
              </w:rPr>
              <w:t>罐呼吸粉尘</w:t>
            </w:r>
            <w:r>
              <w:rPr>
                <w:sz w:val="24"/>
              </w:rPr>
              <w:t>产生量为</w:t>
            </w:r>
            <w:r>
              <w:rPr>
                <w:rFonts w:hint="eastAsia"/>
                <w:sz w:val="24"/>
              </w:rPr>
              <w:t>13.92</w:t>
            </w:r>
            <w:r>
              <w:rPr>
                <w:sz w:val="24"/>
              </w:rPr>
              <w:t>t/a</w:t>
            </w:r>
            <w:r>
              <w:rPr>
                <w:rFonts w:hint="eastAsia"/>
                <w:sz w:val="24"/>
              </w:rPr>
              <w:t>，粉尘废气从每个水泥罐负压收集至罐顶的1套滤罐顶滤筒袋式除尘器处理后无组织排放，由于无外泄单元，收集率为100%，根据《排放源统计调查产排污核算方法和系数手册》（生态环境部公告2021年第24号）中《3021水泥制品制造（含3022砼结构构件、3029其他水泥类似制品制造）行业产污表，袋式除尘治理效率为99.7%，本环评保守取99%，则水泥罐呼吸粉尘排放量为0.139t/a。</w:t>
            </w:r>
          </w:p>
          <w:p w14:paraId="538C45E8">
            <w:pPr>
              <w:spacing w:line="360" w:lineRule="auto"/>
              <w:ind w:firstLine="480"/>
              <w:rPr>
                <w:sz w:val="24"/>
              </w:rPr>
            </w:pPr>
            <w:r>
              <w:rPr>
                <w:rFonts w:hint="eastAsia"/>
                <w:sz w:val="24"/>
              </w:rPr>
              <w:t>(4)搅拌粉尘</w:t>
            </w:r>
          </w:p>
          <w:p w14:paraId="53EEB921">
            <w:pPr>
              <w:spacing w:line="360" w:lineRule="auto"/>
              <w:ind w:firstLine="480"/>
              <w:rPr>
                <w:sz w:val="24"/>
              </w:rPr>
            </w:pPr>
            <w:r>
              <w:rPr>
                <w:rFonts w:hint="eastAsia"/>
                <w:sz w:val="24"/>
              </w:rPr>
              <w:t>本项目石子、砂子采用皮带输送系统，皮带输送方式进入搅拌机，</w:t>
            </w:r>
            <w:r>
              <w:rPr>
                <w:sz w:val="24"/>
              </w:rPr>
              <w:t>进料、下料和转运的上方加装半密闭的防尘罩</w:t>
            </w:r>
            <w:r>
              <w:rPr>
                <w:rFonts w:hint="eastAsia"/>
                <w:sz w:val="24"/>
              </w:rPr>
              <w:t>；水泥通过密封螺旋运输机输送至搅拌机，水泥和石子、砂子同时重力落料至搅拌机内，投料过程主机同时喷水，起到压制粉尘作用。当各种物料进入搅拌设备时，小粒径颗粒物会飘散形成粉尘。根据《排放源统计调查产排污核算方法和系数手册》（生态环境部公告2021年第24号）中《3021水泥制品制造业（含3022砼结构构件、3029其他水泥类似制品制造）行业系数表》，当原料为水泥、砂子、石子等物料混合搅拌工序产生的工业粉尘的产污系数为0.13千克/吨－原料，本项目搅拌设备的小粒径颗粒物主要是水泥，因此原料以水泥计，水泥用量为5.8万t/a，则粉尘产生量为7.54t/a。由于搅拌过程中需加水混合搅拌，参照《逸散性工业粉尘控制技术》，干料浸湿后抑尘率不低于70%，本项目取70%，则物料搅拌粉尘最终产生量约为2.262t/a。</w:t>
            </w:r>
          </w:p>
          <w:p w14:paraId="2272718E">
            <w:pPr>
              <w:spacing w:line="360" w:lineRule="auto"/>
              <w:ind w:firstLine="480"/>
              <w:rPr>
                <w:sz w:val="24"/>
              </w:rPr>
            </w:pPr>
            <w:r>
              <w:rPr>
                <w:rFonts w:hint="eastAsia"/>
                <w:sz w:val="24"/>
              </w:rPr>
              <w:t>本项目搅拌机搅拌仓及其料斗为密闭设计且预留排气口，建设单位拟在搅拌过程喷淋降尘，洒水抑尘效率以70%计，则最终搅拌粉尘排放量为0.679t/a。</w:t>
            </w:r>
          </w:p>
          <w:p w14:paraId="3F365A98">
            <w:pPr>
              <w:spacing w:line="360" w:lineRule="auto"/>
              <w:ind w:firstLine="480"/>
              <w:rPr>
                <w:sz w:val="24"/>
              </w:rPr>
            </w:pPr>
            <w:r>
              <w:rPr>
                <w:rFonts w:hint="eastAsia"/>
                <w:sz w:val="24"/>
              </w:rPr>
              <w:t>(5)焊接烟尘</w:t>
            </w:r>
          </w:p>
          <w:p w14:paraId="45829F7B">
            <w:pPr>
              <w:spacing w:line="360" w:lineRule="auto"/>
              <w:ind w:firstLine="480"/>
              <w:rPr>
                <w:sz w:val="24"/>
              </w:rPr>
            </w:pPr>
            <w:r>
              <w:rPr>
                <w:rFonts w:hint="eastAsia"/>
                <w:sz w:val="24"/>
              </w:rPr>
              <w:t>本项目钢筋加工过程中主要采用滚焊机和点焊机。</w:t>
            </w:r>
          </w:p>
          <w:p w14:paraId="7794E677">
            <w:pPr>
              <w:spacing w:line="360" w:lineRule="auto"/>
              <w:ind w:firstLine="480"/>
              <w:rPr>
                <w:sz w:val="24"/>
              </w:rPr>
            </w:pPr>
            <w:r>
              <w:rPr>
                <w:rFonts w:hint="eastAsia"/>
                <w:sz w:val="24"/>
              </w:rPr>
              <w:t>滚焊机为电阻焊，焊接过程中不使用焊材，主要是指利用电流通过焊件及接触处产生的电阻热作为热源将焊件局部加热，同时加压进行焊接的方法，因此本项目滚焊机焊接烟尘产生量极小，不再定量分析。</w:t>
            </w:r>
          </w:p>
          <w:p w14:paraId="1E0E423D">
            <w:pPr>
              <w:spacing w:line="360" w:lineRule="auto"/>
              <w:ind w:firstLine="480"/>
              <w:rPr>
                <w:sz w:val="24"/>
              </w:rPr>
            </w:pPr>
            <w:r>
              <w:rPr>
                <w:rFonts w:hint="eastAsia"/>
                <w:sz w:val="24"/>
              </w:rPr>
              <w:t>点焊机</w:t>
            </w:r>
            <w:r>
              <w:rPr>
                <w:sz w:val="24"/>
              </w:rPr>
              <w:t>焊接采用电弧焊，本项目焊条使用量为2t/a，年工作2400h。在焊接的过程中会产生焊接烟尘，焊接烟尘是由于焊芯和药皮及焊接金属在电弧高温作用下熔融时蒸发、凝结和氧化而产生的，其成分比较复杂，主要是Fe</w:t>
            </w:r>
            <w:r>
              <w:rPr>
                <w:sz w:val="24"/>
                <w:vertAlign w:val="subscript"/>
              </w:rPr>
              <w:t>2</w:t>
            </w:r>
            <w:r>
              <w:rPr>
                <w:sz w:val="24"/>
              </w:rPr>
              <w:t>O</w:t>
            </w:r>
            <w:r>
              <w:rPr>
                <w:sz w:val="24"/>
                <w:vertAlign w:val="subscript"/>
              </w:rPr>
              <w:t>3</w:t>
            </w:r>
            <w:r>
              <w:rPr>
                <w:sz w:val="24"/>
              </w:rPr>
              <w:t>、MnO</w:t>
            </w:r>
            <w:r>
              <w:rPr>
                <w:sz w:val="24"/>
                <w:vertAlign w:val="subscript"/>
              </w:rPr>
              <w:t>2</w:t>
            </w:r>
            <w:r>
              <w:rPr>
                <w:sz w:val="24"/>
              </w:rPr>
              <w:t>等金属氧化物和金属氟化物。根据《排放源统计调查产排污核算方法和系数手册》</w:t>
            </w:r>
            <w:r>
              <w:rPr>
                <w:rFonts w:hint="eastAsia"/>
                <w:sz w:val="24"/>
              </w:rPr>
              <w:t>（生态环境部公告2021年第24号）《</w:t>
            </w:r>
            <w:r>
              <w:rPr>
                <w:sz w:val="24"/>
              </w:rPr>
              <w:t>33-37，431-434机械行业-手工电弧焊</w:t>
            </w:r>
            <w:r>
              <w:rPr>
                <w:rFonts w:hint="eastAsia"/>
                <w:sz w:val="24"/>
              </w:rPr>
              <w:t>》</w:t>
            </w:r>
            <w:r>
              <w:rPr>
                <w:sz w:val="24"/>
              </w:rPr>
              <w:t>中颗粒物产污系数20.2千克/吨-原料，则焊接烟尘中颗粒物产生量0.04t/a</w:t>
            </w:r>
            <w:r>
              <w:rPr>
                <w:rFonts w:hint="eastAsia"/>
                <w:sz w:val="24"/>
              </w:rPr>
              <w:t>，采用移动焊烟净化器收集后无组织排放，焊烟净化器处理效率按80%计，则</w:t>
            </w:r>
            <w:r>
              <w:rPr>
                <w:sz w:val="24"/>
              </w:rPr>
              <w:t>焊接烟尘中颗粒物</w:t>
            </w:r>
            <w:r>
              <w:rPr>
                <w:rFonts w:hint="eastAsia"/>
                <w:sz w:val="24"/>
              </w:rPr>
              <w:t>排放量为</w:t>
            </w:r>
            <w:r>
              <w:rPr>
                <w:sz w:val="24"/>
              </w:rPr>
              <w:t>0.0</w:t>
            </w:r>
            <w:r>
              <w:rPr>
                <w:rFonts w:hint="eastAsia"/>
                <w:sz w:val="24"/>
              </w:rPr>
              <w:t>08</w:t>
            </w:r>
            <w:r>
              <w:rPr>
                <w:sz w:val="24"/>
              </w:rPr>
              <w:t>t/a</w:t>
            </w:r>
            <w:r>
              <w:rPr>
                <w:rFonts w:hint="eastAsia"/>
                <w:sz w:val="24"/>
              </w:rPr>
              <w:t>。</w:t>
            </w:r>
          </w:p>
          <w:p w14:paraId="6271985D">
            <w:pPr>
              <w:spacing w:line="360" w:lineRule="auto"/>
              <w:ind w:firstLine="480"/>
              <w:rPr>
                <w:sz w:val="24"/>
              </w:rPr>
            </w:pPr>
            <w:r>
              <w:rPr>
                <w:rFonts w:hint="eastAsia"/>
                <w:sz w:val="24"/>
              </w:rPr>
              <w:t>(6)厨房油烟</w:t>
            </w:r>
          </w:p>
          <w:p w14:paraId="5412922E">
            <w:pPr>
              <w:spacing w:line="360" w:lineRule="auto"/>
              <w:ind w:firstLine="480" w:firstLineChars="200"/>
              <w:rPr>
                <w:sz w:val="24"/>
              </w:rPr>
            </w:pPr>
            <w:r>
              <w:rPr>
                <w:rFonts w:hint="eastAsia"/>
                <w:sz w:val="24"/>
              </w:rPr>
              <w:t>本</w:t>
            </w:r>
            <w:r>
              <w:rPr>
                <w:sz w:val="24"/>
              </w:rPr>
              <w:t>项目员工</w:t>
            </w:r>
            <w:r>
              <w:rPr>
                <w:rFonts w:hint="eastAsia"/>
                <w:sz w:val="24"/>
              </w:rPr>
              <w:t>有30人在厂内食堂</w:t>
            </w:r>
            <w:r>
              <w:rPr>
                <w:sz w:val="24"/>
              </w:rPr>
              <w:t>用餐，食堂厨房会产生油烟，主要是食物在烹饪、加工过程中将挥发出油脂、有机质及热分解或裂解产物，从而产生油烟废气。根据饮食业油烟浓度经验数据，目前我国居民人均食用油日用量约30g/人·天计算，则项目日耗油</w:t>
            </w:r>
            <w:r>
              <w:rPr>
                <w:rFonts w:hint="eastAsia"/>
                <w:sz w:val="24"/>
              </w:rPr>
              <w:t>量0.9</w:t>
            </w:r>
            <w:r>
              <w:rPr>
                <w:sz w:val="24"/>
              </w:rPr>
              <w:t>kg，年耗油量为0.</w:t>
            </w:r>
            <w:r>
              <w:rPr>
                <w:rFonts w:hint="eastAsia"/>
                <w:sz w:val="24"/>
              </w:rPr>
              <w:t>27</w:t>
            </w:r>
            <w:r>
              <w:rPr>
                <w:sz w:val="24"/>
              </w:rPr>
              <w:t>t。一般油烟挥发量占总耗油量的2~4%，项目取4%，则油烟挥发量为</w:t>
            </w:r>
            <w:r>
              <w:rPr>
                <w:rFonts w:hint="eastAsia"/>
                <w:sz w:val="24"/>
              </w:rPr>
              <w:t>0.011</w:t>
            </w:r>
            <w:r>
              <w:rPr>
                <w:sz w:val="24"/>
              </w:rPr>
              <w:t>t/a，每日烹饪高峰期按</w:t>
            </w:r>
            <w:r>
              <w:rPr>
                <w:rFonts w:hint="eastAsia"/>
                <w:sz w:val="24"/>
              </w:rPr>
              <w:t>4</w:t>
            </w:r>
            <w:r>
              <w:rPr>
                <w:sz w:val="24"/>
              </w:rPr>
              <w:t>小时计，则高峰</w:t>
            </w:r>
            <w:r>
              <w:rPr>
                <w:rFonts w:hint="eastAsia"/>
                <w:sz w:val="24"/>
              </w:rPr>
              <w:t>油烟挥发量</w:t>
            </w:r>
            <w:r>
              <w:rPr>
                <w:sz w:val="24"/>
              </w:rPr>
              <w:t>为</w:t>
            </w:r>
            <w:r>
              <w:rPr>
                <w:rFonts w:hint="eastAsia"/>
                <w:sz w:val="24"/>
              </w:rPr>
              <w:t>0.009</w:t>
            </w:r>
            <w:r>
              <w:rPr>
                <w:sz w:val="24"/>
              </w:rPr>
              <w:t>kg/h。项目食堂</w:t>
            </w:r>
            <w:r>
              <w:rPr>
                <w:rFonts w:hint="eastAsia"/>
                <w:sz w:val="24"/>
              </w:rPr>
              <w:t>厨房</w:t>
            </w:r>
            <w:r>
              <w:rPr>
                <w:sz w:val="24"/>
              </w:rPr>
              <w:t>油烟拟安装油烟净化装置（净化效率达60%以上）收集处理后由专用烟道引至楼顶排放，食堂设置</w:t>
            </w:r>
            <w:r>
              <w:rPr>
                <w:rFonts w:hint="eastAsia"/>
                <w:sz w:val="24"/>
              </w:rPr>
              <w:t>1</w:t>
            </w:r>
            <w:r>
              <w:rPr>
                <w:sz w:val="24"/>
              </w:rPr>
              <w:t>个基准灶头，烹饪时灶头产生的烟气量约为</w:t>
            </w:r>
            <w:r>
              <w:rPr>
                <w:rFonts w:hint="eastAsia"/>
                <w:sz w:val="24"/>
              </w:rPr>
              <w:t>4</w:t>
            </w:r>
            <w:r>
              <w:rPr>
                <w:sz w:val="24"/>
              </w:rPr>
              <w:t>000m</w:t>
            </w:r>
            <w:r>
              <w:rPr>
                <w:sz w:val="24"/>
                <w:vertAlign w:val="superscript"/>
              </w:rPr>
              <w:t>3</w:t>
            </w:r>
            <w:r>
              <w:rPr>
                <w:sz w:val="24"/>
              </w:rPr>
              <w:t>/h</w:t>
            </w:r>
            <w:r>
              <w:rPr>
                <w:rFonts w:hint="eastAsia"/>
                <w:sz w:val="24"/>
              </w:rPr>
              <w:t>，</w:t>
            </w:r>
            <w:r>
              <w:rPr>
                <w:sz w:val="24"/>
              </w:rPr>
              <w:t>则油烟排放量为0.00</w:t>
            </w:r>
            <w:r>
              <w:rPr>
                <w:rFonts w:hint="eastAsia"/>
                <w:sz w:val="24"/>
              </w:rPr>
              <w:t>4</w:t>
            </w:r>
            <w:r>
              <w:rPr>
                <w:sz w:val="24"/>
              </w:rPr>
              <w:t>t/a，排放速率为0.00</w:t>
            </w:r>
            <w:r>
              <w:rPr>
                <w:rFonts w:hint="eastAsia"/>
                <w:sz w:val="24"/>
              </w:rPr>
              <w:t>3</w:t>
            </w:r>
            <w:r>
              <w:rPr>
                <w:sz w:val="24"/>
              </w:rPr>
              <w:t>kg/h，排放浓度为</w:t>
            </w:r>
            <w:r>
              <w:rPr>
                <w:rFonts w:hint="eastAsia"/>
                <w:sz w:val="24"/>
              </w:rPr>
              <w:t>0.8</w:t>
            </w:r>
            <w:r>
              <w:rPr>
                <w:sz w:val="24"/>
              </w:rPr>
              <w:t>mg/m</w:t>
            </w:r>
            <w:r>
              <w:rPr>
                <w:sz w:val="24"/>
                <w:vertAlign w:val="superscript"/>
              </w:rPr>
              <w:t>3</w:t>
            </w:r>
            <w:r>
              <w:rPr>
                <w:sz w:val="24"/>
              </w:rPr>
              <w:t>。</w:t>
            </w:r>
          </w:p>
          <w:p w14:paraId="2E77E9F4">
            <w:pPr>
              <w:spacing w:line="360" w:lineRule="auto"/>
              <w:ind w:firstLine="480" w:firstLineChars="200"/>
              <w:rPr>
                <w:color w:val="FF0000"/>
              </w:rPr>
            </w:pPr>
            <w:r>
              <w:rPr>
                <w:sz w:val="24"/>
              </w:rPr>
              <w:t>项目废气</w:t>
            </w:r>
            <w:r>
              <w:rPr>
                <w:rFonts w:hint="eastAsia"/>
                <w:sz w:val="24"/>
              </w:rPr>
              <w:t>污染源源强核算结果</w:t>
            </w:r>
            <w:r>
              <w:rPr>
                <w:sz w:val="24"/>
              </w:rPr>
              <w:t>见表4.</w:t>
            </w:r>
            <w:r>
              <w:rPr>
                <w:rFonts w:hint="eastAsia"/>
                <w:sz w:val="24"/>
              </w:rPr>
              <w:t>2-1</w:t>
            </w:r>
            <w:r>
              <w:rPr>
                <w:sz w:val="24"/>
              </w:rPr>
              <w:t>。</w:t>
            </w:r>
          </w:p>
        </w:tc>
      </w:tr>
    </w:tbl>
    <w:p w14:paraId="17D96D7C">
      <w:pPr>
        <w:rPr>
          <w:color w:val="FF0000"/>
        </w:rPr>
        <w:sectPr>
          <w:pgSz w:w="11907" w:h="16840"/>
          <w:pgMar w:top="1701" w:right="1531" w:bottom="2127" w:left="1531" w:header="851" w:footer="851" w:gutter="0"/>
          <w:cols w:space="720" w:num="1"/>
          <w:docGrid w:linePitch="312" w:charSpace="0"/>
        </w:sectPr>
      </w:pPr>
    </w:p>
    <w:tbl>
      <w:tblPr>
        <w:tblStyle w:val="35"/>
        <w:tblW w:w="132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13269"/>
      </w:tblGrid>
      <w:tr w14:paraId="7912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c>
          <w:tcPr>
            <w:tcW w:w="13269" w:type="dxa"/>
          </w:tcPr>
          <w:p w14:paraId="60F7E208">
            <w:pPr>
              <w:pStyle w:val="41"/>
              <w:spacing w:before="120"/>
              <w:ind w:firstLine="482" w:firstLineChars="200"/>
              <w:jc w:val="center"/>
              <w:rPr>
                <w:b/>
                <w:sz w:val="24"/>
              </w:rPr>
            </w:pPr>
            <w:r>
              <w:rPr>
                <w:rFonts w:hint="eastAsia"/>
                <w:b/>
                <w:sz w:val="24"/>
              </w:rPr>
              <w:t>表4.2-1  废气污染源源强核算结果及相关参数一览表</w:t>
            </w:r>
          </w:p>
          <w:tbl>
            <w:tblPr>
              <w:tblStyle w:val="34"/>
              <w:tblW w:w="1303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956"/>
              <w:gridCol w:w="979"/>
              <w:gridCol w:w="944"/>
              <w:gridCol w:w="1066"/>
              <w:gridCol w:w="840"/>
              <w:gridCol w:w="1335"/>
              <w:gridCol w:w="900"/>
              <w:gridCol w:w="1065"/>
              <w:gridCol w:w="870"/>
              <w:gridCol w:w="990"/>
              <w:gridCol w:w="1020"/>
              <w:gridCol w:w="730"/>
            </w:tblGrid>
            <w:tr w14:paraId="12571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44" w:type="dxa"/>
                  <w:vMerge w:val="restart"/>
                  <w:tcBorders>
                    <w:tl2br w:val="nil"/>
                    <w:tr2bl w:val="nil"/>
                  </w:tcBorders>
                  <w:shd w:val="clear" w:color="auto" w:fill="auto"/>
                  <w:vAlign w:val="center"/>
                </w:tcPr>
                <w:p w14:paraId="5B8414E7">
                  <w:pPr>
                    <w:pStyle w:val="120"/>
                    <w:rPr>
                      <w:szCs w:val="21"/>
                    </w:rPr>
                  </w:pPr>
                  <w:r>
                    <w:rPr>
                      <w:rFonts w:hint="eastAsia"/>
                      <w:szCs w:val="21"/>
                    </w:rPr>
                    <w:t>产排污环节</w:t>
                  </w:r>
                </w:p>
              </w:tc>
              <w:tc>
                <w:tcPr>
                  <w:tcW w:w="956" w:type="dxa"/>
                  <w:vMerge w:val="restart"/>
                  <w:tcBorders>
                    <w:tl2br w:val="nil"/>
                    <w:tr2bl w:val="nil"/>
                  </w:tcBorders>
                  <w:shd w:val="clear" w:color="auto" w:fill="auto"/>
                  <w:vAlign w:val="center"/>
                </w:tcPr>
                <w:p w14:paraId="049332AE">
                  <w:pPr>
                    <w:pStyle w:val="120"/>
                    <w:rPr>
                      <w:szCs w:val="21"/>
                    </w:rPr>
                  </w:pPr>
                  <w:r>
                    <w:rPr>
                      <w:rFonts w:hint="eastAsia"/>
                      <w:szCs w:val="21"/>
                    </w:rPr>
                    <w:t>污染物种类</w:t>
                  </w:r>
                </w:p>
              </w:tc>
              <w:tc>
                <w:tcPr>
                  <w:tcW w:w="2989" w:type="dxa"/>
                  <w:gridSpan w:val="3"/>
                  <w:tcBorders>
                    <w:tl2br w:val="nil"/>
                    <w:tr2bl w:val="nil"/>
                  </w:tcBorders>
                  <w:shd w:val="clear" w:color="auto" w:fill="auto"/>
                  <w:vAlign w:val="center"/>
                </w:tcPr>
                <w:p w14:paraId="329CBC52">
                  <w:pPr>
                    <w:pStyle w:val="120"/>
                    <w:rPr>
                      <w:szCs w:val="21"/>
                    </w:rPr>
                  </w:pPr>
                  <w:r>
                    <w:rPr>
                      <w:rFonts w:hint="eastAsia"/>
                      <w:szCs w:val="21"/>
                    </w:rPr>
                    <w:t>污染物产生</w:t>
                  </w:r>
                </w:p>
              </w:tc>
              <w:tc>
                <w:tcPr>
                  <w:tcW w:w="840" w:type="dxa"/>
                  <w:vMerge w:val="restart"/>
                  <w:tcBorders>
                    <w:tl2br w:val="nil"/>
                    <w:tr2bl w:val="nil"/>
                  </w:tcBorders>
                  <w:shd w:val="clear" w:color="auto" w:fill="auto"/>
                  <w:vAlign w:val="center"/>
                </w:tcPr>
                <w:p w14:paraId="3184D777">
                  <w:pPr>
                    <w:pStyle w:val="120"/>
                    <w:rPr>
                      <w:szCs w:val="21"/>
                    </w:rPr>
                  </w:pPr>
                  <w:r>
                    <w:rPr>
                      <w:rFonts w:hint="eastAsia"/>
                      <w:szCs w:val="21"/>
                    </w:rPr>
                    <w:t>排放形式</w:t>
                  </w:r>
                </w:p>
              </w:tc>
              <w:tc>
                <w:tcPr>
                  <w:tcW w:w="3300" w:type="dxa"/>
                  <w:gridSpan w:val="3"/>
                  <w:tcBorders>
                    <w:tl2br w:val="nil"/>
                    <w:tr2bl w:val="nil"/>
                  </w:tcBorders>
                  <w:shd w:val="clear" w:color="auto" w:fill="auto"/>
                  <w:vAlign w:val="center"/>
                </w:tcPr>
                <w:p w14:paraId="76F90549">
                  <w:pPr>
                    <w:pStyle w:val="120"/>
                    <w:rPr>
                      <w:szCs w:val="21"/>
                    </w:rPr>
                  </w:pPr>
                  <w:r>
                    <w:rPr>
                      <w:rFonts w:hint="eastAsia"/>
                      <w:szCs w:val="21"/>
                    </w:rPr>
                    <w:t>治理措施</w:t>
                  </w:r>
                </w:p>
              </w:tc>
              <w:tc>
                <w:tcPr>
                  <w:tcW w:w="3610" w:type="dxa"/>
                  <w:gridSpan w:val="4"/>
                  <w:tcBorders>
                    <w:tl2br w:val="nil"/>
                    <w:tr2bl w:val="nil"/>
                  </w:tcBorders>
                  <w:shd w:val="clear" w:color="auto" w:fill="auto"/>
                  <w:vAlign w:val="center"/>
                </w:tcPr>
                <w:p w14:paraId="400FC13C">
                  <w:pPr>
                    <w:pStyle w:val="120"/>
                    <w:rPr>
                      <w:szCs w:val="21"/>
                    </w:rPr>
                  </w:pPr>
                  <w:r>
                    <w:rPr>
                      <w:rFonts w:hint="eastAsia"/>
                      <w:szCs w:val="21"/>
                    </w:rPr>
                    <w:t>污染物排放</w:t>
                  </w:r>
                </w:p>
              </w:tc>
            </w:tr>
            <w:tr w14:paraId="53999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344" w:type="dxa"/>
                  <w:vMerge w:val="continue"/>
                  <w:tcBorders>
                    <w:tl2br w:val="nil"/>
                    <w:tr2bl w:val="nil"/>
                  </w:tcBorders>
                  <w:shd w:val="clear" w:color="auto" w:fill="auto"/>
                  <w:vAlign w:val="center"/>
                </w:tcPr>
                <w:p w14:paraId="1E43BAEA">
                  <w:pPr>
                    <w:pStyle w:val="120"/>
                    <w:rPr>
                      <w:szCs w:val="21"/>
                    </w:rPr>
                  </w:pPr>
                </w:p>
              </w:tc>
              <w:tc>
                <w:tcPr>
                  <w:tcW w:w="956" w:type="dxa"/>
                  <w:vMerge w:val="continue"/>
                  <w:tcBorders>
                    <w:tl2br w:val="nil"/>
                    <w:tr2bl w:val="nil"/>
                  </w:tcBorders>
                  <w:shd w:val="clear" w:color="auto" w:fill="auto"/>
                  <w:vAlign w:val="center"/>
                </w:tcPr>
                <w:p w14:paraId="3B0CBABC">
                  <w:pPr>
                    <w:pStyle w:val="120"/>
                    <w:rPr>
                      <w:szCs w:val="21"/>
                    </w:rPr>
                  </w:pPr>
                </w:p>
              </w:tc>
              <w:tc>
                <w:tcPr>
                  <w:tcW w:w="979" w:type="dxa"/>
                  <w:tcBorders>
                    <w:tl2br w:val="nil"/>
                    <w:tr2bl w:val="nil"/>
                  </w:tcBorders>
                  <w:shd w:val="clear" w:color="auto" w:fill="auto"/>
                  <w:vAlign w:val="center"/>
                </w:tcPr>
                <w:p w14:paraId="0894FFBD">
                  <w:pPr>
                    <w:pStyle w:val="120"/>
                    <w:rPr>
                      <w:szCs w:val="21"/>
                    </w:rPr>
                  </w:pPr>
                  <w:r>
                    <w:rPr>
                      <w:rFonts w:hint="eastAsia"/>
                      <w:szCs w:val="21"/>
                    </w:rPr>
                    <w:t>产生量t</w:t>
                  </w:r>
                  <w:r>
                    <w:rPr>
                      <w:szCs w:val="21"/>
                    </w:rPr>
                    <w:t>/</w:t>
                  </w:r>
                  <w:r>
                    <w:rPr>
                      <w:rFonts w:hint="eastAsia"/>
                      <w:szCs w:val="21"/>
                    </w:rPr>
                    <w:t>a</w:t>
                  </w:r>
                </w:p>
              </w:tc>
              <w:tc>
                <w:tcPr>
                  <w:tcW w:w="944" w:type="dxa"/>
                  <w:tcBorders>
                    <w:tl2br w:val="nil"/>
                    <w:tr2bl w:val="nil"/>
                  </w:tcBorders>
                  <w:shd w:val="clear" w:color="auto" w:fill="auto"/>
                  <w:vAlign w:val="center"/>
                </w:tcPr>
                <w:p w14:paraId="3D21A38D">
                  <w:pPr>
                    <w:pStyle w:val="120"/>
                    <w:rPr>
                      <w:szCs w:val="21"/>
                    </w:rPr>
                  </w:pPr>
                  <w:r>
                    <w:rPr>
                      <w:rFonts w:hint="eastAsia"/>
                      <w:szCs w:val="21"/>
                    </w:rPr>
                    <w:t>产生速率</w:t>
                  </w:r>
                  <w:r>
                    <w:rPr>
                      <w:szCs w:val="21"/>
                    </w:rPr>
                    <w:t>kg/h</w:t>
                  </w:r>
                </w:p>
              </w:tc>
              <w:tc>
                <w:tcPr>
                  <w:tcW w:w="1066" w:type="dxa"/>
                  <w:tcBorders>
                    <w:tl2br w:val="nil"/>
                    <w:tr2bl w:val="nil"/>
                  </w:tcBorders>
                  <w:shd w:val="clear" w:color="auto" w:fill="auto"/>
                  <w:vAlign w:val="center"/>
                </w:tcPr>
                <w:p w14:paraId="75B0D698">
                  <w:pPr>
                    <w:pStyle w:val="120"/>
                    <w:rPr>
                      <w:szCs w:val="21"/>
                    </w:rPr>
                  </w:pPr>
                  <w:r>
                    <w:rPr>
                      <w:rFonts w:hint="eastAsia"/>
                      <w:szCs w:val="21"/>
                    </w:rPr>
                    <w:t>产生浓度</w:t>
                  </w:r>
                  <w:r>
                    <w:rPr>
                      <w:szCs w:val="21"/>
                    </w:rPr>
                    <w:t>mg/m</w:t>
                  </w:r>
                  <w:r>
                    <w:rPr>
                      <w:szCs w:val="21"/>
                      <w:vertAlign w:val="superscript"/>
                    </w:rPr>
                    <w:t>3</w:t>
                  </w:r>
                </w:p>
              </w:tc>
              <w:tc>
                <w:tcPr>
                  <w:tcW w:w="840" w:type="dxa"/>
                  <w:vMerge w:val="continue"/>
                  <w:tcBorders>
                    <w:tl2br w:val="nil"/>
                    <w:tr2bl w:val="nil"/>
                  </w:tcBorders>
                  <w:shd w:val="clear" w:color="auto" w:fill="auto"/>
                  <w:vAlign w:val="center"/>
                </w:tcPr>
                <w:p w14:paraId="7FC78BF4">
                  <w:pPr>
                    <w:pStyle w:val="120"/>
                    <w:rPr>
                      <w:szCs w:val="21"/>
                    </w:rPr>
                  </w:pPr>
                </w:p>
              </w:tc>
              <w:tc>
                <w:tcPr>
                  <w:tcW w:w="1335" w:type="dxa"/>
                  <w:tcBorders>
                    <w:tl2br w:val="nil"/>
                    <w:tr2bl w:val="nil"/>
                  </w:tcBorders>
                  <w:shd w:val="clear" w:color="auto" w:fill="auto"/>
                  <w:vAlign w:val="center"/>
                </w:tcPr>
                <w:p w14:paraId="74F50BC9">
                  <w:pPr>
                    <w:pStyle w:val="120"/>
                    <w:rPr>
                      <w:szCs w:val="21"/>
                    </w:rPr>
                  </w:pPr>
                  <w:r>
                    <w:rPr>
                      <w:rFonts w:hint="eastAsia"/>
                      <w:szCs w:val="21"/>
                    </w:rPr>
                    <w:t>治理工艺</w:t>
                  </w:r>
                </w:p>
              </w:tc>
              <w:tc>
                <w:tcPr>
                  <w:tcW w:w="900" w:type="dxa"/>
                  <w:tcBorders>
                    <w:tl2br w:val="nil"/>
                    <w:tr2bl w:val="nil"/>
                  </w:tcBorders>
                  <w:shd w:val="clear" w:color="auto" w:fill="auto"/>
                  <w:vAlign w:val="center"/>
                </w:tcPr>
                <w:p w14:paraId="622DC785">
                  <w:pPr>
                    <w:pStyle w:val="120"/>
                    <w:rPr>
                      <w:szCs w:val="21"/>
                    </w:rPr>
                  </w:pPr>
                  <w:r>
                    <w:rPr>
                      <w:rFonts w:hint="eastAsia"/>
                      <w:szCs w:val="21"/>
                    </w:rPr>
                    <w:t>去除率%</w:t>
                  </w:r>
                </w:p>
              </w:tc>
              <w:tc>
                <w:tcPr>
                  <w:tcW w:w="1065" w:type="dxa"/>
                  <w:tcBorders>
                    <w:tl2br w:val="nil"/>
                    <w:tr2bl w:val="nil"/>
                  </w:tcBorders>
                  <w:shd w:val="clear" w:color="auto" w:fill="auto"/>
                  <w:vAlign w:val="center"/>
                </w:tcPr>
                <w:p w14:paraId="0870124F">
                  <w:pPr>
                    <w:pStyle w:val="120"/>
                    <w:rPr>
                      <w:szCs w:val="21"/>
                    </w:rPr>
                  </w:pPr>
                  <w:r>
                    <w:rPr>
                      <w:rFonts w:hint="eastAsia"/>
                      <w:szCs w:val="21"/>
                    </w:rPr>
                    <w:t>是否为</w:t>
                  </w:r>
                </w:p>
                <w:p w14:paraId="22A2CE21">
                  <w:pPr>
                    <w:pStyle w:val="120"/>
                    <w:rPr>
                      <w:szCs w:val="21"/>
                    </w:rPr>
                  </w:pPr>
                  <w:r>
                    <w:rPr>
                      <w:rFonts w:hint="eastAsia"/>
                      <w:szCs w:val="21"/>
                    </w:rPr>
                    <w:t>可行技术</w:t>
                  </w:r>
                </w:p>
              </w:tc>
              <w:tc>
                <w:tcPr>
                  <w:tcW w:w="870" w:type="dxa"/>
                  <w:tcBorders>
                    <w:tl2br w:val="nil"/>
                    <w:tr2bl w:val="nil"/>
                  </w:tcBorders>
                  <w:shd w:val="clear" w:color="auto" w:fill="auto"/>
                  <w:vAlign w:val="center"/>
                </w:tcPr>
                <w:p w14:paraId="32FFB1C7">
                  <w:pPr>
                    <w:pStyle w:val="120"/>
                    <w:rPr>
                      <w:szCs w:val="21"/>
                    </w:rPr>
                  </w:pPr>
                  <w:r>
                    <w:rPr>
                      <w:rFonts w:hint="eastAsia"/>
                      <w:szCs w:val="21"/>
                    </w:rPr>
                    <w:t>排放量t</w:t>
                  </w:r>
                  <w:r>
                    <w:rPr>
                      <w:szCs w:val="21"/>
                    </w:rPr>
                    <w:t>/</w:t>
                  </w:r>
                  <w:r>
                    <w:rPr>
                      <w:rFonts w:hint="eastAsia"/>
                      <w:szCs w:val="21"/>
                    </w:rPr>
                    <w:t>a</w:t>
                  </w:r>
                </w:p>
              </w:tc>
              <w:tc>
                <w:tcPr>
                  <w:tcW w:w="990" w:type="dxa"/>
                  <w:tcBorders>
                    <w:tl2br w:val="nil"/>
                    <w:tr2bl w:val="nil"/>
                  </w:tcBorders>
                  <w:shd w:val="clear" w:color="auto" w:fill="auto"/>
                  <w:vAlign w:val="center"/>
                </w:tcPr>
                <w:p w14:paraId="65921C2F">
                  <w:pPr>
                    <w:pStyle w:val="120"/>
                    <w:rPr>
                      <w:szCs w:val="21"/>
                    </w:rPr>
                  </w:pPr>
                  <w:r>
                    <w:rPr>
                      <w:rFonts w:hint="eastAsia"/>
                      <w:szCs w:val="21"/>
                    </w:rPr>
                    <w:t>排放速率</w:t>
                  </w:r>
                  <w:r>
                    <w:rPr>
                      <w:szCs w:val="21"/>
                    </w:rPr>
                    <w:t>kg/h</w:t>
                  </w:r>
                </w:p>
              </w:tc>
              <w:tc>
                <w:tcPr>
                  <w:tcW w:w="1020" w:type="dxa"/>
                  <w:tcBorders>
                    <w:tl2br w:val="nil"/>
                    <w:tr2bl w:val="nil"/>
                  </w:tcBorders>
                  <w:shd w:val="clear" w:color="auto" w:fill="auto"/>
                  <w:vAlign w:val="center"/>
                </w:tcPr>
                <w:p w14:paraId="5B7B452F">
                  <w:pPr>
                    <w:pStyle w:val="120"/>
                    <w:rPr>
                      <w:szCs w:val="21"/>
                    </w:rPr>
                  </w:pPr>
                  <w:r>
                    <w:rPr>
                      <w:rFonts w:hint="eastAsia"/>
                      <w:szCs w:val="21"/>
                    </w:rPr>
                    <w:t>排放浓度</w:t>
                  </w:r>
                  <w:r>
                    <w:rPr>
                      <w:szCs w:val="21"/>
                    </w:rPr>
                    <w:t>mg/m</w:t>
                  </w:r>
                  <w:r>
                    <w:rPr>
                      <w:szCs w:val="21"/>
                      <w:vertAlign w:val="superscript"/>
                    </w:rPr>
                    <w:t>3</w:t>
                  </w:r>
                </w:p>
              </w:tc>
              <w:tc>
                <w:tcPr>
                  <w:tcW w:w="730" w:type="dxa"/>
                  <w:tcBorders>
                    <w:tl2br w:val="nil"/>
                    <w:tr2bl w:val="nil"/>
                  </w:tcBorders>
                  <w:shd w:val="clear" w:color="auto" w:fill="auto"/>
                  <w:vAlign w:val="center"/>
                </w:tcPr>
                <w:p w14:paraId="7B2EB2FE">
                  <w:pPr>
                    <w:pStyle w:val="120"/>
                    <w:rPr>
                      <w:szCs w:val="21"/>
                    </w:rPr>
                  </w:pPr>
                  <w:r>
                    <w:rPr>
                      <w:rFonts w:hint="eastAsia"/>
                      <w:szCs w:val="21"/>
                    </w:rPr>
                    <w:t>运行时间h/a</w:t>
                  </w:r>
                </w:p>
              </w:tc>
            </w:tr>
            <w:tr w14:paraId="3A836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44" w:type="dxa"/>
                  <w:tcBorders>
                    <w:tl2br w:val="nil"/>
                    <w:tr2bl w:val="nil"/>
                  </w:tcBorders>
                  <w:shd w:val="clear" w:color="auto" w:fill="auto"/>
                  <w:vAlign w:val="center"/>
                </w:tcPr>
                <w:p w14:paraId="645A9776">
                  <w:pPr>
                    <w:pStyle w:val="120"/>
                    <w:rPr>
                      <w:szCs w:val="21"/>
                    </w:rPr>
                  </w:pPr>
                  <w:r>
                    <w:rPr>
                      <w:rFonts w:hint="eastAsia"/>
                      <w:szCs w:val="21"/>
                    </w:rPr>
                    <w:t>原料装卸</w:t>
                  </w:r>
                </w:p>
              </w:tc>
              <w:tc>
                <w:tcPr>
                  <w:tcW w:w="956" w:type="dxa"/>
                  <w:tcBorders>
                    <w:tl2br w:val="nil"/>
                    <w:tr2bl w:val="nil"/>
                  </w:tcBorders>
                  <w:shd w:val="clear" w:color="auto" w:fill="auto"/>
                  <w:vAlign w:val="center"/>
                </w:tcPr>
                <w:p w14:paraId="4B5F9977">
                  <w:pPr>
                    <w:pStyle w:val="120"/>
                    <w:rPr>
                      <w:szCs w:val="21"/>
                    </w:rPr>
                  </w:pPr>
                  <w:r>
                    <w:rPr>
                      <w:rFonts w:hint="eastAsia"/>
                      <w:szCs w:val="21"/>
                    </w:rPr>
                    <w:t>颗粒物</w:t>
                  </w:r>
                </w:p>
              </w:tc>
              <w:tc>
                <w:tcPr>
                  <w:tcW w:w="979" w:type="dxa"/>
                  <w:tcBorders>
                    <w:tl2br w:val="nil"/>
                    <w:tr2bl w:val="nil"/>
                  </w:tcBorders>
                  <w:shd w:val="clear" w:color="auto" w:fill="auto"/>
                  <w:vAlign w:val="center"/>
                </w:tcPr>
                <w:p w14:paraId="5220486F">
                  <w:pPr>
                    <w:pStyle w:val="120"/>
                    <w:rPr>
                      <w:szCs w:val="21"/>
                    </w:rPr>
                  </w:pPr>
                  <w:r>
                    <w:rPr>
                      <w:rFonts w:hint="eastAsia"/>
                      <w:szCs w:val="21"/>
                    </w:rPr>
                    <w:t>5</w:t>
                  </w:r>
                </w:p>
              </w:tc>
              <w:tc>
                <w:tcPr>
                  <w:tcW w:w="944" w:type="dxa"/>
                  <w:tcBorders>
                    <w:tl2br w:val="nil"/>
                    <w:tr2bl w:val="nil"/>
                  </w:tcBorders>
                  <w:shd w:val="clear" w:color="auto" w:fill="auto"/>
                  <w:vAlign w:val="center"/>
                </w:tcPr>
                <w:p w14:paraId="47FCF6AE">
                  <w:pPr>
                    <w:pStyle w:val="120"/>
                    <w:rPr>
                      <w:szCs w:val="21"/>
                    </w:rPr>
                  </w:pPr>
                  <w:r>
                    <w:rPr>
                      <w:rFonts w:hint="eastAsia"/>
                      <w:szCs w:val="21"/>
                    </w:rPr>
                    <w:t>/</w:t>
                  </w:r>
                </w:p>
              </w:tc>
              <w:tc>
                <w:tcPr>
                  <w:tcW w:w="1066" w:type="dxa"/>
                  <w:tcBorders>
                    <w:tl2br w:val="nil"/>
                    <w:tr2bl w:val="nil"/>
                  </w:tcBorders>
                  <w:shd w:val="clear" w:color="auto" w:fill="auto"/>
                  <w:vAlign w:val="center"/>
                </w:tcPr>
                <w:p w14:paraId="2730CC22">
                  <w:pPr>
                    <w:pStyle w:val="120"/>
                    <w:rPr>
                      <w:szCs w:val="21"/>
                    </w:rPr>
                  </w:pPr>
                  <w:r>
                    <w:rPr>
                      <w:rFonts w:hint="eastAsia"/>
                      <w:szCs w:val="21"/>
                    </w:rPr>
                    <w:t>/</w:t>
                  </w:r>
                </w:p>
              </w:tc>
              <w:tc>
                <w:tcPr>
                  <w:tcW w:w="840" w:type="dxa"/>
                  <w:vMerge w:val="restart"/>
                  <w:tcBorders>
                    <w:tl2br w:val="nil"/>
                    <w:tr2bl w:val="nil"/>
                  </w:tcBorders>
                  <w:shd w:val="clear" w:color="auto" w:fill="auto"/>
                  <w:vAlign w:val="center"/>
                </w:tcPr>
                <w:p w14:paraId="7EF1FB07">
                  <w:pPr>
                    <w:pStyle w:val="120"/>
                    <w:rPr>
                      <w:szCs w:val="21"/>
                    </w:rPr>
                  </w:pPr>
                  <w:r>
                    <w:rPr>
                      <w:rFonts w:hint="eastAsia"/>
                      <w:szCs w:val="21"/>
                    </w:rPr>
                    <w:t>无组织</w:t>
                  </w:r>
                </w:p>
              </w:tc>
              <w:tc>
                <w:tcPr>
                  <w:tcW w:w="1335" w:type="dxa"/>
                  <w:tcBorders>
                    <w:tl2br w:val="nil"/>
                    <w:tr2bl w:val="nil"/>
                  </w:tcBorders>
                  <w:shd w:val="clear" w:color="auto" w:fill="auto"/>
                  <w:vAlign w:val="center"/>
                </w:tcPr>
                <w:p w14:paraId="22181E2E">
                  <w:pPr>
                    <w:pStyle w:val="120"/>
                    <w:rPr>
                      <w:szCs w:val="21"/>
                    </w:rPr>
                  </w:pPr>
                  <w:r>
                    <w:rPr>
                      <w:rFonts w:hint="eastAsia"/>
                      <w:szCs w:val="21"/>
                    </w:rPr>
                    <w:t>洒水抑尘</w:t>
                  </w:r>
                </w:p>
              </w:tc>
              <w:tc>
                <w:tcPr>
                  <w:tcW w:w="900" w:type="dxa"/>
                  <w:tcBorders>
                    <w:tl2br w:val="nil"/>
                    <w:tr2bl w:val="nil"/>
                  </w:tcBorders>
                  <w:shd w:val="clear" w:color="auto" w:fill="auto"/>
                  <w:vAlign w:val="center"/>
                </w:tcPr>
                <w:p w14:paraId="0D4670C6">
                  <w:pPr>
                    <w:pStyle w:val="120"/>
                    <w:rPr>
                      <w:szCs w:val="21"/>
                    </w:rPr>
                  </w:pPr>
                  <w:r>
                    <w:rPr>
                      <w:rFonts w:hint="eastAsia"/>
                      <w:szCs w:val="21"/>
                    </w:rPr>
                    <w:t>74</w:t>
                  </w:r>
                </w:p>
              </w:tc>
              <w:tc>
                <w:tcPr>
                  <w:tcW w:w="1065" w:type="dxa"/>
                  <w:tcBorders>
                    <w:tl2br w:val="nil"/>
                    <w:tr2bl w:val="nil"/>
                  </w:tcBorders>
                  <w:shd w:val="clear" w:color="auto" w:fill="auto"/>
                  <w:vAlign w:val="center"/>
                </w:tcPr>
                <w:p w14:paraId="4120EDB2">
                  <w:pPr>
                    <w:pStyle w:val="120"/>
                    <w:rPr>
                      <w:szCs w:val="21"/>
                    </w:rPr>
                  </w:pPr>
                  <w:r>
                    <w:rPr>
                      <w:rFonts w:hint="eastAsia"/>
                      <w:szCs w:val="21"/>
                    </w:rPr>
                    <w:t>是</w:t>
                  </w:r>
                </w:p>
              </w:tc>
              <w:tc>
                <w:tcPr>
                  <w:tcW w:w="870" w:type="dxa"/>
                  <w:tcBorders>
                    <w:tl2br w:val="nil"/>
                    <w:tr2bl w:val="nil"/>
                  </w:tcBorders>
                  <w:shd w:val="clear" w:color="auto" w:fill="auto"/>
                  <w:vAlign w:val="center"/>
                </w:tcPr>
                <w:p w14:paraId="2D7E71B8">
                  <w:pPr>
                    <w:pStyle w:val="120"/>
                    <w:rPr>
                      <w:szCs w:val="21"/>
                    </w:rPr>
                  </w:pPr>
                  <w:r>
                    <w:rPr>
                      <w:rFonts w:hint="eastAsia"/>
                      <w:szCs w:val="21"/>
                    </w:rPr>
                    <w:t>1.3</w:t>
                  </w:r>
                </w:p>
              </w:tc>
              <w:tc>
                <w:tcPr>
                  <w:tcW w:w="990" w:type="dxa"/>
                  <w:tcBorders>
                    <w:tl2br w:val="nil"/>
                    <w:tr2bl w:val="nil"/>
                  </w:tcBorders>
                  <w:shd w:val="clear" w:color="auto" w:fill="auto"/>
                  <w:vAlign w:val="center"/>
                </w:tcPr>
                <w:p w14:paraId="1FD48C32">
                  <w:pPr>
                    <w:pStyle w:val="120"/>
                    <w:rPr>
                      <w:szCs w:val="21"/>
                    </w:rPr>
                  </w:pPr>
                  <w:r>
                    <w:rPr>
                      <w:rFonts w:hint="eastAsia"/>
                      <w:szCs w:val="21"/>
                    </w:rPr>
                    <w:t>/</w:t>
                  </w:r>
                </w:p>
              </w:tc>
              <w:tc>
                <w:tcPr>
                  <w:tcW w:w="1020" w:type="dxa"/>
                  <w:tcBorders>
                    <w:tl2br w:val="nil"/>
                    <w:tr2bl w:val="nil"/>
                  </w:tcBorders>
                  <w:shd w:val="clear" w:color="auto" w:fill="auto"/>
                  <w:vAlign w:val="center"/>
                </w:tcPr>
                <w:p w14:paraId="264A4397">
                  <w:pPr>
                    <w:pStyle w:val="120"/>
                    <w:rPr>
                      <w:szCs w:val="21"/>
                    </w:rPr>
                  </w:pPr>
                  <w:r>
                    <w:rPr>
                      <w:rFonts w:hint="eastAsia"/>
                      <w:szCs w:val="21"/>
                    </w:rPr>
                    <w:t>/</w:t>
                  </w:r>
                </w:p>
              </w:tc>
              <w:tc>
                <w:tcPr>
                  <w:tcW w:w="730" w:type="dxa"/>
                  <w:tcBorders>
                    <w:tl2br w:val="nil"/>
                    <w:tr2bl w:val="nil"/>
                  </w:tcBorders>
                  <w:shd w:val="clear" w:color="auto" w:fill="auto"/>
                  <w:vAlign w:val="center"/>
                </w:tcPr>
                <w:p w14:paraId="25871170">
                  <w:pPr>
                    <w:pStyle w:val="120"/>
                    <w:rPr>
                      <w:szCs w:val="21"/>
                    </w:rPr>
                  </w:pPr>
                  <w:r>
                    <w:rPr>
                      <w:rFonts w:hint="eastAsia"/>
                      <w:szCs w:val="21"/>
                    </w:rPr>
                    <w:t>2400</w:t>
                  </w:r>
                </w:p>
              </w:tc>
            </w:tr>
            <w:tr w14:paraId="7E447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44" w:type="dxa"/>
                  <w:tcBorders>
                    <w:tl2br w:val="nil"/>
                    <w:tr2bl w:val="nil"/>
                  </w:tcBorders>
                  <w:shd w:val="clear" w:color="auto" w:fill="auto"/>
                  <w:vAlign w:val="center"/>
                </w:tcPr>
                <w:p w14:paraId="5B455D40">
                  <w:pPr>
                    <w:pStyle w:val="120"/>
                    <w:rPr>
                      <w:szCs w:val="21"/>
                    </w:rPr>
                  </w:pPr>
                  <w:r>
                    <w:rPr>
                      <w:rFonts w:hint="eastAsia"/>
                      <w:szCs w:val="21"/>
                    </w:rPr>
                    <w:t>石子、砂子输送</w:t>
                  </w:r>
                </w:p>
              </w:tc>
              <w:tc>
                <w:tcPr>
                  <w:tcW w:w="956" w:type="dxa"/>
                  <w:tcBorders>
                    <w:tl2br w:val="nil"/>
                    <w:tr2bl w:val="nil"/>
                  </w:tcBorders>
                  <w:shd w:val="clear" w:color="auto" w:fill="auto"/>
                  <w:vAlign w:val="center"/>
                </w:tcPr>
                <w:p w14:paraId="23486FFE">
                  <w:pPr>
                    <w:pStyle w:val="120"/>
                    <w:rPr>
                      <w:szCs w:val="21"/>
                    </w:rPr>
                  </w:pPr>
                  <w:r>
                    <w:rPr>
                      <w:rFonts w:hint="eastAsia"/>
                      <w:szCs w:val="21"/>
                    </w:rPr>
                    <w:t>颗粒物</w:t>
                  </w:r>
                </w:p>
              </w:tc>
              <w:tc>
                <w:tcPr>
                  <w:tcW w:w="979" w:type="dxa"/>
                  <w:tcBorders>
                    <w:tl2br w:val="nil"/>
                    <w:tr2bl w:val="nil"/>
                  </w:tcBorders>
                  <w:shd w:val="clear" w:color="auto" w:fill="auto"/>
                  <w:vAlign w:val="center"/>
                </w:tcPr>
                <w:p w14:paraId="2B3475D1">
                  <w:pPr>
                    <w:pStyle w:val="120"/>
                    <w:rPr>
                      <w:szCs w:val="21"/>
                    </w:rPr>
                  </w:pPr>
                  <w:r>
                    <w:rPr>
                      <w:rFonts w:hint="eastAsia"/>
                      <w:szCs w:val="21"/>
                    </w:rPr>
                    <w:t>0.175</w:t>
                  </w:r>
                </w:p>
              </w:tc>
              <w:tc>
                <w:tcPr>
                  <w:tcW w:w="944" w:type="dxa"/>
                  <w:tcBorders>
                    <w:tl2br w:val="nil"/>
                    <w:tr2bl w:val="nil"/>
                  </w:tcBorders>
                  <w:shd w:val="clear" w:color="auto" w:fill="auto"/>
                  <w:vAlign w:val="center"/>
                </w:tcPr>
                <w:p w14:paraId="617CFFC0">
                  <w:pPr>
                    <w:pStyle w:val="120"/>
                    <w:rPr>
                      <w:szCs w:val="21"/>
                    </w:rPr>
                  </w:pPr>
                  <w:r>
                    <w:rPr>
                      <w:rFonts w:hint="eastAsia"/>
                      <w:szCs w:val="21"/>
                    </w:rPr>
                    <w:t>/</w:t>
                  </w:r>
                </w:p>
              </w:tc>
              <w:tc>
                <w:tcPr>
                  <w:tcW w:w="1066" w:type="dxa"/>
                  <w:tcBorders>
                    <w:tl2br w:val="nil"/>
                    <w:tr2bl w:val="nil"/>
                  </w:tcBorders>
                  <w:shd w:val="clear" w:color="auto" w:fill="auto"/>
                  <w:vAlign w:val="center"/>
                </w:tcPr>
                <w:p w14:paraId="654D09E2">
                  <w:pPr>
                    <w:pStyle w:val="120"/>
                    <w:rPr>
                      <w:szCs w:val="21"/>
                    </w:rPr>
                  </w:pPr>
                  <w:r>
                    <w:rPr>
                      <w:rFonts w:hint="eastAsia"/>
                      <w:szCs w:val="21"/>
                    </w:rPr>
                    <w:t>/</w:t>
                  </w:r>
                </w:p>
              </w:tc>
              <w:tc>
                <w:tcPr>
                  <w:tcW w:w="840" w:type="dxa"/>
                  <w:vMerge w:val="continue"/>
                  <w:tcBorders>
                    <w:tl2br w:val="nil"/>
                    <w:tr2bl w:val="nil"/>
                  </w:tcBorders>
                  <w:shd w:val="clear" w:color="auto" w:fill="auto"/>
                  <w:vAlign w:val="center"/>
                </w:tcPr>
                <w:p w14:paraId="71A6E886">
                  <w:pPr>
                    <w:pStyle w:val="120"/>
                    <w:rPr>
                      <w:szCs w:val="21"/>
                    </w:rPr>
                  </w:pPr>
                </w:p>
              </w:tc>
              <w:tc>
                <w:tcPr>
                  <w:tcW w:w="1335" w:type="dxa"/>
                  <w:tcBorders>
                    <w:tl2br w:val="nil"/>
                    <w:tr2bl w:val="nil"/>
                  </w:tcBorders>
                  <w:shd w:val="clear" w:color="auto" w:fill="auto"/>
                  <w:vAlign w:val="center"/>
                </w:tcPr>
                <w:p w14:paraId="456A55D2">
                  <w:pPr>
                    <w:pStyle w:val="120"/>
                    <w:rPr>
                      <w:szCs w:val="21"/>
                    </w:rPr>
                  </w:pPr>
                  <w:r>
                    <w:rPr>
                      <w:rFonts w:hint="eastAsia"/>
                      <w:szCs w:val="21"/>
                    </w:rPr>
                    <w:t>皮带输送系统，进料、下料和转运的上方加装半密闭的防尘罩</w:t>
                  </w:r>
                </w:p>
              </w:tc>
              <w:tc>
                <w:tcPr>
                  <w:tcW w:w="900" w:type="dxa"/>
                  <w:tcBorders>
                    <w:tl2br w:val="nil"/>
                    <w:tr2bl w:val="nil"/>
                  </w:tcBorders>
                  <w:shd w:val="clear" w:color="auto" w:fill="auto"/>
                  <w:vAlign w:val="center"/>
                </w:tcPr>
                <w:p w14:paraId="3FBDA94D">
                  <w:pPr>
                    <w:pStyle w:val="120"/>
                    <w:rPr>
                      <w:szCs w:val="21"/>
                    </w:rPr>
                  </w:pPr>
                  <w:r>
                    <w:rPr>
                      <w:rFonts w:hint="eastAsia"/>
                      <w:szCs w:val="21"/>
                    </w:rPr>
                    <w:t>/</w:t>
                  </w:r>
                </w:p>
              </w:tc>
              <w:tc>
                <w:tcPr>
                  <w:tcW w:w="1065" w:type="dxa"/>
                  <w:tcBorders>
                    <w:tl2br w:val="nil"/>
                    <w:tr2bl w:val="nil"/>
                  </w:tcBorders>
                  <w:shd w:val="clear" w:color="auto" w:fill="auto"/>
                  <w:vAlign w:val="center"/>
                </w:tcPr>
                <w:p w14:paraId="210D8455">
                  <w:pPr>
                    <w:pStyle w:val="120"/>
                    <w:rPr>
                      <w:szCs w:val="21"/>
                    </w:rPr>
                  </w:pPr>
                  <w:r>
                    <w:rPr>
                      <w:rFonts w:hint="eastAsia"/>
                      <w:szCs w:val="21"/>
                    </w:rPr>
                    <w:t>/</w:t>
                  </w:r>
                </w:p>
              </w:tc>
              <w:tc>
                <w:tcPr>
                  <w:tcW w:w="870" w:type="dxa"/>
                  <w:tcBorders>
                    <w:tl2br w:val="nil"/>
                    <w:tr2bl w:val="nil"/>
                  </w:tcBorders>
                  <w:shd w:val="clear" w:color="auto" w:fill="auto"/>
                  <w:vAlign w:val="center"/>
                </w:tcPr>
                <w:p w14:paraId="3ECA5E60">
                  <w:pPr>
                    <w:pStyle w:val="120"/>
                    <w:rPr>
                      <w:szCs w:val="21"/>
                    </w:rPr>
                  </w:pPr>
                  <w:r>
                    <w:rPr>
                      <w:rFonts w:hint="eastAsia"/>
                      <w:szCs w:val="21"/>
                    </w:rPr>
                    <w:t>0.175</w:t>
                  </w:r>
                </w:p>
              </w:tc>
              <w:tc>
                <w:tcPr>
                  <w:tcW w:w="990" w:type="dxa"/>
                  <w:tcBorders>
                    <w:tl2br w:val="nil"/>
                    <w:tr2bl w:val="nil"/>
                  </w:tcBorders>
                  <w:shd w:val="clear" w:color="auto" w:fill="auto"/>
                  <w:vAlign w:val="center"/>
                </w:tcPr>
                <w:p w14:paraId="0B409AD1">
                  <w:pPr>
                    <w:pStyle w:val="120"/>
                    <w:rPr>
                      <w:szCs w:val="21"/>
                    </w:rPr>
                  </w:pPr>
                  <w:r>
                    <w:rPr>
                      <w:rFonts w:hint="eastAsia"/>
                      <w:szCs w:val="21"/>
                    </w:rPr>
                    <w:t>/</w:t>
                  </w:r>
                </w:p>
              </w:tc>
              <w:tc>
                <w:tcPr>
                  <w:tcW w:w="1020" w:type="dxa"/>
                  <w:tcBorders>
                    <w:tl2br w:val="nil"/>
                    <w:tr2bl w:val="nil"/>
                  </w:tcBorders>
                  <w:shd w:val="clear" w:color="auto" w:fill="auto"/>
                  <w:vAlign w:val="center"/>
                </w:tcPr>
                <w:p w14:paraId="20A582FE">
                  <w:pPr>
                    <w:pStyle w:val="120"/>
                    <w:rPr>
                      <w:szCs w:val="21"/>
                    </w:rPr>
                  </w:pPr>
                  <w:r>
                    <w:rPr>
                      <w:rFonts w:hint="eastAsia"/>
                      <w:szCs w:val="21"/>
                    </w:rPr>
                    <w:t>/</w:t>
                  </w:r>
                </w:p>
              </w:tc>
              <w:tc>
                <w:tcPr>
                  <w:tcW w:w="730" w:type="dxa"/>
                  <w:tcBorders>
                    <w:tl2br w:val="nil"/>
                    <w:tr2bl w:val="nil"/>
                  </w:tcBorders>
                  <w:shd w:val="clear" w:color="auto" w:fill="auto"/>
                  <w:vAlign w:val="center"/>
                </w:tcPr>
                <w:p w14:paraId="761DA77E">
                  <w:pPr>
                    <w:pStyle w:val="120"/>
                    <w:rPr>
                      <w:szCs w:val="21"/>
                    </w:rPr>
                  </w:pPr>
                  <w:r>
                    <w:rPr>
                      <w:rFonts w:hint="eastAsia"/>
                      <w:szCs w:val="21"/>
                    </w:rPr>
                    <w:t>2400</w:t>
                  </w:r>
                </w:p>
              </w:tc>
            </w:tr>
            <w:tr w14:paraId="6CE6D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44" w:type="dxa"/>
                  <w:tcBorders>
                    <w:tl2br w:val="nil"/>
                    <w:tr2bl w:val="nil"/>
                  </w:tcBorders>
                  <w:shd w:val="clear" w:color="auto" w:fill="auto"/>
                  <w:vAlign w:val="center"/>
                </w:tcPr>
                <w:p w14:paraId="5703DC67">
                  <w:pPr>
                    <w:pStyle w:val="120"/>
                    <w:rPr>
                      <w:szCs w:val="21"/>
                    </w:rPr>
                  </w:pPr>
                  <w:r>
                    <w:rPr>
                      <w:rFonts w:hint="eastAsia"/>
                      <w:szCs w:val="21"/>
                    </w:rPr>
                    <w:t>水泥罐呼吸</w:t>
                  </w:r>
                </w:p>
              </w:tc>
              <w:tc>
                <w:tcPr>
                  <w:tcW w:w="956" w:type="dxa"/>
                  <w:tcBorders>
                    <w:tl2br w:val="nil"/>
                    <w:tr2bl w:val="nil"/>
                  </w:tcBorders>
                  <w:shd w:val="clear" w:color="auto" w:fill="auto"/>
                  <w:vAlign w:val="center"/>
                </w:tcPr>
                <w:p w14:paraId="3F5BBD12">
                  <w:pPr>
                    <w:pStyle w:val="120"/>
                    <w:rPr>
                      <w:szCs w:val="21"/>
                    </w:rPr>
                  </w:pPr>
                  <w:r>
                    <w:rPr>
                      <w:rFonts w:hint="eastAsia"/>
                      <w:szCs w:val="21"/>
                    </w:rPr>
                    <w:t>颗粒物</w:t>
                  </w:r>
                </w:p>
              </w:tc>
              <w:tc>
                <w:tcPr>
                  <w:tcW w:w="979" w:type="dxa"/>
                  <w:tcBorders>
                    <w:tl2br w:val="nil"/>
                    <w:tr2bl w:val="nil"/>
                  </w:tcBorders>
                  <w:shd w:val="clear" w:color="auto" w:fill="auto"/>
                  <w:vAlign w:val="center"/>
                </w:tcPr>
                <w:p w14:paraId="634F32D0">
                  <w:pPr>
                    <w:pStyle w:val="120"/>
                    <w:rPr>
                      <w:szCs w:val="21"/>
                    </w:rPr>
                  </w:pPr>
                  <w:r>
                    <w:rPr>
                      <w:rFonts w:hint="eastAsia"/>
                      <w:szCs w:val="21"/>
                    </w:rPr>
                    <w:t>13.92</w:t>
                  </w:r>
                </w:p>
              </w:tc>
              <w:tc>
                <w:tcPr>
                  <w:tcW w:w="944" w:type="dxa"/>
                  <w:tcBorders>
                    <w:tl2br w:val="nil"/>
                    <w:tr2bl w:val="nil"/>
                  </w:tcBorders>
                  <w:shd w:val="clear" w:color="auto" w:fill="auto"/>
                  <w:vAlign w:val="center"/>
                </w:tcPr>
                <w:p w14:paraId="0F3DA60A">
                  <w:pPr>
                    <w:pStyle w:val="120"/>
                    <w:rPr>
                      <w:szCs w:val="21"/>
                    </w:rPr>
                  </w:pPr>
                  <w:r>
                    <w:rPr>
                      <w:rFonts w:hint="eastAsia"/>
                      <w:szCs w:val="21"/>
                    </w:rPr>
                    <w:t>/</w:t>
                  </w:r>
                </w:p>
              </w:tc>
              <w:tc>
                <w:tcPr>
                  <w:tcW w:w="1066" w:type="dxa"/>
                  <w:tcBorders>
                    <w:tl2br w:val="nil"/>
                    <w:tr2bl w:val="nil"/>
                  </w:tcBorders>
                  <w:shd w:val="clear" w:color="auto" w:fill="auto"/>
                  <w:vAlign w:val="center"/>
                </w:tcPr>
                <w:p w14:paraId="42D922B7">
                  <w:pPr>
                    <w:pStyle w:val="120"/>
                    <w:rPr>
                      <w:szCs w:val="21"/>
                    </w:rPr>
                  </w:pPr>
                  <w:r>
                    <w:rPr>
                      <w:rFonts w:hint="eastAsia"/>
                      <w:szCs w:val="21"/>
                    </w:rPr>
                    <w:t>/</w:t>
                  </w:r>
                </w:p>
              </w:tc>
              <w:tc>
                <w:tcPr>
                  <w:tcW w:w="840" w:type="dxa"/>
                  <w:vMerge w:val="continue"/>
                  <w:tcBorders>
                    <w:tl2br w:val="nil"/>
                    <w:tr2bl w:val="nil"/>
                  </w:tcBorders>
                  <w:shd w:val="clear" w:color="auto" w:fill="auto"/>
                  <w:vAlign w:val="center"/>
                </w:tcPr>
                <w:p w14:paraId="1BBFB450">
                  <w:pPr>
                    <w:pStyle w:val="120"/>
                    <w:rPr>
                      <w:szCs w:val="21"/>
                    </w:rPr>
                  </w:pPr>
                </w:p>
              </w:tc>
              <w:tc>
                <w:tcPr>
                  <w:tcW w:w="1335" w:type="dxa"/>
                  <w:tcBorders>
                    <w:tl2br w:val="nil"/>
                    <w:tr2bl w:val="nil"/>
                  </w:tcBorders>
                  <w:shd w:val="clear" w:color="auto" w:fill="auto"/>
                  <w:vAlign w:val="center"/>
                </w:tcPr>
                <w:p w14:paraId="161A14F3">
                  <w:pPr>
                    <w:pStyle w:val="120"/>
                    <w:rPr>
                      <w:szCs w:val="21"/>
                    </w:rPr>
                  </w:pPr>
                  <w:r>
                    <w:rPr>
                      <w:rFonts w:hint="eastAsia"/>
                      <w:szCs w:val="21"/>
                    </w:rPr>
                    <w:t>水泥罐顶滤筒式袋式</w:t>
                  </w:r>
                </w:p>
                <w:p w14:paraId="540E3B10">
                  <w:pPr>
                    <w:pStyle w:val="120"/>
                    <w:rPr>
                      <w:szCs w:val="21"/>
                    </w:rPr>
                  </w:pPr>
                  <w:r>
                    <w:rPr>
                      <w:rFonts w:hint="eastAsia"/>
                      <w:szCs w:val="21"/>
                    </w:rPr>
                    <w:t>除尘器</w:t>
                  </w:r>
                </w:p>
              </w:tc>
              <w:tc>
                <w:tcPr>
                  <w:tcW w:w="900" w:type="dxa"/>
                  <w:tcBorders>
                    <w:tl2br w:val="nil"/>
                    <w:tr2bl w:val="nil"/>
                  </w:tcBorders>
                  <w:shd w:val="clear" w:color="auto" w:fill="auto"/>
                  <w:vAlign w:val="center"/>
                </w:tcPr>
                <w:p w14:paraId="78EEE540">
                  <w:pPr>
                    <w:pStyle w:val="120"/>
                    <w:rPr>
                      <w:szCs w:val="21"/>
                    </w:rPr>
                  </w:pPr>
                  <w:r>
                    <w:rPr>
                      <w:rFonts w:hint="eastAsia"/>
                      <w:szCs w:val="21"/>
                    </w:rPr>
                    <w:t>99</w:t>
                  </w:r>
                </w:p>
              </w:tc>
              <w:tc>
                <w:tcPr>
                  <w:tcW w:w="1065" w:type="dxa"/>
                  <w:tcBorders>
                    <w:tl2br w:val="nil"/>
                    <w:tr2bl w:val="nil"/>
                  </w:tcBorders>
                  <w:shd w:val="clear" w:color="auto" w:fill="auto"/>
                  <w:vAlign w:val="center"/>
                </w:tcPr>
                <w:p w14:paraId="1057ABAC">
                  <w:pPr>
                    <w:pStyle w:val="120"/>
                    <w:rPr>
                      <w:szCs w:val="21"/>
                    </w:rPr>
                  </w:pPr>
                  <w:r>
                    <w:rPr>
                      <w:rFonts w:hint="eastAsia"/>
                      <w:szCs w:val="21"/>
                    </w:rPr>
                    <w:t>是</w:t>
                  </w:r>
                </w:p>
              </w:tc>
              <w:tc>
                <w:tcPr>
                  <w:tcW w:w="870" w:type="dxa"/>
                  <w:tcBorders>
                    <w:tl2br w:val="nil"/>
                    <w:tr2bl w:val="nil"/>
                  </w:tcBorders>
                  <w:shd w:val="clear" w:color="auto" w:fill="auto"/>
                  <w:vAlign w:val="center"/>
                </w:tcPr>
                <w:p w14:paraId="1436BDFE">
                  <w:pPr>
                    <w:pStyle w:val="120"/>
                    <w:rPr>
                      <w:szCs w:val="21"/>
                    </w:rPr>
                  </w:pPr>
                  <w:r>
                    <w:rPr>
                      <w:rFonts w:hint="eastAsia"/>
                      <w:szCs w:val="21"/>
                    </w:rPr>
                    <w:t>0.139</w:t>
                  </w:r>
                </w:p>
              </w:tc>
              <w:tc>
                <w:tcPr>
                  <w:tcW w:w="990" w:type="dxa"/>
                  <w:tcBorders>
                    <w:tl2br w:val="nil"/>
                    <w:tr2bl w:val="nil"/>
                  </w:tcBorders>
                  <w:shd w:val="clear" w:color="auto" w:fill="auto"/>
                  <w:vAlign w:val="center"/>
                </w:tcPr>
                <w:p w14:paraId="4E001038">
                  <w:pPr>
                    <w:pStyle w:val="120"/>
                    <w:rPr>
                      <w:szCs w:val="21"/>
                    </w:rPr>
                  </w:pPr>
                  <w:r>
                    <w:rPr>
                      <w:rFonts w:hint="eastAsia"/>
                      <w:szCs w:val="21"/>
                    </w:rPr>
                    <w:t>/</w:t>
                  </w:r>
                </w:p>
              </w:tc>
              <w:tc>
                <w:tcPr>
                  <w:tcW w:w="1020" w:type="dxa"/>
                  <w:tcBorders>
                    <w:tl2br w:val="nil"/>
                    <w:tr2bl w:val="nil"/>
                  </w:tcBorders>
                  <w:shd w:val="clear" w:color="auto" w:fill="auto"/>
                  <w:vAlign w:val="center"/>
                </w:tcPr>
                <w:p w14:paraId="30B48DEF">
                  <w:pPr>
                    <w:pStyle w:val="120"/>
                    <w:rPr>
                      <w:szCs w:val="21"/>
                    </w:rPr>
                  </w:pPr>
                  <w:r>
                    <w:rPr>
                      <w:rFonts w:hint="eastAsia"/>
                      <w:szCs w:val="21"/>
                    </w:rPr>
                    <w:t>/</w:t>
                  </w:r>
                </w:p>
              </w:tc>
              <w:tc>
                <w:tcPr>
                  <w:tcW w:w="730" w:type="dxa"/>
                  <w:tcBorders>
                    <w:tl2br w:val="nil"/>
                    <w:tr2bl w:val="nil"/>
                  </w:tcBorders>
                  <w:shd w:val="clear" w:color="auto" w:fill="auto"/>
                  <w:vAlign w:val="center"/>
                </w:tcPr>
                <w:p w14:paraId="5CCB8FAB">
                  <w:pPr>
                    <w:pStyle w:val="120"/>
                    <w:rPr>
                      <w:szCs w:val="21"/>
                    </w:rPr>
                  </w:pPr>
                  <w:r>
                    <w:rPr>
                      <w:rFonts w:hint="eastAsia"/>
                      <w:szCs w:val="21"/>
                    </w:rPr>
                    <w:t>2400</w:t>
                  </w:r>
                </w:p>
              </w:tc>
            </w:tr>
            <w:tr w14:paraId="4C4A2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44" w:type="dxa"/>
                  <w:tcBorders>
                    <w:tl2br w:val="nil"/>
                    <w:tr2bl w:val="nil"/>
                  </w:tcBorders>
                  <w:shd w:val="clear" w:color="auto" w:fill="auto"/>
                  <w:vAlign w:val="center"/>
                </w:tcPr>
                <w:p w14:paraId="7E9AECCD">
                  <w:pPr>
                    <w:pStyle w:val="120"/>
                    <w:rPr>
                      <w:szCs w:val="21"/>
                    </w:rPr>
                  </w:pPr>
                  <w:r>
                    <w:rPr>
                      <w:rFonts w:hint="eastAsia"/>
                      <w:szCs w:val="21"/>
                    </w:rPr>
                    <w:t>搅拌</w:t>
                  </w:r>
                </w:p>
              </w:tc>
              <w:tc>
                <w:tcPr>
                  <w:tcW w:w="956" w:type="dxa"/>
                  <w:tcBorders>
                    <w:tl2br w:val="nil"/>
                    <w:tr2bl w:val="nil"/>
                  </w:tcBorders>
                  <w:shd w:val="clear" w:color="auto" w:fill="auto"/>
                  <w:vAlign w:val="center"/>
                </w:tcPr>
                <w:p w14:paraId="5439DF78">
                  <w:pPr>
                    <w:pStyle w:val="120"/>
                    <w:rPr>
                      <w:szCs w:val="21"/>
                    </w:rPr>
                  </w:pPr>
                  <w:r>
                    <w:rPr>
                      <w:rFonts w:hint="eastAsia"/>
                      <w:szCs w:val="21"/>
                    </w:rPr>
                    <w:t>颗粒物</w:t>
                  </w:r>
                </w:p>
              </w:tc>
              <w:tc>
                <w:tcPr>
                  <w:tcW w:w="979" w:type="dxa"/>
                  <w:tcBorders>
                    <w:tl2br w:val="nil"/>
                    <w:tr2bl w:val="nil"/>
                  </w:tcBorders>
                  <w:shd w:val="clear" w:color="auto" w:fill="auto"/>
                  <w:vAlign w:val="center"/>
                </w:tcPr>
                <w:p w14:paraId="238135ED">
                  <w:pPr>
                    <w:pStyle w:val="120"/>
                    <w:rPr>
                      <w:szCs w:val="21"/>
                    </w:rPr>
                  </w:pPr>
                  <w:r>
                    <w:rPr>
                      <w:rFonts w:hint="eastAsia"/>
                      <w:szCs w:val="21"/>
                    </w:rPr>
                    <w:t>2.262</w:t>
                  </w:r>
                </w:p>
              </w:tc>
              <w:tc>
                <w:tcPr>
                  <w:tcW w:w="944" w:type="dxa"/>
                  <w:tcBorders>
                    <w:tl2br w:val="nil"/>
                    <w:tr2bl w:val="nil"/>
                  </w:tcBorders>
                  <w:shd w:val="clear" w:color="auto" w:fill="auto"/>
                  <w:vAlign w:val="center"/>
                </w:tcPr>
                <w:p w14:paraId="5F6F5CA8">
                  <w:pPr>
                    <w:pStyle w:val="120"/>
                    <w:rPr>
                      <w:szCs w:val="21"/>
                    </w:rPr>
                  </w:pPr>
                  <w:r>
                    <w:rPr>
                      <w:rFonts w:hint="eastAsia"/>
                      <w:szCs w:val="21"/>
                    </w:rPr>
                    <w:t>/</w:t>
                  </w:r>
                </w:p>
              </w:tc>
              <w:tc>
                <w:tcPr>
                  <w:tcW w:w="1066" w:type="dxa"/>
                  <w:tcBorders>
                    <w:tl2br w:val="nil"/>
                    <w:tr2bl w:val="nil"/>
                  </w:tcBorders>
                  <w:shd w:val="clear" w:color="auto" w:fill="auto"/>
                  <w:vAlign w:val="center"/>
                </w:tcPr>
                <w:p w14:paraId="79A2D38C">
                  <w:pPr>
                    <w:pStyle w:val="120"/>
                    <w:rPr>
                      <w:szCs w:val="21"/>
                    </w:rPr>
                  </w:pPr>
                  <w:r>
                    <w:rPr>
                      <w:rFonts w:hint="eastAsia"/>
                      <w:szCs w:val="21"/>
                    </w:rPr>
                    <w:t>/</w:t>
                  </w:r>
                </w:p>
              </w:tc>
              <w:tc>
                <w:tcPr>
                  <w:tcW w:w="840" w:type="dxa"/>
                  <w:vMerge w:val="continue"/>
                  <w:tcBorders>
                    <w:tl2br w:val="nil"/>
                    <w:tr2bl w:val="nil"/>
                  </w:tcBorders>
                  <w:shd w:val="clear" w:color="auto" w:fill="auto"/>
                  <w:vAlign w:val="center"/>
                </w:tcPr>
                <w:p w14:paraId="12B966C1">
                  <w:pPr>
                    <w:pStyle w:val="120"/>
                    <w:rPr>
                      <w:szCs w:val="21"/>
                    </w:rPr>
                  </w:pPr>
                </w:p>
              </w:tc>
              <w:tc>
                <w:tcPr>
                  <w:tcW w:w="1335" w:type="dxa"/>
                  <w:tcBorders>
                    <w:tl2br w:val="nil"/>
                    <w:tr2bl w:val="nil"/>
                  </w:tcBorders>
                  <w:shd w:val="clear" w:color="auto" w:fill="auto"/>
                  <w:vAlign w:val="center"/>
                </w:tcPr>
                <w:p w14:paraId="5D1B1D00">
                  <w:pPr>
                    <w:pStyle w:val="120"/>
                    <w:rPr>
                      <w:szCs w:val="21"/>
                    </w:rPr>
                  </w:pPr>
                  <w:r>
                    <w:rPr>
                      <w:rFonts w:hint="eastAsia"/>
                      <w:szCs w:val="21"/>
                    </w:rPr>
                    <w:t>密闭湿法搅拌、水喷淋</w:t>
                  </w:r>
                </w:p>
              </w:tc>
              <w:tc>
                <w:tcPr>
                  <w:tcW w:w="900" w:type="dxa"/>
                  <w:tcBorders>
                    <w:tl2br w:val="nil"/>
                    <w:tr2bl w:val="nil"/>
                  </w:tcBorders>
                  <w:shd w:val="clear" w:color="auto" w:fill="auto"/>
                  <w:vAlign w:val="center"/>
                </w:tcPr>
                <w:p w14:paraId="3BE4AD09">
                  <w:pPr>
                    <w:pStyle w:val="120"/>
                    <w:rPr>
                      <w:szCs w:val="21"/>
                    </w:rPr>
                  </w:pPr>
                  <w:r>
                    <w:rPr>
                      <w:rFonts w:hint="eastAsia"/>
                      <w:szCs w:val="21"/>
                    </w:rPr>
                    <w:t>70</w:t>
                  </w:r>
                </w:p>
              </w:tc>
              <w:tc>
                <w:tcPr>
                  <w:tcW w:w="1065" w:type="dxa"/>
                  <w:tcBorders>
                    <w:tl2br w:val="nil"/>
                    <w:tr2bl w:val="nil"/>
                  </w:tcBorders>
                  <w:shd w:val="clear" w:color="auto" w:fill="auto"/>
                  <w:vAlign w:val="center"/>
                </w:tcPr>
                <w:p w14:paraId="2B253EF2">
                  <w:pPr>
                    <w:pStyle w:val="120"/>
                    <w:rPr>
                      <w:szCs w:val="21"/>
                    </w:rPr>
                  </w:pPr>
                  <w:r>
                    <w:rPr>
                      <w:rFonts w:hint="eastAsia"/>
                      <w:szCs w:val="21"/>
                    </w:rPr>
                    <w:t>是</w:t>
                  </w:r>
                </w:p>
              </w:tc>
              <w:tc>
                <w:tcPr>
                  <w:tcW w:w="870" w:type="dxa"/>
                  <w:tcBorders>
                    <w:tl2br w:val="nil"/>
                    <w:tr2bl w:val="nil"/>
                  </w:tcBorders>
                  <w:shd w:val="clear" w:color="auto" w:fill="auto"/>
                  <w:vAlign w:val="center"/>
                </w:tcPr>
                <w:p w14:paraId="2CAE1F53">
                  <w:pPr>
                    <w:pStyle w:val="120"/>
                    <w:rPr>
                      <w:szCs w:val="21"/>
                    </w:rPr>
                  </w:pPr>
                  <w:r>
                    <w:rPr>
                      <w:rFonts w:hint="eastAsia"/>
                      <w:szCs w:val="21"/>
                    </w:rPr>
                    <w:t>0.679</w:t>
                  </w:r>
                </w:p>
              </w:tc>
              <w:tc>
                <w:tcPr>
                  <w:tcW w:w="990" w:type="dxa"/>
                  <w:tcBorders>
                    <w:tl2br w:val="nil"/>
                    <w:tr2bl w:val="nil"/>
                  </w:tcBorders>
                  <w:shd w:val="clear" w:color="auto" w:fill="auto"/>
                  <w:vAlign w:val="center"/>
                </w:tcPr>
                <w:p w14:paraId="407C817D">
                  <w:pPr>
                    <w:pStyle w:val="120"/>
                    <w:rPr>
                      <w:szCs w:val="21"/>
                    </w:rPr>
                  </w:pPr>
                  <w:r>
                    <w:rPr>
                      <w:rFonts w:hint="eastAsia"/>
                      <w:szCs w:val="21"/>
                    </w:rPr>
                    <w:t>/</w:t>
                  </w:r>
                </w:p>
              </w:tc>
              <w:tc>
                <w:tcPr>
                  <w:tcW w:w="1020" w:type="dxa"/>
                  <w:tcBorders>
                    <w:tl2br w:val="nil"/>
                    <w:tr2bl w:val="nil"/>
                  </w:tcBorders>
                  <w:shd w:val="clear" w:color="auto" w:fill="auto"/>
                  <w:vAlign w:val="center"/>
                </w:tcPr>
                <w:p w14:paraId="66B7BD30">
                  <w:pPr>
                    <w:pStyle w:val="120"/>
                    <w:rPr>
                      <w:szCs w:val="21"/>
                    </w:rPr>
                  </w:pPr>
                  <w:r>
                    <w:rPr>
                      <w:rFonts w:hint="eastAsia"/>
                      <w:szCs w:val="21"/>
                    </w:rPr>
                    <w:t>/</w:t>
                  </w:r>
                </w:p>
              </w:tc>
              <w:tc>
                <w:tcPr>
                  <w:tcW w:w="730" w:type="dxa"/>
                  <w:tcBorders>
                    <w:tl2br w:val="nil"/>
                    <w:tr2bl w:val="nil"/>
                  </w:tcBorders>
                  <w:shd w:val="clear" w:color="auto" w:fill="auto"/>
                  <w:vAlign w:val="center"/>
                </w:tcPr>
                <w:p w14:paraId="7318FB85">
                  <w:pPr>
                    <w:pStyle w:val="120"/>
                    <w:rPr>
                      <w:szCs w:val="21"/>
                    </w:rPr>
                  </w:pPr>
                  <w:r>
                    <w:rPr>
                      <w:rFonts w:hint="eastAsia"/>
                      <w:szCs w:val="21"/>
                    </w:rPr>
                    <w:t>2400</w:t>
                  </w:r>
                </w:p>
              </w:tc>
            </w:tr>
            <w:tr w14:paraId="46E68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44" w:type="dxa"/>
                  <w:tcBorders>
                    <w:tl2br w:val="nil"/>
                    <w:tr2bl w:val="nil"/>
                  </w:tcBorders>
                  <w:shd w:val="clear" w:color="auto" w:fill="auto"/>
                  <w:vAlign w:val="center"/>
                </w:tcPr>
                <w:p w14:paraId="2A0B2D77">
                  <w:pPr>
                    <w:pStyle w:val="120"/>
                    <w:rPr>
                      <w:szCs w:val="21"/>
                    </w:rPr>
                  </w:pPr>
                  <w:r>
                    <w:rPr>
                      <w:rFonts w:hint="eastAsia"/>
                      <w:szCs w:val="21"/>
                    </w:rPr>
                    <w:t>焊接</w:t>
                  </w:r>
                </w:p>
              </w:tc>
              <w:tc>
                <w:tcPr>
                  <w:tcW w:w="956" w:type="dxa"/>
                  <w:tcBorders>
                    <w:tl2br w:val="nil"/>
                    <w:tr2bl w:val="nil"/>
                  </w:tcBorders>
                  <w:shd w:val="clear" w:color="auto" w:fill="auto"/>
                  <w:vAlign w:val="center"/>
                </w:tcPr>
                <w:p w14:paraId="4613E50E">
                  <w:pPr>
                    <w:pStyle w:val="120"/>
                    <w:rPr>
                      <w:szCs w:val="21"/>
                    </w:rPr>
                  </w:pPr>
                  <w:r>
                    <w:rPr>
                      <w:rFonts w:hint="eastAsia"/>
                      <w:szCs w:val="21"/>
                    </w:rPr>
                    <w:t>颗粒物</w:t>
                  </w:r>
                </w:p>
              </w:tc>
              <w:tc>
                <w:tcPr>
                  <w:tcW w:w="979" w:type="dxa"/>
                  <w:tcBorders>
                    <w:tl2br w:val="nil"/>
                    <w:tr2bl w:val="nil"/>
                  </w:tcBorders>
                  <w:shd w:val="clear" w:color="auto" w:fill="auto"/>
                  <w:vAlign w:val="center"/>
                </w:tcPr>
                <w:p w14:paraId="64083BB3">
                  <w:pPr>
                    <w:pStyle w:val="120"/>
                    <w:rPr>
                      <w:szCs w:val="21"/>
                    </w:rPr>
                  </w:pPr>
                  <w:r>
                    <w:rPr>
                      <w:rFonts w:hint="eastAsia"/>
                      <w:szCs w:val="21"/>
                    </w:rPr>
                    <w:t>0.04</w:t>
                  </w:r>
                </w:p>
              </w:tc>
              <w:tc>
                <w:tcPr>
                  <w:tcW w:w="944" w:type="dxa"/>
                  <w:tcBorders>
                    <w:tl2br w:val="nil"/>
                    <w:tr2bl w:val="nil"/>
                  </w:tcBorders>
                  <w:shd w:val="clear" w:color="auto" w:fill="auto"/>
                  <w:vAlign w:val="center"/>
                </w:tcPr>
                <w:p w14:paraId="5FD102E9">
                  <w:pPr>
                    <w:pStyle w:val="120"/>
                    <w:rPr>
                      <w:szCs w:val="21"/>
                    </w:rPr>
                  </w:pPr>
                  <w:r>
                    <w:rPr>
                      <w:rFonts w:hint="eastAsia"/>
                      <w:szCs w:val="21"/>
                    </w:rPr>
                    <w:t>/</w:t>
                  </w:r>
                </w:p>
              </w:tc>
              <w:tc>
                <w:tcPr>
                  <w:tcW w:w="1066" w:type="dxa"/>
                  <w:tcBorders>
                    <w:tl2br w:val="nil"/>
                    <w:tr2bl w:val="nil"/>
                  </w:tcBorders>
                  <w:shd w:val="clear" w:color="auto" w:fill="auto"/>
                  <w:vAlign w:val="center"/>
                </w:tcPr>
                <w:p w14:paraId="1B754B11">
                  <w:pPr>
                    <w:pStyle w:val="120"/>
                    <w:rPr>
                      <w:szCs w:val="21"/>
                    </w:rPr>
                  </w:pPr>
                  <w:r>
                    <w:rPr>
                      <w:rFonts w:hint="eastAsia"/>
                      <w:szCs w:val="21"/>
                    </w:rPr>
                    <w:t>/</w:t>
                  </w:r>
                </w:p>
              </w:tc>
              <w:tc>
                <w:tcPr>
                  <w:tcW w:w="840" w:type="dxa"/>
                  <w:vMerge w:val="continue"/>
                  <w:tcBorders>
                    <w:tl2br w:val="nil"/>
                    <w:tr2bl w:val="nil"/>
                  </w:tcBorders>
                  <w:shd w:val="clear" w:color="auto" w:fill="auto"/>
                  <w:vAlign w:val="center"/>
                </w:tcPr>
                <w:p w14:paraId="4545B5C2">
                  <w:pPr>
                    <w:pStyle w:val="120"/>
                    <w:rPr>
                      <w:szCs w:val="21"/>
                    </w:rPr>
                  </w:pPr>
                </w:p>
              </w:tc>
              <w:tc>
                <w:tcPr>
                  <w:tcW w:w="1335" w:type="dxa"/>
                  <w:tcBorders>
                    <w:tl2br w:val="nil"/>
                    <w:tr2bl w:val="nil"/>
                  </w:tcBorders>
                  <w:shd w:val="clear" w:color="auto" w:fill="auto"/>
                  <w:vAlign w:val="center"/>
                </w:tcPr>
                <w:p w14:paraId="657C6598">
                  <w:pPr>
                    <w:pStyle w:val="120"/>
                    <w:rPr>
                      <w:szCs w:val="21"/>
                    </w:rPr>
                  </w:pPr>
                  <w:r>
                    <w:rPr>
                      <w:rFonts w:hint="eastAsia"/>
                      <w:szCs w:val="21"/>
                    </w:rPr>
                    <w:t>移动焊烟净化器</w:t>
                  </w:r>
                </w:p>
              </w:tc>
              <w:tc>
                <w:tcPr>
                  <w:tcW w:w="900" w:type="dxa"/>
                  <w:tcBorders>
                    <w:tl2br w:val="nil"/>
                    <w:tr2bl w:val="nil"/>
                  </w:tcBorders>
                  <w:shd w:val="clear" w:color="auto" w:fill="auto"/>
                  <w:vAlign w:val="center"/>
                </w:tcPr>
                <w:p w14:paraId="6F2E60C9">
                  <w:pPr>
                    <w:pStyle w:val="120"/>
                    <w:rPr>
                      <w:szCs w:val="21"/>
                    </w:rPr>
                  </w:pPr>
                  <w:r>
                    <w:rPr>
                      <w:rFonts w:hint="eastAsia"/>
                      <w:szCs w:val="21"/>
                    </w:rPr>
                    <w:t>80</w:t>
                  </w:r>
                </w:p>
              </w:tc>
              <w:tc>
                <w:tcPr>
                  <w:tcW w:w="1065" w:type="dxa"/>
                  <w:tcBorders>
                    <w:tl2br w:val="nil"/>
                    <w:tr2bl w:val="nil"/>
                  </w:tcBorders>
                  <w:shd w:val="clear" w:color="auto" w:fill="auto"/>
                  <w:vAlign w:val="center"/>
                </w:tcPr>
                <w:p w14:paraId="3904BC36">
                  <w:pPr>
                    <w:pStyle w:val="120"/>
                    <w:rPr>
                      <w:szCs w:val="21"/>
                    </w:rPr>
                  </w:pPr>
                  <w:r>
                    <w:rPr>
                      <w:rFonts w:hint="eastAsia"/>
                      <w:szCs w:val="21"/>
                    </w:rPr>
                    <w:t>是</w:t>
                  </w:r>
                </w:p>
              </w:tc>
              <w:tc>
                <w:tcPr>
                  <w:tcW w:w="870" w:type="dxa"/>
                  <w:tcBorders>
                    <w:tl2br w:val="nil"/>
                    <w:tr2bl w:val="nil"/>
                  </w:tcBorders>
                  <w:shd w:val="clear" w:color="auto" w:fill="auto"/>
                  <w:vAlign w:val="center"/>
                </w:tcPr>
                <w:p w14:paraId="530D8A33">
                  <w:pPr>
                    <w:pStyle w:val="120"/>
                    <w:rPr>
                      <w:b/>
                      <w:bCs/>
                      <w:szCs w:val="21"/>
                    </w:rPr>
                  </w:pPr>
                  <w:r>
                    <w:rPr>
                      <w:rFonts w:hint="eastAsia"/>
                      <w:szCs w:val="21"/>
                    </w:rPr>
                    <w:t>0.008</w:t>
                  </w:r>
                </w:p>
              </w:tc>
              <w:tc>
                <w:tcPr>
                  <w:tcW w:w="990" w:type="dxa"/>
                  <w:tcBorders>
                    <w:tl2br w:val="nil"/>
                    <w:tr2bl w:val="nil"/>
                  </w:tcBorders>
                  <w:shd w:val="clear" w:color="auto" w:fill="auto"/>
                  <w:vAlign w:val="center"/>
                </w:tcPr>
                <w:p w14:paraId="75EB38A2">
                  <w:pPr>
                    <w:pStyle w:val="120"/>
                    <w:rPr>
                      <w:szCs w:val="21"/>
                    </w:rPr>
                  </w:pPr>
                  <w:r>
                    <w:rPr>
                      <w:rFonts w:hint="eastAsia"/>
                      <w:szCs w:val="21"/>
                    </w:rPr>
                    <w:t>/</w:t>
                  </w:r>
                </w:p>
              </w:tc>
              <w:tc>
                <w:tcPr>
                  <w:tcW w:w="1020" w:type="dxa"/>
                  <w:tcBorders>
                    <w:tl2br w:val="nil"/>
                    <w:tr2bl w:val="nil"/>
                  </w:tcBorders>
                  <w:shd w:val="clear" w:color="auto" w:fill="auto"/>
                  <w:vAlign w:val="center"/>
                </w:tcPr>
                <w:p w14:paraId="34B1845A">
                  <w:pPr>
                    <w:pStyle w:val="120"/>
                    <w:rPr>
                      <w:szCs w:val="21"/>
                    </w:rPr>
                  </w:pPr>
                  <w:r>
                    <w:rPr>
                      <w:rFonts w:hint="eastAsia"/>
                      <w:szCs w:val="21"/>
                    </w:rPr>
                    <w:t>/</w:t>
                  </w:r>
                </w:p>
              </w:tc>
              <w:tc>
                <w:tcPr>
                  <w:tcW w:w="730" w:type="dxa"/>
                  <w:tcBorders>
                    <w:tl2br w:val="nil"/>
                    <w:tr2bl w:val="nil"/>
                  </w:tcBorders>
                  <w:shd w:val="clear" w:color="auto" w:fill="auto"/>
                  <w:vAlign w:val="center"/>
                </w:tcPr>
                <w:p w14:paraId="55BB0AEA">
                  <w:pPr>
                    <w:pStyle w:val="120"/>
                    <w:rPr>
                      <w:szCs w:val="21"/>
                    </w:rPr>
                  </w:pPr>
                  <w:r>
                    <w:rPr>
                      <w:rFonts w:hint="eastAsia"/>
                      <w:szCs w:val="21"/>
                    </w:rPr>
                    <w:t>2400</w:t>
                  </w:r>
                </w:p>
              </w:tc>
            </w:tr>
            <w:tr w14:paraId="69388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44" w:type="dxa"/>
                  <w:tcBorders>
                    <w:tl2br w:val="nil"/>
                    <w:tr2bl w:val="nil"/>
                  </w:tcBorders>
                  <w:shd w:val="clear" w:color="auto" w:fill="auto"/>
                  <w:vAlign w:val="center"/>
                </w:tcPr>
                <w:p w14:paraId="542019C5">
                  <w:pPr>
                    <w:pStyle w:val="120"/>
                    <w:rPr>
                      <w:szCs w:val="21"/>
                    </w:rPr>
                  </w:pPr>
                  <w:r>
                    <w:rPr>
                      <w:rFonts w:hint="eastAsia"/>
                      <w:szCs w:val="21"/>
                    </w:rPr>
                    <w:t>无组织废气总计</w:t>
                  </w:r>
                </w:p>
              </w:tc>
              <w:tc>
                <w:tcPr>
                  <w:tcW w:w="956" w:type="dxa"/>
                  <w:tcBorders>
                    <w:tl2br w:val="nil"/>
                    <w:tr2bl w:val="nil"/>
                  </w:tcBorders>
                  <w:shd w:val="clear" w:color="auto" w:fill="auto"/>
                  <w:vAlign w:val="center"/>
                </w:tcPr>
                <w:p w14:paraId="0C65C414">
                  <w:pPr>
                    <w:pStyle w:val="120"/>
                    <w:rPr>
                      <w:szCs w:val="21"/>
                    </w:rPr>
                  </w:pPr>
                  <w:r>
                    <w:rPr>
                      <w:rFonts w:hint="eastAsia"/>
                      <w:szCs w:val="21"/>
                    </w:rPr>
                    <w:t>颗粒物</w:t>
                  </w:r>
                </w:p>
              </w:tc>
              <w:tc>
                <w:tcPr>
                  <w:tcW w:w="979" w:type="dxa"/>
                  <w:tcBorders>
                    <w:tl2br w:val="nil"/>
                    <w:tr2bl w:val="nil"/>
                  </w:tcBorders>
                  <w:shd w:val="clear" w:color="auto" w:fill="auto"/>
                  <w:vAlign w:val="center"/>
                </w:tcPr>
                <w:p w14:paraId="3153FBFD">
                  <w:pPr>
                    <w:pStyle w:val="120"/>
                    <w:rPr>
                      <w:szCs w:val="21"/>
                    </w:rPr>
                  </w:pPr>
                  <w:r>
                    <w:rPr>
                      <w:rFonts w:hint="eastAsia"/>
                      <w:szCs w:val="21"/>
                    </w:rPr>
                    <w:t>21.397</w:t>
                  </w:r>
                </w:p>
              </w:tc>
              <w:tc>
                <w:tcPr>
                  <w:tcW w:w="944" w:type="dxa"/>
                  <w:tcBorders>
                    <w:tl2br w:val="nil"/>
                    <w:tr2bl w:val="nil"/>
                  </w:tcBorders>
                  <w:shd w:val="clear" w:color="auto" w:fill="auto"/>
                  <w:vAlign w:val="center"/>
                </w:tcPr>
                <w:p w14:paraId="1BB3D5B8">
                  <w:pPr>
                    <w:pStyle w:val="120"/>
                    <w:rPr>
                      <w:szCs w:val="21"/>
                    </w:rPr>
                  </w:pPr>
                  <w:r>
                    <w:rPr>
                      <w:rFonts w:hint="eastAsia"/>
                      <w:szCs w:val="21"/>
                    </w:rPr>
                    <w:t>/</w:t>
                  </w:r>
                </w:p>
              </w:tc>
              <w:tc>
                <w:tcPr>
                  <w:tcW w:w="1066" w:type="dxa"/>
                  <w:tcBorders>
                    <w:tl2br w:val="nil"/>
                    <w:tr2bl w:val="nil"/>
                  </w:tcBorders>
                  <w:shd w:val="clear" w:color="auto" w:fill="auto"/>
                  <w:vAlign w:val="center"/>
                </w:tcPr>
                <w:p w14:paraId="742E78B7">
                  <w:pPr>
                    <w:pStyle w:val="120"/>
                    <w:rPr>
                      <w:szCs w:val="21"/>
                    </w:rPr>
                  </w:pPr>
                  <w:r>
                    <w:rPr>
                      <w:rFonts w:hint="eastAsia"/>
                      <w:szCs w:val="21"/>
                    </w:rPr>
                    <w:t>/</w:t>
                  </w:r>
                </w:p>
              </w:tc>
              <w:tc>
                <w:tcPr>
                  <w:tcW w:w="840" w:type="dxa"/>
                  <w:vMerge w:val="continue"/>
                  <w:tcBorders>
                    <w:tl2br w:val="nil"/>
                    <w:tr2bl w:val="nil"/>
                  </w:tcBorders>
                  <w:shd w:val="clear" w:color="auto" w:fill="auto"/>
                  <w:vAlign w:val="center"/>
                </w:tcPr>
                <w:p w14:paraId="2C5F5041">
                  <w:pPr>
                    <w:pStyle w:val="120"/>
                    <w:rPr>
                      <w:szCs w:val="21"/>
                    </w:rPr>
                  </w:pPr>
                </w:p>
              </w:tc>
              <w:tc>
                <w:tcPr>
                  <w:tcW w:w="1335" w:type="dxa"/>
                  <w:tcBorders>
                    <w:tl2br w:val="nil"/>
                    <w:tr2bl w:val="nil"/>
                  </w:tcBorders>
                  <w:shd w:val="clear" w:color="auto" w:fill="auto"/>
                  <w:vAlign w:val="center"/>
                </w:tcPr>
                <w:p w14:paraId="24257880">
                  <w:pPr>
                    <w:pStyle w:val="120"/>
                    <w:rPr>
                      <w:szCs w:val="21"/>
                    </w:rPr>
                  </w:pPr>
                  <w:r>
                    <w:rPr>
                      <w:rFonts w:hint="eastAsia"/>
                      <w:szCs w:val="21"/>
                    </w:rPr>
                    <w:t>/</w:t>
                  </w:r>
                </w:p>
              </w:tc>
              <w:tc>
                <w:tcPr>
                  <w:tcW w:w="900" w:type="dxa"/>
                  <w:tcBorders>
                    <w:tl2br w:val="nil"/>
                    <w:tr2bl w:val="nil"/>
                  </w:tcBorders>
                  <w:shd w:val="clear" w:color="auto" w:fill="auto"/>
                  <w:vAlign w:val="center"/>
                </w:tcPr>
                <w:p w14:paraId="31A6D633">
                  <w:pPr>
                    <w:pStyle w:val="120"/>
                    <w:rPr>
                      <w:szCs w:val="21"/>
                    </w:rPr>
                  </w:pPr>
                  <w:r>
                    <w:rPr>
                      <w:rFonts w:hint="eastAsia"/>
                      <w:szCs w:val="21"/>
                    </w:rPr>
                    <w:t>/</w:t>
                  </w:r>
                </w:p>
              </w:tc>
              <w:tc>
                <w:tcPr>
                  <w:tcW w:w="1065" w:type="dxa"/>
                  <w:tcBorders>
                    <w:tl2br w:val="nil"/>
                    <w:tr2bl w:val="nil"/>
                  </w:tcBorders>
                  <w:shd w:val="clear" w:color="auto" w:fill="auto"/>
                  <w:vAlign w:val="center"/>
                </w:tcPr>
                <w:p w14:paraId="495322BB">
                  <w:pPr>
                    <w:pStyle w:val="120"/>
                    <w:rPr>
                      <w:szCs w:val="21"/>
                    </w:rPr>
                  </w:pPr>
                  <w:r>
                    <w:rPr>
                      <w:rFonts w:hint="eastAsia"/>
                      <w:szCs w:val="21"/>
                    </w:rPr>
                    <w:t>/</w:t>
                  </w:r>
                </w:p>
              </w:tc>
              <w:tc>
                <w:tcPr>
                  <w:tcW w:w="870" w:type="dxa"/>
                  <w:tcBorders>
                    <w:tl2br w:val="nil"/>
                    <w:tr2bl w:val="nil"/>
                  </w:tcBorders>
                  <w:shd w:val="clear" w:color="auto" w:fill="auto"/>
                  <w:vAlign w:val="center"/>
                </w:tcPr>
                <w:p w14:paraId="77458C45">
                  <w:pPr>
                    <w:pStyle w:val="120"/>
                    <w:rPr>
                      <w:szCs w:val="21"/>
                    </w:rPr>
                  </w:pPr>
                  <w:r>
                    <w:rPr>
                      <w:rFonts w:hint="eastAsia"/>
                      <w:szCs w:val="21"/>
                    </w:rPr>
                    <w:t>2.301</w:t>
                  </w:r>
                </w:p>
              </w:tc>
              <w:tc>
                <w:tcPr>
                  <w:tcW w:w="990" w:type="dxa"/>
                  <w:tcBorders>
                    <w:tl2br w:val="nil"/>
                    <w:tr2bl w:val="nil"/>
                  </w:tcBorders>
                  <w:shd w:val="clear" w:color="auto" w:fill="auto"/>
                  <w:vAlign w:val="center"/>
                </w:tcPr>
                <w:p w14:paraId="51FDB0C7">
                  <w:pPr>
                    <w:pStyle w:val="120"/>
                    <w:rPr>
                      <w:szCs w:val="21"/>
                    </w:rPr>
                  </w:pPr>
                  <w:r>
                    <w:rPr>
                      <w:rFonts w:hint="eastAsia"/>
                      <w:szCs w:val="21"/>
                    </w:rPr>
                    <w:t>/</w:t>
                  </w:r>
                </w:p>
              </w:tc>
              <w:tc>
                <w:tcPr>
                  <w:tcW w:w="1020" w:type="dxa"/>
                  <w:tcBorders>
                    <w:tl2br w:val="nil"/>
                    <w:tr2bl w:val="nil"/>
                  </w:tcBorders>
                  <w:shd w:val="clear" w:color="auto" w:fill="auto"/>
                  <w:vAlign w:val="center"/>
                </w:tcPr>
                <w:p w14:paraId="772A0364">
                  <w:pPr>
                    <w:pStyle w:val="120"/>
                    <w:rPr>
                      <w:szCs w:val="21"/>
                    </w:rPr>
                  </w:pPr>
                  <w:r>
                    <w:rPr>
                      <w:rFonts w:hint="eastAsia"/>
                      <w:szCs w:val="21"/>
                    </w:rPr>
                    <w:t>/</w:t>
                  </w:r>
                </w:p>
              </w:tc>
              <w:tc>
                <w:tcPr>
                  <w:tcW w:w="730" w:type="dxa"/>
                  <w:tcBorders>
                    <w:tl2br w:val="nil"/>
                    <w:tr2bl w:val="nil"/>
                  </w:tcBorders>
                  <w:shd w:val="clear" w:color="auto" w:fill="auto"/>
                  <w:vAlign w:val="center"/>
                </w:tcPr>
                <w:p w14:paraId="3D6BF8D9">
                  <w:pPr>
                    <w:pStyle w:val="120"/>
                    <w:rPr>
                      <w:szCs w:val="21"/>
                    </w:rPr>
                  </w:pPr>
                  <w:r>
                    <w:rPr>
                      <w:rFonts w:hint="eastAsia"/>
                      <w:szCs w:val="21"/>
                    </w:rPr>
                    <w:t>/</w:t>
                  </w:r>
                </w:p>
              </w:tc>
            </w:tr>
            <w:tr w14:paraId="37C65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44" w:type="dxa"/>
                  <w:tcBorders>
                    <w:tl2br w:val="nil"/>
                    <w:tr2bl w:val="nil"/>
                  </w:tcBorders>
                  <w:shd w:val="clear" w:color="auto" w:fill="auto"/>
                  <w:vAlign w:val="center"/>
                </w:tcPr>
                <w:p w14:paraId="47114B73">
                  <w:pPr>
                    <w:pStyle w:val="120"/>
                    <w:rPr>
                      <w:szCs w:val="21"/>
                    </w:rPr>
                  </w:pPr>
                  <w:r>
                    <w:rPr>
                      <w:rFonts w:hint="eastAsia"/>
                      <w:szCs w:val="21"/>
                    </w:rPr>
                    <w:t>食堂厨房</w:t>
                  </w:r>
                </w:p>
              </w:tc>
              <w:tc>
                <w:tcPr>
                  <w:tcW w:w="956" w:type="dxa"/>
                  <w:tcBorders>
                    <w:tl2br w:val="nil"/>
                    <w:tr2bl w:val="nil"/>
                  </w:tcBorders>
                  <w:shd w:val="clear" w:color="auto" w:fill="auto"/>
                  <w:vAlign w:val="center"/>
                </w:tcPr>
                <w:p w14:paraId="722FC781">
                  <w:pPr>
                    <w:pStyle w:val="120"/>
                    <w:rPr>
                      <w:szCs w:val="21"/>
                    </w:rPr>
                  </w:pPr>
                  <w:r>
                    <w:rPr>
                      <w:rFonts w:hint="eastAsia"/>
                      <w:szCs w:val="21"/>
                    </w:rPr>
                    <w:t>油烟</w:t>
                  </w:r>
                </w:p>
              </w:tc>
              <w:tc>
                <w:tcPr>
                  <w:tcW w:w="979" w:type="dxa"/>
                  <w:tcBorders>
                    <w:tl2br w:val="nil"/>
                    <w:tr2bl w:val="nil"/>
                  </w:tcBorders>
                  <w:shd w:val="clear" w:color="auto" w:fill="auto"/>
                  <w:vAlign w:val="center"/>
                </w:tcPr>
                <w:p w14:paraId="2A38DD3D">
                  <w:pPr>
                    <w:pStyle w:val="120"/>
                    <w:rPr>
                      <w:szCs w:val="21"/>
                    </w:rPr>
                  </w:pPr>
                  <w:r>
                    <w:rPr>
                      <w:rFonts w:hint="eastAsia"/>
                      <w:szCs w:val="21"/>
                    </w:rPr>
                    <w:t>0.011</w:t>
                  </w:r>
                </w:p>
              </w:tc>
              <w:tc>
                <w:tcPr>
                  <w:tcW w:w="944" w:type="dxa"/>
                  <w:tcBorders>
                    <w:tl2br w:val="nil"/>
                    <w:tr2bl w:val="nil"/>
                  </w:tcBorders>
                  <w:shd w:val="clear" w:color="auto" w:fill="auto"/>
                  <w:vAlign w:val="center"/>
                </w:tcPr>
                <w:p w14:paraId="0F778507">
                  <w:pPr>
                    <w:pStyle w:val="120"/>
                    <w:rPr>
                      <w:szCs w:val="21"/>
                    </w:rPr>
                  </w:pPr>
                  <w:r>
                    <w:rPr>
                      <w:rFonts w:hint="eastAsia"/>
                      <w:szCs w:val="21"/>
                    </w:rPr>
                    <w:t>0.009</w:t>
                  </w:r>
                </w:p>
              </w:tc>
              <w:tc>
                <w:tcPr>
                  <w:tcW w:w="1066" w:type="dxa"/>
                  <w:tcBorders>
                    <w:tl2br w:val="nil"/>
                    <w:tr2bl w:val="nil"/>
                  </w:tcBorders>
                  <w:shd w:val="clear" w:color="auto" w:fill="auto"/>
                  <w:vAlign w:val="center"/>
                </w:tcPr>
                <w:p w14:paraId="0D02BB7A">
                  <w:pPr>
                    <w:pStyle w:val="120"/>
                    <w:rPr>
                      <w:szCs w:val="21"/>
                    </w:rPr>
                  </w:pPr>
                  <w:r>
                    <w:rPr>
                      <w:rFonts w:hint="eastAsia"/>
                      <w:szCs w:val="21"/>
                    </w:rPr>
                    <w:t>2.3</w:t>
                  </w:r>
                </w:p>
              </w:tc>
              <w:tc>
                <w:tcPr>
                  <w:tcW w:w="840" w:type="dxa"/>
                  <w:tcBorders>
                    <w:tl2br w:val="nil"/>
                    <w:tr2bl w:val="nil"/>
                  </w:tcBorders>
                  <w:shd w:val="clear" w:color="auto" w:fill="auto"/>
                  <w:vAlign w:val="center"/>
                </w:tcPr>
                <w:p w14:paraId="6FBCA8D8">
                  <w:pPr>
                    <w:pStyle w:val="120"/>
                    <w:rPr>
                      <w:szCs w:val="21"/>
                    </w:rPr>
                  </w:pPr>
                  <w:r>
                    <w:rPr>
                      <w:rFonts w:hint="eastAsia"/>
                      <w:szCs w:val="21"/>
                    </w:rPr>
                    <w:t>有组织</w:t>
                  </w:r>
                </w:p>
              </w:tc>
              <w:tc>
                <w:tcPr>
                  <w:tcW w:w="1335" w:type="dxa"/>
                  <w:tcBorders>
                    <w:tl2br w:val="nil"/>
                    <w:tr2bl w:val="nil"/>
                  </w:tcBorders>
                  <w:shd w:val="clear" w:color="auto" w:fill="auto"/>
                  <w:vAlign w:val="center"/>
                </w:tcPr>
                <w:p w14:paraId="43FA8BEA">
                  <w:pPr>
                    <w:pStyle w:val="120"/>
                    <w:rPr>
                      <w:szCs w:val="21"/>
                    </w:rPr>
                  </w:pPr>
                  <w:r>
                    <w:rPr>
                      <w:rFonts w:hint="eastAsia"/>
                      <w:szCs w:val="21"/>
                    </w:rPr>
                    <w:t>油烟净化器</w:t>
                  </w:r>
                </w:p>
              </w:tc>
              <w:tc>
                <w:tcPr>
                  <w:tcW w:w="900" w:type="dxa"/>
                  <w:tcBorders>
                    <w:tl2br w:val="nil"/>
                    <w:tr2bl w:val="nil"/>
                  </w:tcBorders>
                  <w:shd w:val="clear" w:color="auto" w:fill="auto"/>
                  <w:vAlign w:val="center"/>
                </w:tcPr>
                <w:p w14:paraId="551BFF11">
                  <w:pPr>
                    <w:pStyle w:val="120"/>
                    <w:rPr>
                      <w:szCs w:val="21"/>
                    </w:rPr>
                  </w:pPr>
                  <w:r>
                    <w:rPr>
                      <w:rFonts w:hint="eastAsia"/>
                      <w:szCs w:val="21"/>
                    </w:rPr>
                    <w:t>60</w:t>
                  </w:r>
                </w:p>
              </w:tc>
              <w:tc>
                <w:tcPr>
                  <w:tcW w:w="1065" w:type="dxa"/>
                  <w:tcBorders>
                    <w:tl2br w:val="nil"/>
                    <w:tr2bl w:val="nil"/>
                  </w:tcBorders>
                  <w:shd w:val="clear" w:color="auto" w:fill="auto"/>
                  <w:vAlign w:val="center"/>
                </w:tcPr>
                <w:p w14:paraId="0F0D7067">
                  <w:pPr>
                    <w:pStyle w:val="120"/>
                    <w:rPr>
                      <w:szCs w:val="21"/>
                    </w:rPr>
                  </w:pPr>
                  <w:r>
                    <w:rPr>
                      <w:rFonts w:hint="eastAsia"/>
                      <w:szCs w:val="21"/>
                    </w:rPr>
                    <w:t>是</w:t>
                  </w:r>
                </w:p>
              </w:tc>
              <w:tc>
                <w:tcPr>
                  <w:tcW w:w="870" w:type="dxa"/>
                  <w:tcBorders>
                    <w:tl2br w:val="nil"/>
                    <w:tr2bl w:val="nil"/>
                  </w:tcBorders>
                  <w:shd w:val="clear" w:color="auto" w:fill="auto"/>
                  <w:vAlign w:val="center"/>
                </w:tcPr>
                <w:p w14:paraId="47FFFA54">
                  <w:pPr>
                    <w:pStyle w:val="120"/>
                    <w:rPr>
                      <w:szCs w:val="21"/>
                    </w:rPr>
                  </w:pPr>
                  <w:r>
                    <w:rPr>
                      <w:rFonts w:hint="eastAsia"/>
                      <w:szCs w:val="21"/>
                    </w:rPr>
                    <w:t>0.004</w:t>
                  </w:r>
                </w:p>
              </w:tc>
              <w:tc>
                <w:tcPr>
                  <w:tcW w:w="990" w:type="dxa"/>
                  <w:tcBorders>
                    <w:tl2br w:val="nil"/>
                    <w:tr2bl w:val="nil"/>
                  </w:tcBorders>
                  <w:shd w:val="clear" w:color="auto" w:fill="auto"/>
                  <w:vAlign w:val="center"/>
                </w:tcPr>
                <w:p w14:paraId="0A4394AA">
                  <w:pPr>
                    <w:pStyle w:val="120"/>
                    <w:rPr>
                      <w:szCs w:val="21"/>
                    </w:rPr>
                  </w:pPr>
                  <w:r>
                    <w:rPr>
                      <w:rFonts w:hint="eastAsia"/>
                      <w:szCs w:val="21"/>
                    </w:rPr>
                    <w:t>0.003</w:t>
                  </w:r>
                </w:p>
              </w:tc>
              <w:tc>
                <w:tcPr>
                  <w:tcW w:w="1020" w:type="dxa"/>
                  <w:tcBorders>
                    <w:tl2br w:val="nil"/>
                    <w:tr2bl w:val="nil"/>
                  </w:tcBorders>
                  <w:shd w:val="clear" w:color="auto" w:fill="auto"/>
                  <w:vAlign w:val="center"/>
                </w:tcPr>
                <w:p w14:paraId="19EB220C">
                  <w:pPr>
                    <w:pStyle w:val="120"/>
                    <w:rPr>
                      <w:szCs w:val="21"/>
                    </w:rPr>
                  </w:pPr>
                  <w:r>
                    <w:rPr>
                      <w:rFonts w:hint="eastAsia"/>
                      <w:szCs w:val="21"/>
                    </w:rPr>
                    <w:t>0.8</w:t>
                  </w:r>
                </w:p>
              </w:tc>
              <w:tc>
                <w:tcPr>
                  <w:tcW w:w="730" w:type="dxa"/>
                  <w:tcBorders>
                    <w:tl2br w:val="nil"/>
                    <w:tr2bl w:val="nil"/>
                  </w:tcBorders>
                  <w:shd w:val="clear" w:color="auto" w:fill="auto"/>
                  <w:vAlign w:val="center"/>
                </w:tcPr>
                <w:p w14:paraId="02524A34">
                  <w:pPr>
                    <w:pStyle w:val="120"/>
                    <w:rPr>
                      <w:szCs w:val="21"/>
                    </w:rPr>
                  </w:pPr>
                  <w:r>
                    <w:rPr>
                      <w:rFonts w:hint="eastAsia"/>
                      <w:szCs w:val="21"/>
                    </w:rPr>
                    <w:t>1200</w:t>
                  </w:r>
                </w:p>
              </w:tc>
            </w:tr>
          </w:tbl>
          <w:p w14:paraId="652A5B20">
            <w:pPr>
              <w:rPr>
                <w:color w:val="FF0000"/>
              </w:rPr>
            </w:pPr>
          </w:p>
        </w:tc>
      </w:tr>
    </w:tbl>
    <w:p w14:paraId="58012EE9">
      <w:pPr>
        <w:pStyle w:val="27"/>
        <w:rPr>
          <w:color w:val="FF0000"/>
        </w:rPr>
        <w:sectPr>
          <w:pgSz w:w="16838" w:h="11906" w:orient="landscape"/>
          <w:pgMar w:top="1531" w:right="1701" w:bottom="1531" w:left="2127" w:header="851" w:footer="851" w:gutter="0"/>
          <w:cols w:space="720" w:num="1"/>
          <w:docGrid w:linePitch="312" w:charSpace="0"/>
        </w:sectPr>
      </w:pPr>
    </w:p>
    <w:tbl>
      <w:tblPr>
        <w:tblStyle w:val="3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06"/>
      </w:tblGrid>
      <w:tr w14:paraId="14A275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5" w:type="dxa"/>
            <w:tcMar>
              <w:left w:w="28" w:type="dxa"/>
              <w:right w:w="28" w:type="dxa"/>
            </w:tcMar>
            <w:vAlign w:val="center"/>
          </w:tcPr>
          <w:p w14:paraId="4BB3C087">
            <w:pPr>
              <w:pStyle w:val="29"/>
              <w:spacing w:before="0" w:beforeAutospacing="0" w:after="0" w:afterAutospacing="0"/>
              <w:jc w:val="center"/>
              <w:rPr>
                <w:rFonts w:ascii="Times New Roman" w:hAnsi="Times New Roman"/>
                <w:kern w:val="21"/>
                <w:szCs w:val="24"/>
              </w:rPr>
            </w:pPr>
            <w:r>
              <w:rPr>
                <w:rFonts w:hint="eastAsia" w:ascii="Times New Roman" w:hAnsi="Times New Roman"/>
                <w:kern w:val="21"/>
                <w:szCs w:val="24"/>
              </w:rPr>
              <w:t>运营期</w:t>
            </w:r>
            <w:r>
              <w:rPr>
                <w:rFonts w:ascii="Times New Roman" w:hAnsi="Times New Roman"/>
                <w:kern w:val="21"/>
                <w:szCs w:val="24"/>
              </w:rPr>
              <w:t>环</w:t>
            </w:r>
          </w:p>
          <w:p w14:paraId="162EBE21">
            <w:pPr>
              <w:pStyle w:val="29"/>
              <w:spacing w:before="0" w:beforeAutospacing="0" w:after="0" w:afterAutospacing="0"/>
              <w:jc w:val="center"/>
              <w:rPr>
                <w:rFonts w:ascii="Times New Roman" w:hAnsi="Times New Roman"/>
                <w:kern w:val="21"/>
                <w:szCs w:val="24"/>
              </w:rPr>
            </w:pPr>
            <w:r>
              <w:rPr>
                <w:rFonts w:ascii="Times New Roman" w:hAnsi="Times New Roman"/>
                <w:kern w:val="21"/>
                <w:szCs w:val="24"/>
              </w:rPr>
              <w:t>境保</w:t>
            </w:r>
          </w:p>
          <w:p w14:paraId="76C230C4">
            <w:pPr>
              <w:pStyle w:val="29"/>
              <w:spacing w:before="0" w:beforeAutospacing="0" w:after="0" w:afterAutospacing="0"/>
              <w:jc w:val="center"/>
              <w:rPr>
                <w:rFonts w:ascii="Times New Roman" w:hAnsi="Times New Roman"/>
                <w:kern w:val="21"/>
                <w:szCs w:val="24"/>
              </w:rPr>
            </w:pPr>
            <w:r>
              <w:rPr>
                <w:rFonts w:ascii="Times New Roman" w:hAnsi="Times New Roman"/>
                <w:kern w:val="21"/>
                <w:szCs w:val="24"/>
              </w:rPr>
              <w:t>护措</w:t>
            </w:r>
          </w:p>
          <w:p w14:paraId="3BC7C924">
            <w:pPr>
              <w:jc w:val="center"/>
              <w:rPr>
                <w:bCs/>
                <w:color w:val="FF0000"/>
                <w:kern w:val="21"/>
                <w:sz w:val="24"/>
              </w:rPr>
            </w:pPr>
            <w:r>
              <w:rPr>
                <w:kern w:val="21"/>
                <w:sz w:val="24"/>
              </w:rPr>
              <w:t>施</w:t>
            </w:r>
          </w:p>
        </w:tc>
        <w:tc>
          <w:tcPr>
            <w:tcW w:w="8606" w:type="dxa"/>
            <w:vAlign w:val="center"/>
          </w:tcPr>
          <w:p w14:paraId="700BE0C8">
            <w:pPr>
              <w:pStyle w:val="66"/>
              <w:ind w:firstLine="482"/>
              <w:rPr>
                <w:b/>
                <w:bCs/>
                <w:kern w:val="2"/>
                <w:sz w:val="24"/>
                <w:szCs w:val="24"/>
              </w:rPr>
            </w:pPr>
            <w:bookmarkStart w:id="28" w:name="_Toc2741_WPSOffice_Level2"/>
            <w:bookmarkStart w:id="29" w:name="_Toc11435_WPSOffice_Level3"/>
            <w:r>
              <w:rPr>
                <w:b/>
                <w:bCs/>
                <w:kern w:val="2"/>
                <w:sz w:val="24"/>
                <w:szCs w:val="24"/>
              </w:rPr>
              <w:t>2、</w:t>
            </w:r>
            <w:bookmarkEnd w:id="28"/>
            <w:bookmarkEnd w:id="29"/>
            <w:r>
              <w:rPr>
                <w:rFonts w:hint="eastAsia"/>
                <w:b/>
                <w:bCs/>
                <w:kern w:val="2"/>
                <w:sz w:val="24"/>
                <w:szCs w:val="24"/>
              </w:rPr>
              <w:t>达标排放分析</w:t>
            </w:r>
          </w:p>
          <w:p w14:paraId="0BC2BF6A">
            <w:pPr>
              <w:pStyle w:val="66"/>
              <w:ind w:firstLine="480"/>
              <w:rPr>
                <w:kern w:val="2"/>
                <w:sz w:val="24"/>
                <w:szCs w:val="24"/>
              </w:rPr>
            </w:pPr>
            <w:r>
              <w:rPr>
                <w:rFonts w:hint="eastAsia"/>
                <w:kern w:val="2"/>
                <w:sz w:val="24"/>
                <w:szCs w:val="24"/>
              </w:rPr>
              <w:t>项目油烟废气的排放量为0.004t/a、排放速率为0.003kg/h、排放浓度为0.8mg/m</w:t>
            </w:r>
            <w:r>
              <w:rPr>
                <w:rFonts w:hint="eastAsia"/>
                <w:kern w:val="2"/>
                <w:sz w:val="24"/>
                <w:szCs w:val="24"/>
                <w:vertAlign w:val="superscript"/>
              </w:rPr>
              <w:t>3</w:t>
            </w:r>
            <w:r>
              <w:rPr>
                <w:rFonts w:hint="eastAsia"/>
                <w:kern w:val="2"/>
                <w:sz w:val="24"/>
                <w:szCs w:val="24"/>
              </w:rPr>
              <w:t>，可达到《饮食业油烟排放标准（试行）》（GB18483-2001）小型标准。</w:t>
            </w:r>
          </w:p>
          <w:p w14:paraId="564419EC">
            <w:pPr>
              <w:pStyle w:val="66"/>
              <w:ind w:firstLine="482"/>
              <w:rPr>
                <w:b/>
                <w:bCs/>
                <w:kern w:val="2"/>
                <w:sz w:val="24"/>
                <w:szCs w:val="24"/>
              </w:rPr>
            </w:pPr>
            <w:bookmarkStart w:id="30" w:name="_Toc30590_WPSOffice_Level2"/>
            <w:bookmarkStart w:id="31" w:name="_Toc31618_WPSOffice_Level1"/>
            <w:bookmarkStart w:id="32" w:name="_Toc10014"/>
            <w:bookmarkStart w:id="33" w:name="_Toc2672_WPSOffice_Level2"/>
            <w:r>
              <w:rPr>
                <w:rFonts w:hint="eastAsia"/>
                <w:b/>
                <w:bCs/>
                <w:kern w:val="2"/>
                <w:sz w:val="24"/>
                <w:szCs w:val="24"/>
              </w:rPr>
              <w:t>3</w:t>
            </w:r>
            <w:r>
              <w:rPr>
                <w:b/>
                <w:bCs/>
                <w:kern w:val="2"/>
                <w:sz w:val="24"/>
                <w:szCs w:val="24"/>
              </w:rPr>
              <w:t>、废气处理措施</w:t>
            </w:r>
            <w:r>
              <w:rPr>
                <w:rFonts w:hint="eastAsia"/>
                <w:b/>
                <w:bCs/>
                <w:kern w:val="2"/>
                <w:sz w:val="24"/>
                <w:szCs w:val="24"/>
              </w:rPr>
              <w:t>可行性</w:t>
            </w:r>
            <w:r>
              <w:rPr>
                <w:b/>
                <w:bCs/>
                <w:kern w:val="2"/>
                <w:sz w:val="24"/>
                <w:szCs w:val="24"/>
              </w:rPr>
              <w:t>分析</w:t>
            </w:r>
            <w:bookmarkEnd w:id="30"/>
            <w:bookmarkEnd w:id="31"/>
            <w:bookmarkEnd w:id="32"/>
            <w:bookmarkEnd w:id="33"/>
          </w:p>
          <w:p w14:paraId="596D61F9">
            <w:pPr>
              <w:spacing w:line="360" w:lineRule="auto"/>
              <w:ind w:firstLine="480" w:firstLineChars="200"/>
              <w:rPr>
                <w:sz w:val="24"/>
              </w:rPr>
            </w:pPr>
            <w:bookmarkStart w:id="34" w:name="_Toc22549_WPSOffice_Level3"/>
            <w:r>
              <w:rPr>
                <w:rFonts w:hint="eastAsia"/>
                <w:sz w:val="24"/>
              </w:rPr>
              <w:t>(1)滤筒</w:t>
            </w:r>
            <w:r>
              <w:rPr>
                <w:sz w:val="24"/>
              </w:rPr>
              <w:t>除尘器：本项目</w:t>
            </w:r>
            <w:r>
              <w:rPr>
                <w:rFonts w:hint="eastAsia"/>
                <w:sz w:val="24"/>
              </w:rPr>
              <w:t>水泥罐呼吸</w:t>
            </w:r>
            <w:r>
              <w:rPr>
                <w:sz w:val="24"/>
              </w:rPr>
              <w:t>产生的粉尘经</w:t>
            </w:r>
            <w:r>
              <w:rPr>
                <w:rFonts w:hint="eastAsia"/>
                <w:sz w:val="24"/>
              </w:rPr>
              <w:t>配套的滤筒</w:t>
            </w:r>
            <w:r>
              <w:rPr>
                <w:sz w:val="24"/>
              </w:rPr>
              <w:t>除尘器处理</w:t>
            </w:r>
            <w:r>
              <w:rPr>
                <w:rFonts w:hint="eastAsia"/>
                <w:sz w:val="24"/>
              </w:rPr>
              <w:t>后</w:t>
            </w:r>
            <w:r>
              <w:rPr>
                <w:sz w:val="24"/>
              </w:rPr>
              <w:t>无组织排放。</w:t>
            </w:r>
          </w:p>
          <w:p w14:paraId="3E79309F">
            <w:pPr>
              <w:spacing w:line="360" w:lineRule="auto"/>
              <w:ind w:firstLine="480" w:firstLineChars="200"/>
              <w:rPr>
                <w:sz w:val="24"/>
              </w:rPr>
            </w:pPr>
            <w:r>
              <w:rPr>
                <w:sz w:val="24"/>
              </w:rPr>
              <w:t>滤筒除尘器的结构组成一般包括进风管、排风管、箱体、灰斗、清灰装置、导流装置、气流分流分布板、滤筒及电控装置等。其关键元件——滤筒，是设备中的过滤元件，依靠表面的微小透气组织过滤空气中的颗粒物。</w:t>
            </w:r>
          </w:p>
          <w:p w14:paraId="7F568660">
            <w:pPr>
              <w:spacing w:line="360" w:lineRule="auto"/>
              <w:ind w:firstLine="480" w:firstLineChars="200"/>
              <w:rPr>
                <w:sz w:val="24"/>
              </w:rPr>
            </w:pPr>
            <w:r>
              <w:rPr>
                <w:rFonts w:hint="eastAsia"/>
                <w:sz w:val="24"/>
              </w:rPr>
              <w:t>滤筒</w:t>
            </w:r>
            <w:r>
              <w:rPr>
                <w:sz w:val="24"/>
              </w:rPr>
              <w:t>除尘器工作原理：</w:t>
            </w:r>
          </w:p>
          <w:p w14:paraId="5C7EB8BF">
            <w:pPr>
              <w:spacing w:line="360" w:lineRule="auto"/>
              <w:ind w:firstLine="480" w:firstLineChars="200"/>
              <w:rPr>
                <w:sz w:val="24"/>
              </w:rPr>
            </w:pPr>
            <w:r>
              <w:rPr>
                <w:sz w:val="24"/>
              </w:rPr>
              <w:t>A.过滤原理‌：含尘气体进入除尘器的灰斗后，由于气流断面突然扩大及气流分布板的作用，气流中一部分粗大颗粒在动和惯性力作用下沉降在灰斗中。粒度细、密度小的尘粒进入滤尘室后，通过布朗扩散和筛滤等组合效应，使粉尘沉积在滤筒表面上，净化后的气体进入净气室由排气管排出。</w:t>
            </w:r>
          </w:p>
          <w:p w14:paraId="4295D564">
            <w:pPr>
              <w:spacing w:line="360" w:lineRule="auto"/>
              <w:ind w:firstLine="480" w:firstLineChars="200"/>
              <w:rPr>
                <w:sz w:val="24"/>
              </w:rPr>
            </w:pPr>
            <w:r>
              <w:rPr>
                <w:sz w:val="24"/>
              </w:rPr>
              <w:t>B.‌清灰原理‌：滤筒除尘器的清灰方式主要</w:t>
            </w:r>
            <w:r>
              <w:rPr>
                <w:rFonts w:hint="eastAsia"/>
                <w:sz w:val="24"/>
              </w:rPr>
              <w:t>为</w:t>
            </w:r>
            <w:r>
              <w:rPr>
                <w:sz w:val="24"/>
              </w:rPr>
              <w:t>机械振动</w:t>
            </w:r>
            <w:r>
              <w:rPr>
                <w:rFonts w:hint="eastAsia"/>
                <w:sz w:val="24"/>
              </w:rPr>
              <w:t>，</w:t>
            </w:r>
            <w:r>
              <w:rPr>
                <w:sz w:val="24"/>
              </w:rPr>
              <w:t>通过机械抖动去除滤筒上的灰尘</w:t>
            </w:r>
            <w:r>
              <w:rPr>
                <w:rFonts w:hint="eastAsia"/>
                <w:sz w:val="24"/>
              </w:rPr>
              <w:t>。</w:t>
            </w:r>
          </w:p>
          <w:p w14:paraId="450A2B34">
            <w:pPr>
              <w:spacing w:line="360" w:lineRule="auto"/>
              <w:ind w:firstLine="480" w:firstLineChars="200"/>
              <w:rPr>
                <w:sz w:val="24"/>
              </w:rPr>
            </w:pPr>
            <w:r>
              <w:rPr>
                <w:sz w:val="24"/>
              </w:rPr>
              <w:t>滤筒除尘器</w:t>
            </w:r>
            <w:r>
              <w:rPr>
                <w:rFonts w:ascii="宋体" w:hAnsi="宋体" w:cs="宋体"/>
                <w:sz w:val="24"/>
              </w:rPr>
              <w:t>除尘效率一般可达</w:t>
            </w:r>
            <w:r>
              <w:rPr>
                <w:sz w:val="24"/>
              </w:rPr>
              <w:t>9</w:t>
            </w:r>
            <w:r>
              <w:rPr>
                <w:rFonts w:hint="eastAsia"/>
                <w:sz w:val="24"/>
              </w:rPr>
              <w:t>9.9</w:t>
            </w:r>
            <w:r>
              <w:rPr>
                <w:sz w:val="24"/>
              </w:rPr>
              <w:t>%</w:t>
            </w:r>
            <w:r>
              <w:rPr>
                <w:rFonts w:ascii="宋体" w:hAnsi="宋体" w:cs="宋体"/>
                <w:sz w:val="24"/>
              </w:rPr>
              <w:t>以上，</w:t>
            </w:r>
            <w:r>
              <w:rPr>
                <w:rFonts w:hint="eastAsia" w:ascii="宋体" w:hAnsi="宋体" w:cs="宋体"/>
                <w:sz w:val="24"/>
              </w:rPr>
              <w:t>滤筒</w:t>
            </w:r>
            <w:r>
              <w:rPr>
                <w:rFonts w:ascii="宋体" w:hAnsi="宋体" w:cs="宋体"/>
                <w:sz w:val="24"/>
              </w:rPr>
              <w:t>除尘器可满足本项目</w:t>
            </w:r>
            <w:r>
              <w:rPr>
                <w:rFonts w:hint="eastAsia" w:ascii="宋体" w:hAnsi="宋体" w:cs="宋体"/>
                <w:sz w:val="24"/>
              </w:rPr>
              <w:t>水泥罐呼吸</w:t>
            </w:r>
            <w:r>
              <w:rPr>
                <w:rFonts w:ascii="宋体" w:hAnsi="宋体" w:cs="宋体"/>
                <w:sz w:val="24"/>
              </w:rPr>
              <w:t>粉尘处理要求。</w:t>
            </w:r>
          </w:p>
          <w:bookmarkEnd w:id="34"/>
          <w:p w14:paraId="7756D774">
            <w:pPr>
              <w:pStyle w:val="66"/>
              <w:ind w:firstLine="482"/>
              <w:rPr>
                <w:b/>
                <w:bCs/>
                <w:kern w:val="2"/>
                <w:sz w:val="24"/>
                <w:szCs w:val="24"/>
              </w:rPr>
            </w:pPr>
            <w:r>
              <w:rPr>
                <w:rFonts w:hint="eastAsia"/>
                <w:b/>
                <w:bCs/>
                <w:kern w:val="2"/>
                <w:sz w:val="24"/>
                <w:szCs w:val="24"/>
              </w:rPr>
              <w:t>4</w:t>
            </w:r>
            <w:r>
              <w:rPr>
                <w:b/>
                <w:bCs/>
                <w:kern w:val="2"/>
                <w:sz w:val="24"/>
                <w:szCs w:val="24"/>
              </w:rPr>
              <w:t>、</w:t>
            </w:r>
            <w:r>
              <w:rPr>
                <w:rFonts w:hint="eastAsia"/>
                <w:b/>
                <w:bCs/>
                <w:kern w:val="2"/>
                <w:sz w:val="24"/>
                <w:szCs w:val="24"/>
              </w:rPr>
              <w:t>废气非正常情况排放</w:t>
            </w:r>
            <w:r>
              <w:rPr>
                <w:b/>
                <w:bCs/>
                <w:kern w:val="2"/>
                <w:sz w:val="24"/>
                <w:szCs w:val="24"/>
              </w:rPr>
              <w:t>分析</w:t>
            </w:r>
          </w:p>
          <w:p w14:paraId="1B8C086C">
            <w:pPr>
              <w:spacing w:line="360" w:lineRule="auto"/>
              <w:ind w:firstLine="480" w:firstLineChars="200"/>
              <w:rPr>
                <w:bCs/>
                <w:sz w:val="24"/>
              </w:rPr>
            </w:pPr>
            <w:r>
              <w:rPr>
                <w:bCs/>
                <w:sz w:val="24"/>
              </w:rPr>
              <w:t>非正常排放主要指生产过程中开、停车、检修、发生一般性故障时污染物排放。非正常排放大小及频率与生产装置的工艺水平、操作管理水平等因素有密切关系，若没有严格的处理措施，往往是造成环境污染的重要因素。对工程而言，重点关注环保设施非正常排放。</w:t>
            </w:r>
          </w:p>
          <w:p w14:paraId="5E429BDF">
            <w:pPr>
              <w:spacing w:line="360" w:lineRule="auto"/>
              <w:ind w:firstLine="480" w:firstLineChars="200"/>
              <w:rPr>
                <w:bCs/>
                <w:sz w:val="24"/>
              </w:rPr>
            </w:pPr>
            <w:r>
              <w:rPr>
                <w:bCs/>
                <w:sz w:val="24"/>
              </w:rPr>
              <w:t>(1)开、停车过程</w:t>
            </w:r>
          </w:p>
          <w:p w14:paraId="61E68BB3">
            <w:pPr>
              <w:spacing w:line="360" w:lineRule="auto"/>
              <w:ind w:firstLine="480" w:firstLineChars="200"/>
              <w:rPr>
                <w:bCs/>
                <w:sz w:val="24"/>
              </w:rPr>
            </w:pPr>
            <w:r>
              <w:rPr>
                <w:bCs/>
                <w:sz w:val="24"/>
              </w:rPr>
              <w:t>项目生产工艺较简单，开、停车和正常生产时</w:t>
            </w:r>
            <w:r>
              <w:rPr>
                <w:rFonts w:hint="eastAsia"/>
                <w:bCs/>
                <w:sz w:val="24"/>
              </w:rPr>
              <w:t>各类</w:t>
            </w:r>
            <w:r>
              <w:rPr>
                <w:bCs/>
                <w:sz w:val="24"/>
              </w:rPr>
              <w:t>废气的产生环节相同，污染源强也变化不大；而且开、停车过程中，应启动</w:t>
            </w:r>
            <w:r>
              <w:rPr>
                <w:rFonts w:hint="eastAsia"/>
                <w:bCs/>
                <w:sz w:val="24"/>
              </w:rPr>
              <w:t>各类</w:t>
            </w:r>
            <w:r>
              <w:rPr>
                <w:bCs/>
                <w:sz w:val="24"/>
              </w:rPr>
              <w:t>废气污染治理设施并处于正常运行状态。</w:t>
            </w:r>
          </w:p>
          <w:p w14:paraId="479EC84E">
            <w:pPr>
              <w:spacing w:line="360" w:lineRule="auto"/>
              <w:ind w:firstLine="480" w:firstLineChars="200"/>
              <w:rPr>
                <w:bCs/>
                <w:sz w:val="24"/>
              </w:rPr>
            </w:pPr>
            <w:r>
              <w:rPr>
                <w:bCs/>
                <w:sz w:val="24"/>
              </w:rPr>
              <w:t>(2)检修</w:t>
            </w:r>
          </w:p>
          <w:p w14:paraId="2FFEA7C4">
            <w:pPr>
              <w:spacing w:line="360" w:lineRule="auto"/>
              <w:ind w:firstLine="480" w:firstLineChars="200"/>
              <w:rPr>
                <w:bCs/>
                <w:sz w:val="24"/>
              </w:rPr>
            </w:pPr>
            <w:r>
              <w:rPr>
                <w:bCs/>
                <w:sz w:val="24"/>
              </w:rPr>
              <w:t>项目检修过程停止生产，因此不产生污染物。</w:t>
            </w:r>
          </w:p>
          <w:p w14:paraId="047C53EB">
            <w:pPr>
              <w:spacing w:line="360" w:lineRule="auto"/>
              <w:ind w:firstLine="480" w:firstLineChars="200"/>
              <w:rPr>
                <w:bCs/>
                <w:sz w:val="24"/>
              </w:rPr>
            </w:pPr>
            <w:r>
              <w:rPr>
                <w:bCs/>
                <w:sz w:val="24"/>
              </w:rPr>
              <w:t>(3)环保设施发生故障</w:t>
            </w:r>
          </w:p>
          <w:p w14:paraId="2BA9E245">
            <w:pPr>
              <w:spacing w:line="360" w:lineRule="auto"/>
              <w:ind w:firstLine="480" w:firstLineChars="200"/>
              <w:rPr>
                <w:bCs/>
                <w:sz w:val="24"/>
              </w:rPr>
            </w:pPr>
            <w:r>
              <w:rPr>
                <w:rFonts w:hint="eastAsia"/>
                <w:bCs/>
                <w:sz w:val="24"/>
              </w:rPr>
              <w:t>本</w:t>
            </w:r>
            <w:r>
              <w:rPr>
                <w:bCs/>
                <w:sz w:val="24"/>
              </w:rPr>
              <w:t>项目</w:t>
            </w:r>
            <w:r>
              <w:rPr>
                <w:rFonts w:hint="eastAsia"/>
                <w:bCs/>
                <w:sz w:val="24"/>
              </w:rPr>
              <w:t>主要考虑水泥罐呼吸粉尘处理措施滤筒除尘器的布袋部分破损（</w:t>
            </w:r>
            <w:r>
              <w:rPr>
                <w:bCs/>
                <w:sz w:val="24"/>
              </w:rPr>
              <w:t>相当于</w:t>
            </w:r>
            <w:r>
              <w:rPr>
                <w:rFonts w:hint="eastAsia"/>
                <w:bCs/>
                <w:sz w:val="24"/>
              </w:rPr>
              <w:t>对颗粒物</w:t>
            </w:r>
            <w:r>
              <w:rPr>
                <w:bCs/>
                <w:sz w:val="24"/>
              </w:rPr>
              <w:t>处理效率为</w:t>
            </w:r>
            <w:r>
              <w:rPr>
                <w:rFonts w:hint="eastAsia"/>
                <w:bCs/>
                <w:sz w:val="24"/>
              </w:rPr>
              <w:t>8</w:t>
            </w:r>
            <w:r>
              <w:rPr>
                <w:bCs/>
                <w:sz w:val="24"/>
              </w:rPr>
              <w:t>0%</w:t>
            </w:r>
            <w:r>
              <w:rPr>
                <w:rFonts w:hint="eastAsia"/>
                <w:bCs/>
                <w:sz w:val="24"/>
              </w:rPr>
              <w:t>）</w:t>
            </w:r>
            <w:r>
              <w:rPr>
                <w:bCs/>
                <w:sz w:val="24"/>
              </w:rPr>
              <w:t>。环保设施发生故障事废气排放情况见表4</w:t>
            </w:r>
            <w:r>
              <w:rPr>
                <w:rFonts w:hint="eastAsia"/>
                <w:bCs/>
                <w:sz w:val="24"/>
              </w:rPr>
              <w:t>.2-2</w:t>
            </w:r>
            <w:r>
              <w:rPr>
                <w:bCs/>
                <w:sz w:val="24"/>
              </w:rPr>
              <w:t>。</w:t>
            </w:r>
          </w:p>
          <w:p w14:paraId="7C19A47C">
            <w:pPr>
              <w:jc w:val="center"/>
              <w:rPr>
                <w:b/>
                <w:sz w:val="24"/>
              </w:rPr>
            </w:pPr>
            <w:r>
              <w:rPr>
                <w:b/>
                <w:sz w:val="24"/>
              </w:rPr>
              <w:t>表</w:t>
            </w:r>
            <w:r>
              <w:rPr>
                <w:rFonts w:hint="eastAsia"/>
                <w:b/>
                <w:sz w:val="24"/>
              </w:rPr>
              <w:t>4.2-2</w:t>
            </w:r>
            <w:r>
              <w:rPr>
                <w:b/>
                <w:sz w:val="24"/>
              </w:rPr>
              <w:t xml:space="preserve">  </w:t>
            </w:r>
            <w:r>
              <w:rPr>
                <w:rFonts w:hint="eastAsia"/>
                <w:b/>
                <w:sz w:val="24"/>
              </w:rPr>
              <w:t>环保设施发生故障事废气排放情况一览表</w:t>
            </w:r>
          </w:p>
          <w:tbl>
            <w:tblPr>
              <w:tblStyle w:val="130"/>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59"/>
              <w:gridCol w:w="998"/>
              <w:gridCol w:w="1334"/>
              <w:gridCol w:w="687"/>
              <w:gridCol w:w="550"/>
              <w:gridCol w:w="960"/>
              <w:gridCol w:w="838"/>
              <w:gridCol w:w="2178"/>
            </w:tblGrid>
            <w:tr w14:paraId="60C4EC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vMerge w:val="restart"/>
                  <w:tcBorders>
                    <w:tl2br w:val="nil"/>
                    <w:tr2bl w:val="nil"/>
                  </w:tcBorders>
                  <w:vAlign w:val="center"/>
                </w:tcPr>
                <w:p w14:paraId="5726BCA5">
                  <w:pPr>
                    <w:pStyle w:val="71"/>
                    <w:autoSpaceDE w:val="0"/>
                    <w:autoSpaceDN w:val="0"/>
                    <w:rPr>
                      <w:kern w:val="0"/>
                      <w:sz w:val="21"/>
                      <w:lang w:eastAsia="en-US"/>
                    </w:rPr>
                  </w:pPr>
                  <w:r>
                    <w:rPr>
                      <w:kern w:val="0"/>
                      <w:sz w:val="21"/>
                      <w:lang w:eastAsia="en-US"/>
                    </w:rPr>
                    <w:t>排放源</w:t>
                  </w:r>
                </w:p>
              </w:tc>
              <w:tc>
                <w:tcPr>
                  <w:tcW w:w="998" w:type="dxa"/>
                  <w:vMerge w:val="restart"/>
                  <w:tcBorders>
                    <w:tl2br w:val="nil"/>
                    <w:tr2bl w:val="nil"/>
                  </w:tcBorders>
                  <w:vAlign w:val="center"/>
                </w:tcPr>
                <w:p w14:paraId="5624F833">
                  <w:pPr>
                    <w:pStyle w:val="71"/>
                    <w:autoSpaceDE w:val="0"/>
                    <w:autoSpaceDN w:val="0"/>
                    <w:rPr>
                      <w:kern w:val="0"/>
                      <w:sz w:val="21"/>
                      <w:lang w:eastAsia="en-US"/>
                    </w:rPr>
                  </w:pPr>
                  <w:r>
                    <w:rPr>
                      <w:kern w:val="0"/>
                      <w:sz w:val="21"/>
                      <w:lang w:eastAsia="en-US"/>
                    </w:rPr>
                    <w:t>污染因子</w:t>
                  </w:r>
                </w:p>
              </w:tc>
              <w:tc>
                <w:tcPr>
                  <w:tcW w:w="4369" w:type="dxa"/>
                  <w:gridSpan w:val="5"/>
                  <w:tcBorders>
                    <w:tl2br w:val="nil"/>
                    <w:tr2bl w:val="nil"/>
                  </w:tcBorders>
                  <w:vAlign w:val="center"/>
                </w:tcPr>
                <w:p w14:paraId="4884BA6F">
                  <w:pPr>
                    <w:pStyle w:val="71"/>
                    <w:autoSpaceDE w:val="0"/>
                    <w:autoSpaceDN w:val="0"/>
                    <w:rPr>
                      <w:kern w:val="0"/>
                      <w:sz w:val="21"/>
                      <w:lang w:eastAsia="en-US"/>
                    </w:rPr>
                  </w:pPr>
                  <w:r>
                    <w:rPr>
                      <w:kern w:val="0"/>
                      <w:sz w:val="21"/>
                      <w:lang w:eastAsia="en-US"/>
                    </w:rPr>
                    <w:t>非正常排放情况</w:t>
                  </w:r>
                </w:p>
              </w:tc>
              <w:tc>
                <w:tcPr>
                  <w:tcW w:w="2178" w:type="dxa"/>
                  <w:vMerge w:val="restart"/>
                  <w:tcBorders>
                    <w:tl2br w:val="nil"/>
                    <w:tr2bl w:val="nil"/>
                  </w:tcBorders>
                  <w:vAlign w:val="center"/>
                </w:tcPr>
                <w:p w14:paraId="37BAFE94">
                  <w:pPr>
                    <w:pStyle w:val="71"/>
                    <w:autoSpaceDE w:val="0"/>
                    <w:autoSpaceDN w:val="0"/>
                    <w:rPr>
                      <w:kern w:val="0"/>
                      <w:sz w:val="21"/>
                      <w:lang w:eastAsia="en-US"/>
                    </w:rPr>
                  </w:pPr>
                  <w:r>
                    <w:rPr>
                      <w:w w:val="95"/>
                      <w:kern w:val="0"/>
                      <w:sz w:val="21"/>
                      <w:lang w:eastAsia="en-US"/>
                    </w:rPr>
                    <w:t>应</w:t>
                  </w:r>
                  <w:r>
                    <w:rPr>
                      <w:kern w:val="0"/>
                      <w:sz w:val="21"/>
                      <w:lang w:eastAsia="en-US"/>
                    </w:rPr>
                    <w:t>对措施</w:t>
                  </w:r>
                </w:p>
              </w:tc>
            </w:tr>
            <w:tr w14:paraId="5DEB0F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vMerge w:val="continue"/>
                  <w:tcBorders>
                    <w:tl2br w:val="nil"/>
                    <w:tr2bl w:val="nil"/>
                  </w:tcBorders>
                  <w:vAlign w:val="center"/>
                </w:tcPr>
                <w:p w14:paraId="02B8593F">
                  <w:pPr>
                    <w:pStyle w:val="71"/>
                    <w:autoSpaceDE w:val="0"/>
                    <w:autoSpaceDN w:val="0"/>
                    <w:rPr>
                      <w:kern w:val="0"/>
                      <w:sz w:val="21"/>
                      <w:lang w:eastAsia="en-US"/>
                    </w:rPr>
                  </w:pPr>
                </w:p>
              </w:tc>
              <w:tc>
                <w:tcPr>
                  <w:tcW w:w="998" w:type="dxa"/>
                  <w:vMerge w:val="continue"/>
                  <w:tcBorders>
                    <w:tl2br w:val="nil"/>
                    <w:tr2bl w:val="nil"/>
                  </w:tcBorders>
                  <w:vAlign w:val="center"/>
                </w:tcPr>
                <w:p w14:paraId="1EDE34BC">
                  <w:pPr>
                    <w:pStyle w:val="71"/>
                    <w:autoSpaceDE w:val="0"/>
                    <w:autoSpaceDN w:val="0"/>
                    <w:rPr>
                      <w:kern w:val="0"/>
                      <w:sz w:val="21"/>
                      <w:lang w:eastAsia="en-US"/>
                    </w:rPr>
                  </w:pPr>
                </w:p>
              </w:tc>
              <w:tc>
                <w:tcPr>
                  <w:tcW w:w="1334" w:type="dxa"/>
                  <w:tcBorders>
                    <w:tl2br w:val="nil"/>
                    <w:tr2bl w:val="nil"/>
                  </w:tcBorders>
                  <w:vAlign w:val="center"/>
                </w:tcPr>
                <w:p w14:paraId="296DFA3D">
                  <w:pPr>
                    <w:pStyle w:val="71"/>
                    <w:autoSpaceDE w:val="0"/>
                    <w:autoSpaceDN w:val="0"/>
                    <w:rPr>
                      <w:kern w:val="0"/>
                      <w:sz w:val="21"/>
                      <w:lang w:eastAsia="en-US"/>
                    </w:rPr>
                  </w:pPr>
                  <w:r>
                    <w:rPr>
                      <w:kern w:val="0"/>
                      <w:sz w:val="21"/>
                      <w:lang w:eastAsia="en-US"/>
                    </w:rPr>
                    <w:t>原因</w:t>
                  </w:r>
                </w:p>
              </w:tc>
              <w:tc>
                <w:tcPr>
                  <w:tcW w:w="687" w:type="dxa"/>
                  <w:tcBorders>
                    <w:tl2br w:val="nil"/>
                    <w:tr2bl w:val="nil"/>
                  </w:tcBorders>
                  <w:vAlign w:val="center"/>
                </w:tcPr>
                <w:p w14:paraId="0FC9976B">
                  <w:pPr>
                    <w:pStyle w:val="71"/>
                    <w:autoSpaceDE w:val="0"/>
                    <w:autoSpaceDN w:val="0"/>
                    <w:rPr>
                      <w:kern w:val="0"/>
                      <w:sz w:val="21"/>
                      <w:lang w:eastAsia="en-US"/>
                    </w:rPr>
                  </w:pPr>
                  <w:r>
                    <w:rPr>
                      <w:kern w:val="0"/>
                      <w:sz w:val="21"/>
                      <w:lang w:eastAsia="en-US"/>
                    </w:rPr>
                    <w:t>频次</w:t>
                  </w:r>
                </w:p>
              </w:tc>
              <w:tc>
                <w:tcPr>
                  <w:tcW w:w="550" w:type="dxa"/>
                  <w:tcBorders>
                    <w:tl2br w:val="nil"/>
                    <w:tr2bl w:val="nil"/>
                  </w:tcBorders>
                  <w:vAlign w:val="center"/>
                </w:tcPr>
                <w:p w14:paraId="151B4387">
                  <w:pPr>
                    <w:pStyle w:val="71"/>
                    <w:autoSpaceDE w:val="0"/>
                    <w:autoSpaceDN w:val="0"/>
                    <w:rPr>
                      <w:kern w:val="0"/>
                      <w:sz w:val="21"/>
                      <w:lang w:eastAsia="en-US"/>
                    </w:rPr>
                  </w:pPr>
                  <w:r>
                    <w:rPr>
                      <w:kern w:val="0"/>
                      <w:sz w:val="21"/>
                      <w:lang w:eastAsia="en-US"/>
                    </w:rPr>
                    <w:t>时间</w:t>
                  </w:r>
                </w:p>
              </w:tc>
              <w:tc>
                <w:tcPr>
                  <w:tcW w:w="960" w:type="dxa"/>
                  <w:tcBorders>
                    <w:tl2br w:val="nil"/>
                    <w:tr2bl w:val="nil"/>
                  </w:tcBorders>
                  <w:vAlign w:val="center"/>
                </w:tcPr>
                <w:p w14:paraId="7ECD32F4">
                  <w:pPr>
                    <w:pStyle w:val="71"/>
                    <w:autoSpaceDE w:val="0"/>
                    <w:autoSpaceDN w:val="0"/>
                    <w:rPr>
                      <w:kern w:val="0"/>
                      <w:sz w:val="21"/>
                      <w:lang w:eastAsia="en-US"/>
                    </w:rPr>
                  </w:pPr>
                  <w:r>
                    <w:rPr>
                      <w:rFonts w:hint="eastAsia"/>
                      <w:kern w:val="0"/>
                      <w:sz w:val="21"/>
                      <w:lang w:eastAsia="en-US"/>
                    </w:rPr>
                    <w:t>排放速率</w:t>
                  </w:r>
                </w:p>
                <w:p w14:paraId="798ED28E">
                  <w:pPr>
                    <w:pStyle w:val="71"/>
                    <w:autoSpaceDE w:val="0"/>
                    <w:autoSpaceDN w:val="0"/>
                    <w:rPr>
                      <w:kern w:val="0"/>
                      <w:sz w:val="21"/>
                      <w:lang w:eastAsia="en-US"/>
                    </w:rPr>
                  </w:pPr>
                  <w:r>
                    <w:rPr>
                      <w:kern w:val="0"/>
                      <w:sz w:val="21"/>
                      <w:lang w:eastAsia="en-US"/>
                    </w:rPr>
                    <w:t>kg/h</w:t>
                  </w:r>
                </w:p>
              </w:tc>
              <w:tc>
                <w:tcPr>
                  <w:tcW w:w="838" w:type="dxa"/>
                  <w:tcBorders>
                    <w:tl2br w:val="nil"/>
                    <w:tr2bl w:val="nil"/>
                  </w:tcBorders>
                  <w:vAlign w:val="center"/>
                </w:tcPr>
                <w:p w14:paraId="3FB0F841">
                  <w:pPr>
                    <w:pStyle w:val="71"/>
                    <w:autoSpaceDE w:val="0"/>
                    <w:autoSpaceDN w:val="0"/>
                    <w:rPr>
                      <w:rFonts w:eastAsia="Times New Roman"/>
                      <w:kern w:val="0"/>
                      <w:sz w:val="21"/>
                      <w:lang w:eastAsia="en-US"/>
                    </w:rPr>
                  </w:pPr>
                  <w:r>
                    <w:rPr>
                      <w:rFonts w:hint="eastAsia"/>
                      <w:kern w:val="0"/>
                      <w:sz w:val="21"/>
                      <w:lang w:eastAsia="en-US"/>
                    </w:rPr>
                    <w:t>排放浓度</w:t>
                  </w:r>
                  <w:r>
                    <w:rPr>
                      <w:rFonts w:eastAsia="Times New Roman"/>
                      <w:kern w:val="0"/>
                      <w:sz w:val="21"/>
                      <w:lang w:eastAsia="en-US"/>
                    </w:rPr>
                    <w:t>mg/m³</w:t>
                  </w:r>
                </w:p>
              </w:tc>
              <w:tc>
                <w:tcPr>
                  <w:tcW w:w="2178" w:type="dxa"/>
                  <w:vMerge w:val="continue"/>
                  <w:tcBorders>
                    <w:tl2br w:val="nil"/>
                    <w:tr2bl w:val="nil"/>
                  </w:tcBorders>
                  <w:vAlign w:val="center"/>
                </w:tcPr>
                <w:p w14:paraId="46A9B68D">
                  <w:pPr>
                    <w:pStyle w:val="71"/>
                    <w:autoSpaceDE w:val="0"/>
                    <w:autoSpaceDN w:val="0"/>
                    <w:rPr>
                      <w:kern w:val="0"/>
                      <w:sz w:val="21"/>
                      <w:lang w:eastAsia="en-US"/>
                    </w:rPr>
                  </w:pPr>
                </w:p>
              </w:tc>
            </w:tr>
            <w:tr w14:paraId="03D6D8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tcBorders>
                    <w:tl2br w:val="nil"/>
                    <w:tr2bl w:val="nil"/>
                  </w:tcBorders>
                  <w:vAlign w:val="center"/>
                </w:tcPr>
                <w:p w14:paraId="4C33C800">
                  <w:pPr>
                    <w:pStyle w:val="71"/>
                    <w:autoSpaceDE w:val="0"/>
                    <w:autoSpaceDN w:val="0"/>
                    <w:rPr>
                      <w:sz w:val="21"/>
                      <w:lang w:eastAsia="en-US"/>
                    </w:rPr>
                  </w:pPr>
                  <w:r>
                    <w:rPr>
                      <w:rFonts w:hint="eastAsia"/>
                      <w:sz w:val="21"/>
                      <w:lang w:eastAsia="en-US"/>
                    </w:rPr>
                    <w:t>水泥罐</w:t>
                  </w:r>
                </w:p>
              </w:tc>
              <w:tc>
                <w:tcPr>
                  <w:tcW w:w="998" w:type="dxa"/>
                  <w:tcBorders>
                    <w:tl2br w:val="nil"/>
                    <w:tr2bl w:val="nil"/>
                  </w:tcBorders>
                  <w:vAlign w:val="center"/>
                </w:tcPr>
                <w:p w14:paraId="25A765AB">
                  <w:pPr>
                    <w:pStyle w:val="71"/>
                    <w:autoSpaceDE w:val="0"/>
                    <w:autoSpaceDN w:val="0"/>
                    <w:rPr>
                      <w:sz w:val="21"/>
                      <w:lang w:eastAsia="en-US"/>
                    </w:rPr>
                  </w:pPr>
                  <w:r>
                    <w:rPr>
                      <w:rFonts w:hint="eastAsia"/>
                      <w:sz w:val="21"/>
                      <w:lang w:eastAsia="en-US"/>
                    </w:rPr>
                    <w:t>颗粒物</w:t>
                  </w:r>
                </w:p>
              </w:tc>
              <w:tc>
                <w:tcPr>
                  <w:tcW w:w="1334" w:type="dxa"/>
                  <w:tcBorders>
                    <w:tl2br w:val="nil"/>
                    <w:tr2bl w:val="nil"/>
                  </w:tcBorders>
                  <w:vAlign w:val="center"/>
                </w:tcPr>
                <w:p w14:paraId="349CBD3F">
                  <w:pPr>
                    <w:pStyle w:val="71"/>
                    <w:autoSpaceDE w:val="0"/>
                    <w:autoSpaceDN w:val="0"/>
                    <w:rPr>
                      <w:rFonts w:ascii="宋体" w:hAnsi="宋体" w:cs="宋体"/>
                      <w:kern w:val="0"/>
                      <w:sz w:val="21"/>
                      <w:lang w:eastAsia="en-US"/>
                    </w:rPr>
                  </w:pPr>
                  <w:r>
                    <w:rPr>
                      <w:rFonts w:hint="eastAsia"/>
                      <w:kern w:val="0"/>
                      <w:sz w:val="21"/>
                      <w:lang w:eastAsia="en-US"/>
                    </w:rPr>
                    <w:t>布袋破损导致失去收集效率</w:t>
                  </w:r>
                </w:p>
              </w:tc>
              <w:tc>
                <w:tcPr>
                  <w:tcW w:w="687" w:type="dxa"/>
                  <w:tcBorders>
                    <w:tl2br w:val="nil"/>
                    <w:tr2bl w:val="nil"/>
                  </w:tcBorders>
                  <w:vAlign w:val="center"/>
                </w:tcPr>
                <w:p w14:paraId="429442BA">
                  <w:pPr>
                    <w:pStyle w:val="71"/>
                    <w:autoSpaceDE w:val="0"/>
                    <w:autoSpaceDN w:val="0"/>
                    <w:rPr>
                      <w:rFonts w:eastAsia="Times New Roman"/>
                      <w:kern w:val="0"/>
                      <w:sz w:val="21"/>
                      <w:lang w:eastAsia="en-US"/>
                    </w:rPr>
                  </w:pPr>
                  <w:r>
                    <w:rPr>
                      <w:rFonts w:eastAsia="Times New Roman"/>
                      <w:kern w:val="0"/>
                      <w:sz w:val="21"/>
                      <w:lang w:eastAsia="en-US"/>
                    </w:rPr>
                    <w:t>≤</w:t>
                  </w:r>
                  <w:r>
                    <w:rPr>
                      <w:rFonts w:hint="eastAsia"/>
                      <w:kern w:val="0"/>
                      <w:sz w:val="21"/>
                      <w:lang w:eastAsia="en-US"/>
                    </w:rPr>
                    <w:t>1</w:t>
                  </w:r>
                  <w:r>
                    <w:rPr>
                      <w:kern w:val="0"/>
                      <w:sz w:val="21"/>
                      <w:lang w:eastAsia="en-US"/>
                    </w:rPr>
                    <w:t>次</w:t>
                  </w:r>
                  <w:r>
                    <w:rPr>
                      <w:rFonts w:eastAsia="Times New Roman"/>
                      <w:kern w:val="0"/>
                      <w:sz w:val="21"/>
                      <w:lang w:eastAsia="en-US"/>
                    </w:rPr>
                    <w:t>/</w:t>
                  </w:r>
                  <w:r>
                    <w:rPr>
                      <w:kern w:val="0"/>
                      <w:sz w:val="21"/>
                      <w:lang w:eastAsia="en-US"/>
                    </w:rPr>
                    <w:t>年</w:t>
                  </w:r>
                </w:p>
              </w:tc>
              <w:tc>
                <w:tcPr>
                  <w:tcW w:w="550" w:type="dxa"/>
                  <w:tcBorders>
                    <w:tl2br w:val="nil"/>
                    <w:tr2bl w:val="nil"/>
                  </w:tcBorders>
                  <w:vAlign w:val="center"/>
                </w:tcPr>
                <w:p w14:paraId="66D7E443">
                  <w:pPr>
                    <w:pStyle w:val="71"/>
                    <w:autoSpaceDE w:val="0"/>
                    <w:autoSpaceDN w:val="0"/>
                    <w:rPr>
                      <w:kern w:val="0"/>
                      <w:sz w:val="21"/>
                      <w:lang w:eastAsia="en-US"/>
                    </w:rPr>
                  </w:pPr>
                  <w:r>
                    <w:rPr>
                      <w:kern w:val="0"/>
                      <w:sz w:val="21"/>
                      <w:lang w:eastAsia="en-US"/>
                    </w:rPr>
                    <w:t>≤1h/</w:t>
                  </w:r>
                  <w:r>
                    <w:rPr>
                      <w:w w:val="99"/>
                      <w:kern w:val="0"/>
                      <w:sz w:val="21"/>
                      <w:lang w:eastAsia="en-US"/>
                    </w:rPr>
                    <w:t>次</w:t>
                  </w:r>
                </w:p>
              </w:tc>
              <w:tc>
                <w:tcPr>
                  <w:tcW w:w="960" w:type="dxa"/>
                  <w:tcBorders>
                    <w:tl2br w:val="nil"/>
                    <w:tr2bl w:val="nil"/>
                  </w:tcBorders>
                  <w:vAlign w:val="center"/>
                </w:tcPr>
                <w:p w14:paraId="3CA3FB88">
                  <w:pPr>
                    <w:pStyle w:val="120"/>
                    <w:autoSpaceDE w:val="0"/>
                    <w:autoSpaceDN w:val="0"/>
                    <w:rPr>
                      <w:szCs w:val="21"/>
                      <w:lang w:eastAsia="en-US"/>
                    </w:rPr>
                  </w:pPr>
                  <w:r>
                    <w:rPr>
                      <w:rFonts w:hint="eastAsia"/>
                      <w:szCs w:val="21"/>
                      <w:lang w:eastAsia="en-US"/>
                    </w:rPr>
                    <w:t>1.16</w:t>
                  </w:r>
                </w:p>
              </w:tc>
              <w:tc>
                <w:tcPr>
                  <w:tcW w:w="838" w:type="dxa"/>
                  <w:tcBorders>
                    <w:tl2br w:val="nil"/>
                    <w:tr2bl w:val="nil"/>
                  </w:tcBorders>
                  <w:vAlign w:val="center"/>
                </w:tcPr>
                <w:p w14:paraId="510AAECD">
                  <w:pPr>
                    <w:pStyle w:val="120"/>
                    <w:autoSpaceDE w:val="0"/>
                    <w:autoSpaceDN w:val="0"/>
                    <w:rPr>
                      <w:szCs w:val="21"/>
                      <w:lang w:eastAsia="en-US"/>
                    </w:rPr>
                  </w:pPr>
                  <w:r>
                    <w:rPr>
                      <w:rFonts w:hint="eastAsia"/>
                      <w:szCs w:val="21"/>
                      <w:lang w:eastAsia="en-US"/>
                    </w:rPr>
                    <w:t>/</w:t>
                  </w:r>
                </w:p>
              </w:tc>
              <w:tc>
                <w:tcPr>
                  <w:tcW w:w="2178" w:type="dxa"/>
                  <w:tcBorders>
                    <w:tl2br w:val="nil"/>
                    <w:tr2bl w:val="nil"/>
                  </w:tcBorders>
                  <w:vAlign w:val="center"/>
                </w:tcPr>
                <w:p w14:paraId="105C57AB">
                  <w:pPr>
                    <w:pStyle w:val="71"/>
                    <w:autoSpaceDE w:val="0"/>
                    <w:autoSpaceDN w:val="0"/>
                    <w:rPr>
                      <w:kern w:val="0"/>
                      <w:sz w:val="21"/>
                      <w:lang w:eastAsia="en-US"/>
                    </w:rPr>
                  </w:pPr>
                  <w:r>
                    <w:rPr>
                      <w:rFonts w:hint="eastAsia"/>
                      <w:kern w:val="0"/>
                      <w:sz w:val="21"/>
                      <w:lang w:eastAsia="en-US"/>
                    </w:rPr>
                    <w:t>定期更换破损布袋，并并</w:t>
                  </w:r>
                  <w:r>
                    <w:rPr>
                      <w:kern w:val="0"/>
                      <w:sz w:val="21"/>
                      <w:lang w:eastAsia="en-US"/>
                    </w:rPr>
                    <w:t>加强废气处理设施</w:t>
                  </w:r>
                  <w:r>
                    <w:rPr>
                      <w:spacing w:val="-1"/>
                      <w:kern w:val="0"/>
                      <w:sz w:val="21"/>
                      <w:lang w:eastAsia="en-US"/>
                    </w:rPr>
                    <w:t>的管理，定期检修，建</w:t>
                  </w:r>
                  <w:r>
                    <w:rPr>
                      <w:kern w:val="0"/>
                      <w:sz w:val="21"/>
                      <w:lang w:eastAsia="en-US"/>
                    </w:rPr>
                    <w:t>立健全的环保管理机构</w:t>
                  </w:r>
                </w:p>
              </w:tc>
            </w:tr>
          </w:tbl>
          <w:p w14:paraId="4A1DB3D2">
            <w:pPr>
              <w:pStyle w:val="66"/>
              <w:ind w:firstLine="480"/>
              <w:rPr>
                <w:sz w:val="24"/>
                <w:szCs w:val="24"/>
              </w:rPr>
            </w:pPr>
            <w:r>
              <w:rPr>
                <w:rFonts w:hint="eastAsia"/>
                <w:sz w:val="24"/>
                <w:szCs w:val="24"/>
              </w:rPr>
              <w:t>根据上表的环保设施发生故障事废气排放情况，环保设施发生故障时的废气排放速率大，一旦发生故障非正常排放发生时必须停止生产，及时组织人员查找故障原因并迅速抢修；由于发生非正常工况排放次数较少，且排放时间短暂，建设单位能够及时采取措施进行处理，则不会对周围大气环境造成长期影响。</w:t>
            </w:r>
          </w:p>
          <w:p w14:paraId="3AD9A6A5">
            <w:pPr>
              <w:pStyle w:val="66"/>
              <w:ind w:firstLine="482"/>
              <w:rPr>
                <w:b/>
                <w:bCs/>
                <w:kern w:val="2"/>
                <w:sz w:val="24"/>
                <w:szCs w:val="24"/>
              </w:rPr>
            </w:pPr>
            <w:r>
              <w:rPr>
                <w:rFonts w:hint="eastAsia"/>
                <w:b/>
                <w:bCs/>
                <w:kern w:val="2"/>
                <w:sz w:val="24"/>
                <w:szCs w:val="24"/>
              </w:rPr>
              <w:t>5</w:t>
            </w:r>
            <w:r>
              <w:rPr>
                <w:b/>
                <w:bCs/>
                <w:kern w:val="2"/>
                <w:sz w:val="24"/>
                <w:szCs w:val="24"/>
              </w:rPr>
              <w:t>、</w:t>
            </w:r>
            <w:r>
              <w:rPr>
                <w:rFonts w:hint="eastAsia"/>
                <w:b/>
                <w:bCs/>
                <w:kern w:val="2"/>
                <w:sz w:val="24"/>
                <w:szCs w:val="24"/>
              </w:rPr>
              <w:t>废气排放口设置情况及监测计划</w:t>
            </w:r>
          </w:p>
          <w:p w14:paraId="2A6DE95F">
            <w:pPr>
              <w:pStyle w:val="66"/>
              <w:ind w:firstLine="480"/>
              <w:rPr>
                <w:sz w:val="24"/>
                <w:szCs w:val="24"/>
              </w:rPr>
            </w:pPr>
            <w:r>
              <w:rPr>
                <w:sz w:val="24"/>
                <w:szCs w:val="24"/>
              </w:rPr>
              <w:t>根据《固定污染源排污许可分类管理名录（2019年版）》，</w:t>
            </w:r>
            <w:r>
              <w:rPr>
                <w:rFonts w:hint="eastAsia"/>
                <w:sz w:val="24"/>
                <w:szCs w:val="24"/>
              </w:rPr>
              <w:t>本</w:t>
            </w:r>
            <w:r>
              <w:rPr>
                <w:sz w:val="24"/>
                <w:szCs w:val="24"/>
              </w:rPr>
              <w:t>项目属于“二十五、非金属矿物制品业-水泥制品制造3021”类别，属于登记管理。根据《排污单位自行监测技术指南 水泥工业》（HJ848-2017），本项目运营期环境自行监测计划如下表</w:t>
            </w:r>
            <w:r>
              <w:rPr>
                <w:rFonts w:hint="eastAsia"/>
                <w:sz w:val="24"/>
                <w:szCs w:val="24"/>
              </w:rPr>
              <w:t>4.2-3</w:t>
            </w:r>
            <w:r>
              <w:rPr>
                <w:sz w:val="24"/>
                <w:szCs w:val="24"/>
              </w:rPr>
              <w:t>所示。</w:t>
            </w:r>
          </w:p>
          <w:p w14:paraId="1C5153CD">
            <w:pPr>
              <w:jc w:val="center"/>
              <w:rPr>
                <w:b/>
                <w:sz w:val="24"/>
              </w:rPr>
            </w:pPr>
            <w:r>
              <w:rPr>
                <w:b/>
                <w:sz w:val="24"/>
              </w:rPr>
              <w:t>表</w:t>
            </w:r>
            <w:r>
              <w:rPr>
                <w:rFonts w:hint="eastAsia"/>
                <w:b/>
                <w:sz w:val="24"/>
              </w:rPr>
              <w:t>4.2-3</w:t>
            </w:r>
            <w:r>
              <w:rPr>
                <w:b/>
                <w:sz w:val="24"/>
              </w:rPr>
              <w:t xml:space="preserve">  </w:t>
            </w:r>
            <w:r>
              <w:rPr>
                <w:rFonts w:hint="eastAsia"/>
                <w:b/>
                <w:sz w:val="24"/>
              </w:rPr>
              <w:t>大气环境自行监测计划一览表</w:t>
            </w:r>
          </w:p>
          <w:tbl>
            <w:tblPr>
              <w:tblStyle w:val="130"/>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59"/>
              <w:gridCol w:w="2073"/>
              <w:gridCol w:w="1496"/>
              <w:gridCol w:w="1159"/>
              <w:gridCol w:w="2817"/>
            </w:tblGrid>
            <w:tr w14:paraId="577D63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tcBorders>
                    <w:tl2br w:val="nil"/>
                    <w:tr2bl w:val="nil"/>
                  </w:tcBorders>
                  <w:vAlign w:val="center"/>
                </w:tcPr>
                <w:p w14:paraId="42888318">
                  <w:pPr>
                    <w:pStyle w:val="71"/>
                    <w:autoSpaceDE w:val="0"/>
                    <w:autoSpaceDN w:val="0"/>
                    <w:rPr>
                      <w:kern w:val="0"/>
                      <w:sz w:val="21"/>
                      <w:lang w:eastAsia="en-US"/>
                    </w:rPr>
                  </w:pPr>
                  <w:r>
                    <w:rPr>
                      <w:rFonts w:hint="eastAsia"/>
                      <w:kern w:val="0"/>
                      <w:sz w:val="21"/>
                      <w:lang w:eastAsia="en-US"/>
                    </w:rPr>
                    <w:t>污染</w:t>
                  </w:r>
                  <w:r>
                    <w:rPr>
                      <w:kern w:val="0"/>
                      <w:sz w:val="21"/>
                      <w:lang w:eastAsia="en-US"/>
                    </w:rPr>
                    <w:t>源</w:t>
                  </w:r>
                </w:p>
              </w:tc>
              <w:tc>
                <w:tcPr>
                  <w:tcW w:w="2073" w:type="dxa"/>
                  <w:tcBorders>
                    <w:tl2br w:val="nil"/>
                    <w:tr2bl w:val="nil"/>
                  </w:tcBorders>
                  <w:vAlign w:val="center"/>
                </w:tcPr>
                <w:p w14:paraId="27C42818">
                  <w:pPr>
                    <w:pStyle w:val="71"/>
                    <w:autoSpaceDE w:val="0"/>
                    <w:autoSpaceDN w:val="0"/>
                    <w:rPr>
                      <w:kern w:val="0"/>
                      <w:sz w:val="21"/>
                      <w:lang w:eastAsia="en-US"/>
                    </w:rPr>
                  </w:pPr>
                  <w:r>
                    <w:rPr>
                      <w:rFonts w:hint="eastAsia"/>
                      <w:kern w:val="0"/>
                      <w:sz w:val="21"/>
                      <w:lang w:eastAsia="en-US"/>
                    </w:rPr>
                    <w:t>监测点位</w:t>
                  </w:r>
                </w:p>
              </w:tc>
              <w:tc>
                <w:tcPr>
                  <w:tcW w:w="1496" w:type="dxa"/>
                  <w:tcBorders>
                    <w:tl2br w:val="nil"/>
                    <w:tr2bl w:val="nil"/>
                  </w:tcBorders>
                  <w:vAlign w:val="center"/>
                </w:tcPr>
                <w:p w14:paraId="37343A01">
                  <w:pPr>
                    <w:pStyle w:val="71"/>
                    <w:autoSpaceDE w:val="0"/>
                    <w:autoSpaceDN w:val="0"/>
                    <w:rPr>
                      <w:kern w:val="0"/>
                      <w:sz w:val="21"/>
                      <w:lang w:eastAsia="en-US"/>
                    </w:rPr>
                  </w:pPr>
                  <w:r>
                    <w:rPr>
                      <w:rFonts w:hint="eastAsia"/>
                      <w:kern w:val="0"/>
                      <w:sz w:val="21"/>
                      <w:lang w:eastAsia="en-US"/>
                    </w:rPr>
                    <w:t>监测指标</w:t>
                  </w:r>
                </w:p>
              </w:tc>
              <w:tc>
                <w:tcPr>
                  <w:tcW w:w="1159" w:type="dxa"/>
                  <w:tcBorders>
                    <w:tl2br w:val="nil"/>
                    <w:tr2bl w:val="nil"/>
                  </w:tcBorders>
                  <w:vAlign w:val="center"/>
                </w:tcPr>
                <w:p w14:paraId="0C56AB24">
                  <w:pPr>
                    <w:pStyle w:val="71"/>
                    <w:autoSpaceDE w:val="0"/>
                    <w:autoSpaceDN w:val="0"/>
                    <w:rPr>
                      <w:kern w:val="0"/>
                      <w:sz w:val="21"/>
                      <w:lang w:eastAsia="en-US"/>
                    </w:rPr>
                  </w:pPr>
                  <w:r>
                    <w:rPr>
                      <w:rFonts w:hint="eastAsia"/>
                      <w:kern w:val="0"/>
                      <w:sz w:val="21"/>
                      <w:lang w:eastAsia="en-US"/>
                    </w:rPr>
                    <w:t>监测频次</w:t>
                  </w:r>
                </w:p>
              </w:tc>
              <w:tc>
                <w:tcPr>
                  <w:tcW w:w="2817" w:type="dxa"/>
                  <w:tcBorders>
                    <w:tl2br w:val="nil"/>
                    <w:tr2bl w:val="nil"/>
                  </w:tcBorders>
                  <w:vAlign w:val="center"/>
                </w:tcPr>
                <w:p w14:paraId="74606CB7">
                  <w:pPr>
                    <w:pStyle w:val="71"/>
                    <w:autoSpaceDE w:val="0"/>
                    <w:autoSpaceDN w:val="0"/>
                    <w:rPr>
                      <w:kern w:val="0"/>
                      <w:sz w:val="21"/>
                      <w:lang w:eastAsia="en-US"/>
                    </w:rPr>
                  </w:pPr>
                  <w:r>
                    <w:rPr>
                      <w:rFonts w:hint="eastAsia"/>
                      <w:kern w:val="0"/>
                      <w:sz w:val="21"/>
                      <w:lang w:eastAsia="en-US"/>
                    </w:rPr>
                    <w:t>排放标准</w:t>
                  </w:r>
                </w:p>
              </w:tc>
            </w:tr>
            <w:tr w14:paraId="3E556B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vMerge w:val="restart"/>
                  <w:tcBorders>
                    <w:tl2br w:val="nil"/>
                    <w:tr2bl w:val="nil"/>
                  </w:tcBorders>
                  <w:vAlign w:val="center"/>
                </w:tcPr>
                <w:p w14:paraId="27EC99D1">
                  <w:pPr>
                    <w:pStyle w:val="71"/>
                    <w:autoSpaceDE w:val="0"/>
                    <w:autoSpaceDN w:val="0"/>
                    <w:rPr>
                      <w:sz w:val="21"/>
                      <w:lang w:eastAsia="en-US"/>
                    </w:rPr>
                  </w:pPr>
                  <w:r>
                    <w:rPr>
                      <w:rFonts w:hint="eastAsia"/>
                      <w:sz w:val="21"/>
                      <w:lang w:eastAsia="en-US"/>
                    </w:rPr>
                    <w:t>废气</w:t>
                  </w:r>
                </w:p>
              </w:tc>
              <w:tc>
                <w:tcPr>
                  <w:tcW w:w="2073" w:type="dxa"/>
                  <w:tcBorders>
                    <w:tl2br w:val="nil"/>
                    <w:tr2bl w:val="nil"/>
                  </w:tcBorders>
                  <w:vAlign w:val="center"/>
                </w:tcPr>
                <w:p w14:paraId="0DA3A14C">
                  <w:pPr>
                    <w:pStyle w:val="71"/>
                    <w:autoSpaceDE w:val="0"/>
                    <w:autoSpaceDN w:val="0"/>
                    <w:rPr>
                      <w:sz w:val="21"/>
                      <w:lang w:eastAsia="en-US"/>
                    </w:rPr>
                  </w:pPr>
                  <w:r>
                    <w:rPr>
                      <w:rFonts w:hint="eastAsia"/>
                      <w:sz w:val="21"/>
                      <w:lang w:eastAsia="en-US"/>
                    </w:rPr>
                    <w:t>厂界外20m处上风向设</w:t>
                  </w:r>
                </w:p>
                <w:p w14:paraId="58A3ACFB">
                  <w:pPr>
                    <w:pStyle w:val="71"/>
                    <w:autoSpaceDE w:val="0"/>
                    <w:autoSpaceDN w:val="0"/>
                    <w:rPr>
                      <w:sz w:val="21"/>
                      <w:lang w:eastAsia="en-US"/>
                    </w:rPr>
                  </w:pPr>
                  <w:r>
                    <w:rPr>
                      <w:rFonts w:hint="eastAsia"/>
                      <w:sz w:val="21"/>
                      <w:lang w:eastAsia="en-US"/>
                    </w:rPr>
                    <w:t>参照点1个，下风向设监控点3个</w:t>
                  </w:r>
                </w:p>
              </w:tc>
              <w:tc>
                <w:tcPr>
                  <w:tcW w:w="1496" w:type="dxa"/>
                  <w:tcBorders>
                    <w:tl2br w:val="nil"/>
                    <w:tr2bl w:val="nil"/>
                  </w:tcBorders>
                  <w:vAlign w:val="center"/>
                </w:tcPr>
                <w:p w14:paraId="783A04EC">
                  <w:pPr>
                    <w:pStyle w:val="71"/>
                    <w:autoSpaceDE w:val="0"/>
                    <w:autoSpaceDN w:val="0"/>
                    <w:rPr>
                      <w:kern w:val="0"/>
                      <w:sz w:val="21"/>
                      <w:lang w:eastAsia="en-US"/>
                    </w:rPr>
                  </w:pPr>
                  <w:r>
                    <w:rPr>
                      <w:rFonts w:hint="eastAsia"/>
                      <w:kern w:val="0"/>
                      <w:sz w:val="21"/>
                      <w:lang w:eastAsia="en-US"/>
                    </w:rPr>
                    <w:t>颗粒物</w:t>
                  </w:r>
                </w:p>
              </w:tc>
              <w:tc>
                <w:tcPr>
                  <w:tcW w:w="1159" w:type="dxa"/>
                  <w:tcBorders>
                    <w:tl2br w:val="nil"/>
                    <w:tr2bl w:val="nil"/>
                  </w:tcBorders>
                  <w:vAlign w:val="center"/>
                </w:tcPr>
                <w:p w14:paraId="78B0DEC4">
                  <w:pPr>
                    <w:pStyle w:val="120"/>
                    <w:autoSpaceDE w:val="0"/>
                    <w:autoSpaceDN w:val="0"/>
                    <w:rPr>
                      <w:szCs w:val="21"/>
                      <w:lang w:eastAsia="en-US"/>
                    </w:rPr>
                  </w:pPr>
                  <w:r>
                    <w:rPr>
                      <w:rFonts w:hint="eastAsia"/>
                      <w:szCs w:val="21"/>
                      <w:lang w:eastAsia="en-US"/>
                    </w:rPr>
                    <w:t>1次/季度</w:t>
                  </w:r>
                </w:p>
              </w:tc>
              <w:tc>
                <w:tcPr>
                  <w:tcW w:w="2817" w:type="dxa"/>
                  <w:tcBorders>
                    <w:tl2br w:val="nil"/>
                    <w:tr2bl w:val="nil"/>
                  </w:tcBorders>
                  <w:vAlign w:val="center"/>
                </w:tcPr>
                <w:p w14:paraId="72F56914">
                  <w:pPr>
                    <w:pStyle w:val="71"/>
                    <w:autoSpaceDE w:val="0"/>
                    <w:autoSpaceDN w:val="0"/>
                    <w:rPr>
                      <w:kern w:val="0"/>
                      <w:sz w:val="21"/>
                      <w:lang w:eastAsia="en-US"/>
                    </w:rPr>
                  </w:pPr>
                  <w:r>
                    <w:rPr>
                      <w:rFonts w:hint="eastAsia"/>
                      <w:kern w:val="0"/>
                      <w:sz w:val="21"/>
                      <w:lang w:eastAsia="en-US"/>
                    </w:rPr>
                    <w:t>《水泥工业大气污染物排放标准》（GB4915-2013）表3大气污染物无组织排放限值</w:t>
                  </w:r>
                </w:p>
              </w:tc>
            </w:tr>
            <w:tr w14:paraId="642BC4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9" w:type="dxa"/>
                  <w:vMerge w:val="continue"/>
                  <w:tcBorders>
                    <w:tl2br w:val="nil"/>
                    <w:tr2bl w:val="nil"/>
                  </w:tcBorders>
                  <w:vAlign w:val="center"/>
                </w:tcPr>
                <w:p w14:paraId="318D1E9B">
                  <w:pPr>
                    <w:pStyle w:val="71"/>
                    <w:autoSpaceDE w:val="0"/>
                    <w:autoSpaceDN w:val="0"/>
                    <w:rPr>
                      <w:sz w:val="21"/>
                      <w:lang w:eastAsia="en-US"/>
                    </w:rPr>
                  </w:pPr>
                </w:p>
              </w:tc>
              <w:tc>
                <w:tcPr>
                  <w:tcW w:w="2073" w:type="dxa"/>
                  <w:tcBorders>
                    <w:tl2br w:val="nil"/>
                    <w:tr2bl w:val="nil"/>
                  </w:tcBorders>
                  <w:vAlign w:val="center"/>
                </w:tcPr>
                <w:p w14:paraId="73DDEA49">
                  <w:pPr>
                    <w:pStyle w:val="71"/>
                    <w:autoSpaceDE w:val="0"/>
                    <w:autoSpaceDN w:val="0"/>
                    <w:rPr>
                      <w:sz w:val="21"/>
                      <w:lang w:eastAsia="en-US"/>
                    </w:rPr>
                  </w:pPr>
                  <w:r>
                    <w:rPr>
                      <w:rFonts w:hint="eastAsia"/>
                      <w:sz w:val="21"/>
                      <w:lang w:eastAsia="en-US"/>
                    </w:rPr>
                    <w:t>厨房油烟排放口</w:t>
                  </w:r>
                </w:p>
              </w:tc>
              <w:tc>
                <w:tcPr>
                  <w:tcW w:w="1496" w:type="dxa"/>
                  <w:tcBorders>
                    <w:tl2br w:val="nil"/>
                    <w:tr2bl w:val="nil"/>
                  </w:tcBorders>
                  <w:vAlign w:val="center"/>
                </w:tcPr>
                <w:p w14:paraId="40547620">
                  <w:pPr>
                    <w:pStyle w:val="71"/>
                    <w:autoSpaceDE w:val="0"/>
                    <w:autoSpaceDN w:val="0"/>
                    <w:rPr>
                      <w:kern w:val="0"/>
                      <w:sz w:val="21"/>
                      <w:lang w:eastAsia="en-US"/>
                    </w:rPr>
                  </w:pPr>
                  <w:r>
                    <w:rPr>
                      <w:rFonts w:hint="eastAsia"/>
                      <w:kern w:val="0"/>
                      <w:sz w:val="21"/>
                      <w:lang w:eastAsia="en-US"/>
                    </w:rPr>
                    <w:t>油烟</w:t>
                  </w:r>
                </w:p>
              </w:tc>
              <w:tc>
                <w:tcPr>
                  <w:tcW w:w="1159" w:type="dxa"/>
                  <w:tcBorders>
                    <w:tl2br w:val="nil"/>
                    <w:tr2bl w:val="nil"/>
                  </w:tcBorders>
                  <w:vAlign w:val="center"/>
                </w:tcPr>
                <w:p w14:paraId="7A650974">
                  <w:pPr>
                    <w:pStyle w:val="120"/>
                    <w:autoSpaceDE w:val="0"/>
                    <w:autoSpaceDN w:val="0"/>
                    <w:rPr>
                      <w:szCs w:val="21"/>
                      <w:lang w:eastAsia="en-US"/>
                    </w:rPr>
                  </w:pPr>
                  <w:r>
                    <w:rPr>
                      <w:rFonts w:hint="eastAsia"/>
                      <w:szCs w:val="21"/>
                      <w:lang w:eastAsia="en-US"/>
                    </w:rPr>
                    <w:t>1次/年</w:t>
                  </w:r>
                </w:p>
              </w:tc>
              <w:tc>
                <w:tcPr>
                  <w:tcW w:w="2817" w:type="dxa"/>
                  <w:tcBorders>
                    <w:tl2br w:val="nil"/>
                    <w:tr2bl w:val="nil"/>
                  </w:tcBorders>
                  <w:vAlign w:val="center"/>
                </w:tcPr>
                <w:p w14:paraId="19E8ABA6">
                  <w:pPr>
                    <w:pStyle w:val="71"/>
                    <w:autoSpaceDE w:val="0"/>
                    <w:autoSpaceDN w:val="0"/>
                    <w:rPr>
                      <w:kern w:val="0"/>
                      <w:sz w:val="21"/>
                      <w:lang w:eastAsia="en-US"/>
                    </w:rPr>
                  </w:pPr>
                  <w:r>
                    <w:rPr>
                      <w:rFonts w:hint="eastAsia"/>
                      <w:kern w:val="0"/>
                      <w:sz w:val="21"/>
                      <w:lang w:eastAsia="en-US"/>
                    </w:rPr>
                    <w:t>《饮食业油烟排放标准（试行）》（GB18483-2001）</w:t>
                  </w:r>
                </w:p>
              </w:tc>
            </w:tr>
          </w:tbl>
          <w:p w14:paraId="483764BE">
            <w:pPr>
              <w:pStyle w:val="66"/>
              <w:ind w:firstLine="482"/>
              <w:rPr>
                <w:b/>
                <w:bCs/>
                <w:kern w:val="2"/>
                <w:sz w:val="24"/>
                <w:szCs w:val="24"/>
              </w:rPr>
            </w:pPr>
            <w:r>
              <w:rPr>
                <w:rFonts w:hint="eastAsia"/>
                <w:b/>
                <w:bCs/>
                <w:kern w:val="2"/>
                <w:sz w:val="24"/>
                <w:szCs w:val="24"/>
              </w:rPr>
              <w:t>6</w:t>
            </w:r>
            <w:r>
              <w:rPr>
                <w:b/>
                <w:bCs/>
                <w:kern w:val="2"/>
                <w:sz w:val="24"/>
                <w:szCs w:val="24"/>
              </w:rPr>
              <w:t>、</w:t>
            </w:r>
            <w:r>
              <w:rPr>
                <w:rFonts w:hint="eastAsia"/>
                <w:b/>
                <w:bCs/>
                <w:kern w:val="2"/>
                <w:sz w:val="24"/>
                <w:szCs w:val="24"/>
              </w:rPr>
              <w:t>污染物排放量核算</w:t>
            </w:r>
          </w:p>
          <w:p w14:paraId="673402B8">
            <w:pPr>
              <w:adjustRightInd/>
              <w:snapToGrid/>
              <w:spacing w:line="360" w:lineRule="auto"/>
              <w:ind w:firstLine="480" w:firstLineChars="200"/>
              <w:rPr>
                <w:sz w:val="24"/>
              </w:rPr>
            </w:pPr>
            <w:r>
              <w:rPr>
                <w:rFonts w:hint="eastAsia"/>
                <w:sz w:val="24"/>
              </w:rPr>
              <w:t>(1)有组织排放量核算</w:t>
            </w:r>
          </w:p>
          <w:p w14:paraId="42591089">
            <w:pPr>
              <w:pStyle w:val="74"/>
              <w:rPr>
                <w:sz w:val="24"/>
              </w:rPr>
            </w:pPr>
            <w:r>
              <w:rPr>
                <w:sz w:val="24"/>
              </w:rPr>
              <w:t>表</w:t>
            </w:r>
            <w:r>
              <w:rPr>
                <w:rFonts w:hint="eastAsia"/>
                <w:sz w:val="24"/>
              </w:rPr>
              <w:t>4.2-4  大气污染物有</w:t>
            </w:r>
            <w:r>
              <w:rPr>
                <w:sz w:val="24"/>
              </w:rPr>
              <w:t>组织</w:t>
            </w:r>
            <w:r>
              <w:rPr>
                <w:rFonts w:hint="eastAsia"/>
                <w:sz w:val="24"/>
              </w:rPr>
              <w:t>排放量核算</w:t>
            </w:r>
            <w:r>
              <w:rPr>
                <w:sz w:val="24"/>
              </w:rPr>
              <w:t>表</w:t>
            </w:r>
          </w:p>
          <w:tbl>
            <w:tblPr>
              <w:tblStyle w:val="34"/>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232"/>
              <w:gridCol w:w="1166"/>
              <w:gridCol w:w="1783"/>
              <w:gridCol w:w="1572"/>
              <w:gridCol w:w="1581"/>
            </w:tblGrid>
            <w:tr w14:paraId="2E571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dxa"/>
                  <w:tcBorders>
                    <w:tl2br w:val="nil"/>
                    <w:tr2bl w:val="nil"/>
                  </w:tcBorders>
                  <w:vAlign w:val="center"/>
                </w:tcPr>
                <w:p w14:paraId="19B693AB">
                  <w:pPr>
                    <w:pStyle w:val="120"/>
                    <w:rPr>
                      <w:szCs w:val="21"/>
                    </w:rPr>
                  </w:pPr>
                  <w:r>
                    <w:rPr>
                      <w:rFonts w:hint="eastAsia"/>
                      <w:szCs w:val="21"/>
                    </w:rPr>
                    <w:t>产污环节</w:t>
                  </w:r>
                </w:p>
              </w:tc>
              <w:tc>
                <w:tcPr>
                  <w:tcW w:w="1232" w:type="dxa"/>
                  <w:tcBorders>
                    <w:tl2br w:val="nil"/>
                    <w:tr2bl w:val="nil"/>
                  </w:tcBorders>
                  <w:vAlign w:val="center"/>
                </w:tcPr>
                <w:p w14:paraId="1293CCC9">
                  <w:pPr>
                    <w:pStyle w:val="120"/>
                    <w:rPr>
                      <w:szCs w:val="21"/>
                    </w:rPr>
                  </w:pPr>
                  <w:r>
                    <w:rPr>
                      <w:rFonts w:hint="eastAsia"/>
                      <w:szCs w:val="21"/>
                    </w:rPr>
                    <w:t>排放口</w:t>
                  </w:r>
                </w:p>
              </w:tc>
              <w:tc>
                <w:tcPr>
                  <w:tcW w:w="1166" w:type="dxa"/>
                  <w:tcBorders>
                    <w:tl2br w:val="nil"/>
                    <w:tr2bl w:val="nil"/>
                  </w:tcBorders>
                  <w:vAlign w:val="center"/>
                </w:tcPr>
                <w:p w14:paraId="45D8F4D5">
                  <w:pPr>
                    <w:pStyle w:val="120"/>
                    <w:rPr>
                      <w:szCs w:val="21"/>
                    </w:rPr>
                  </w:pPr>
                  <w:r>
                    <w:rPr>
                      <w:szCs w:val="21"/>
                    </w:rPr>
                    <w:t>污染物</w:t>
                  </w:r>
                </w:p>
              </w:tc>
              <w:tc>
                <w:tcPr>
                  <w:tcW w:w="1783" w:type="dxa"/>
                  <w:tcBorders>
                    <w:tl2br w:val="nil"/>
                    <w:tr2bl w:val="nil"/>
                  </w:tcBorders>
                  <w:vAlign w:val="center"/>
                </w:tcPr>
                <w:p w14:paraId="2525420E">
                  <w:pPr>
                    <w:pStyle w:val="120"/>
                    <w:rPr>
                      <w:szCs w:val="21"/>
                    </w:rPr>
                  </w:pPr>
                  <w:r>
                    <w:rPr>
                      <w:rFonts w:hint="eastAsia"/>
                      <w:szCs w:val="21"/>
                    </w:rPr>
                    <w:t>核算</w:t>
                  </w:r>
                  <w:r>
                    <w:rPr>
                      <w:szCs w:val="21"/>
                    </w:rPr>
                    <w:t>排放</w:t>
                  </w:r>
                  <w:r>
                    <w:rPr>
                      <w:rFonts w:hint="eastAsia"/>
                      <w:szCs w:val="21"/>
                    </w:rPr>
                    <w:t>浓度</w:t>
                  </w:r>
                  <w:r>
                    <w:rPr>
                      <w:szCs w:val="21"/>
                    </w:rPr>
                    <w:t>（</w:t>
                  </w:r>
                  <w:r>
                    <w:rPr>
                      <w:rFonts w:hint="eastAsia"/>
                      <w:szCs w:val="21"/>
                    </w:rPr>
                    <w:t>mg/m</w:t>
                  </w:r>
                  <w:r>
                    <w:rPr>
                      <w:rFonts w:hint="eastAsia"/>
                      <w:szCs w:val="21"/>
                      <w:vertAlign w:val="superscript"/>
                    </w:rPr>
                    <w:t>3</w:t>
                  </w:r>
                  <w:r>
                    <w:rPr>
                      <w:szCs w:val="21"/>
                    </w:rPr>
                    <w:t>）</w:t>
                  </w:r>
                </w:p>
              </w:tc>
              <w:tc>
                <w:tcPr>
                  <w:tcW w:w="1572" w:type="dxa"/>
                  <w:tcBorders>
                    <w:tl2br w:val="nil"/>
                    <w:tr2bl w:val="nil"/>
                  </w:tcBorders>
                  <w:vAlign w:val="center"/>
                </w:tcPr>
                <w:p w14:paraId="048B498E">
                  <w:pPr>
                    <w:pStyle w:val="120"/>
                    <w:rPr>
                      <w:szCs w:val="21"/>
                    </w:rPr>
                  </w:pPr>
                  <w:r>
                    <w:rPr>
                      <w:rFonts w:hint="eastAsia"/>
                      <w:szCs w:val="21"/>
                    </w:rPr>
                    <w:t>核算</w:t>
                  </w:r>
                  <w:r>
                    <w:rPr>
                      <w:szCs w:val="21"/>
                    </w:rPr>
                    <w:t>排放速率（kg/h）</w:t>
                  </w:r>
                </w:p>
              </w:tc>
              <w:tc>
                <w:tcPr>
                  <w:tcW w:w="1581" w:type="dxa"/>
                  <w:tcBorders>
                    <w:tl2br w:val="nil"/>
                    <w:tr2bl w:val="nil"/>
                  </w:tcBorders>
                  <w:vAlign w:val="center"/>
                </w:tcPr>
                <w:p w14:paraId="0606EFE2">
                  <w:pPr>
                    <w:pStyle w:val="120"/>
                    <w:rPr>
                      <w:szCs w:val="21"/>
                    </w:rPr>
                  </w:pPr>
                  <w:r>
                    <w:rPr>
                      <w:rFonts w:hint="eastAsia"/>
                      <w:szCs w:val="21"/>
                    </w:rPr>
                    <w:t>核算年</w:t>
                  </w:r>
                  <w:r>
                    <w:rPr>
                      <w:szCs w:val="21"/>
                    </w:rPr>
                    <w:t>排放量（t/a）</w:t>
                  </w:r>
                </w:p>
              </w:tc>
            </w:tr>
            <w:tr w14:paraId="6BFBC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6"/>
                  <w:tcBorders>
                    <w:tl2br w:val="nil"/>
                    <w:tr2bl w:val="nil"/>
                  </w:tcBorders>
                  <w:vAlign w:val="center"/>
                </w:tcPr>
                <w:p w14:paraId="0389E4A7">
                  <w:pPr>
                    <w:pStyle w:val="120"/>
                    <w:rPr>
                      <w:szCs w:val="21"/>
                    </w:rPr>
                  </w:pPr>
                  <w:r>
                    <w:rPr>
                      <w:rFonts w:hint="eastAsia"/>
                      <w:szCs w:val="21"/>
                    </w:rPr>
                    <w:t>一般排放口</w:t>
                  </w:r>
                </w:p>
              </w:tc>
            </w:tr>
            <w:tr w14:paraId="01D69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dxa"/>
                  <w:tcBorders>
                    <w:tl2br w:val="nil"/>
                    <w:tr2bl w:val="nil"/>
                  </w:tcBorders>
                  <w:vAlign w:val="center"/>
                </w:tcPr>
                <w:p w14:paraId="4F083D82">
                  <w:pPr>
                    <w:pStyle w:val="120"/>
                    <w:rPr>
                      <w:szCs w:val="21"/>
                    </w:rPr>
                  </w:pPr>
                  <w:r>
                    <w:rPr>
                      <w:rFonts w:hint="eastAsia"/>
                      <w:szCs w:val="21"/>
                    </w:rPr>
                    <w:t>厨房油烟</w:t>
                  </w:r>
                </w:p>
              </w:tc>
              <w:tc>
                <w:tcPr>
                  <w:tcW w:w="1232" w:type="dxa"/>
                  <w:tcBorders>
                    <w:tl2br w:val="nil"/>
                    <w:tr2bl w:val="nil"/>
                  </w:tcBorders>
                  <w:vAlign w:val="center"/>
                </w:tcPr>
                <w:p w14:paraId="06676390">
                  <w:pPr>
                    <w:pStyle w:val="120"/>
                    <w:rPr>
                      <w:szCs w:val="21"/>
                    </w:rPr>
                  </w:pPr>
                  <w:r>
                    <w:rPr>
                      <w:rFonts w:hint="eastAsia"/>
                      <w:szCs w:val="21"/>
                    </w:rPr>
                    <w:t>厨房油烟排放口</w:t>
                  </w:r>
                </w:p>
              </w:tc>
              <w:tc>
                <w:tcPr>
                  <w:tcW w:w="1166" w:type="dxa"/>
                  <w:tcBorders>
                    <w:tl2br w:val="nil"/>
                    <w:tr2bl w:val="nil"/>
                  </w:tcBorders>
                  <w:vAlign w:val="center"/>
                </w:tcPr>
                <w:p w14:paraId="42916D47">
                  <w:pPr>
                    <w:pStyle w:val="120"/>
                    <w:rPr>
                      <w:szCs w:val="21"/>
                    </w:rPr>
                  </w:pPr>
                  <w:r>
                    <w:rPr>
                      <w:rFonts w:hint="eastAsia"/>
                      <w:szCs w:val="21"/>
                    </w:rPr>
                    <w:t>油烟</w:t>
                  </w:r>
                </w:p>
              </w:tc>
              <w:tc>
                <w:tcPr>
                  <w:tcW w:w="1783" w:type="dxa"/>
                  <w:tcBorders>
                    <w:tl2br w:val="nil"/>
                    <w:tr2bl w:val="nil"/>
                  </w:tcBorders>
                  <w:vAlign w:val="center"/>
                </w:tcPr>
                <w:p w14:paraId="6CC40406">
                  <w:pPr>
                    <w:pStyle w:val="120"/>
                    <w:rPr>
                      <w:szCs w:val="21"/>
                    </w:rPr>
                  </w:pPr>
                  <w:r>
                    <w:rPr>
                      <w:rFonts w:hint="eastAsia"/>
                      <w:szCs w:val="21"/>
                    </w:rPr>
                    <w:t>0.8</w:t>
                  </w:r>
                </w:p>
              </w:tc>
              <w:tc>
                <w:tcPr>
                  <w:tcW w:w="1572" w:type="dxa"/>
                  <w:tcBorders>
                    <w:tl2br w:val="nil"/>
                    <w:tr2bl w:val="nil"/>
                  </w:tcBorders>
                  <w:vAlign w:val="center"/>
                </w:tcPr>
                <w:p w14:paraId="6870446E">
                  <w:pPr>
                    <w:pStyle w:val="120"/>
                    <w:rPr>
                      <w:szCs w:val="21"/>
                    </w:rPr>
                  </w:pPr>
                  <w:r>
                    <w:rPr>
                      <w:rFonts w:hint="eastAsia"/>
                      <w:szCs w:val="21"/>
                    </w:rPr>
                    <w:t>0.003</w:t>
                  </w:r>
                </w:p>
              </w:tc>
              <w:tc>
                <w:tcPr>
                  <w:tcW w:w="1581" w:type="dxa"/>
                  <w:tcBorders>
                    <w:tl2br w:val="nil"/>
                    <w:tr2bl w:val="nil"/>
                  </w:tcBorders>
                  <w:vAlign w:val="center"/>
                </w:tcPr>
                <w:p w14:paraId="002618FA">
                  <w:pPr>
                    <w:pStyle w:val="120"/>
                    <w:rPr>
                      <w:szCs w:val="21"/>
                    </w:rPr>
                  </w:pPr>
                  <w:r>
                    <w:rPr>
                      <w:rFonts w:hint="eastAsia"/>
                      <w:szCs w:val="21"/>
                    </w:rPr>
                    <w:t>0.004</w:t>
                  </w:r>
                </w:p>
              </w:tc>
            </w:tr>
            <w:tr w14:paraId="2A731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6"/>
                  <w:tcBorders>
                    <w:tl2br w:val="nil"/>
                    <w:tr2bl w:val="nil"/>
                  </w:tcBorders>
                  <w:vAlign w:val="center"/>
                </w:tcPr>
                <w:p w14:paraId="4FCD9A8C">
                  <w:pPr>
                    <w:pStyle w:val="120"/>
                    <w:rPr>
                      <w:szCs w:val="21"/>
                    </w:rPr>
                  </w:pPr>
                  <w:r>
                    <w:rPr>
                      <w:rFonts w:hint="eastAsia"/>
                      <w:szCs w:val="21"/>
                    </w:rPr>
                    <w:t>有组织排放总计</w:t>
                  </w:r>
                </w:p>
              </w:tc>
            </w:tr>
            <w:tr w14:paraId="541B8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2" w:type="dxa"/>
                  <w:gridSpan w:val="2"/>
                  <w:tcBorders>
                    <w:tl2br w:val="nil"/>
                    <w:tr2bl w:val="nil"/>
                  </w:tcBorders>
                  <w:vAlign w:val="center"/>
                </w:tcPr>
                <w:p w14:paraId="341099A4">
                  <w:pPr>
                    <w:pStyle w:val="120"/>
                    <w:rPr>
                      <w:szCs w:val="21"/>
                    </w:rPr>
                  </w:pPr>
                  <w:r>
                    <w:rPr>
                      <w:rFonts w:hint="eastAsia"/>
                      <w:szCs w:val="21"/>
                    </w:rPr>
                    <w:t>厨房油烟排放口</w:t>
                  </w:r>
                </w:p>
              </w:tc>
              <w:tc>
                <w:tcPr>
                  <w:tcW w:w="4521" w:type="dxa"/>
                  <w:gridSpan w:val="3"/>
                  <w:tcBorders>
                    <w:tl2br w:val="nil"/>
                    <w:tr2bl w:val="nil"/>
                  </w:tcBorders>
                  <w:vAlign w:val="center"/>
                </w:tcPr>
                <w:p w14:paraId="2875F1FF">
                  <w:pPr>
                    <w:pStyle w:val="120"/>
                    <w:rPr>
                      <w:szCs w:val="21"/>
                    </w:rPr>
                  </w:pPr>
                  <w:r>
                    <w:rPr>
                      <w:rFonts w:hint="eastAsia"/>
                      <w:szCs w:val="21"/>
                    </w:rPr>
                    <w:t>油烟</w:t>
                  </w:r>
                </w:p>
              </w:tc>
              <w:tc>
                <w:tcPr>
                  <w:tcW w:w="1581" w:type="dxa"/>
                  <w:tcBorders>
                    <w:tl2br w:val="nil"/>
                    <w:tr2bl w:val="nil"/>
                  </w:tcBorders>
                  <w:vAlign w:val="center"/>
                </w:tcPr>
                <w:p w14:paraId="00F720B6">
                  <w:pPr>
                    <w:pStyle w:val="120"/>
                    <w:rPr>
                      <w:szCs w:val="21"/>
                    </w:rPr>
                  </w:pPr>
                  <w:r>
                    <w:rPr>
                      <w:rFonts w:hint="eastAsia"/>
                      <w:szCs w:val="21"/>
                    </w:rPr>
                    <w:t>0.004</w:t>
                  </w:r>
                </w:p>
              </w:tc>
            </w:tr>
          </w:tbl>
          <w:p w14:paraId="7E778149">
            <w:pPr>
              <w:spacing w:line="360" w:lineRule="auto"/>
              <w:ind w:firstLine="480"/>
              <w:rPr>
                <w:sz w:val="24"/>
              </w:rPr>
            </w:pPr>
            <w:r>
              <w:rPr>
                <w:rFonts w:hint="eastAsia"/>
                <w:sz w:val="24"/>
              </w:rPr>
              <w:t>B.</w:t>
            </w:r>
            <w:r>
              <w:rPr>
                <w:sz w:val="24"/>
              </w:rPr>
              <w:t>无组织排放量核算</w:t>
            </w:r>
          </w:p>
          <w:p w14:paraId="6BB974D4">
            <w:pPr>
              <w:pStyle w:val="74"/>
              <w:rPr>
                <w:sz w:val="24"/>
              </w:rPr>
            </w:pPr>
            <w:r>
              <w:rPr>
                <w:sz w:val="24"/>
              </w:rPr>
              <w:t>表</w:t>
            </w:r>
            <w:r>
              <w:rPr>
                <w:rFonts w:hint="eastAsia"/>
                <w:sz w:val="24"/>
              </w:rPr>
              <w:t xml:space="preserve">4.2-5  </w:t>
            </w:r>
            <w:r>
              <w:rPr>
                <w:sz w:val="24"/>
              </w:rPr>
              <w:t>大气污染物无组织排放量核算表</w:t>
            </w:r>
          </w:p>
          <w:tbl>
            <w:tblPr>
              <w:tblStyle w:val="34"/>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86"/>
              <w:gridCol w:w="1026"/>
              <w:gridCol w:w="855"/>
              <w:gridCol w:w="1875"/>
              <w:gridCol w:w="2315"/>
              <w:gridCol w:w="1201"/>
              <w:gridCol w:w="846"/>
            </w:tblGrid>
            <w:tr w14:paraId="53B5B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6" w:type="dxa"/>
                  <w:vMerge w:val="restart"/>
                  <w:tcBorders>
                    <w:tl2br w:val="nil"/>
                    <w:tr2bl w:val="nil"/>
                  </w:tcBorders>
                  <w:vAlign w:val="center"/>
                </w:tcPr>
                <w:p w14:paraId="710155C4">
                  <w:pPr>
                    <w:pStyle w:val="120"/>
                    <w:rPr>
                      <w:szCs w:val="21"/>
                    </w:rPr>
                  </w:pPr>
                  <w:bookmarkStart w:id="35" w:name="_Toc533615308"/>
                  <w:r>
                    <w:rPr>
                      <w:szCs w:val="21"/>
                    </w:rPr>
                    <w:t>序</w:t>
                  </w:r>
                  <w:bookmarkEnd w:id="35"/>
                  <w:r>
                    <w:rPr>
                      <w:szCs w:val="21"/>
                    </w:rPr>
                    <w:t>号</w:t>
                  </w:r>
                </w:p>
              </w:tc>
              <w:tc>
                <w:tcPr>
                  <w:tcW w:w="1026" w:type="dxa"/>
                  <w:vMerge w:val="restart"/>
                  <w:tcBorders>
                    <w:tl2br w:val="nil"/>
                    <w:tr2bl w:val="nil"/>
                  </w:tcBorders>
                  <w:vAlign w:val="center"/>
                </w:tcPr>
                <w:p w14:paraId="3C211657">
                  <w:pPr>
                    <w:pStyle w:val="120"/>
                    <w:rPr>
                      <w:szCs w:val="21"/>
                    </w:rPr>
                  </w:pPr>
                  <w:bookmarkStart w:id="36" w:name="_Toc533615310"/>
                  <w:r>
                    <w:rPr>
                      <w:szCs w:val="21"/>
                    </w:rPr>
                    <w:t>产污环节</w:t>
                  </w:r>
                  <w:bookmarkEnd w:id="36"/>
                </w:p>
              </w:tc>
              <w:tc>
                <w:tcPr>
                  <w:tcW w:w="855" w:type="dxa"/>
                  <w:vMerge w:val="restart"/>
                  <w:tcBorders>
                    <w:tl2br w:val="nil"/>
                    <w:tr2bl w:val="nil"/>
                  </w:tcBorders>
                  <w:vAlign w:val="center"/>
                </w:tcPr>
                <w:p w14:paraId="4FE68E2A">
                  <w:pPr>
                    <w:pStyle w:val="120"/>
                    <w:rPr>
                      <w:szCs w:val="21"/>
                    </w:rPr>
                  </w:pPr>
                  <w:bookmarkStart w:id="37" w:name="_Toc533615719"/>
                  <w:r>
                    <w:rPr>
                      <w:szCs w:val="21"/>
                    </w:rPr>
                    <w:t>污染物</w:t>
                  </w:r>
                  <w:bookmarkEnd w:id="37"/>
                </w:p>
              </w:tc>
              <w:tc>
                <w:tcPr>
                  <w:tcW w:w="1875" w:type="dxa"/>
                  <w:vMerge w:val="restart"/>
                  <w:tcBorders>
                    <w:tl2br w:val="nil"/>
                    <w:tr2bl w:val="nil"/>
                  </w:tcBorders>
                  <w:vAlign w:val="center"/>
                </w:tcPr>
                <w:p w14:paraId="7DFC0EE3">
                  <w:pPr>
                    <w:pStyle w:val="120"/>
                    <w:rPr>
                      <w:szCs w:val="21"/>
                    </w:rPr>
                  </w:pPr>
                  <w:bookmarkStart w:id="38" w:name="_Toc533615312"/>
                  <w:r>
                    <w:rPr>
                      <w:szCs w:val="21"/>
                    </w:rPr>
                    <w:t>主要污染防治措施</w:t>
                  </w:r>
                  <w:bookmarkEnd w:id="38"/>
                </w:p>
              </w:tc>
              <w:tc>
                <w:tcPr>
                  <w:tcW w:w="3516" w:type="dxa"/>
                  <w:gridSpan w:val="2"/>
                  <w:tcBorders>
                    <w:tl2br w:val="nil"/>
                    <w:tr2bl w:val="nil"/>
                  </w:tcBorders>
                  <w:vAlign w:val="center"/>
                </w:tcPr>
                <w:p w14:paraId="2ADE868F">
                  <w:pPr>
                    <w:pStyle w:val="120"/>
                    <w:rPr>
                      <w:szCs w:val="21"/>
                    </w:rPr>
                  </w:pPr>
                  <w:bookmarkStart w:id="39" w:name="_Toc533615721"/>
                  <w:r>
                    <w:rPr>
                      <w:szCs w:val="21"/>
                    </w:rPr>
                    <w:t>国家或地方污染物排放标准</w:t>
                  </w:r>
                  <w:bookmarkEnd w:id="39"/>
                </w:p>
              </w:tc>
              <w:tc>
                <w:tcPr>
                  <w:tcW w:w="846" w:type="dxa"/>
                  <w:vMerge w:val="restart"/>
                  <w:tcBorders>
                    <w:tl2br w:val="nil"/>
                    <w:tr2bl w:val="nil"/>
                  </w:tcBorders>
                  <w:vAlign w:val="center"/>
                </w:tcPr>
                <w:p w14:paraId="7131CBC0">
                  <w:pPr>
                    <w:pStyle w:val="120"/>
                    <w:rPr>
                      <w:szCs w:val="21"/>
                    </w:rPr>
                  </w:pPr>
                  <w:bookmarkStart w:id="40" w:name="_Toc533613972"/>
                  <w:r>
                    <w:rPr>
                      <w:szCs w:val="21"/>
                    </w:rPr>
                    <w:t>年排放量</w:t>
                  </w:r>
                  <w:bookmarkEnd w:id="40"/>
                  <w:r>
                    <w:rPr>
                      <w:szCs w:val="21"/>
                    </w:rPr>
                    <w:t>t/a</w:t>
                  </w:r>
                </w:p>
              </w:tc>
            </w:tr>
            <w:tr w14:paraId="1199F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3" w:hRule="atLeast"/>
                <w:jc w:val="center"/>
              </w:trPr>
              <w:tc>
                <w:tcPr>
                  <w:tcW w:w="386" w:type="dxa"/>
                  <w:vMerge w:val="continue"/>
                  <w:tcBorders>
                    <w:tl2br w:val="nil"/>
                    <w:tr2bl w:val="nil"/>
                  </w:tcBorders>
                  <w:vAlign w:val="center"/>
                </w:tcPr>
                <w:p w14:paraId="26A28435">
                  <w:pPr>
                    <w:pStyle w:val="120"/>
                    <w:rPr>
                      <w:szCs w:val="21"/>
                    </w:rPr>
                  </w:pPr>
                </w:p>
              </w:tc>
              <w:tc>
                <w:tcPr>
                  <w:tcW w:w="1026" w:type="dxa"/>
                  <w:vMerge w:val="continue"/>
                  <w:tcBorders>
                    <w:tl2br w:val="nil"/>
                    <w:tr2bl w:val="nil"/>
                  </w:tcBorders>
                  <w:vAlign w:val="center"/>
                </w:tcPr>
                <w:p w14:paraId="6EE062D4">
                  <w:pPr>
                    <w:pStyle w:val="120"/>
                    <w:rPr>
                      <w:szCs w:val="21"/>
                    </w:rPr>
                  </w:pPr>
                </w:p>
              </w:tc>
              <w:tc>
                <w:tcPr>
                  <w:tcW w:w="855" w:type="dxa"/>
                  <w:vMerge w:val="continue"/>
                  <w:tcBorders>
                    <w:tl2br w:val="nil"/>
                    <w:tr2bl w:val="nil"/>
                  </w:tcBorders>
                  <w:vAlign w:val="center"/>
                </w:tcPr>
                <w:p w14:paraId="6CE55CCF">
                  <w:pPr>
                    <w:pStyle w:val="120"/>
                    <w:rPr>
                      <w:szCs w:val="21"/>
                    </w:rPr>
                  </w:pPr>
                </w:p>
              </w:tc>
              <w:tc>
                <w:tcPr>
                  <w:tcW w:w="1875" w:type="dxa"/>
                  <w:vMerge w:val="continue"/>
                  <w:tcBorders>
                    <w:tl2br w:val="nil"/>
                    <w:tr2bl w:val="nil"/>
                  </w:tcBorders>
                  <w:vAlign w:val="center"/>
                </w:tcPr>
                <w:p w14:paraId="1F8EFEC5">
                  <w:pPr>
                    <w:pStyle w:val="120"/>
                    <w:rPr>
                      <w:szCs w:val="21"/>
                    </w:rPr>
                  </w:pPr>
                </w:p>
              </w:tc>
              <w:tc>
                <w:tcPr>
                  <w:tcW w:w="2315" w:type="dxa"/>
                  <w:tcBorders>
                    <w:tl2br w:val="nil"/>
                    <w:tr2bl w:val="nil"/>
                  </w:tcBorders>
                  <w:vAlign w:val="center"/>
                </w:tcPr>
                <w:p w14:paraId="0FEAC1F7">
                  <w:pPr>
                    <w:pStyle w:val="120"/>
                    <w:rPr>
                      <w:szCs w:val="21"/>
                    </w:rPr>
                  </w:pPr>
                  <w:bookmarkStart w:id="41" w:name="_Toc533614672"/>
                  <w:r>
                    <w:rPr>
                      <w:szCs w:val="21"/>
                    </w:rPr>
                    <w:t>标准名称</w:t>
                  </w:r>
                  <w:bookmarkEnd w:id="41"/>
                </w:p>
              </w:tc>
              <w:tc>
                <w:tcPr>
                  <w:tcW w:w="1201" w:type="dxa"/>
                  <w:tcBorders>
                    <w:tl2br w:val="nil"/>
                    <w:tr2bl w:val="nil"/>
                  </w:tcBorders>
                  <w:vAlign w:val="center"/>
                </w:tcPr>
                <w:p w14:paraId="4791EB3D">
                  <w:pPr>
                    <w:pStyle w:val="120"/>
                    <w:rPr>
                      <w:szCs w:val="21"/>
                    </w:rPr>
                  </w:pPr>
                  <w:bookmarkStart w:id="42" w:name="_Toc533615724"/>
                  <w:r>
                    <w:rPr>
                      <w:szCs w:val="21"/>
                    </w:rPr>
                    <w:t>浓度限值</w:t>
                  </w:r>
                  <w:bookmarkEnd w:id="42"/>
                  <w:r>
                    <w:rPr>
                      <w:szCs w:val="21"/>
                    </w:rPr>
                    <w:t>mg/m</w:t>
                  </w:r>
                  <w:r>
                    <w:rPr>
                      <w:szCs w:val="21"/>
                      <w:vertAlign w:val="superscript"/>
                    </w:rPr>
                    <w:t>3</w:t>
                  </w:r>
                </w:p>
              </w:tc>
              <w:tc>
                <w:tcPr>
                  <w:tcW w:w="846" w:type="dxa"/>
                  <w:vMerge w:val="continue"/>
                  <w:tcBorders>
                    <w:tl2br w:val="nil"/>
                    <w:tr2bl w:val="nil"/>
                  </w:tcBorders>
                  <w:vAlign w:val="center"/>
                </w:tcPr>
                <w:p w14:paraId="2E575084">
                  <w:pPr>
                    <w:pStyle w:val="120"/>
                    <w:rPr>
                      <w:szCs w:val="21"/>
                    </w:rPr>
                  </w:pPr>
                </w:p>
              </w:tc>
            </w:tr>
            <w:tr w14:paraId="1FED2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6" w:type="dxa"/>
                  <w:tcBorders>
                    <w:tl2br w:val="nil"/>
                    <w:tr2bl w:val="nil"/>
                  </w:tcBorders>
                  <w:vAlign w:val="center"/>
                </w:tcPr>
                <w:p w14:paraId="49BD3EE0">
                  <w:pPr>
                    <w:pStyle w:val="120"/>
                    <w:rPr>
                      <w:szCs w:val="21"/>
                    </w:rPr>
                  </w:pPr>
                  <w:r>
                    <w:rPr>
                      <w:rFonts w:hint="eastAsia"/>
                      <w:szCs w:val="21"/>
                    </w:rPr>
                    <w:t>1</w:t>
                  </w:r>
                </w:p>
              </w:tc>
              <w:tc>
                <w:tcPr>
                  <w:tcW w:w="1026" w:type="dxa"/>
                  <w:tcBorders>
                    <w:tl2br w:val="nil"/>
                    <w:tr2bl w:val="nil"/>
                  </w:tcBorders>
                  <w:vAlign w:val="center"/>
                </w:tcPr>
                <w:p w14:paraId="489D48F9">
                  <w:pPr>
                    <w:pStyle w:val="120"/>
                    <w:rPr>
                      <w:szCs w:val="21"/>
                    </w:rPr>
                  </w:pPr>
                  <w:r>
                    <w:rPr>
                      <w:rFonts w:hint="eastAsia"/>
                      <w:szCs w:val="21"/>
                    </w:rPr>
                    <w:t>原料输送</w:t>
                  </w:r>
                </w:p>
              </w:tc>
              <w:tc>
                <w:tcPr>
                  <w:tcW w:w="855" w:type="dxa"/>
                  <w:tcBorders>
                    <w:tl2br w:val="nil"/>
                    <w:tr2bl w:val="nil"/>
                  </w:tcBorders>
                  <w:vAlign w:val="center"/>
                </w:tcPr>
                <w:p w14:paraId="3FEE43D5">
                  <w:pPr>
                    <w:pStyle w:val="120"/>
                    <w:rPr>
                      <w:szCs w:val="21"/>
                    </w:rPr>
                  </w:pPr>
                  <w:r>
                    <w:rPr>
                      <w:rFonts w:hint="eastAsia"/>
                      <w:szCs w:val="21"/>
                    </w:rPr>
                    <w:t>颗粒物</w:t>
                  </w:r>
                </w:p>
              </w:tc>
              <w:tc>
                <w:tcPr>
                  <w:tcW w:w="1875" w:type="dxa"/>
                  <w:tcBorders>
                    <w:tl2br w:val="nil"/>
                    <w:tr2bl w:val="nil"/>
                  </w:tcBorders>
                  <w:vAlign w:val="center"/>
                </w:tcPr>
                <w:p w14:paraId="1AA29D54">
                  <w:pPr>
                    <w:pStyle w:val="120"/>
                    <w:rPr>
                      <w:szCs w:val="21"/>
                    </w:rPr>
                  </w:pPr>
                  <w:r>
                    <w:rPr>
                      <w:rFonts w:hint="eastAsia"/>
                      <w:szCs w:val="21"/>
                    </w:rPr>
                    <w:t>洒水降尘</w:t>
                  </w:r>
                </w:p>
              </w:tc>
              <w:tc>
                <w:tcPr>
                  <w:tcW w:w="2315" w:type="dxa"/>
                  <w:vMerge w:val="restart"/>
                  <w:tcBorders>
                    <w:tl2br w:val="nil"/>
                    <w:tr2bl w:val="nil"/>
                  </w:tcBorders>
                  <w:vAlign w:val="center"/>
                </w:tcPr>
                <w:p w14:paraId="38BA8E3B">
                  <w:pPr>
                    <w:pStyle w:val="120"/>
                    <w:rPr>
                      <w:szCs w:val="21"/>
                    </w:rPr>
                  </w:pPr>
                  <w:r>
                    <w:rPr>
                      <w:szCs w:val="21"/>
                    </w:rPr>
                    <w:t>《水泥工业大气污染物排放标准》（GB4915-2013）表3无组织排放限值</w:t>
                  </w:r>
                </w:p>
              </w:tc>
              <w:tc>
                <w:tcPr>
                  <w:tcW w:w="1201" w:type="dxa"/>
                  <w:vMerge w:val="restart"/>
                  <w:tcBorders>
                    <w:tl2br w:val="nil"/>
                    <w:tr2bl w:val="nil"/>
                  </w:tcBorders>
                  <w:vAlign w:val="center"/>
                </w:tcPr>
                <w:p w14:paraId="7C7D9461">
                  <w:pPr>
                    <w:pStyle w:val="120"/>
                    <w:rPr>
                      <w:szCs w:val="21"/>
                    </w:rPr>
                  </w:pPr>
                  <w:r>
                    <w:rPr>
                      <w:rFonts w:hint="eastAsia"/>
                      <w:szCs w:val="21"/>
                    </w:rPr>
                    <w:t>0.5</w:t>
                  </w:r>
                </w:p>
              </w:tc>
              <w:tc>
                <w:tcPr>
                  <w:tcW w:w="846" w:type="dxa"/>
                  <w:tcBorders>
                    <w:tl2br w:val="nil"/>
                    <w:tr2bl w:val="nil"/>
                  </w:tcBorders>
                  <w:vAlign w:val="center"/>
                </w:tcPr>
                <w:p w14:paraId="2A490238">
                  <w:pPr>
                    <w:pStyle w:val="120"/>
                    <w:rPr>
                      <w:szCs w:val="21"/>
                    </w:rPr>
                  </w:pPr>
                  <w:r>
                    <w:rPr>
                      <w:rFonts w:hint="eastAsia"/>
                      <w:szCs w:val="21"/>
                    </w:rPr>
                    <w:t>1.3</w:t>
                  </w:r>
                </w:p>
              </w:tc>
            </w:tr>
            <w:tr w14:paraId="3B528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6" w:type="dxa"/>
                  <w:tcBorders>
                    <w:tl2br w:val="nil"/>
                    <w:tr2bl w:val="nil"/>
                  </w:tcBorders>
                  <w:vAlign w:val="center"/>
                </w:tcPr>
                <w:p w14:paraId="3F353CA9">
                  <w:pPr>
                    <w:pStyle w:val="120"/>
                    <w:rPr>
                      <w:szCs w:val="21"/>
                    </w:rPr>
                  </w:pPr>
                  <w:r>
                    <w:rPr>
                      <w:rFonts w:hint="eastAsia"/>
                      <w:szCs w:val="21"/>
                    </w:rPr>
                    <w:t>2</w:t>
                  </w:r>
                </w:p>
              </w:tc>
              <w:tc>
                <w:tcPr>
                  <w:tcW w:w="1026" w:type="dxa"/>
                  <w:tcBorders>
                    <w:tl2br w:val="nil"/>
                    <w:tr2bl w:val="nil"/>
                  </w:tcBorders>
                  <w:shd w:val="clear" w:color="auto" w:fill="auto"/>
                  <w:vAlign w:val="center"/>
                </w:tcPr>
                <w:p w14:paraId="49A5BA56">
                  <w:pPr>
                    <w:pStyle w:val="120"/>
                    <w:rPr>
                      <w:szCs w:val="21"/>
                    </w:rPr>
                  </w:pPr>
                  <w:r>
                    <w:rPr>
                      <w:rFonts w:hint="eastAsia"/>
                      <w:szCs w:val="21"/>
                    </w:rPr>
                    <w:t>石子、砂子输送</w:t>
                  </w:r>
                </w:p>
              </w:tc>
              <w:tc>
                <w:tcPr>
                  <w:tcW w:w="855" w:type="dxa"/>
                  <w:tcBorders>
                    <w:tl2br w:val="nil"/>
                    <w:tr2bl w:val="nil"/>
                  </w:tcBorders>
                  <w:vAlign w:val="center"/>
                </w:tcPr>
                <w:p w14:paraId="2BCC5148">
                  <w:pPr>
                    <w:pStyle w:val="120"/>
                    <w:rPr>
                      <w:szCs w:val="21"/>
                    </w:rPr>
                  </w:pPr>
                  <w:r>
                    <w:rPr>
                      <w:rFonts w:hint="eastAsia"/>
                      <w:szCs w:val="21"/>
                    </w:rPr>
                    <w:t>颗粒物</w:t>
                  </w:r>
                </w:p>
              </w:tc>
              <w:tc>
                <w:tcPr>
                  <w:tcW w:w="1875" w:type="dxa"/>
                  <w:tcBorders>
                    <w:tl2br w:val="nil"/>
                    <w:tr2bl w:val="nil"/>
                  </w:tcBorders>
                  <w:shd w:val="clear" w:color="auto" w:fill="auto"/>
                  <w:vAlign w:val="center"/>
                </w:tcPr>
                <w:p w14:paraId="37276002">
                  <w:pPr>
                    <w:pStyle w:val="120"/>
                    <w:rPr>
                      <w:szCs w:val="21"/>
                    </w:rPr>
                  </w:pPr>
                  <w:r>
                    <w:rPr>
                      <w:rFonts w:hint="eastAsia"/>
                      <w:szCs w:val="21"/>
                    </w:rPr>
                    <w:t>皮带输送系统，进料、下料和转运的上方加装半密闭的防尘罩</w:t>
                  </w:r>
                </w:p>
              </w:tc>
              <w:tc>
                <w:tcPr>
                  <w:tcW w:w="2315" w:type="dxa"/>
                  <w:vMerge w:val="continue"/>
                  <w:tcBorders>
                    <w:tl2br w:val="nil"/>
                    <w:tr2bl w:val="nil"/>
                  </w:tcBorders>
                  <w:vAlign w:val="center"/>
                </w:tcPr>
                <w:p w14:paraId="71A1635D">
                  <w:pPr>
                    <w:pStyle w:val="120"/>
                    <w:rPr>
                      <w:szCs w:val="21"/>
                    </w:rPr>
                  </w:pPr>
                </w:p>
              </w:tc>
              <w:tc>
                <w:tcPr>
                  <w:tcW w:w="1201" w:type="dxa"/>
                  <w:vMerge w:val="continue"/>
                  <w:tcBorders>
                    <w:tl2br w:val="nil"/>
                    <w:tr2bl w:val="nil"/>
                  </w:tcBorders>
                  <w:vAlign w:val="center"/>
                </w:tcPr>
                <w:p w14:paraId="64434BF1">
                  <w:pPr>
                    <w:pStyle w:val="120"/>
                    <w:rPr>
                      <w:szCs w:val="21"/>
                    </w:rPr>
                  </w:pPr>
                </w:p>
              </w:tc>
              <w:tc>
                <w:tcPr>
                  <w:tcW w:w="846" w:type="dxa"/>
                  <w:tcBorders>
                    <w:tl2br w:val="nil"/>
                    <w:tr2bl w:val="nil"/>
                  </w:tcBorders>
                  <w:vAlign w:val="center"/>
                </w:tcPr>
                <w:p w14:paraId="0C6ECDA2">
                  <w:pPr>
                    <w:pStyle w:val="120"/>
                    <w:rPr>
                      <w:szCs w:val="21"/>
                    </w:rPr>
                  </w:pPr>
                  <w:r>
                    <w:rPr>
                      <w:rFonts w:hint="eastAsia"/>
                      <w:szCs w:val="21"/>
                    </w:rPr>
                    <w:t>0.175</w:t>
                  </w:r>
                </w:p>
              </w:tc>
            </w:tr>
            <w:tr w14:paraId="2F0AD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6" w:type="dxa"/>
                  <w:tcBorders>
                    <w:tl2br w:val="nil"/>
                    <w:tr2bl w:val="nil"/>
                  </w:tcBorders>
                  <w:vAlign w:val="center"/>
                </w:tcPr>
                <w:p w14:paraId="36437587">
                  <w:pPr>
                    <w:pStyle w:val="120"/>
                    <w:rPr>
                      <w:szCs w:val="21"/>
                    </w:rPr>
                  </w:pPr>
                  <w:r>
                    <w:rPr>
                      <w:rFonts w:hint="eastAsia"/>
                      <w:szCs w:val="21"/>
                    </w:rPr>
                    <w:t>3</w:t>
                  </w:r>
                </w:p>
              </w:tc>
              <w:tc>
                <w:tcPr>
                  <w:tcW w:w="1026" w:type="dxa"/>
                  <w:tcBorders>
                    <w:tl2br w:val="nil"/>
                    <w:tr2bl w:val="nil"/>
                  </w:tcBorders>
                  <w:shd w:val="clear" w:color="auto" w:fill="auto"/>
                  <w:vAlign w:val="center"/>
                </w:tcPr>
                <w:p w14:paraId="735256BF">
                  <w:pPr>
                    <w:pStyle w:val="120"/>
                    <w:rPr>
                      <w:szCs w:val="21"/>
                    </w:rPr>
                  </w:pPr>
                  <w:r>
                    <w:rPr>
                      <w:rFonts w:hint="eastAsia"/>
                      <w:szCs w:val="21"/>
                    </w:rPr>
                    <w:t>水泥罐</w:t>
                  </w:r>
                </w:p>
                <w:p w14:paraId="2415064B">
                  <w:pPr>
                    <w:pStyle w:val="120"/>
                    <w:rPr>
                      <w:szCs w:val="21"/>
                    </w:rPr>
                  </w:pPr>
                  <w:r>
                    <w:rPr>
                      <w:rFonts w:hint="eastAsia"/>
                      <w:szCs w:val="21"/>
                    </w:rPr>
                    <w:t>呼吸</w:t>
                  </w:r>
                </w:p>
              </w:tc>
              <w:tc>
                <w:tcPr>
                  <w:tcW w:w="855" w:type="dxa"/>
                  <w:tcBorders>
                    <w:tl2br w:val="nil"/>
                    <w:tr2bl w:val="nil"/>
                  </w:tcBorders>
                  <w:vAlign w:val="center"/>
                </w:tcPr>
                <w:p w14:paraId="6701A37F">
                  <w:pPr>
                    <w:pStyle w:val="120"/>
                    <w:rPr>
                      <w:szCs w:val="21"/>
                    </w:rPr>
                  </w:pPr>
                  <w:r>
                    <w:rPr>
                      <w:rFonts w:hint="eastAsia"/>
                      <w:szCs w:val="21"/>
                    </w:rPr>
                    <w:t>颗粒物</w:t>
                  </w:r>
                </w:p>
              </w:tc>
              <w:tc>
                <w:tcPr>
                  <w:tcW w:w="1875" w:type="dxa"/>
                  <w:tcBorders>
                    <w:tl2br w:val="nil"/>
                    <w:tr2bl w:val="nil"/>
                  </w:tcBorders>
                  <w:shd w:val="clear" w:color="auto" w:fill="auto"/>
                  <w:vAlign w:val="center"/>
                </w:tcPr>
                <w:p w14:paraId="6005EAF2">
                  <w:pPr>
                    <w:pStyle w:val="120"/>
                    <w:rPr>
                      <w:szCs w:val="21"/>
                    </w:rPr>
                  </w:pPr>
                  <w:r>
                    <w:rPr>
                      <w:rFonts w:hint="eastAsia"/>
                      <w:szCs w:val="21"/>
                    </w:rPr>
                    <w:t>水泥罐顶滤筒式袋式除尘器</w:t>
                  </w:r>
                </w:p>
              </w:tc>
              <w:tc>
                <w:tcPr>
                  <w:tcW w:w="2315" w:type="dxa"/>
                  <w:vMerge w:val="continue"/>
                  <w:tcBorders>
                    <w:tl2br w:val="nil"/>
                    <w:tr2bl w:val="nil"/>
                  </w:tcBorders>
                  <w:vAlign w:val="center"/>
                </w:tcPr>
                <w:p w14:paraId="3244E54F">
                  <w:pPr>
                    <w:pStyle w:val="120"/>
                    <w:rPr>
                      <w:szCs w:val="21"/>
                    </w:rPr>
                  </w:pPr>
                </w:p>
              </w:tc>
              <w:tc>
                <w:tcPr>
                  <w:tcW w:w="1201" w:type="dxa"/>
                  <w:vMerge w:val="continue"/>
                  <w:tcBorders>
                    <w:tl2br w:val="nil"/>
                    <w:tr2bl w:val="nil"/>
                  </w:tcBorders>
                  <w:vAlign w:val="center"/>
                </w:tcPr>
                <w:p w14:paraId="67BB930F">
                  <w:pPr>
                    <w:pStyle w:val="120"/>
                    <w:rPr>
                      <w:szCs w:val="21"/>
                    </w:rPr>
                  </w:pPr>
                </w:p>
              </w:tc>
              <w:tc>
                <w:tcPr>
                  <w:tcW w:w="846" w:type="dxa"/>
                  <w:tcBorders>
                    <w:tl2br w:val="nil"/>
                    <w:tr2bl w:val="nil"/>
                  </w:tcBorders>
                  <w:vAlign w:val="center"/>
                </w:tcPr>
                <w:p w14:paraId="3FE3286A">
                  <w:pPr>
                    <w:pStyle w:val="120"/>
                    <w:rPr>
                      <w:szCs w:val="21"/>
                    </w:rPr>
                  </w:pPr>
                  <w:r>
                    <w:rPr>
                      <w:rFonts w:hint="eastAsia"/>
                      <w:szCs w:val="21"/>
                    </w:rPr>
                    <w:t>0.139</w:t>
                  </w:r>
                </w:p>
              </w:tc>
            </w:tr>
            <w:tr w14:paraId="5BF7B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6" w:type="dxa"/>
                  <w:tcBorders>
                    <w:tl2br w:val="nil"/>
                    <w:tr2bl w:val="nil"/>
                  </w:tcBorders>
                  <w:vAlign w:val="center"/>
                </w:tcPr>
                <w:p w14:paraId="719F7433">
                  <w:pPr>
                    <w:pStyle w:val="120"/>
                    <w:rPr>
                      <w:szCs w:val="21"/>
                    </w:rPr>
                  </w:pPr>
                  <w:r>
                    <w:rPr>
                      <w:rFonts w:hint="eastAsia"/>
                      <w:szCs w:val="21"/>
                    </w:rPr>
                    <w:t>4</w:t>
                  </w:r>
                </w:p>
              </w:tc>
              <w:tc>
                <w:tcPr>
                  <w:tcW w:w="1026" w:type="dxa"/>
                  <w:tcBorders>
                    <w:tl2br w:val="nil"/>
                    <w:tr2bl w:val="nil"/>
                  </w:tcBorders>
                  <w:shd w:val="clear" w:color="auto" w:fill="auto"/>
                  <w:vAlign w:val="center"/>
                </w:tcPr>
                <w:p w14:paraId="253AA313">
                  <w:pPr>
                    <w:pStyle w:val="120"/>
                    <w:rPr>
                      <w:szCs w:val="21"/>
                    </w:rPr>
                  </w:pPr>
                  <w:r>
                    <w:rPr>
                      <w:rFonts w:hint="eastAsia"/>
                      <w:szCs w:val="21"/>
                    </w:rPr>
                    <w:t>搅拌</w:t>
                  </w:r>
                </w:p>
              </w:tc>
              <w:tc>
                <w:tcPr>
                  <w:tcW w:w="855" w:type="dxa"/>
                  <w:tcBorders>
                    <w:tl2br w:val="nil"/>
                    <w:tr2bl w:val="nil"/>
                  </w:tcBorders>
                  <w:vAlign w:val="center"/>
                </w:tcPr>
                <w:p w14:paraId="4106D745">
                  <w:pPr>
                    <w:pStyle w:val="120"/>
                    <w:rPr>
                      <w:szCs w:val="21"/>
                    </w:rPr>
                  </w:pPr>
                  <w:r>
                    <w:rPr>
                      <w:rFonts w:hint="eastAsia"/>
                      <w:szCs w:val="21"/>
                    </w:rPr>
                    <w:t>颗粒物</w:t>
                  </w:r>
                </w:p>
              </w:tc>
              <w:tc>
                <w:tcPr>
                  <w:tcW w:w="1875" w:type="dxa"/>
                  <w:tcBorders>
                    <w:tl2br w:val="nil"/>
                    <w:tr2bl w:val="nil"/>
                  </w:tcBorders>
                  <w:shd w:val="clear" w:color="auto" w:fill="auto"/>
                  <w:vAlign w:val="center"/>
                </w:tcPr>
                <w:p w14:paraId="3CB65FA7">
                  <w:pPr>
                    <w:pStyle w:val="120"/>
                    <w:rPr>
                      <w:szCs w:val="21"/>
                    </w:rPr>
                  </w:pPr>
                  <w:r>
                    <w:rPr>
                      <w:rFonts w:hint="eastAsia"/>
                      <w:szCs w:val="21"/>
                    </w:rPr>
                    <w:t>密闭湿法搅拌、</w:t>
                  </w:r>
                </w:p>
                <w:p w14:paraId="62DA63CA">
                  <w:pPr>
                    <w:pStyle w:val="120"/>
                    <w:rPr>
                      <w:szCs w:val="21"/>
                    </w:rPr>
                  </w:pPr>
                  <w:r>
                    <w:rPr>
                      <w:rFonts w:hint="eastAsia"/>
                      <w:szCs w:val="21"/>
                    </w:rPr>
                    <w:t>水喷淋</w:t>
                  </w:r>
                </w:p>
              </w:tc>
              <w:tc>
                <w:tcPr>
                  <w:tcW w:w="2315" w:type="dxa"/>
                  <w:vMerge w:val="continue"/>
                  <w:tcBorders>
                    <w:tl2br w:val="nil"/>
                    <w:tr2bl w:val="nil"/>
                  </w:tcBorders>
                  <w:vAlign w:val="center"/>
                </w:tcPr>
                <w:p w14:paraId="1D47EA6F">
                  <w:pPr>
                    <w:pStyle w:val="120"/>
                    <w:rPr>
                      <w:szCs w:val="21"/>
                    </w:rPr>
                  </w:pPr>
                </w:p>
              </w:tc>
              <w:tc>
                <w:tcPr>
                  <w:tcW w:w="1201" w:type="dxa"/>
                  <w:vMerge w:val="continue"/>
                  <w:tcBorders>
                    <w:tl2br w:val="nil"/>
                    <w:tr2bl w:val="nil"/>
                  </w:tcBorders>
                  <w:vAlign w:val="center"/>
                </w:tcPr>
                <w:p w14:paraId="4BA00A44">
                  <w:pPr>
                    <w:pStyle w:val="120"/>
                    <w:rPr>
                      <w:szCs w:val="21"/>
                    </w:rPr>
                  </w:pPr>
                </w:p>
              </w:tc>
              <w:tc>
                <w:tcPr>
                  <w:tcW w:w="846" w:type="dxa"/>
                  <w:tcBorders>
                    <w:tl2br w:val="nil"/>
                    <w:tr2bl w:val="nil"/>
                  </w:tcBorders>
                  <w:vAlign w:val="center"/>
                </w:tcPr>
                <w:p w14:paraId="435D823B">
                  <w:pPr>
                    <w:pStyle w:val="120"/>
                    <w:rPr>
                      <w:szCs w:val="21"/>
                    </w:rPr>
                  </w:pPr>
                  <w:r>
                    <w:rPr>
                      <w:rFonts w:hint="eastAsia"/>
                      <w:szCs w:val="21"/>
                    </w:rPr>
                    <w:t>0.679</w:t>
                  </w:r>
                </w:p>
              </w:tc>
            </w:tr>
            <w:tr w14:paraId="1908E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6" w:type="dxa"/>
                  <w:tcBorders>
                    <w:tl2br w:val="nil"/>
                    <w:tr2bl w:val="nil"/>
                  </w:tcBorders>
                  <w:vAlign w:val="center"/>
                </w:tcPr>
                <w:p w14:paraId="3B6B15F9">
                  <w:pPr>
                    <w:pStyle w:val="120"/>
                    <w:rPr>
                      <w:szCs w:val="21"/>
                    </w:rPr>
                  </w:pPr>
                  <w:r>
                    <w:rPr>
                      <w:rFonts w:hint="eastAsia"/>
                      <w:szCs w:val="21"/>
                    </w:rPr>
                    <w:t>5</w:t>
                  </w:r>
                </w:p>
              </w:tc>
              <w:tc>
                <w:tcPr>
                  <w:tcW w:w="1026" w:type="dxa"/>
                  <w:tcBorders>
                    <w:tl2br w:val="nil"/>
                    <w:tr2bl w:val="nil"/>
                  </w:tcBorders>
                  <w:shd w:val="clear" w:color="auto" w:fill="auto"/>
                  <w:vAlign w:val="center"/>
                </w:tcPr>
                <w:p w14:paraId="080C3534">
                  <w:pPr>
                    <w:pStyle w:val="120"/>
                    <w:rPr>
                      <w:szCs w:val="21"/>
                    </w:rPr>
                  </w:pPr>
                  <w:r>
                    <w:rPr>
                      <w:rFonts w:hint="eastAsia"/>
                      <w:szCs w:val="21"/>
                    </w:rPr>
                    <w:t>焊接</w:t>
                  </w:r>
                </w:p>
              </w:tc>
              <w:tc>
                <w:tcPr>
                  <w:tcW w:w="855" w:type="dxa"/>
                  <w:tcBorders>
                    <w:tl2br w:val="nil"/>
                    <w:tr2bl w:val="nil"/>
                  </w:tcBorders>
                  <w:vAlign w:val="center"/>
                </w:tcPr>
                <w:p w14:paraId="0670ADA0">
                  <w:pPr>
                    <w:pStyle w:val="120"/>
                    <w:rPr>
                      <w:szCs w:val="21"/>
                    </w:rPr>
                  </w:pPr>
                  <w:r>
                    <w:rPr>
                      <w:rFonts w:hint="eastAsia"/>
                      <w:szCs w:val="21"/>
                    </w:rPr>
                    <w:t>颗粒物</w:t>
                  </w:r>
                </w:p>
              </w:tc>
              <w:tc>
                <w:tcPr>
                  <w:tcW w:w="1875" w:type="dxa"/>
                  <w:tcBorders>
                    <w:tl2br w:val="nil"/>
                    <w:tr2bl w:val="nil"/>
                  </w:tcBorders>
                  <w:shd w:val="clear" w:color="auto" w:fill="auto"/>
                  <w:vAlign w:val="center"/>
                </w:tcPr>
                <w:p w14:paraId="3C9EB37A">
                  <w:pPr>
                    <w:pStyle w:val="120"/>
                    <w:rPr>
                      <w:szCs w:val="21"/>
                    </w:rPr>
                  </w:pPr>
                  <w:r>
                    <w:rPr>
                      <w:rFonts w:hint="eastAsia"/>
                      <w:szCs w:val="21"/>
                    </w:rPr>
                    <w:t>移动焊烟净化器</w:t>
                  </w:r>
                </w:p>
              </w:tc>
              <w:tc>
                <w:tcPr>
                  <w:tcW w:w="2315" w:type="dxa"/>
                  <w:vMerge w:val="continue"/>
                  <w:tcBorders>
                    <w:tl2br w:val="nil"/>
                    <w:tr2bl w:val="nil"/>
                  </w:tcBorders>
                  <w:vAlign w:val="center"/>
                </w:tcPr>
                <w:p w14:paraId="715740D5">
                  <w:pPr>
                    <w:pStyle w:val="120"/>
                    <w:rPr>
                      <w:szCs w:val="21"/>
                    </w:rPr>
                  </w:pPr>
                </w:p>
              </w:tc>
              <w:tc>
                <w:tcPr>
                  <w:tcW w:w="1201" w:type="dxa"/>
                  <w:vMerge w:val="continue"/>
                  <w:tcBorders>
                    <w:tl2br w:val="nil"/>
                    <w:tr2bl w:val="nil"/>
                  </w:tcBorders>
                  <w:vAlign w:val="center"/>
                </w:tcPr>
                <w:p w14:paraId="4357E5F1">
                  <w:pPr>
                    <w:pStyle w:val="120"/>
                    <w:rPr>
                      <w:szCs w:val="21"/>
                    </w:rPr>
                  </w:pPr>
                </w:p>
              </w:tc>
              <w:tc>
                <w:tcPr>
                  <w:tcW w:w="846" w:type="dxa"/>
                  <w:tcBorders>
                    <w:tl2br w:val="nil"/>
                    <w:tr2bl w:val="nil"/>
                  </w:tcBorders>
                  <w:vAlign w:val="center"/>
                </w:tcPr>
                <w:p w14:paraId="7ED6AB2A">
                  <w:pPr>
                    <w:pStyle w:val="120"/>
                    <w:rPr>
                      <w:szCs w:val="21"/>
                    </w:rPr>
                  </w:pPr>
                  <w:r>
                    <w:rPr>
                      <w:rFonts w:hint="eastAsia"/>
                      <w:szCs w:val="21"/>
                    </w:rPr>
                    <w:t>0.008</w:t>
                  </w:r>
                </w:p>
              </w:tc>
            </w:tr>
            <w:tr w14:paraId="35282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504" w:type="dxa"/>
                  <w:gridSpan w:val="7"/>
                  <w:tcBorders>
                    <w:tl2br w:val="nil"/>
                    <w:tr2bl w:val="nil"/>
                  </w:tcBorders>
                  <w:vAlign w:val="center"/>
                </w:tcPr>
                <w:p w14:paraId="6F8B77E8">
                  <w:pPr>
                    <w:pStyle w:val="120"/>
                    <w:rPr>
                      <w:szCs w:val="21"/>
                    </w:rPr>
                  </w:pPr>
                  <w:r>
                    <w:rPr>
                      <w:szCs w:val="21"/>
                    </w:rPr>
                    <w:t>无组织排放总计</w:t>
                  </w:r>
                </w:p>
              </w:tc>
            </w:tr>
            <w:tr w14:paraId="3A72B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412" w:type="dxa"/>
                  <w:gridSpan w:val="2"/>
                  <w:tcBorders>
                    <w:tl2br w:val="nil"/>
                    <w:tr2bl w:val="nil"/>
                  </w:tcBorders>
                  <w:vAlign w:val="center"/>
                </w:tcPr>
                <w:p w14:paraId="61FAF2C4">
                  <w:pPr>
                    <w:pStyle w:val="120"/>
                    <w:rPr>
                      <w:szCs w:val="21"/>
                    </w:rPr>
                  </w:pPr>
                  <w:r>
                    <w:rPr>
                      <w:szCs w:val="21"/>
                    </w:rPr>
                    <w:t>无组织排放</w:t>
                  </w:r>
                </w:p>
                <w:p w14:paraId="4107F37E">
                  <w:pPr>
                    <w:pStyle w:val="120"/>
                    <w:rPr>
                      <w:szCs w:val="21"/>
                    </w:rPr>
                  </w:pPr>
                  <w:r>
                    <w:rPr>
                      <w:szCs w:val="21"/>
                    </w:rPr>
                    <w:t>总计</w:t>
                  </w:r>
                </w:p>
              </w:tc>
              <w:tc>
                <w:tcPr>
                  <w:tcW w:w="6246" w:type="dxa"/>
                  <w:gridSpan w:val="4"/>
                  <w:tcBorders>
                    <w:tl2br w:val="nil"/>
                    <w:tr2bl w:val="nil"/>
                  </w:tcBorders>
                  <w:vAlign w:val="center"/>
                </w:tcPr>
                <w:p w14:paraId="5786CD41">
                  <w:pPr>
                    <w:pStyle w:val="120"/>
                    <w:rPr>
                      <w:szCs w:val="21"/>
                    </w:rPr>
                  </w:pPr>
                  <w:r>
                    <w:rPr>
                      <w:rFonts w:hint="eastAsia"/>
                      <w:szCs w:val="21"/>
                    </w:rPr>
                    <w:t>颗粒物</w:t>
                  </w:r>
                </w:p>
              </w:tc>
              <w:tc>
                <w:tcPr>
                  <w:tcW w:w="846" w:type="dxa"/>
                  <w:tcBorders>
                    <w:tl2br w:val="nil"/>
                    <w:tr2bl w:val="nil"/>
                  </w:tcBorders>
                  <w:vAlign w:val="center"/>
                </w:tcPr>
                <w:p w14:paraId="43D86BC2">
                  <w:pPr>
                    <w:pStyle w:val="120"/>
                    <w:rPr>
                      <w:szCs w:val="21"/>
                    </w:rPr>
                  </w:pPr>
                  <w:r>
                    <w:rPr>
                      <w:rFonts w:hint="eastAsia"/>
                      <w:szCs w:val="21"/>
                    </w:rPr>
                    <w:t>2.301</w:t>
                  </w:r>
                </w:p>
              </w:tc>
            </w:tr>
          </w:tbl>
          <w:p w14:paraId="20C43C9E">
            <w:pPr>
              <w:pStyle w:val="66"/>
              <w:ind w:firstLine="482"/>
              <w:rPr>
                <w:b/>
                <w:bCs/>
                <w:kern w:val="2"/>
                <w:sz w:val="24"/>
                <w:szCs w:val="24"/>
              </w:rPr>
            </w:pPr>
            <w:r>
              <w:rPr>
                <w:rFonts w:hint="eastAsia"/>
                <w:b/>
                <w:bCs/>
                <w:kern w:val="2"/>
                <w:sz w:val="24"/>
                <w:szCs w:val="24"/>
              </w:rPr>
              <w:t>7</w:t>
            </w:r>
            <w:r>
              <w:rPr>
                <w:b/>
                <w:bCs/>
                <w:kern w:val="2"/>
                <w:sz w:val="24"/>
                <w:szCs w:val="24"/>
              </w:rPr>
              <w:t>、</w:t>
            </w:r>
            <w:r>
              <w:rPr>
                <w:rFonts w:hint="eastAsia"/>
                <w:b/>
                <w:bCs/>
                <w:kern w:val="2"/>
                <w:sz w:val="24"/>
                <w:szCs w:val="24"/>
              </w:rPr>
              <w:t>废气环境影响</w:t>
            </w:r>
          </w:p>
          <w:p w14:paraId="0C2ED610">
            <w:pPr>
              <w:pStyle w:val="115"/>
              <w:wordWrap w:val="0"/>
              <w:rPr>
                <w:szCs w:val="24"/>
                <w:lang w:eastAsia="zh-CN"/>
              </w:rPr>
            </w:pPr>
            <w:r>
              <w:rPr>
                <w:lang w:eastAsia="zh-CN"/>
              </w:rPr>
              <w:t>根据福清市人民政府</w:t>
            </w:r>
            <w:r>
              <w:rPr>
                <w:rFonts w:hint="eastAsia"/>
                <w:lang w:eastAsia="zh-CN"/>
              </w:rPr>
              <w:t>门户网站公布的环境质量通报2023年1月~12月环境空气统计数据平均值</w:t>
            </w:r>
            <w:r>
              <w:rPr>
                <w:lang w:eastAsia="zh-CN"/>
              </w:rPr>
              <w:t>可知，</w:t>
            </w:r>
            <w:r>
              <w:rPr>
                <w:szCs w:val="24"/>
                <w:lang w:eastAsia="zh-CN"/>
              </w:rPr>
              <w:t>项目所在区域的SO</w:t>
            </w:r>
            <w:r>
              <w:rPr>
                <w:szCs w:val="24"/>
                <w:vertAlign w:val="subscript"/>
                <w:lang w:eastAsia="zh-CN"/>
              </w:rPr>
              <w:t>2</w:t>
            </w:r>
            <w:r>
              <w:rPr>
                <w:szCs w:val="24"/>
                <w:lang w:eastAsia="zh-CN"/>
              </w:rPr>
              <w:t>、NO</w:t>
            </w:r>
            <w:r>
              <w:rPr>
                <w:szCs w:val="24"/>
                <w:vertAlign w:val="subscript"/>
                <w:lang w:eastAsia="zh-CN"/>
              </w:rPr>
              <w:t>2</w:t>
            </w:r>
            <w:r>
              <w:rPr>
                <w:szCs w:val="24"/>
                <w:lang w:eastAsia="zh-CN"/>
              </w:rPr>
              <w:t>、PM</w:t>
            </w:r>
            <w:r>
              <w:rPr>
                <w:szCs w:val="24"/>
                <w:vertAlign w:val="subscript"/>
                <w:lang w:eastAsia="zh-CN"/>
              </w:rPr>
              <w:t>10</w:t>
            </w:r>
            <w:r>
              <w:rPr>
                <w:szCs w:val="24"/>
                <w:lang w:eastAsia="zh-CN"/>
              </w:rPr>
              <w:t>、PM</w:t>
            </w:r>
            <w:r>
              <w:rPr>
                <w:szCs w:val="24"/>
                <w:vertAlign w:val="subscript"/>
                <w:lang w:eastAsia="zh-CN"/>
              </w:rPr>
              <w:t>2.5</w:t>
            </w:r>
            <w:r>
              <w:rPr>
                <w:szCs w:val="24"/>
                <w:lang w:eastAsia="zh-CN"/>
              </w:rPr>
              <w:t>、O</w:t>
            </w:r>
            <w:r>
              <w:rPr>
                <w:szCs w:val="24"/>
                <w:vertAlign w:val="subscript"/>
                <w:lang w:eastAsia="zh-CN"/>
              </w:rPr>
              <w:t>3</w:t>
            </w:r>
            <w:r>
              <w:rPr>
                <w:szCs w:val="24"/>
                <w:lang w:eastAsia="zh-CN"/>
              </w:rPr>
              <w:t>、CO六项基本污染物均达到《环境空气质量标准》（GB3095-2012）及其修改单（生态环境部2018年第29号）二级标准，故项目所在区域为空气环境质量属达标区</w:t>
            </w:r>
            <w:r>
              <w:rPr>
                <w:rFonts w:hint="eastAsia"/>
                <w:szCs w:val="24"/>
                <w:lang w:eastAsia="zh-CN"/>
              </w:rPr>
              <w:t>。</w:t>
            </w:r>
          </w:p>
          <w:p w14:paraId="3F560E6F">
            <w:pPr>
              <w:pStyle w:val="115"/>
              <w:wordWrap w:val="0"/>
              <w:rPr>
                <w:szCs w:val="24"/>
                <w:highlight w:val="yellow"/>
                <w:lang w:eastAsia="zh-CN"/>
              </w:rPr>
            </w:pPr>
            <w:r>
              <w:rPr>
                <w:rFonts w:hint="eastAsia"/>
                <w:szCs w:val="24"/>
                <w:lang w:eastAsia="zh-CN"/>
              </w:rPr>
              <w:t>项目500</w:t>
            </w:r>
            <w:r>
              <w:rPr>
                <w:szCs w:val="24"/>
                <w:lang w:eastAsia="zh-CN"/>
              </w:rPr>
              <w:t>米范围内的大气环境敏感点为</w:t>
            </w:r>
            <w:r>
              <w:rPr>
                <w:rFonts w:hint="eastAsia"/>
                <w:szCs w:val="24"/>
                <w:lang w:eastAsia="zh-CN"/>
              </w:rPr>
              <w:t>西北</w:t>
            </w:r>
            <w:r>
              <w:rPr>
                <w:szCs w:val="24"/>
                <w:lang w:eastAsia="zh-CN"/>
              </w:rPr>
              <w:t>侧的</w:t>
            </w:r>
            <w:r>
              <w:rPr>
                <w:rFonts w:hint="eastAsia"/>
                <w:szCs w:val="24"/>
                <w:lang w:eastAsia="zh-CN"/>
              </w:rPr>
              <w:t>下堡村</w:t>
            </w:r>
            <w:r>
              <w:rPr>
                <w:szCs w:val="24"/>
                <w:lang w:eastAsia="zh-CN"/>
              </w:rPr>
              <w:t>，敏感点位于项目所在区域主导风向的上风向处，距离本项目</w:t>
            </w:r>
            <w:r>
              <w:rPr>
                <w:rFonts w:hint="eastAsia"/>
                <w:szCs w:val="24"/>
                <w:lang w:eastAsia="zh-CN"/>
              </w:rPr>
              <w:t>250</w:t>
            </w:r>
            <w:r>
              <w:rPr>
                <w:szCs w:val="24"/>
                <w:lang w:eastAsia="zh-CN"/>
              </w:rPr>
              <w:t>m。根据前文分析，项目各产污环节均已落实污染防治措施，</w:t>
            </w:r>
            <w:r>
              <w:rPr>
                <w:rFonts w:hint="eastAsia"/>
                <w:szCs w:val="24"/>
                <w:lang w:eastAsia="zh-CN"/>
              </w:rPr>
              <w:t>本</w:t>
            </w:r>
            <w:r>
              <w:rPr>
                <w:szCs w:val="24"/>
                <w:lang w:eastAsia="zh-CN"/>
              </w:rPr>
              <w:t>项目</w:t>
            </w:r>
            <w:r>
              <w:rPr>
                <w:rFonts w:hint="eastAsia"/>
                <w:szCs w:val="24"/>
                <w:lang w:eastAsia="zh-CN"/>
              </w:rPr>
              <w:t>原料石子、砂子堆场设在车间内，装卸过程洒水抑尘，</w:t>
            </w:r>
            <w:r>
              <w:rPr>
                <w:rFonts w:hint="eastAsia"/>
                <w:lang w:eastAsia="zh-CN"/>
              </w:rPr>
              <w:t>对原料砂石堆场定期喷水，保持堆料表层湿润，保持表层含水率≥10%，并用篷布遮盖；</w:t>
            </w:r>
            <w:r>
              <w:rPr>
                <w:rFonts w:hint="eastAsia"/>
                <w:szCs w:val="24"/>
                <w:lang w:eastAsia="zh-CN"/>
              </w:rPr>
              <w:t>水泥粉料储存在生产车间水泥罐中，水泥罐顶有滤筒除尘器；</w:t>
            </w:r>
            <w:r>
              <w:rPr>
                <w:rStyle w:val="153"/>
                <w:lang w:eastAsia="zh-CN"/>
              </w:rPr>
              <w:t>水泥输料系统、计量系统均采用密闭式管道输料</w:t>
            </w:r>
            <w:r>
              <w:rPr>
                <w:rFonts w:hint="eastAsia" w:hAnsi="宋体"/>
                <w:lang w:eastAsia="zh-CN"/>
              </w:rPr>
              <w:t>，石子、砂子均采用皮带传输系统，进料、下料和转运的上方加装半密闭的防尘罩，可有效防止传输系统的粉尘飞扬；密闭湿法搅拌，</w:t>
            </w:r>
            <w:r>
              <w:rPr>
                <w:rFonts w:hint="eastAsia"/>
                <w:szCs w:val="24"/>
                <w:lang w:eastAsia="zh-CN"/>
              </w:rPr>
              <w:t>搅拌产生的粉尘进行水喷淋；焊接烟尘采用一定焊烟净化器处理后无组织排放，</w:t>
            </w:r>
            <w:r>
              <w:rPr>
                <w:szCs w:val="24"/>
                <w:lang w:eastAsia="zh-CN"/>
              </w:rPr>
              <w:t>项目</w:t>
            </w:r>
            <w:r>
              <w:rPr>
                <w:rFonts w:hint="eastAsia"/>
                <w:szCs w:val="24"/>
                <w:lang w:eastAsia="zh-CN"/>
              </w:rPr>
              <w:t>厂区</w:t>
            </w:r>
            <w:r>
              <w:rPr>
                <w:szCs w:val="24"/>
                <w:lang w:eastAsia="zh-CN"/>
              </w:rPr>
              <w:t>四周</w:t>
            </w:r>
            <w:r>
              <w:rPr>
                <w:rFonts w:hint="eastAsia"/>
                <w:szCs w:val="24"/>
                <w:lang w:eastAsia="zh-CN"/>
              </w:rPr>
              <w:t>会</w:t>
            </w:r>
            <w:r>
              <w:rPr>
                <w:szCs w:val="24"/>
                <w:lang w:eastAsia="zh-CN"/>
              </w:rPr>
              <w:t>植树绿化，产生的废气经处理后，厂界无组织废气可达标排放，因此，项目建成后，各污染物经处理设施处理以及大气扩散后对敏感点的影响较小，项目大气污染物排放对周边大气环境影响</w:t>
            </w:r>
            <w:r>
              <w:rPr>
                <w:rFonts w:hint="eastAsia"/>
                <w:szCs w:val="24"/>
                <w:lang w:eastAsia="zh-CN"/>
              </w:rPr>
              <w:t>小</w:t>
            </w:r>
            <w:r>
              <w:rPr>
                <w:szCs w:val="24"/>
                <w:lang w:eastAsia="zh-CN"/>
              </w:rPr>
              <w:t>。</w:t>
            </w:r>
          </w:p>
          <w:p w14:paraId="10276930">
            <w:pPr>
              <w:pStyle w:val="66"/>
              <w:ind w:firstLine="0" w:firstLineChars="0"/>
              <w:rPr>
                <w:b/>
                <w:bCs/>
                <w:kern w:val="2"/>
                <w:sz w:val="24"/>
                <w:szCs w:val="24"/>
              </w:rPr>
            </w:pPr>
            <w:r>
              <w:rPr>
                <w:b/>
                <w:bCs/>
                <w:kern w:val="2"/>
                <w:sz w:val="24"/>
                <w:szCs w:val="24"/>
              </w:rPr>
              <w:t>4.</w:t>
            </w:r>
            <w:r>
              <w:rPr>
                <w:rFonts w:hint="eastAsia"/>
                <w:b/>
                <w:bCs/>
                <w:kern w:val="2"/>
                <w:sz w:val="24"/>
                <w:szCs w:val="24"/>
              </w:rPr>
              <w:t>3运营期废水</w:t>
            </w:r>
            <w:r>
              <w:rPr>
                <w:b/>
                <w:bCs/>
                <w:kern w:val="2"/>
                <w:sz w:val="24"/>
                <w:szCs w:val="24"/>
              </w:rPr>
              <w:t>污染源核算及环保措施</w:t>
            </w:r>
          </w:p>
          <w:p w14:paraId="764541B0">
            <w:pPr>
              <w:pStyle w:val="66"/>
              <w:ind w:firstLine="482"/>
              <w:rPr>
                <w:b/>
                <w:bCs/>
                <w:kern w:val="2"/>
                <w:sz w:val="24"/>
                <w:szCs w:val="24"/>
              </w:rPr>
            </w:pPr>
            <w:r>
              <w:rPr>
                <w:b/>
                <w:bCs/>
                <w:kern w:val="2"/>
                <w:sz w:val="24"/>
                <w:szCs w:val="24"/>
              </w:rPr>
              <w:t>1、废水污染源核算</w:t>
            </w:r>
          </w:p>
          <w:p w14:paraId="79E76C52">
            <w:pPr>
              <w:widowControl/>
              <w:spacing w:line="360" w:lineRule="auto"/>
              <w:ind w:firstLine="480" w:firstLineChars="200"/>
              <w:textAlignment w:val="bottom"/>
              <w:rPr>
                <w:sz w:val="24"/>
              </w:rPr>
            </w:pPr>
            <w:r>
              <w:rPr>
                <w:rFonts w:hint="eastAsia"/>
                <w:sz w:val="24"/>
              </w:rPr>
              <w:t>本项目生产废水（搅拌机清洗废水和地面清洗废水）、初期雨水收集后经三级沉淀池处理后回用于生产，不外排。本项目排放的废水主要为生活污水。</w:t>
            </w:r>
          </w:p>
          <w:p w14:paraId="27C7D3FE">
            <w:pPr>
              <w:widowControl/>
              <w:spacing w:line="360" w:lineRule="auto"/>
              <w:ind w:firstLine="480" w:firstLineChars="200"/>
              <w:textAlignment w:val="bottom"/>
              <w:rPr>
                <w:sz w:val="24"/>
              </w:rPr>
            </w:pPr>
            <w:r>
              <w:rPr>
                <w:rFonts w:hint="eastAsia"/>
                <w:sz w:val="24"/>
              </w:rPr>
              <w:t>根据建设单位提供资料，项目建成后劳动定员80人(包括生产人员、管理人员等)，其中30人食宿厂区，年工作时间为300天。根据《建筑给水排水设计规范》(GB50015-2025)，不住厂员工生活用水量为50L/人，住厂员工生活用水量为150L/人，则全厂员工生活用水量约为7t/d(2100t/a)；</w:t>
            </w:r>
            <w:r>
              <w:rPr>
                <w:sz w:val="24"/>
              </w:rPr>
              <w:t>排水系数取0.8，则</w:t>
            </w:r>
            <w:r>
              <w:rPr>
                <w:rFonts w:hint="eastAsia"/>
                <w:sz w:val="24"/>
              </w:rPr>
              <w:t>员工</w:t>
            </w:r>
            <w:r>
              <w:rPr>
                <w:sz w:val="24"/>
              </w:rPr>
              <w:t>生活污水</w:t>
            </w:r>
            <w:r>
              <w:rPr>
                <w:rFonts w:hint="eastAsia"/>
                <w:sz w:val="24"/>
              </w:rPr>
              <w:t>产生</w:t>
            </w:r>
            <w:r>
              <w:rPr>
                <w:sz w:val="24"/>
              </w:rPr>
              <w:t>量为</w:t>
            </w:r>
            <w:r>
              <w:rPr>
                <w:rFonts w:hint="eastAsia"/>
                <w:sz w:val="24"/>
              </w:rPr>
              <w:t>5.6</w:t>
            </w:r>
            <w:r>
              <w:rPr>
                <w:sz w:val="24"/>
              </w:rPr>
              <w:t>t/d(</w:t>
            </w:r>
            <w:r>
              <w:rPr>
                <w:rFonts w:hint="eastAsia"/>
                <w:sz w:val="24"/>
              </w:rPr>
              <w:t>1680</w:t>
            </w:r>
            <w:r>
              <w:rPr>
                <w:sz w:val="24"/>
              </w:rPr>
              <w:t>t/a)</w:t>
            </w:r>
            <w:r>
              <w:rPr>
                <w:rFonts w:hint="eastAsia"/>
                <w:sz w:val="24"/>
              </w:rPr>
              <w:t>，经厂区西北侧化粪池处理后</w:t>
            </w:r>
            <w:r>
              <w:rPr>
                <w:sz w:val="24"/>
              </w:rPr>
              <w:t>接入市政污水管网</w:t>
            </w:r>
            <w:r>
              <w:rPr>
                <w:rFonts w:hint="eastAsia"/>
                <w:sz w:val="24"/>
              </w:rPr>
              <w:t>进入江阴污水处理厂处理。</w:t>
            </w:r>
          </w:p>
          <w:p w14:paraId="02D725DD">
            <w:pPr>
              <w:widowControl/>
              <w:spacing w:line="360" w:lineRule="auto"/>
              <w:ind w:firstLine="480" w:firstLineChars="200"/>
              <w:textAlignment w:val="bottom"/>
              <w:rPr>
                <w:sz w:val="24"/>
              </w:rPr>
            </w:pPr>
            <w:r>
              <w:rPr>
                <w:sz w:val="24"/>
              </w:rPr>
              <w:t>参照《给排水设计手册》</w:t>
            </w:r>
            <w:r>
              <w:rPr>
                <w:rFonts w:hint="eastAsia"/>
                <w:sz w:val="24"/>
              </w:rPr>
              <w:t>(第5册)中§4.2城镇污水水质，</w:t>
            </w:r>
            <w:r>
              <w:rPr>
                <w:sz w:val="24"/>
              </w:rPr>
              <w:t>本项目生活污水污染指标浓度选取为COD：400mg/L，BOD</w:t>
            </w:r>
            <w:r>
              <w:rPr>
                <w:sz w:val="24"/>
                <w:vertAlign w:val="subscript"/>
              </w:rPr>
              <w:t>5</w:t>
            </w:r>
            <w:r>
              <w:rPr>
                <w:sz w:val="24"/>
              </w:rPr>
              <w:t>：200mg/L，SS：220mg/L</w:t>
            </w:r>
            <w:r>
              <w:rPr>
                <w:rFonts w:hint="eastAsia"/>
                <w:sz w:val="24"/>
              </w:rPr>
              <w:t>、</w:t>
            </w:r>
            <w:r>
              <w:rPr>
                <w:sz w:val="24"/>
              </w:rPr>
              <w:t>NH</w:t>
            </w:r>
            <w:r>
              <w:rPr>
                <w:sz w:val="24"/>
                <w:vertAlign w:val="subscript"/>
              </w:rPr>
              <w:t>3</w:t>
            </w:r>
            <w:r>
              <w:rPr>
                <w:sz w:val="24"/>
              </w:rPr>
              <w:t>-N：35mg/L，</w:t>
            </w:r>
            <w:r>
              <w:rPr>
                <w:rFonts w:hint="eastAsia"/>
                <w:sz w:val="24"/>
              </w:rPr>
              <w:t>化粪池对生活污水</w:t>
            </w:r>
            <w:r>
              <w:rPr>
                <w:sz w:val="24"/>
              </w:rPr>
              <w:t>COD</w:t>
            </w:r>
            <w:r>
              <w:rPr>
                <w:rFonts w:hint="eastAsia"/>
                <w:sz w:val="24"/>
              </w:rPr>
              <w:t>、</w:t>
            </w:r>
            <w:r>
              <w:rPr>
                <w:sz w:val="24"/>
              </w:rPr>
              <w:t>BOD</w:t>
            </w:r>
            <w:r>
              <w:rPr>
                <w:sz w:val="24"/>
                <w:vertAlign w:val="subscript"/>
              </w:rPr>
              <w:t>5</w:t>
            </w:r>
            <w:r>
              <w:rPr>
                <w:rFonts w:hint="eastAsia"/>
                <w:sz w:val="24"/>
              </w:rPr>
              <w:t>、</w:t>
            </w:r>
            <w:r>
              <w:rPr>
                <w:sz w:val="24"/>
              </w:rPr>
              <w:t>SS</w:t>
            </w:r>
            <w:r>
              <w:rPr>
                <w:rFonts w:hint="eastAsia"/>
                <w:sz w:val="24"/>
              </w:rPr>
              <w:t>的设计去除率分别取20%、15%、30%，</w:t>
            </w:r>
            <w:r>
              <w:rPr>
                <w:sz w:val="24"/>
              </w:rPr>
              <w:t>NH</w:t>
            </w:r>
            <w:r>
              <w:rPr>
                <w:sz w:val="24"/>
                <w:vertAlign w:val="subscript"/>
              </w:rPr>
              <w:t>3</w:t>
            </w:r>
            <w:r>
              <w:rPr>
                <w:sz w:val="24"/>
              </w:rPr>
              <w:t>-N</w:t>
            </w:r>
            <w:r>
              <w:rPr>
                <w:rFonts w:hint="eastAsia"/>
                <w:sz w:val="24"/>
              </w:rPr>
              <w:t>基本无去除率，则化粪池处理后的生活污水污染指标浓度分别为</w:t>
            </w:r>
            <w:r>
              <w:rPr>
                <w:sz w:val="24"/>
              </w:rPr>
              <w:t>COD：</w:t>
            </w:r>
            <w:r>
              <w:rPr>
                <w:rFonts w:hint="eastAsia"/>
                <w:sz w:val="24"/>
              </w:rPr>
              <w:t>32</w:t>
            </w:r>
            <w:r>
              <w:rPr>
                <w:sz w:val="24"/>
              </w:rPr>
              <w:t>0mg/L，BOD</w:t>
            </w:r>
            <w:r>
              <w:rPr>
                <w:sz w:val="24"/>
                <w:vertAlign w:val="subscript"/>
              </w:rPr>
              <w:t>5</w:t>
            </w:r>
            <w:r>
              <w:rPr>
                <w:sz w:val="24"/>
              </w:rPr>
              <w:t>：</w:t>
            </w:r>
            <w:r>
              <w:rPr>
                <w:rFonts w:hint="eastAsia"/>
                <w:sz w:val="24"/>
              </w:rPr>
              <w:t>170</w:t>
            </w:r>
            <w:r>
              <w:rPr>
                <w:sz w:val="24"/>
              </w:rPr>
              <w:t>mg/L，SS：</w:t>
            </w:r>
            <w:r>
              <w:rPr>
                <w:rFonts w:hint="eastAsia"/>
                <w:sz w:val="24"/>
              </w:rPr>
              <w:t>154</w:t>
            </w:r>
            <w:r>
              <w:rPr>
                <w:sz w:val="24"/>
              </w:rPr>
              <w:t>mg/L</w:t>
            </w:r>
            <w:r>
              <w:rPr>
                <w:rFonts w:hint="eastAsia"/>
                <w:sz w:val="24"/>
              </w:rPr>
              <w:t>、</w:t>
            </w:r>
            <w:r>
              <w:rPr>
                <w:sz w:val="24"/>
              </w:rPr>
              <w:t>NH</w:t>
            </w:r>
            <w:r>
              <w:rPr>
                <w:sz w:val="24"/>
                <w:vertAlign w:val="subscript"/>
              </w:rPr>
              <w:t>3</w:t>
            </w:r>
            <w:r>
              <w:rPr>
                <w:sz w:val="24"/>
              </w:rPr>
              <w:t>-N：35mg/L，则项目生活污水产排情况详见表4</w:t>
            </w:r>
            <w:r>
              <w:rPr>
                <w:rFonts w:hint="eastAsia"/>
                <w:sz w:val="24"/>
              </w:rPr>
              <w:t>.3-1</w:t>
            </w:r>
            <w:r>
              <w:rPr>
                <w:sz w:val="24"/>
              </w:rPr>
              <w:t>。</w:t>
            </w:r>
          </w:p>
          <w:p w14:paraId="6DC39CEE">
            <w:pPr>
              <w:pStyle w:val="74"/>
              <w:rPr>
                <w:sz w:val="24"/>
              </w:rPr>
            </w:pPr>
            <w:bookmarkStart w:id="43" w:name="_Toc18192_WPSOffice_Level2"/>
            <w:bookmarkStart w:id="44" w:name="_Toc9634_WPSOffice_Level2"/>
            <w:bookmarkStart w:id="45" w:name="_Toc17000_WPSOffice_Level1"/>
            <w:bookmarkStart w:id="46" w:name="_Toc31751_WPSOffice_Level2"/>
            <w:bookmarkStart w:id="47" w:name="_Toc13927"/>
            <w:r>
              <w:rPr>
                <w:sz w:val="24"/>
              </w:rPr>
              <w:t>表4.3-1  项目运营期生活污水中主要污染物产排情况一览表</w:t>
            </w:r>
            <w:bookmarkEnd w:id="43"/>
          </w:p>
          <w:tbl>
            <w:tblPr>
              <w:tblStyle w:val="34"/>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03"/>
              <w:gridCol w:w="1371"/>
              <w:gridCol w:w="9"/>
              <w:gridCol w:w="1364"/>
              <w:gridCol w:w="32"/>
              <w:gridCol w:w="1349"/>
              <w:gridCol w:w="1376"/>
            </w:tblGrid>
            <w:tr w14:paraId="2E696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407984E1">
                  <w:pPr>
                    <w:spacing w:line="340" w:lineRule="exact"/>
                    <w:jc w:val="center"/>
                    <w:rPr>
                      <w:szCs w:val="21"/>
                    </w:rPr>
                  </w:pPr>
                  <w:r>
                    <w:rPr>
                      <w:szCs w:val="21"/>
                    </w:rPr>
                    <w:t>项目</w:t>
                  </w:r>
                </w:p>
              </w:tc>
              <w:tc>
                <w:tcPr>
                  <w:tcW w:w="1371" w:type="dxa"/>
                  <w:vAlign w:val="center"/>
                </w:tcPr>
                <w:p w14:paraId="47E71984">
                  <w:pPr>
                    <w:spacing w:line="340" w:lineRule="exact"/>
                    <w:jc w:val="center"/>
                    <w:rPr>
                      <w:szCs w:val="21"/>
                    </w:rPr>
                  </w:pPr>
                  <w:r>
                    <w:rPr>
                      <w:szCs w:val="21"/>
                    </w:rPr>
                    <w:t>COD</w:t>
                  </w:r>
                  <w:r>
                    <w:rPr>
                      <w:szCs w:val="21"/>
                      <w:vertAlign w:val="subscript"/>
                    </w:rPr>
                    <w:t>Cr</w:t>
                  </w:r>
                </w:p>
              </w:tc>
              <w:tc>
                <w:tcPr>
                  <w:tcW w:w="1373" w:type="dxa"/>
                  <w:gridSpan w:val="2"/>
                  <w:vAlign w:val="center"/>
                </w:tcPr>
                <w:p w14:paraId="5C1B31A9">
                  <w:pPr>
                    <w:spacing w:line="340" w:lineRule="exact"/>
                    <w:jc w:val="center"/>
                    <w:rPr>
                      <w:szCs w:val="21"/>
                    </w:rPr>
                  </w:pPr>
                  <w:r>
                    <w:rPr>
                      <w:szCs w:val="21"/>
                    </w:rPr>
                    <w:t>BOD</w:t>
                  </w:r>
                  <w:r>
                    <w:rPr>
                      <w:szCs w:val="21"/>
                      <w:vertAlign w:val="subscript"/>
                    </w:rPr>
                    <w:t>5</w:t>
                  </w:r>
                </w:p>
              </w:tc>
              <w:tc>
                <w:tcPr>
                  <w:tcW w:w="1381" w:type="dxa"/>
                  <w:gridSpan w:val="2"/>
                  <w:vAlign w:val="center"/>
                </w:tcPr>
                <w:p w14:paraId="08171923">
                  <w:pPr>
                    <w:spacing w:line="340" w:lineRule="exact"/>
                    <w:jc w:val="center"/>
                    <w:rPr>
                      <w:szCs w:val="21"/>
                    </w:rPr>
                  </w:pPr>
                  <w:r>
                    <w:rPr>
                      <w:szCs w:val="21"/>
                    </w:rPr>
                    <w:t>SS</w:t>
                  </w:r>
                </w:p>
              </w:tc>
              <w:tc>
                <w:tcPr>
                  <w:tcW w:w="1376" w:type="dxa"/>
                  <w:vAlign w:val="center"/>
                </w:tcPr>
                <w:p w14:paraId="2F11EF61">
                  <w:pPr>
                    <w:spacing w:line="340" w:lineRule="exact"/>
                    <w:jc w:val="center"/>
                    <w:rPr>
                      <w:szCs w:val="21"/>
                    </w:rPr>
                  </w:pPr>
                  <w:r>
                    <w:rPr>
                      <w:szCs w:val="21"/>
                    </w:rPr>
                    <w:t>NH</w:t>
                  </w:r>
                  <w:r>
                    <w:rPr>
                      <w:szCs w:val="21"/>
                      <w:vertAlign w:val="subscript"/>
                    </w:rPr>
                    <w:t>3</w:t>
                  </w:r>
                  <w:r>
                    <w:rPr>
                      <w:szCs w:val="21"/>
                    </w:rPr>
                    <w:t>-N</w:t>
                  </w:r>
                </w:p>
              </w:tc>
            </w:tr>
            <w:tr w14:paraId="7C52D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68A0A795">
                  <w:pPr>
                    <w:spacing w:line="340" w:lineRule="exact"/>
                    <w:jc w:val="center"/>
                    <w:rPr>
                      <w:szCs w:val="21"/>
                    </w:rPr>
                  </w:pPr>
                  <w:r>
                    <w:rPr>
                      <w:szCs w:val="21"/>
                    </w:rPr>
                    <w:t>生活污水量(</w:t>
                  </w:r>
                  <w:r>
                    <w:rPr>
                      <w:rFonts w:hint="eastAsia"/>
                      <w:szCs w:val="21"/>
                    </w:rPr>
                    <w:t>t</w:t>
                  </w:r>
                  <w:r>
                    <w:rPr>
                      <w:szCs w:val="21"/>
                    </w:rPr>
                    <w:t>/a)</w:t>
                  </w:r>
                </w:p>
              </w:tc>
              <w:tc>
                <w:tcPr>
                  <w:tcW w:w="5501" w:type="dxa"/>
                  <w:gridSpan w:val="6"/>
                  <w:vAlign w:val="center"/>
                </w:tcPr>
                <w:p w14:paraId="08327ABE">
                  <w:pPr>
                    <w:jc w:val="center"/>
                    <w:rPr>
                      <w:szCs w:val="21"/>
                    </w:rPr>
                  </w:pPr>
                  <w:r>
                    <w:rPr>
                      <w:rFonts w:hint="eastAsia"/>
                      <w:szCs w:val="21"/>
                    </w:rPr>
                    <w:t>1680</w:t>
                  </w:r>
                </w:p>
              </w:tc>
            </w:tr>
            <w:tr w14:paraId="437BB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5DDFCF22">
                  <w:pPr>
                    <w:spacing w:line="340" w:lineRule="exact"/>
                    <w:jc w:val="center"/>
                    <w:rPr>
                      <w:szCs w:val="21"/>
                    </w:rPr>
                  </w:pPr>
                  <w:r>
                    <w:rPr>
                      <w:szCs w:val="21"/>
                    </w:rPr>
                    <w:t>产生浓度值(mg/L)</w:t>
                  </w:r>
                </w:p>
              </w:tc>
              <w:tc>
                <w:tcPr>
                  <w:tcW w:w="1380" w:type="dxa"/>
                  <w:gridSpan w:val="2"/>
                  <w:vAlign w:val="center"/>
                </w:tcPr>
                <w:p w14:paraId="2CAFAC8F">
                  <w:pPr>
                    <w:widowControl/>
                    <w:jc w:val="center"/>
                    <w:textAlignment w:val="center"/>
                    <w:rPr>
                      <w:szCs w:val="21"/>
                    </w:rPr>
                  </w:pPr>
                  <w:r>
                    <w:rPr>
                      <w:kern w:val="0"/>
                      <w:szCs w:val="21"/>
                    </w:rPr>
                    <w:t>400</w:t>
                  </w:r>
                </w:p>
              </w:tc>
              <w:tc>
                <w:tcPr>
                  <w:tcW w:w="1396" w:type="dxa"/>
                  <w:gridSpan w:val="2"/>
                  <w:vAlign w:val="center"/>
                </w:tcPr>
                <w:p w14:paraId="56D85B36">
                  <w:pPr>
                    <w:widowControl/>
                    <w:jc w:val="center"/>
                    <w:textAlignment w:val="center"/>
                    <w:rPr>
                      <w:szCs w:val="21"/>
                    </w:rPr>
                  </w:pPr>
                  <w:r>
                    <w:rPr>
                      <w:kern w:val="0"/>
                      <w:szCs w:val="21"/>
                    </w:rPr>
                    <w:t>2</w:t>
                  </w:r>
                  <w:r>
                    <w:rPr>
                      <w:rFonts w:hint="eastAsia"/>
                      <w:kern w:val="0"/>
                      <w:szCs w:val="21"/>
                    </w:rPr>
                    <w:t>00</w:t>
                  </w:r>
                </w:p>
              </w:tc>
              <w:tc>
                <w:tcPr>
                  <w:tcW w:w="1349" w:type="dxa"/>
                  <w:vAlign w:val="center"/>
                </w:tcPr>
                <w:p w14:paraId="045FCCD5">
                  <w:pPr>
                    <w:widowControl/>
                    <w:jc w:val="center"/>
                    <w:textAlignment w:val="center"/>
                    <w:rPr>
                      <w:szCs w:val="21"/>
                    </w:rPr>
                  </w:pPr>
                  <w:r>
                    <w:rPr>
                      <w:rFonts w:hint="eastAsia"/>
                      <w:kern w:val="0"/>
                      <w:szCs w:val="21"/>
                    </w:rPr>
                    <w:t>220</w:t>
                  </w:r>
                </w:p>
              </w:tc>
              <w:tc>
                <w:tcPr>
                  <w:tcW w:w="1376" w:type="dxa"/>
                  <w:vAlign w:val="center"/>
                </w:tcPr>
                <w:p w14:paraId="0D2A8298">
                  <w:pPr>
                    <w:widowControl/>
                    <w:jc w:val="center"/>
                    <w:textAlignment w:val="center"/>
                    <w:rPr>
                      <w:szCs w:val="21"/>
                    </w:rPr>
                  </w:pPr>
                  <w:r>
                    <w:rPr>
                      <w:kern w:val="0"/>
                      <w:szCs w:val="21"/>
                    </w:rPr>
                    <w:t>35</w:t>
                  </w:r>
                </w:p>
              </w:tc>
            </w:tr>
            <w:tr w14:paraId="696D5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00A0C2FB">
                  <w:pPr>
                    <w:spacing w:line="340" w:lineRule="exact"/>
                    <w:jc w:val="center"/>
                    <w:rPr>
                      <w:szCs w:val="21"/>
                    </w:rPr>
                  </w:pPr>
                  <w:r>
                    <w:rPr>
                      <w:szCs w:val="21"/>
                    </w:rPr>
                    <w:t>产生量(t/a)</w:t>
                  </w:r>
                </w:p>
              </w:tc>
              <w:tc>
                <w:tcPr>
                  <w:tcW w:w="1380" w:type="dxa"/>
                  <w:gridSpan w:val="2"/>
                  <w:vAlign w:val="center"/>
                </w:tcPr>
                <w:p w14:paraId="14395AAC">
                  <w:pPr>
                    <w:jc w:val="center"/>
                    <w:rPr>
                      <w:rFonts w:ascii="宋体" w:hAnsi="宋体" w:cs="宋体"/>
                      <w:sz w:val="24"/>
                    </w:rPr>
                  </w:pPr>
                  <w:r>
                    <w:rPr>
                      <w:rFonts w:hint="eastAsia"/>
                    </w:rPr>
                    <w:t>0.672</w:t>
                  </w:r>
                </w:p>
              </w:tc>
              <w:tc>
                <w:tcPr>
                  <w:tcW w:w="1396" w:type="dxa"/>
                  <w:gridSpan w:val="2"/>
                  <w:vAlign w:val="center"/>
                </w:tcPr>
                <w:p w14:paraId="15F876D4">
                  <w:pPr>
                    <w:jc w:val="center"/>
                    <w:rPr>
                      <w:rFonts w:ascii="宋体" w:hAnsi="宋体" w:cs="宋体"/>
                      <w:sz w:val="24"/>
                    </w:rPr>
                  </w:pPr>
                  <w:r>
                    <w:rPr>
                      <w:rFonts w:hint="eastAsia"/>
                    </w:rPr>
                    <w:t>0.336</w:t>
                  </w:r>
                </w:p>
              </w:tc>
              <w:tc>
                <w:tcPr>
                  <w:tcW w:w="1349" w:type="dxa"/>
                  <w:vAlign w:val="center"/>
                </w:tcPr>
                <w:p w14:paraId="2E01EF74">
                  <w:pPr>
                    <w:jc w:val="center"/>
                    <w:rPr>
                      <w:rFonts w:ascii="宋体" w:hAnsi="宋体" w:cs="宋体"/>
                      <w:sz w:val="24"/>
                    </w:rPr>
                  </w:pPr>
                  <w:r>
                    <w:rPr>
                      <w:rFonts w:hint="eastAsia"/>
                    </w:rPr>
                    <w:t>0.370</w:t>
                  </w:r>
                </w:p>
              </w:tc>
              <w:tc>
                <w:tcPr>
                  <w:tcW w:w="1376" w:type="dxa"/>
                  <w:vAlign w:val="center"/>
                </w:tcPr>
                <w:p w14:paraId="27A172B2">
                  <w:pPr>
                    <w:jc w:val="center"/>
                    <w:rPr>
                      <w:rFonts w:ascii="宋体" w:hAnsi="宋体" w:cs="宋体"/>
                      <w:sz w:val="24"/>
                    </w:rPr>
                  </w:pPr>
                  <w:r>
                    <w:rPr>
                      <w:rFonts w:hint="eastAsia"/>
                    </w:rPr>
                    <w:t>0.059</w:t>
                  </w:r>
                </w:p>
              </w:tc>
            </w:tr>
            <w:tr w14:paraId="1F7DB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5AA88124">
                  <w:pPr>
                    <w:spacing w:line="340" w:lineRule="exact"/>
                    <w:jc w:val="center"/>
                    <w:rPr>
                      <w:szCs w:val="21"/>
                    </w:rPr>
                  </w:pPr>
                  <w:r>
                    <w:rPr>
                      <w:szCs w:val="21"/>
                    </w:rPr>
                    <w:t>处理措施</w:t>
                  </w:r>
                </w:p>
              </w:tc>
              <w:tc>
                <w:tcPr>
                  <w:tcW w:w="5501" w:type="dxa"/>
                  <w:gridSpan w:val="6"/>
                  <w:vAlign w:val="center"/>
                </w:tcPr>
                <w:p w14:paraId="596840B2">
                  <w:pPr>
                    <w:autoSpaceDE w:val="0"/>
                    <w:autoSpaceDN w:val="0"/>
                    <w:jc w:val="center"/>
                    <w:textAlignment w:val="bottom"/>
                    <w:rPr>
                      <w:szCs w:val="21"/>
                    </w:rPr>
                  </w:pPr>
                  <w:r>
                    <w:rPr>
                      <w:szCs w:val="21"/>
                    </w:rPr>
                    <w:t>经厂区西北侧化粪池处理后接入市政污水管网进入江阴污水处理厂处理</w:t>
                  </w:r>
                </w:p>
              </w:tc>
            </w:tr>
            <w:tr w14:paraId="288DA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0BC7789A">
                  <w:pPr>
                    <w:spacing w:line="340" w:lineRule="exact"/>
                    <w:jc w:val="center"/>
                    <w:rPr>
                      <w:szCs w:val="21"/>
                    </w:rPr>
                  </w:pPr>
                  <w:r>
                    <w:rPr>
                      <w:szCs w:val="21"/>
                    </w:rPr>
                    <w:t>预测排放浓度(mg/L)</w:t>
                  </w:r>
                </w:p>
              </w:tc>
              <w:tc>
                <w:tcPr>
                  <w:tcW w:w="1371" w:type="dxa"/>
                  <w:vAlign w:val="center"/>
                </w:tcPr>
                <w:p w14:paraId="5D2EEC7B">
                  <w:pPr>
                    <w:widowControl/>
                    <w:jc w:val="center"/>
                    <w:textAlignment w:val="center"/>
                    <w:rPr>
                      <w:szCs w:val="21"/>
                    </w:rPr>
                  </w:pPr>
                  <w:r>
                    <w:rPr>
                      <w:kern w:val="0"/>
                      <w:szCs w:val="21"/>
                    </w:rPr>
                    <w:t>320</w:t>
                  </w:r>
                </w:p>
              </w:tc>
              <w:tc>
                <w:tcPr>
                  <w:tcW w:w="1373" w:type="dxa"/>
                  <w:gridSpan w:val="2"/>
                  <w:vAlign w:val="center"/>
                </w:tcPr>
                <w:p w14:paraId="4E935550">
                  <w:pPr>
                    <w:widowControl/>
                    <w:jc w:val="center"/>
                    <w:textAlignment w:val="center"/>
                    <w:rPr>
                      <w:szCs w:val="21"/>
                    </w:rPr>
                  </w:pPr>
                  <w:r>
                    <w:rPr>
                      <w:kern w:val="0"/>
                      <w:szCs w:val="21"/>
                    </w:rPr>
                    <w:t>170</w:t>
                  </w:r>
                </w:p>
              </w:tc>
              <w:tc>
                <w:tcPr>
                  <w:tcW w:w="1381" w:type="dxa"/>
                  <w:gridSpan w:val="2"/>
                  <w:vAlign w:val="center"/>
                </w:tcPr>
                <w:p w14:paraId="639890C0">
                  <w:pPr>
                    <w:widowControl/>
                    <w:jc w:val="center"/>
                    <w:textAlignment w:val="center"/>
                    <w:rPr>
                      <w:szCs w:val="21"/>
                    </w:rPr>
                  </w:pPr>
                  <w:r>
                    <w:rPr>
                      <w:szCs w:val="21"/>
                    </w:rPr>
                    <w:t>154</w:t>
                  </w:r>
                </w:p>
              </w:tc>
              <w:tc>
                <w:tcPr>
                  <w:tcW w:w="1376" w:type="dxa"/>
                  <w:vAlign w:val="center"/>
                </w:tcPr>
                <w:p w14:paraId="202B330D">
                  <w:pPr>
                    <w:widowControl/>
                    <w:jc w:val="center"/>
                    <w:textAlignment w:val="center"/>
                    <w:rPr>
                      <w:szCs w:val="21"/>
                    </w:rPr>
                  </w:pPr>
                  <w:r>
                    <w:rPr>
                      <w:kern w:val="0"/>
                      <w:szCs w:val="21"/>
                    </w:rPr>
                    <w:t>35</w:t>
                  </w:r>
                </w:p>
              </w:tc>
            </w:tr>
            <w:tr w14:paraId="06A4F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63EA60C3">
                  <w:pPr>
                    <w:spacing w:line="340" w:lineRule="exact"/>
                    <w:jc w:val="center"/>
                    <w:rPr>
                      <w:szCs w:val="21"/>
                    </w:rPr>
                  </w:pPr>
                  <w:r>
                    <w:rPr>
                      <w:szCs w:val="21"/>
                    </w:rPr>
                    <w:t>排放标准限值(mg/L)</w:t>
                  </w:r>
                </w:p>
              </w:tc>
              <w:tc>
                <w:tcPr>
                  <w:tcW w:w="1371" w:type="dxa"/>
                  <w:vAlign w:val="center"/>
                </w:tcPr>
                <w:p w14:paraId="36A076AC">
                  <w:pPr>
                    <w:widowControl/>
                    <w:jc w:val="center"/>
                    <w:textAlignment w:val="center"/>
                    <w:rPr>
                      <w:szCs w:val="21"/>
                    </w:rPr>
                  </w:pPr>
                  <w:r>
                    <w:rPr>
                      <w:kern w:val="0"/>
                      <w:szCs w:val="21"/>
                    </w:rPr>
                    <w:t>500</w:t>
                  </w:r>
                </w:p>
              </w:tc>
              <w:tc>
                <w:tcPr>
                  <w:tcW w:w="1373" w:type="dxa"/>
                  <w:gridSpan w:val="2"/>
                  <w:vAlign w:val="center"/>
                </w:tcPr>
                <w:p w14:paraId="75AADF0D">
                  <w:pPr>
                    <w:widowControl/>
                    <w:jc w:val="center"/>
                    <w:textAlignment w:val="center"/>
                    <w:rPr>
                      <w:szCs w:val="21"/>
                    </w:rPr>
                  </w:pPr>
                  <w:r>
                    <w:rPr>
                      <w:kern w:val="0"/>
                      <w:szCs w:val="21"/>
                    </w:rPr>
                    <w:t>300</w:t>
                  </w:r>
                </w:p>
              </w:tc>
              <w:tc>
                <w:tcPr>
                  <w:tcW w:w="1381" w:type="dxa"/>
                  <w:gridSpan w:val="2"/>
                  <w:vAlign w:val="center"/>
                </w:tcPr>
                <w:p w14:paraId="2F06AA38">
                  <w:pPr>
                    <w:widowControl/>
                    <w:jc w:val="center"/>
                    <w:textAlignment w:val="center"/>
                    <w:rPr>
                      <w:szCs w:val="21"/>
                    </w:rPr>
                  </w:pPr>
                  <w:r>
                    <w:rPr>
                      <w:kern w:val="0"/>
                      <w:szCs w:val="21"/>
                    </w:rPr>
                    <w:t>400</w:t>
                  </w:r>
                </w:p>
              </w:tc>
              <w:tc>
                <w:tcPr>
                  <w:tcW w:w="1376" w:type="dxa"/>
                  <w:vAlign w:val="center"/>
                </w:tcPr>
                <w:p w14:paraId="010372B4">
                  <w:pPr>
                    <w:widowControl/>
                    <w:jc w:val="center"/>
                    <w:textAlignment w:val="center"/>
                    <w:rPr>
                      <w:szCs w:val="21"/>
                    </w:rPr>
                  </w:pPr>
                  <w:r>
                    <w:rPr>
                      <w:kern w:val="0"/>
                      <w:szCs w:val="21"/>
                    </w:rPr>
                    <w:t>45</w:t>
                  </w:r>
                </w:p>
              </w:tc>
            </w:tr>
            <w:tr w14:paraId="52933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18D7DD34">
                  <w:pPr>
                    <w:spacing w:line="340" w:lineRule="exact"/>
                    <w:jc w:val="center"/>
                    <w:rPr>
                      <w:szCs w:val="21"/>
                    </w:rPr>
                  </w:pPr>
                  <w:r>
                    <w:rPr>
                      <w:szCs w:val="21"/>
                    </w:rPr>
                    <w:t>达标判断</w:t>
                  </w:r>
                </w:p>
              </w:tc>
              <w:tc>
                <w:tcPr>
                  <w:tcW w:w="1371" w:type="dxa"/>
                  <w:vAlign w:val="center"/>
                </w:tcPr>
                <w:p w14:paraId="7724AAC3">
                  <w:pPr>
                    <w:jc w:val="center"/>
                    <w:rPr>
                      <w:szCs w:val="21"/>
                    </w:rPr>
                  </w:pPr>
                  <w:r>
                    <w:rPr>
                      <w:szCs w:val="21"/>
                    </w:rPr>
                    <w:t>达标</w:t>
                  </w:r>
                </w:p>
              </w:tc>
              <w:tc>
                <w:tcPr>
                  <w:tcW w:w="1373" w:type="dxa"/>
                  <w:gridSpan w:val="2"/>
                  <w:vAlign w:val="center"/>
                </w:tcPr>
                <w:p w14:paraId="15C0F884">
                  <w:pPr>
                    <w:jc w:val="center"/>
                    <w:rPr>
                      <w:szCs w:val="21"/>
                    </w:rPr>
                  </w:pPr>
                  <w:r>
                    <w:rPr>
                      <w:szCs w:val="21"/>
                    </w:rPr>
                    <w:t>达标</w:t>
                  </w:r>
                </w:p>
              </w:tc>
              <w:tc>
                <w:tcPr>
                  <w:tcW w:w="1381" w:type="dxa"/>
                  <w:gridSpan w:val="2"/>
                  <w:vAlign w:val="center"/>
                </w:tcPr>
                <w:p w14:paraId="4C8FB216">
                  <w:pPr>
                    <w:jc w:val="center"/>
                    <w:rPr>
                      <w:szCs w:val="21"/>
                    </w:rPr>
                  </w:pPr>
                  <w:r>
                    <w:rPr>
                      <w:szCs w:val="21"/>
                    </w:rPr>
                    <w:t>达标</w:t>
                  </w:r>
                </w:p>
              </w:tc>
              <w:tc>
                <w:tcPr>
                  <w:tcW w:w="1376" w:type="dxa"/>
                  <w:vAlign w:val="center"/>
                </w:tcPr>
                <w:p w14:paraId="33761146">
                  <w:pPr>
                    <w:jc w:val="center"/>
                    <w:rPr>
                      <w:szCs w:val="21"/>
                    </w:rPr>
                  </w:pPr>
                  <w:r>
                    <w:rPr>
                      <w:szCs w:val="21"/>
                    </w:rPr>
                    <w:t>达标</w:t>
                  </w:r>
                </w:p>
              </w:tc>
            </w:tr>
            <w:tr w14:paraId="44305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56A8D516">
                  <w:pPr>
                    <w:spacing w:line="340" w:lineRule="exact"/>
                    <w:jc w:val="center"/>
                    <w:rPr>
                      <w:szCs w:val="21"/>
                    </w:rPr>
                  </w:pPr>
                  <w:r>
                    <w:rPr>
                      <w:szCs w:val="21"/>
                    </w:rPr>
                    <w:t>纳管排放量(t/a)</w:t>
                  </w:r>
                </w:p>
              </w:tc>
              <w:tc>
                <w:tcPr>
                  <w:tcW w:w="1371" w:type="dxa"/>
                  <w:vAlign w:val="center"/>
                </w:tcPr>
                <w:p w14:paraId="6C14E3A6">
                  <w:pPr>
                    <w:jc w:val="center"/>
                    <w:rPr>
                      <w:szCs w:val="21"/>
                    </w:rPr>
                  </w:pPr>
                  <w:r>
                    <w:rPr>
                      <w:rFonts w:hint="eastAsia"/>
                      <w:szCs w:val="21"/>
                    </w:rPr>
                    <w:t>0.538</w:t>
                  </w:r>
                </w:p>
              </w:tc>
              <w:tc>
                <w:tcPr>
                  <w:tcW w:w="1373" w:type="dxa"/>
                  <w:gridSpan w:val="2"/>
                  <w:vAlign w:val="center"/>
                </w:tcPr>
                <w:p w14:paraId="1172B563">
                  <w:pPr>
                    <w:jc w:val="center"/>
                    <w:rPr>
                      <w:szCs w:val="21"/>
                    </w:rPr>
                  </w:pPr>
                  <w:r>
                    <w:rPr>
                      <w:rFonts w:hint="eastAsia"/>
                      <w:szCs w:val="21"/>
                    </w:rPr>
                    <w:t>0.286</w:t>
                  </w:r>
                </w:p>
              </w:tc>
              <w:tc>
                <w:tcPr>
                  <w:tcW w:w="1381" w:type="dxa"/>
                  <w:gridSpan w:val="2"/>
                  <w:vAlign w:val="center"/>
                </w:tcPr>
                <w:p w14:paraId="648A35AA">
                  <w:pPr>
                    <w:jc w:val="center"/>
                    <w:rPr>
                      <w:szCs w:val="21"/>
                    </w:rPr>
                  </w:pPr>
                  <w:r>
                    <w:rPr>
                      <w:rFonts w:hint="eastAsia"/>
                      <w:szCs w:val="21"/>
                    </w:rPr>
                    <w:t>0.259</w:t>
                  </w:r>
                </w:p>
              </w:tc>
              <w:tc>
                <w:tcPr>
                  <w:tcW w:w="1376" w:type="dxa"/>
                  <w:vAlign w:val="center"/>
                </w:tcPr>
                <w:p w14:paraId="4DF115E6">
                  <w:pPr>
                    <w:jc w:val="center"/>
                    <w:rPr>
                      <w:szCs w:val="21"/>
                    </w:rPr>
                  </w:pPr>
                  <w:r>
                    <w:rPr>
                      <w:rFonts w:hint="eastAsia"/>
                      <w:szCs w:val="21"/>
                    </w:rPr>
                    <w:t>0.059</w:t>
                  </w:r>
                </w:p>
              </w:tc>
            </w:tr>
            <w:tr w14:paraId="0BB38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3" w:type="dxa"/>
                  <w:vAlign w:val="center"/>
                </w:tcPr>
                <w:p w14:paraId="47E64F0C">
                  <w:pPr>
                    <w:spacing w:line="340" w:lineRule="exact"/>
                    <w:jc w:val="center"/>
                    <w:rPr>
                      <w:szCs w:val="21"/>
                    </w:rPr>
                  </w:pPr>
                  <w:r>
                    <w:rPr>
                      <w:szCs w:val="21"/>
                    </w:rPr>
                    <w:t>削减量（t/a）</w:t>
                  </w:r>
                </w:p>
              </w:tc>
              <w:tc>
                <w:tcPr>
                  <w:tcW w:w="1371" w:type="dxa"/>
                  <w:vAlign w:val="center"/>
                </w:tcPr>
                <w:p w14:paraId="51DF92B7">
                  <w:pPr>
                    <w:jc w:val="center"/>
                    <w:rPr>
                      <w:szCs w:val="21"/>
                    </w:rPr>
                  </w:pPr>
                  <w:r>
                    <w:rPr>
                      <w:rFonts w:hint="eastAsia"/>
                      <w:szCs w:val="21"/>
                    </w:rPr>
                    <w:t>0.362</w:t>
                  </w:r>
                </w:p>
              </w:tc>
              <w:tc>
                <w:tcPr>
                  <w:tcW w:w="1373" w:type="dxa"/>
                  <w:gridSpan w:val="2"/>
                  <w:vAlign w:val="center"/>
                </w:tcPr>
                <w:p w14:paraId="40B7BF18">
                  <w:pPr>
                    <w:jc w:val="center"/>
                    <w:rPr>
                      <w:szCs w:val="21"/>
                    </w:rPr>
                  </w:pPr>
                  <w:r>
                    <w:rPr>
                      <w:rFonts w:hint="eastAsia"/>
                      <w:szCs w:val="21"/>
                    </w:rPr>
                    <w:t>0.05</w:t>
                  </w:r>
                </w:p>
              </w:tc>
              <w:tc>
                <w:tcPr>
                  <w:tcW w:w="1381" w:type="dxa"/>
                  <w:gridSpan w:val="2"/>
                  <w:vAlign w:val="center"/>
                </w:tcPr>
                <w:p w14:paraId="6B5E0869">
                  <w:pPr>
                    <w:jc w:val="center"/>
                    <w:rPr>
                      <w:szCs w:val="21"/>
                    </w:rPr>
                  </w:pPr>
                  <w:r>
                    <w:rPr>
                      <w:rFonts w:hint="eastAsia"/>
                      <w:szCs w:val="21"/>
                    </w:rPr>
                    <w:t>0.111</w:t>
                  </w:r>
                </w:p>
              </w:tc>
              <w:tc>
                <w:tcPr>
                  <w:tcW w:w="1376" w:type="dxa"/>
                  <w:vAlign w:val="center"/>
                </w:tcPr>
                <w:p w14:paraId="46BD1FEC">
                  <w:pPr>
                    <w:jc w:val="center"/>
                    <w:rPr>
                      <w:szCs w:val="21"/>
                    </w:rPr>
                  </w:pPr>
                  <w:r>
                    <w:rPr>
                      <w:rFonts w:hint="eastAsia"/>
                      <w:szCs w:val="21"/>
                    </w:rPr>
                    <w:t>0</w:t>
                  </w:r>
                </w:p>
              </w:tc>
            </w:tr>
          </w:tbl>
          <w:p w14:paraId="1E618748">
            <w:pPr>
              <w:pStyle w:val="66"/>
              <w:ind w:firstLine="482"/>
              <w:rPr>
                <w:b/>
                <w:bCs/>
                <w:kern w:val="2"/>
                <w:sz w:val="24"/>
                <w:szCs w:val="24"/>
              </w:rPr>
            </w:pPr>
            <w:r>
              <w:rPr>
                <w:rFonts w:hint="eastAsia"/>
                <w:b/>
                <w:bCs/>
                <w:kern w:val="2"/>
                <w:sz w:val="24"/>
                <w:szCs w:val="24"/>
              </w:rPr>
              <w:t>2、地表水环境影响分析</w:t>
            </w:r>
          </w:p>
          <w:p w14:paraId="4F900E74">
            <w:pPr>
              <w:adjustRightInd/>
              <w:snapToGrid/>
              <w:spacing w:line="360" w:lineRule="auto"/>
              <w:ind w:firstLine="480" w:firstLineChars="200"/>
              <w:rPr>
                <w:sz w:val="24"/>
              </w:rPr>
            </w:pPr>
            <w:r>
              <w:rPr>
                <w:rFonts w:hint="eastAsia"/>
                <w:sz w:val="24"/>
              </w:rPr>
              <w:t>根据工程分析，项目生活污水预处理后通过市政管网排入江阴污水处理厂处理，属于间接排放，根据《环境影响评价技术导则—地表水环境》（HJ2.3-2018）评价等级的依据，项目水环境影响评价确定为三级B评价，评价主要分析废水接管可行性。具体评价等级见表4.3-2。</w:t>
            </w:r>
          </w:p>
          <w:p w14:paraId="5D7CA873">
            <w:pPr>
              <w:pStyle w:val="74"/>
              <w:rPr>
                <w:sz w:val="24"/>
              </w:rPr>
            </w:pPr>
            <w:r>
              <w:rPr>
                <w:rFonts w:hint="eastAsia"/>
                <w:sz w:val="24"/>
              </w:rPr>
              <w:t xml:space="preserve">表4.3-2  </w:t>
            </w:r>
            <w:r>
              <w:rPr>
                <w:sz w:val="24"/>
              </w:rPr>
              <w:t>水污染影响型建设项目评价等级判定</w:t>
            </w:r>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264"/>
              <w:gridCol w:w="6032"/>
            </w:tblGrid>
            <w:tr w14:paraId="4C2F3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vMerge w:val="restart"/>
                  <w:tcBorders>
                    <w:tl2br w:val="nil"/>
                    <w:tr2bl w:val="nil"/>
                  </w:tcBorders>
                  <w:vAlign w:val="center"/>
                </w:tcPr>
                <w:p w14:paraId="414FDD82">
                  <w:pPr>
                    <w:pStyle w:val="120"/>
                  </w:pPr>
                  <w:r>
                    <w:t>评价等级</w:t>
                  </w:r>
                </w:p>
              </w:tc>
              <w:tc>
                <w:tcPr>
                  <w:tcW w:w="7296" w:type="dxa"/>
                  <w:gridSpan w:val="2"/>
                  <w:tcBorders>
                    <w:tl2br w:val="nil"/>
                    <w:tr2bl w:val="nil"/>
                  </w:tcBorders>
                  <w:vAlign w:val="center"/>
                </w:tcPr>
                <w:p w14:paraId="6C266FD0">
                  <w:pPr>
                    <w:pStyle w:val="120"/>
                  </w:pPr>
                  <w:r>
                    <w:t>判定依据</w:t>
                  </w:r>
                </w:p>
              </w:tc>
            </w:tr>
            <w:tr w14:paraId="5314E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vMerge w:val="continue"/>
                  <w:tcBorders>
                    <w:tl2br w:val="nil"/>
                    <w:tr2bl w:val="nil"/>
                  </w:tcBorders>
                  <w:vAlign w:val="center"/>
                </w:tcPr>
                <w:p w14:paraId="55B4BB4A">
                  <w:pPr>
                    <w:pStyle w:val="120"/>
                  </w:pPr>
                </w:p>
              </w:tc>
              <w:tc>
                <w:tcPr>
                  <w:tcW w:w="1264" w:type="dxa"/>
                  <w:tcBorders>
                    <w:tl2br w:val="nil"/>
                    <w:tr2bl w:val="nil"/>
                  </w:tcBorders>
                  <w:vAlign w:val="center"/>
                </w:tcPr>
                <w:p w14:paraId="15C62C94">
                  <w:pPr>
                    <w:pStyle w:val="120"/>
                  </w:pPr>
                  <w:r>
                    <w:t>排放方式</w:t>
                  </w:r>
                </w:p>
              </w:tc>
              <w:tc>
                <w:tcPr>
                  <w:tcW w:w="6032" w:type="dxa"/>
                  <w:tcBorders>
                    <w:tl2br w:val="nil"/>
                    <w:tr2bl w:val="nil"/>
                  </w:tcBorders>
                  <w:vAlign w:val="center"/>
                </w:tcPr>
                <w:p w14:paraId="22E10960">
                  <w:pPr>
                    <w:pStyle w:val="120"/>
                  </w:pPr>
                  <w:r>
                    <w:t>废水排放量Q/（m</w:t>
                  </w:r>
                  <w:r>
                    <w:rPr>
                      <w:vertAlign w:val="superscript"/>
                    </w:rPr>
                    <w:t>3</w:t>
                  </w:r>
                  <w:r>
                    <w:t>/d）；水污染物当量数W/（无量纲）</w:t>
                  </w:r>
                </w:p>
              </w:tc>
            </w:tr>
            <w:tr w14:paraId="59F99A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Borders>
                    <w:tl2br w:val="nil"/>
                    <w:tr2bl w:val="nil"/>
                  </w:tcBorders>
                  <w:vAlign w:val="center"/>
                </w:tcPr>
                <w:p w14:paraId="2C8E7D01">
                  <w:pPr>
                    <w:pStyle w:val="120"/>
                  </w:pPr>
                  <w:r>
                    <w:t>一级</w:t>
                  </w:r>
                </w:p>
              </w:tc>
              <w:tc>
                <w:tcPr>
                  <w:tcW w:w="1264" w:type="dxa"/>
                  <w:tcBorders>
                    <w:tl2br w:val="nil"/>
                    <w:tr2bl w:val="nil"/>
                  </w:tcBorders>
                  <w:vAlign w:val="center"/>
                </w:tcPr>
                <w:p w14:paraId="3AC45824">
                  <w:pPr>
                    <w:pStyle w:val="120"/>
                  </w:pPr>
                  <w:r>
                    <w:t>直接排放</w:t>
                  </w:r>
                </w:p>
              </w:tc>
              <w:tc>
                <w:tcPr>
                  <w:tcW w:w="6032" w:type="dxa"/>
                  <w:tcBorders>
                    <w:tl2br w:val="nil"/>
                    <w:tr2bl w:val="nil"/>
                  </w:tcBorders>
                  <w:vAlign w:val="center"/>
                </w:tcPr>
                <w:p w14:paraId="7DBFC3C7">
                  <w:pPr>
                    <w:pStyle w:val="120"/>
                  </w:pPr>
                  <w:r>
                    <w:t>Q≥20000或W≥600000</w:t>
                  </w:r>
                </w:p>
              </w:tc>
            </w:tr>
            <w:tr w14:paraId="5C82A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Borders>
                    <w:tl2br w:val="nil"/>
                    <w:tr2bl w:val="nil"/>
                  </w:tcBorders>
                  <w:vAlign w:val="center"/>
                </w:tcPr>
                <w:p w14:paraId="0763E9DF">
                  <w:pPr>
                    <w:pStyle w:val="120"/>
                  </w:pPr>
                  <w:r>
                    <w:t>二级</w:t>
                  </w:r>
                </w:p>
              </w:tc>
              <w:tc>
                <w:tcPr>
                  <w:tcW w:w="1264" w:type="dxa"/>
                  <w:tcBorders>
                    <w:tl2br w:val="nil"/>
                    <w:tr2bl w:val="nil"/>
                  </w:tcBorders>
                  <w:vAlign w:val="center"/>
                </w:tcPr>
                <w:p w14:paraId="245B83DA">
                  <w:pPr>
                    <w:pStyle w:val="120"/>
                  </w:pPr>
                  <w:r>
                    <w:t>直接排放</w:t>
                  </w:r>
                </w:p>
              </w:tc>
              <w:tc>
                <w:tcPr>
                  <w:tcW w:w="6032" w:type="dxa"/>
                  <w:tcBorders>
                    <w:tl2br w:val="nil"/>
                    <w:tr2bl w:val="nil"/>
                  </w:tcBorders>
                  <w:vAlign w:val="center"/>
                </w:tcPr>
                <w:p w14:paraId="2ED386D7">
                  <w:pPr>
                    <w:pStyle w:val="120"/>
                  </w:pPr>
                  <w:r>
                    <w:t>其他</w:t>
                  </w:r>
                </w:p>
              </w:tc>
            </w:tr>
            <w:tr w14:paraId="62153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Borders>
                    <w:tl2br w:val="nil"/>
                    <w:tr2bl w:val="nil"/>
                  </w:tcBorders>
                  <w:vAlign w:val="center"/>
                </w:tcPr>
                <w:p w14:paraId="15FD8F6A">
                  <w:pPr>
                    <w:pStyle w:val="120"/>
                  </w:pPr>
                  <w:r>
                    <w:t>三级A</w:t>
                  </w:r>
                </w:p>
              </w:tc>
              <w:tc>
                <w:tcPr>
                  <w:tcW w:w="1264" w:type="dxa"/>
                  <w:tcBorders>
                    <w:tl2br w:val="nil"/>
                    <w:tr2bl w:val="nil"/>
                  </w:tcBorders>
                  <w:vAlign w:val="center"/>
                </w:tcPr>
                <w:p w14:paraId="04284502">
                  <w:pPr>
                    <w:pStyle w:val="120"/>
                  </w:pPr>
                  <w:r>
                    <w:t>直接排放</w:t>
                  </w:r>
                </w:p>
              </w:tc>
              <w:tc>
                <w:tcPr>
                  <w:tcW w:w="6032" w:type="dxa"/>
                  <w:tcBorders>
                    <w:tl2br w:val="nil"/>
                    <w:tr2bl w:val="nil"/>
                  </w:tcBorders>
                  <w:vAlign w:val="center"/>
                </w:tcPr>
                <w:p w14:paraId="75CEF1B2">
                  <w:pPr>
                    <w:pStyle w:val="120"/>
                  </w:pPr>
                  <w:r>
                    <w:t>Q＜200且W＜6000</w:t>
                  </w:r>
                </w:p>
              </w:tc>
            </w:tr>
            <w:tr w14:paraId="5A031B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8" w:type="dxa"/>
                  <w:tcBorders>
                    <w:tl2br w:val="nil"/>
                    <w:tr2bl w:val="nil"/>
                  </w:tcBorders>
                  <w:shd w:val="clear" w:color="auto" w:fill="A4A4A4" w:themeFill="background1" w:themeFillShade="A5"/>
                  <w:vAlign w:val="center"/>
                </w:tcPr>
                <w:p w14:paraId="6CDB194F">
                  <w:pPr>
                    <w:pStyle w:val="120"/>
                  </w:pPr>
                  <w:r>
                    <w:t>三级B</w:t>
                  </w:r>
                </w:p>
              </w:tc>
              <w:tc>
                <w:tcPr>
                  <w:tcW w:w="1264" w:type="dxa"/>
                  <w:tcBorders>
                    <w:tl2br w:val="nil"/>
                    <w:tr2bl w:val="nil"/>
                  </w:tcBorders>
                  <w:shd w:val="clear" w:color="auto" w:fill="A4A4A4" w:themeFill="background1" w:themeFillShade="A5"/>
                  <w:vAlign w:val="center"/>
                </w:tcPr>
                <w:p w14:paraId="2A05ECAE">
                  <w:pPr>
                    <w:pStyle w:val="120"/>
                  </w:pPr>
                  <w:r>
                    <w:t>间接排放</w:t>
                  </w:r>
                </w:p>
              </w:tc>
              <w:tc>
                <w:tcPr>
                  <w:tcW w:w="6032" w:type="dxa"/>
                  <w:tcBorders>
                    <w:tl2br w:val="nil"/>
                    <w:tr2bl w:val="nil"/>
                  </w:tcBorders>
                  <w:shd w:val="clear" w:color="auto" w:fill="A4A4A4" w:themeFill="background1" w:themeFillShade="A5"/>
                  <w:vAlign w:val="center"/>
                </w:tcPr>
                <w:p w14:paraId="7486613F">
                  <w:pPr>
                    <w:pStyle w:val="120"/>
                  </w:pPr>
                  <w:r>
                    <w:t>—</w:t>
                  </w:r>
                </w:p>
              </w:tc>
            </w:tr>
          </w:tbl>
          <w:p w14:paraId="376AD61D">
            <w:pPr>
              <w:tabs>
                <w:tab w:val="left" w:pos="3420"/>
              </w:tabs>
              <w:adjustRightInd/>
              <w:snapToGrid/>
              <w:spacing w:line="360" w:lineRule="auto"/>
              <w:ind w:firstLine="480" w:firstLineChars="200"/>
              <w:rPr>
                <w:sz w:val="24"/>
              </w:rPr>
            </w:pPr>
            <w:r>
              <w:rPr>
                <w:sz w:val="24"/>
              </w:rPr>
              <w:t>项目生活污水经处理达标后排入市政污水管网，</w:t>
            </w:r>
            <w:r>
              <w:rPr>
                <w:rFonts w:hint="eastAsia"/>
                <w:sz w:val="24"/>
              </w:rPr>
              <w:t>接入江阴</w:t>
            </w:r>
            <w:r>
              <w:rPr>
                <w:sz w:val="24"/>
              </w:rPr>
              <w:t>污水处理厂集中处理，属于间接排放，根据《建设项目环境影响报告表编制技术指南(污染影响类)(试行)》(环办环评〔2020〕33号)要求，废水间接排放的建设项目应从处理能力、处理工艺、设计进出水水质等方面，分析依托集中污水处理厂的可行性。</w:t>
            </w:r>
          </w:p>
          <w:p w14:paraId="092445DB">
            <w:pPr>
              <w:pStyle w:val="148"/>
              <w:rPr>
                <w:color w:val="000000"/>
              </w:rPr>
            </w:pPr>
            <w:r>
              <w:rPr>
                <w:rFonts w:hint="eastAsia"/>
                <w:color w:val="000000"/>
              </w:rPr>
              <w:t>(1)</w:t>
            </w:r>
            <w:r>
              <w:rPr>
                <w:color w:val="000000"/>
              </w:rPr>
              <w:t>江阴工业集中区污水处理厂建设情况</w:t>
            </w:r>
          </w:p>
          <w:p w14:paraId="021894F4">
            <w:pPr>
              <w:pStyle w:val="138"/>
              <w:ind w:firstLine="480"/>
              <w:rPr>
                <w:color w:val="000000"/>
              </w:rPr>
            </w:pPr>
            <w:r>
              <w:rPr>
                <w:color w:val="000000"/>
              </w:rPr>
              <w:t>①设计规模</w:t>
            </w:r>
          </w:p>
          <w:p w14:paraId="41BA1A17">
            <w:pPr>
              <w:pStyle w:val="138"/>
              <w:ind w:firstLine="480"/>
              <w:rPr>
                <w:color w:val="000000"/>
              </w:rPr>
            </w:pPr>
            <w:r>
              <w:rPr>
                <w:color w:val="000000"/>
              </w:rPr>
              <w:t>江阴工业集中区污水处理厂位于福州江阴工业集中区西部工业区规划地块内，总用地16公顷，总设计规模12万t/d，主要负责江阴工业集中区启动区13.8km</w:t>
            </w:r>
            <w:r>
              <w:rPr>
                <w:color w:val="000000"/>
                <w:vertAlign w:val="superscript"/>
              </w:rPr>
              <w:t>2</w:t>
            </w:r>
            <w:r>
              <w:rPr>
                <w:color w:val="000000"/>
              </w:rPr>
              <w:t>范围内的污水处理，分期建设，近期4万t/d、中期8万t/d、远期12万t/d。</w:t>
            </w:r>
          </w:p>
          <w:p w14:paraId="791E09FA">
            <w:pPr>
              <w:pStyle w:val="138"/>
              <w:ind w:firstLine="480"/>
              <w:rPr>
                <w:color w:val="000000"/>
              </w:rPr>
            </w:pPr>
            <w:r>
              <w:rPr>
                <w:color w:val="000000"/>
              </w:rPr>
              <w:t>2023年12月，污水处理厂中期工程投用，目前总处理能力为8万t/d，主体生化工艺采用两级AO，深度处理工艺采用芬顿高级氧化，出水水质达到《城镇污水处理厂污染物排放标准》（GB18918-2002）一级A标准。</w:t>
            </w:r>
          </w:p>
          <w:p w14:paraId="64F717D2">
            <w:pPr>
              <w:pStyle w:val="138"/>
              <w:ind w:firstLine="480"/>
              <w:rPr>
                <w:color w:val="000000"/>
              </w:rPr>
            </w:pPr>
            <w:r>
              <w:rPr>
                <w:color w:val="000000"/>
              </w:rPr>
              <w:t>②服务范围</w:t>
            </w:r>
          </w:p>
          <w:p w14:paraId="28FEA104">
            <w:pPr>
              <w:pStyle w:val="135"/>
              <w:rPr>
                <w:color w:val="000000"/>
              </w:rPr>
            </w:pPr>
            <w:r>
              <w:rPr>
                <w:color w:val="000000"/>
                <w:lang w:val="zh-CN"/>
              </w:rPr>
              <w:t>江阴工业区污水处理厂一期主要服务范围是工业区启动区块新江公路以西，现状海岸线以东，港口以北，福兴制药厂以南地块，面积约4.4km</w:t>
            </w:r>
            <w:r>
              <w:rPr>
                <w:color w:val="000000"/>
                <w:vertAlign w:val="superscript"/>
                <w:lang w:val="zh-CN"/>
              </w:rPr>
              <w:t>2</w:t>
            </w:r>
            <w:r>
              <w:rPr>
                <w:color w:val="000000"/>
                <w:lang w:val="zh-CN"/>
              </w:rPr>
              <w:t>。二期服务范围有所扩大，福清出口加工区围网内3km</w:t>
            </w:r>
            <w:r>
              <w:rPr>
                <w:color w:val="000000"/>
                <w:vertAlign w:val="superscript"/>
                <w:lang w:val="zh-CN"/>
              </w:rPr>
              <w:t>2</w:t>
            </w:r>
            <w:r>
              <w:rPr>
                <w:color w:val="000000"/>
                <w:lang w:val="zh-CN"/>
              </w:rPr>
              <w:t>的工业废水及生活污水也纳入二期服务范围。工业废水来自综合工业区内及福清出口加工区围网内企业生产过程中产生的废水，包括工厂内部生活污水；生活污水来自新江公路以北，西山村以西的生活及公建区，以及福清出口加工区围网内的生活污水，二期工程的服务范围扩大至福州市保税港区。污水处理厂厂前收集系统管网已建设6.1km，污水处理厂厂后尾水排污管线已建设5.4km，海上段已建968m。现有工业集中区内企业污水已经全部纳入污水厂管网收集服务范围</w:t>
            </w:r>
            <w:r>
              <w:rPr>
                <w:color w:val="000000"/>
              </w:rPr>
              <w:t>。</w:t>
            </w:r>
          </w:p>
          <w:p w14:paraId="719CBD55">
            <w:pPr>
              <w:pStyle w:val="138"/>
              <w:ind w:firstLine="480"/>
              <w:rPr>
                <w:color w:val="000000"/>
              </w:rPr>
            </w:pPr>
            <w:r>
              <w:rPr>
                <w:color w:val="000000"/>
              </w:rPr>
              <w:t>③设计出水指标</w:t>
            </w:r>
          </w:p>
          <w:p w14:paraId="5BC182C7">
            <w:pPr>
              <w:pStyle w:val="135"/>
              <w:rPr>
                <w:color w:val="000000"/>
              </w:rPr>
            </w:pPr>
            <w:r>
              <w:rPr>
                <w:color w:val="000000"/>
              </w:rPr>
              <w:t>江阴工业集中区污水处理厂要求各企业出水水质达到江阴工业区集中污水处理厂主要进水指标要求，其它水质指标满足《污水综合排放标准》（GB8978-1996）三级标准及《污水排入城市下水道水质标准》（GB/T31962-2015）B级标准及相关行业污染物排放标准后才能接入。</w:t>
            </w:r>
          </w:p>
          <w:p w14:paraId="4070218A">
            <w:pPr>
              <w:pStyle w:val="138"/>
              <w:ind w:firstLine="480"/>
              <w:rPr>
                <w:color w:val="000000"/>
              </w:rPr>
            </w:pPr>
            <w:r>
              <w:rPr>
                <w:color w:val="000000"/>
              </w:rPr>
              <w:t>江阴工业集中区污水处理厂现出水水质标准为《城镇污水处理厂污染物排放标准》（GB18918-2002）一级A标准，进出水水质指标见表4.</w:t>
            </w:r>
            <w:r>
              <w:rPr>
                <w:rFonts w:hint="eastAsia"/>
                <w:color w:val="000000"/>
              </w:rPr>
              <w:t>3-3</w:t>
            </w:r>
            <w:r>
              <w:rPr>
                <w:color w:val="000000"/>
              </w:rPr>
              <w:t>。</w:t>
            </w:r>
          </w:p>
          <w:p w14:paraId="45AD6F73">
            <w:pPr>
              <w:pStyle w:val="138"/>
              <w:ind w:firstLine="480"/>
              <w:rPr>
                <w:color w:val="000000"/>
              </w:rPr>
            </w:pPr>
            <w:r>
              <w:rPr>
                <w:color w:val="000000"/>
              </w:rPr>
              <w:t>④处理工艺流程</w:t>
            </w:r>
          </w:p>
          <w:p w14:paraId="192C3A95">
            <w:pPr>
              <w:pStyle w:val="135"/>
              <w:rPr>
                <w:color w:val="000000"/>
              </w:rPr>
            </w:pPr>
            <w:r>
              <w:rPr>
                <w:color w:val="000000"/>
                <w:lang w:val="zh-CN"/>
              </w:rPr>
              <w:t>工业区企业废水达到纳管标准，经工业区管网进入江阴污水处理厂，采用“粗格栅及提升泵房+细格栅及旋流沉砂池+水解酸化池+两级AO池+二沉池+中间水池+芬顿氧化塔+高密度沉淀池+转盘式微过滤器+接触消毒池”工艺处理后排海，根据《排污许可证申请与核发技术规范 水处理（试行）》（HJ978-2018）表4污水处理可行技术参照表，污水厂采用的工艺为可行技术</w:t>
            </w:r>
            <w:r>
              <w:rPr>
                <w:color w:val="000000"/>
              </w:rPr>
              <w:t>。</w:t>
            </w:r>
          </w:p>
          <w:p w14:paraId="26243FB4">
            <w:pPr>
              <w:pStyle w:val="74"/>
              <w:rPr>
                <w:sz w:val="24"/>
              </w:rPr>
            </w:pPr>
            <w:r>
              <w:rPr>
                <w:sz w:val="24"/>
              </w:rPr>
              <w:t>表4.</w:t>
            </w:r>
            <w:r>
              <w:rPr>
                <w:rFonts w:hint="eastAsia"/>
                <w:sz w:val="24"/>
              </w:rPr>
              <w:t>3-3</w:t>
            </w:r>
            <w:r>
              <w:rPr>
                <w:sz w:val="24"/>
              </w:rPr>
              <w:t xml:space="preserve">  纳管水质和设计出水水质指标一览表    单位：mg/L</w:t>
            </w:r>
          </w:p>
          <w:tbl>
            <w:tblPr>
              <w:tblStyle w:val="34"/>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5"/>
              <w:gridCol w:w="978"/>
              <w:gridCol w:w="893"/>
              <w:gridCol w:w="713"/>
              <w:gridCol w:w="988"/>
              <w:gridCol w:w="1048"/>
              <w:gridCol w:w="1043"/>
              <w:gridCol w:w="1036"/>
            </w:tblGrid>
            <w:tr w14:paraId="322F6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5" w:type="dxa"/>
                  <w:tcBorders>
                    <w:tl2br w:val="nil"/>
                    <w:tr2bl w:val="nil"/>
                  </w:tcBorders>
                  <w:vAlign w:val="center"/>
                </w:tcPr>
                <w:p w14:paraId="3A80377C">
                  <w:pPr>
                    <w:pStyle w:val="133"/>
                    <w:rPr>
                      <w:color w:val="000000"/>
                    </w:rPr>
                  </w:pPr>
                  <w:r>
                    <w:rPr>
                      <w:color w:val="000000"/>
                    </w:rPr>
                    <w:t>项目</w:t>
                  </w:r>
                </w:p>
              </w:tc>
              <w:tc>
                <w:tcPr>
                  <w:tcW w:w="978" w:type="dxa"/>
                  <w:tcBorders>
                    <w:tl2br w:val="nil"/>
                    <w:tr2bl w:val="nil"/>
                  </w:tcBorders>
                  <w:vAlign w:val="center"/>
                </w:tcPr>
                <w:p w14:paraId="159C330B">
                  <w:pPr>
                    <w:pStyle w:val="133"/>
                    <w:rPr>
                      <w:color w:val="000000"/>
                    </w:rPr>
                  </w:pPr>
                  <w:r>
                    <w:rPr>
                      <w:color w:val="000000"/>
                    </w:rPr>
                    <w:t>COD</w:t>
                  </w:r>
                  <w:r>
                    <w:rPr>
                      <w:color w:val="000000"/>
                      <w:vertAlign w:val="subscript"/>
                    </w:rPr>
                    <w:t>Cr</w:t>
                  </w:r>
                </w:p>
              </w:tc>
              <w:tc>
                <w:tcPr>
                  <w:tcW w:w="893" w:type="dxa"/>
                  <w:tcBorders>
                    <w:tl2br w:val="nil"/>
                    <w:tr2bl w:val="nil"/>
                  </w:tcBorders>
                  <w:vAlign w:val="center"/>
                </w:tcPr>
                <w:p w14:paraId="3E5EB84C">
                  <w:pPr>
                    <w:pStyle w:val="133"/>
                    <w:rPr>
                      <w:color w:val="000000"/>
                    </w:rPr>
                  </w:pPr>
                  <w:r>
                    <w:rPr>
                      <w:color w:val="000000"/>
                    </w:rPr>
                    <w:t>BOD</w:t>
                  </w:r>
                  <w:r>
                    <w:rPr>
                      <w:color w:val="000000"/>
                      <w:vertAlign w:val="subscript"/>
                    </w:rPr>
                    <w:t>5</w:t>
                  </w:r>
                </w:p>
              </w:tc>
              <w:tc>
                <w:tcPr>
                  <w:tcW w:w="713" w:type="dxa"/>
                  <w:tcBorders>
                    <w:tl2br w:val="nil"/>
                    <w:tr2bl w:val="nil"/>
                  </w:tcBorders>
                  <w:vAlign w:val="center"/>
                </w:tcPr>
                <w:p w14:paraId="60857675">
                  <w:pPr>
                    <w:pStyle w:val="133"/>
                    <w:rPr>
                      <w:color w:val="000000"/>
                    </w:rPr>
                  </w:pPr>
                  <w:r>
                    <w:rPr>
                      <w:color w:val="000000"/>
                    </w:rPr>
                    <w:t>SS</w:t>
                  </w:r>
                </w:p>
              </w:tc>
              <w:tc>
                <w:tcPr>
                  <w:tcW w:w="988" w:type="dxa"/>
                  <w:tcBorders>
                    <w:tl2br w:val="nil"/>
                    <w:tr2bl w:val="nil"/>
                  </w:tcBorders>
                  <w:vAlign w:val="center"/>
                </w:tcPr>
                <w:p w14:paraId="6144EFB3">
                  <w:pPr>
                    <w:pStyle w:val="133"/>
                    <w:rPr>
                      <w:color w:val="000000"/>
                    </w:rPr>
                  </w:pPr>
                  <w:r>
                    <w:rPr>
                      <w:color w:val="000000"/>
                    </w:rPr>
                    <w:t>NH</w:t>
                  </w:r>
                  <w:r>
                    <w:rPr>
                      <w:color w:val="000000"/>
                      <w:vertAlign w:val="subscript"/>
                    </w:rPr>
                    <w:t>3</w:t>
                  </w:r>
                  <w:r>
                    <w:rPr>
                      <w:color w:val="000000"/>
                    </w:rPr>
                    <w:t>-N</w:t>
                  </w:r>
                </w:p>
              </w:tc>
              <w:tc>
                <w:tcPr>
                  <w:tcW w:w="1048" w:type="dxa"/>
                  <w:tcBorders>
                    <w:tl2br w:val="nil"/>
                    <w:tr2bl w:val="nil"/>
                  </w:tcBorders>
                  <w:vAlign w:val="center"/>
                </w:tcPr>
                <w:p w14:paraId="188472EB">
                  <w:pPr>
                    <w:pStyle w:val="133"/>
                    <w:rPr>
                      <w:color w:val="000000"/>
                    </w:rPr>
                  </w:pPr>
                  <w:r>
                    <w:rPr>
                      <w:color w:val="000000"/>
                    </w:rPr>
                    <w:t>TN</w:t>
                  </w:r>
                </w:p>
              </w:tc>
              <w:tc>
                <w:tcPr>
                  <w:tcW w:w="1043" w:type="dxa"/>
                  <w:tcBorders>
                    <w:tl2br w:val="nil"/>
                    <w:tr2bl w:val="nil"/>
                  </w:tcBorders>
                  <w:vAlign w:val="center"/>
                </w:tcPr>
                <w:p w14:paraId="084AB401">
                  <w:pPr>
                    <w:pStyle w:val="133"/>
                    <w:rPr>
                      <w:color w:val="000000"/>
                    </w:rPr>
                  </w:pPr>
                  <w:r>
                    <w:rPr>
                      <w:color w:val="000000"/>
                    </w:rPr>
                    <w:t>TP</w:t>
                  </w:r>
                </w:p>
              </w:tc>
              <w:tc>
                <w:tcPr>
                  <w:tcW w:w="1036" w:type="dxa"/>
                  <w:tcBorders>
                    <w:tl2br w:val="nil"/>
                    <w:tr2bl w:val="nil"/>
                  </w:tcBorders>
                  <w:vAlign w:val="center"/>
                </w:tcPr>
                <w:p w14:paraId="7E352E5D">
                  <w:pPr>
                    <w:pStyle w:val="133"/>
                    <w:rPr>
                      <w:color w:val="000000"/>
                    </w:rPr>
                  </w:pPr>
                  <w:r>
                    <w:rPr>
                      <w:color w:val="000000"/>
                    </w:rPr>
                    <w:t>石油类</w:t>
                  </w:r>
                </w:p>
              </w:tc>
            </w:tr>
            <w:tr w14:paraId="6E818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5" w:type="dxa"/>
                  <w:tcBorders>
                    <w:tl2br w:val="nil"/>
                    <w:tr2bl w:val="nil"/>
                  </w:tcBorders>
                  <w:vAlign w:val="center"/>
                </w:tcPr>
                <w:p w14:paraId="0AE65238">
                  <w:pPr>
                    <w:pStyle w:val="133"/>
                    <w:rPr>
                      <w:color w:val="000000"/>
                    </w:rPr>
                  </w:pPr>
                  <w:r>
                    <w:rPr>
                      <w:color w:val="000000"/>
                    </w:rPr>
                    <w:t>纳管水质</w:t>
                  </w:r>
                </w:p>
              </w:tc>
              <w:tc>
                <w:tcPr>
                  <w:tcW w:w="978" w:type="dxa"/>
                  <w:tcBorders>
                    <w:tl2br w:val="nil"/>
                    <w:tr2bl w:val="nil"/>
                  </w:tcBorders>
                  <w:vAlign w:val="center"/>
                </w:tcPr>
                <w:p w14:paraId="6F69A664">
                  <w:pPr>
                    <w:pStyle w:val="133"/>
                    <w:rPr>
                      <w:color w:val="000000"/>
                    </w:rPr>
                  </w:pPr>
                  <w:r>
                    <w:rPr>
                      <w:color w:val="000000"/>
                    </w:rPr>
                    <w:t>500</w:t>
                  </w:r>
                </w:p>
              </w:tc>
              <w:tc>
                <w:tcPr>
                  <w:tcW w:w="893" w:type="dxa"/>
                  <w:tcBorders>
                    <w:tl2br w:val="nil"/>
                    <w:tr2bl w:val="nil"/>
                  </w:tcBorders>
                  <w:vAlign w:val="center"/>
                </w:tcPr>
                <w:p w14:paraId="4CFF3942">
                  <w:pPr>
                    <w:pStyle w:val="133"/>
                    <w:rPr>
                      <w:color w:val="000000"/>
                    </w:rPr>
                  </w:pPr>
                  <w:r>
                    <w:rPr>
                      <w:color w:val="000000"/>
                    </w:rPr>
                    <w:t>300</w:t>
                  </w:r>
                </w:p>
              </w:tc>
              <w:tc>
                <w:tcPr>
                  <w:tcW w:w="713" w:type="dxa"/>
                  <w:tcBorders>
                    <w:tl2br w:val="nil"/>
                    <w:tr2bl w:val="nil"/>
                  </w:tcBorders>
                  <w:vAlign w:val="center"/>
                </w:tcPr>
                <w:p w14:paraId="1AB70B41">
                  <w:pPr>
                    <w:pStyle w:val="133"/>
                    <w:rPr>
                      <w:color w:val="000000"/>
                    </w:rPr>
                  </w:pPr>
                  <w:r>
                    <w:rPr>
                      <w:color w:val="000000"/>
                    </w:rPr>
                    <w:t>400</w:t>
                  </w:r>
                </w:p>
              </w:tc>
              <w:tc>
                <w:tcPr>
                  <w:tcW w:w="988" w:type="dxa"/>
                  <w:tcBorders>
                    <w:tl2br w:val="nil"/>
                    <w:tr2bl w:val="nil"/>
                  </w:tcBorders>
                  <w:vAlign w:val="center"/>
                </w:tcPr>
                <w:p w14:paraId="5B78E967">
                  <w:pPr>
                    <w:pStyle w:val="133"/>
                    <w:rPr>
                      <w:color w:val="000000"/>
                    </w:rPr>
                  </w:pPr>
                  <w:r>
                    <w:rPr>
                      <w:color w:val="000000"/>
                    </w:rPr>
                    <w:t>60</w:t>
                  </w:r>
                </w:p>
              </w:tc>
              <w:tc>
                <w:tcPr>
                  <w:tcW w:w="1048" w:type="dxa"/>
                  <w:tcBorders>
                    <w:tl2br w:val="nil"/>
                    <w:tr2bl w:val="nil"/>
                  </w:tcBorders>
                  <w:vAlign w:val="center"/>
                </w:tcPr>
                <w:p w14:paraId="335A7ECD">
                  <w:pPr>
                    <w:pStyle w:val="133"/>
                    <w:rPr>
                      <w:color w:val="000000"/>
                    </w:rPr>
                  </w:pPr>
                  <w:r>
                    <w:rPr>
                      <w:color w:val="000000"/>
                    </w:rPr>
                    <w:t>70</w:t>
                  </w:r>
                </w:p>
              </w:tc>
              <w:tc>
                <w:tcPr>
                  <w:tcW w:w="1043" w:type="dxa"/>
                  <w:tcBorders>
                    <w:tl2br w:val="nil"/>
                    <w:tr2bl w:val="nil"/>
                  </w:tcBorders>
                  <w:vAlign w:val="center"/>
                </w:tcPr>
                <w:p w14:paraId="211E309D">
                  <w:pPr>
                    <w:pStyle w:val="133"/>
                    <w:rPr>
                      <w:color w:val="000000"/>
                    </w:rPr>
                  </w:pPr>
                  <w:r>
                    <w:rPr>
                      <w:color w:val="000000"/>
                    </w:rPr>
                    <w:t>8</w:t>
                  </w:r>
                </w:p>
              </w:tc>
              <w:tc>
                <w:tcPr>
                  <w:tcW w:w="1036" w:type="dxa"/>
                  <w:tcBorders>
                    <w:tl2br w:val="nil"/>
                    <w:tr2bl w:val="nil"/>
                  </w:tcBorders>
                  <w:vAlign w:val="center"/>
                </w:tcPr>
                <w:p w14:paraId="039A3C4C">
                  <w:pPr>
                    <w:pStyle w:val="133"/>
                    <w:rPr>
                      <w:color w:val="000000"/>
                    </w:rPr>
                  </w:pPr>
                  <w:r>
                    <w:rPr>
                      <w:color w:val="000000"/>
                    </w:rPr>
                    <w:t>20</w:t>
                  </w:r>
                </w:p>
              </w:tc>
            </w:tr>
            <w:tr w14:paraId="5CA27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5" w:type="dxa"/>
                  <w:tcBorders>
                    <w:tl2br w:val="nil"/>
                    <w:tr2bl w:val="nil"/>
                  </w:tcBorders>
                  <w:vAlign w:val="center"/>
                </w:tcPr>
                <w:p w14:paraId="1977F6F4">
                  <w:pPr>
                    <w:pStyle w:val="133"/>
                    <w:rPr>
                      <w:color w:val="000000"/>
                    </w:rPr>
                  </w:pPr>
                  <w:r>
                    <w:rPr>
                      <w:color w:val="000000"/>
                    </w:rPr>
                    <w:t>设计出水水质</w:t>
                  </w:r>
                </w:p>
              </w:tc>
              <w:tc>
                <w:tcPr>
                  <w:tcW w:w="978" w:type="dxa"/>
                  <w:tcBorders>
                    <w:tl2br w:val="nil"/>
                    <w:tr2bl w:val="nil"/>
                  </w:tcBorders>
                  <w:vAlign w:val="center"/>
                </w:tcPr>
                <w:p w14:paraId="597176A9">
                  <w:pPr>
                    <w:pStyle w:val="133"/>
                    <w:rPr>
                      <w:color w:val="000000"/>
                    </w:rPr>
                  </w:pPr>
                  <w:r>
                    <w:rPr>
                      <w:color w:val="000000"/>
                    </w:rPr>
                    <w:t>≤50</w:t>
                  </w:r>
                </w:p>
              </w:tc>
              <w:tc>
                <w:tcPr>
                  <w:tcW w:w="893" w:type="dxa"/>
                  <w:tcBorders>
                    <w:tl2br w:val="nil"/>
                    <w:tr2bl w:val="nil"/>
                  </w:tcBorders>
                  <w:vAlign w:val="center"/>
                </w:tcPr>
                <w:p w14:paraId="72636A8B">
                  <w:pPr>
                    <w:pStyle w:val="133"/>
                    <w:rPr>
                      <w:color w:val="000000"/>
                    </w:rPr>
                  </w:pPr>
                  <w:r>
                    <w:rPr>
                      <w:color w:val="000000"/>
                    </w:rPr>
                    <w:t>≤10</w:t>
                  </w:r>
                </w:p>
              </w:tc>
              <w:tc>
                <w:tcPr>
                  <w:tcW w:w="713" w:type="dxa"/>
                  <w:tcBorders>
                    <w:tl2br w:val="nil"/>
                    <w:tr2bl w:val="nil"/>
                  </w:tcBorders>
                  <w:vAlign w:val="center"/>
                </w:tcPr>
                <w:p w14:paraId="08A975E8">
                  <w:pPr>
                    <w:pStyle w:val="133"/>
                    <w:rPr>
                      <w:color w:val="000000"/>
                    </w:rPr>
                  </w:pPr>
                  <w:r>
                    <w:rPr>
                      <w:color w:val="000000"/>
                    </w:rPr>
                    <w:t>≤10</w:t>
                  </w:r>
                </w:p>
              </w:tc>
              <w:tc>
                <w:tcPr>
                  <w:tcW w:w="988" w:type="dxa"/>
                  <w:tcBorders>
                    <w:tl2br w:val="nil"/>
                    <w:tr2bl w:val="nil"/>
                  </w:tcBorders>
                  <w:vAlign w:val="center"/>
                </w:tcPr>
                <w:p w14:paraId="25B48D69">
                  <w:pPr>
                    <w:pStyle w:val="133"/>
                    <w:rPr>
                      <w:color w:val="000000"/>
                    </w:rPr>
                  </w:pPr>
                  <w:r>
                    <w:rPr>
                      <w:color w:val="000000"/>
                    </w:rPr>
                    <w:t>≤5（8）</w:t>
                  </w:r>
                </w:p>
              </w:tc>
              <w:tc>
                <w:tcPr>
                  <w:tcW w:w="1048" w:type="dxa"/>
                  <w:tcBorders>
                    <w:tl2br w:val="nil"/>
                    <w:tr2bl w:val="nil"/>
                  </w:tcBorders>
                  <w:vAlign w:val="center"/>
                </w:tcPr>
                <w:p w14:paraId="288546DE">
                  <w:pPr>
                    <w:pStyle w:val="133"/>
                    <w:rPr>
                      <w:color w:val="000000"/>
                    </w:rPr>
                  </w:pPr>
                  <w:r>
                    <w:rPr>
                      <w:color w:val="000000"/>
                    </w:rPr>
                    <w:t>≤15</w:t>
                  </w:r>
                </w:p>
              </w:tc>
              <w:tc>
                <w:tcPr>
                  <w:tcW w:w="1043" w:type="dxa"/>
                  <w:tcBorders>
                    <w:tl2br w:val="nil"/>
                    <w:tr2bl w:val="nil"/>
                  </w:tcBorders>
                  <w:vAlign w:val="center"/>
                </w:tcPr>
                <w:p w14:paraId="07671366">
                  <w:pPr>
                    <w:pStyle w:val="133"/>
                    <w:rPr>
                      <w:color w:val="000000"/>
                    </w:rPr>
                  </w:pPr>
                  <w:r>
                    <w:rPr>
                      <w:color w:val="000000"/>
                    </w:rPr>
                    <w:t>≤0.5</w:t>
                  </w:r>
                </w:p>
              </w:tc>
              <w:tc>
                <w:tcPr>
                  <w:tcW w:w="1036" w:type="dxa"/>
                  <w:tcBorders>
                    <w:tl2br w:val="nil"/>
                    <w:tr2bl w:val="nil"/>
                  </w:tcBorders>
                  <w:vAlign w:val="center"/>
                </w:tcPr>
                <w:p w14:paraId="532145CA">
                  <w:pPr>
                    <w:pStyle w:val="133"/>
                    <w:rPr>
                      <w:color w:val="000000"/>
                    </w:rPr>
                  </w:pPr>
                  <w:r>
                    <w:rPr>
                      <w:color w:val="000000"/>
                    </w:rPr>
                    <w:t>≤1</w:t>
                  </w:r>
                </w:p>
              </w:tc>
            </w:tr>
          </w:tbl>
          <w:p w14:paraId="418E721B">
            <w:pPr>
              <w:pStyle w:val="148"/>
              <w:ind w:left="420" w:leftChars="200" w:firstLine="0" w:firstLineChars="0"/>
              <w:rPr>
                <w:color w:val="000000"/>
              </w:rPr>
            </w:pPr>
            <w:r>
              <w:rPr>
                <w:rFonts w:hint="eastAsia"/>
                <w:color w:val="000000"/>
              </w:rPr>
              <w:t>(2)</w:t>
            </w:r>
            <w:r>
              <w:rPr>
                <w:color w:val="000000"/>
              </w:rPr>
              <w:t>污水纳入工业区污水厂可行性分析</w:t>
            </w:r>
          </w:p>
          <w:p w14:paraId="7000C84F">
            <w:pPr>
              <w:pStyle w:val="135"/>
              <w:rPr>
                <w:color w:val="000000"/>
              </w:rPr>
            </w:pPr>
            <w:r>
              <w:rPr>
                <w:color w:val="000000"/>
              </w:rPr>
              <w:t>①水质接纳可行性分析</w:t>
            </w:r>
          </w:p>
          <w:p w14:paraId="2623003A">
            <w:pPr>
              <w:pStyle w:val="135"/>
              <w:rPr>
                <w:color w:val="000000"/>
              </w:rPr>
            </w:pPr>
            <w:r>
              <w:rPr>
                <w:color w:val="000000"/>
              </w:rPr>
              <w:t>本项目</w:t>
            </w:r>
            <w:r>
              <w:rPr>
                <w:rFonts w:hint="eastAsia"/>
                <w:color w:val="000000"/>
              </w:rPr>
              <w:t>生活污水</w:t>
            </w:r>
            <w:r>
              <w:rPr>
                <w:color w:val="000000"/>
              </w:rPr>
              <w:t>经厂区</w:t>
            </w:r>
            <w:r>
              <w:rPr>
                <w:rFonts w:hint="eastAsia"/>
                <w:color w:val="000000"/>
              </w:rPr>
              <w:t>化粪池</w:t>
            </w:r>
            <w:r>
              <w:rPr>
                <w:color w:val="000000"/>
              </w:rPr>
              <w:t>处理后排入园区污水处理厂进一步处置，根据工程分析可知，本项目废水水质简单，主要污染物为COD、</w:t>
            </w:r>
            <w:r>
              <w:rPr>
                <w:rFonts w:hint="eastAsia"/>
                <w:color w:val="000000"/>
              </w:rPr>
              <w:t>BOD</w:t>
            </w:r>
            <w:r>
              <w:rPr>
                <w:rFonts w:hint="eastAsia"/>
                <w:color w:val="000000"/>
                <w:vertAlign w:val="subscript"/>
              </w:rPr>
              <w:t>5</w:t>
            </w:r>
            <w:r>
              <w:rPr>
                <w:rFonts w:hint="eastAsia"/>
                <w:color w:val="000000"/>
              </w:rPr>
              <w:t>、</w:t>
            </w:r>
            <w:r>
              <w:rPr>
                <w:color w:val="000000"/>
              </w:rPr>
              <w:t>氨氮、SS且产生浓度较低，经厂区</w:t>
            </w:r>
            <w:r>
              <w:rPr>
                <w:rFonts w:hint="eastAsia"/>
                <w:color w:val="000000"/>
              </w:rPr>
              <w:t>化粪池处理</w:t>
            </w:r>
            <w:r>
              <w:rPr>
                <w:color w:val="000000"/>
              </w:rPr>
              <w:t>后的废水符合园区污水处理厂接纳限值。</w:t>
            </w:r>
          </w:p>
          <w:p w14:paraId="48FEF1CB">
            <w:pPr>
              <w:pStyle w:val="135"/>
              <w:rPr>
                <w:color w:val="000000"/>
              </w:rPr>
            </w:pPr>
            <w:r>
              <w:rPr>
                <w:color w:val="000000"/>
              </w:rPr>
              <w:t>②水量接纳可行性分析</w:t>
            </w:r>
          </w:p>
          <w:p w14:paraId="6787F52F">
            <w:pPr>
              <w:pStyle w:val="135"/>
              <w:rPr>
                <w:color w:val="000000"/>
              </w:rPr>
            </w:pPr>
            <w:r>
              <w:rPr>
                <w:color w:val="000000"/>
              </w:rPr>
              <w:t>2023年10月，江阴污水处理厂中期工程投用，</w:t>
            </w:r>
            <w:r>
              <w:rPr>
                <w:color w:val="000000"/>
                <w:lang w:val="zh-CN"/>
              </w:rPr>
              <w:t>目前总处理能力为8万t/d</w:t>
            </w:r>
            <w:r>
              <w:rPr>
                <w:color w:val="000000"/>
              </w:rPr>
              <w:t>。根据调查，</w:t>
            </w:r>
            <w:r>
              <w:rPr>
                <w:rFonts w:hint="eastAsia"/>
                <w:color w:val="000000"/>
              </w:rPr>
              <w:t>截止至2024年8月，污水处理厂实际处理量为79956.392t/d，处理能力余量为45.608t/d</w:t>
            </w:r>
            <w:r>
              <w:rPr>
                <w:color w:val="000000"/>
              </w:rPr>
              <w:t>，本项目建成后全厂废水排放量</w:t>
            </w:r>
            <w:r>
              <w:rPr>
                <w:rFonts w:hint="eastAsia"/>
                <w:color w:val="000000"/>
              </w:rPr>
              <w:t>约</w:t>
            </w:r>
            <w:r>
              <w:rPr>
                <w:color w:val="000000"/>
              </w:rPr>
              <w:t>为</w:t>
            </w:r>
            <w:r>
              <w:rPr>
                <w:rFonts w:hint="eastAsia"/>
                <w:color w:val="000000"/>
              </w:rPr>
              <w:t>5.6</w:t>
            </w:r>
            <w:r>
              <w:rPr>
                <w:color w:val="000000"/>
              </w:rPr>
              <w:t>t/d，江阴污水处理厂可接收处理本项目产生的</w:t>
            </w:r>
            <w:r>
              <w:rPr>
                <w:rFonts w:hint="eastAsia"/>
                <w:color w:val="000000"/>
              </w:rPr>
              <w:t>废</w:t>
            </w:r>
            <w:r>
              <w:rPr>
                <w:color w:val="000000"/>
              </w:rPr>
              <w:t>水，因此从水量接纳角度分析是可行的。</w:t>
            </w:r>
          </w:p>
          <w:p w14:paraId="502930FA">
            <w:pPr>
              <w:pStyle w:val="135"/>
              <w:rPr>
                <w:color w:val="000000"/>
              </w:rPr>
            </w:pPr>
            <w:r>
              <w:rPr>
                <w:color w:val="000000"/>
              </w:rPr>
              <w:t>③管网接纳可行性分析</w:t>
            </w:r>
          </w:p>
          <w:p w14:paraId="1EB8DDA8">
            <w:pPr>
              <w:pStyle w:val="135"/>
              <w:rPr>
                <w:color w:val="000000"/>
              </w:rPr>
            </w:pPr>
            <w:r>
              <w:rPr>
                <w:color w:val="000000"/>
              </w:rPr>
              <w:t>本项目位于江阴港城经济区启动区工业污水处理厂服务区范围之内，目前厂区周边已布设污水接收管道，因此本项目排放的污水由园区污水厂接收处置是可行的。</w:t>
            </w:r>
          </w:p>
          <w:p w14:paraId="4574D7C0">
            <w:pPr>
              <w:pStyle w:val="135"/>
            </w:pPr>
            <w:r>
              <w:rPr>
                <w:color w:val="000000"/>
              </w:rPr>
              <w:t>综合以上分析，本项目位于江阴港城经济区启动区工业污水处理厂服务区范围之内，从污水处理厂的处理工艺及接管标准要求分析，本项目废水经厂区污水处理站处理后水质符合工业区污水厂的接管标准要求，可以纳入园区污水处理厂进一步处置。</w:t>
            </w:r>
            <w:bookmarkEnd w:id="44"/>
            <w:bookmarkEnd w:id="45"/>
            <w:bookmarkEnd w:id="46"/>
            <w:bookmarkEnd w:id="47"/>
          </w:p>
        </w:tc>
      </w:tr>
    </w:tbl>
    <w:p w14:paraId="4F0EB7A2">
      <w:pPr>
        <w:rPr>
          <w:color w:val="FF0000"/>
        </w:rPr>
        <w:sectPr>
          <w:pgSz w:w="11907" w:h="16840"/>
          <w:pgMar w:top="1701" w:right="1531" w:bottom="2127" w:left="1531" w:header="851" w:footer="851" w:gutter="0"/>
          <w:cols w:space="720" w:num="1"/>
          <w:docGrid w:linePitch="312" w:charSpace="0"/>
        </w:sectPr>
      </w:pPr>
    </w:p>
    <w:tbl>
      <w:tblPr>
        <w:tblStyle w:val="34"/>
        <w:tblW w:w="13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2495"/>
      </w:tblGrid>
      <w:tr w14:paraId="3588F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4" w:type="dxa"/>
            <w:tcMar>
              <w:left w:w="28" w:type="dxa"/>
              <w:right w:w="28" w:type="dxa"/>
            </w:tcMar>
            <w:vAlign w:val="center"/>
          </w:tcPr>
          <w:p w14:paraId="5B5708A4">
            <w:pPr>
              <w:pStyle w:val="29"/>
              <w:spacing w:before="0" w:beforeAutospacing="0" w:after="0" w:afterAutospacing="0"/>
              <w:jc w:val="center"/>
              <w:rPr>
                <w:rFonts w:ascii="Times New Roman" w:hAnsi="Times New Roman"/>
                <w:kern w:val="21"/>
                <w:szCs w:val="24"/>
              </w:rPr>
            </w:pPr>
            <w:r>
              <w:rPr>
                <w:rFonts w:hint="eastAsia" w:ascii="Times New Roman" w:hAnsi="Times New Roman"/>
                <w:kern w:val="21"/>
                <w:szCs w:val="24"/>
              </w:rPr>
              <w:t>运营期</w:t>
            </w:r>
            <w:r>
              <w:rPr>
                <w:rFonts w:ascii="Times New Roman" w:hAnsi="Times New Roman"/>
                <w:kern w:val="21"/>
                <w:szCs w:val="24"/>
              </w:rPr>
              <w:t>环</w:t>
            </w:r>
          </w:p>
          <w:p w14:paraId="7292CAA1">
            <w:pPr>
              <w:pStyle w:val="29"/>
              <w:spacing w:before="0" w:beforeAutospacing="0" w:after="0" w:afterAutospacing="0"/>
              <w:jc w:val="center"/>
              <w:rPr>
                <w:rFonts w:ascii="Times New Roman" w:hAnsi="Times New Roman"/>
                <w:kern w:val="21"/>
                <w:szCs w:val="24"/>
              </w:rPr>
            </w:pPr>
            <w:r>
              <w:rPr>
                <w:rFonts w:ascii="Times New Roman" w:hAnsi="Times New Roman"/>
                <w:kern w:val="21"/>
                <w:szCs w:val="24"/>
              </w:rPr>
              <w:t>境保</w:t>
            </w:r>
          </w:p>
          <w:p w14:paraId="1E75A543">
            <w:pPr>
              <w:pStyle w:val="29"/>
              <w:spacing w:before="0" w:beforeAutospacing="0" w:after="0" w:afterAutospacing="0"/>
              <w:jc w:val="center"/>
              <w:rPr>
                <w:rFonts w:ascii="Times New Roman" w:hAnsi="Times New Roman"/>
                <w:kern w:val="21"/>
                <w:szCs w:val="24"/>
              </w:rPr>
            </w:pPr>
            <w:r>
              <w:rPr>
                <w:rFonts w:ascii="Times New Roman" w:hAnsi="Times New Roman"/>
                <w:kern w:val="21"/>
                <w:szCs w:val="24"/>
              </w:rPr>
              <w:t>护措</w:t>
            </w:r>
          </w:p>
          <w:p w14:paraId="1EEF273A">
            <w:pPr>
              <w:jc w:val="center"/>
              <w:rPr>
                <w:color w:val="FF0000"/>
                <w:kern w:val="21"/>
                <w:sz w:val="24"/>
              </w:rPr>
            </w:pPr>
            <w:r>
              <w:rPr>
                <w:kern w:val="21"/>
                <w:sz w:val="24"/>
              </w:rPr>
              <w:t>施</w:t>
            </w:r>
          </w:p>
        </w:tc>
        <w:tc>
          <w:tcPr>
            <w:tcW w:w="12495" w:type="dxa"/>
            <w:vAlign w:val="center"/>
          </w:tcPr>
          <w:p w14:paraId="52A076F7">
            <w:pPr>
              <w:pStyle w:val="74"/>
              <w:rPr>
                <w:sz w:val="24"/>
              </w:rPr>
            </w:pPr>
            <w:r>
              <w:rPr>
                <w:rFonts w:hint="eastAsia"/>
                <w:sz w:val="24"/>
              </w:rPr>
              <w:t>表4.3-4  废水类别、污染物及污染治理设施信息表</w:t>
            </w:r>
          </w:p>
          <w:tbl>
            <w:tblPr>
              <w:tblStyle w:val="35"/>
              <w:tblW w:w="122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8"/>
              <w:gridCol w:w="953"/>
              <w:gridCol w:w="986"/>
              <w:gridCol w:w="1552"/>
              <w:gridCol w:w="1000"/>
              <w:gridCol w:w="1064"/>
              <w:gridCol w:w="1044"/>
              <w:gridCol w:w="886"/>
              <w:gridCol w:w="908"/>
              <w:gridCol w:w="3055"/>
            </w:tblGrid>
            <w:tr w14:paraId="5D54C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8" w:type="dxa"/>
                  <w:vMerge w:val="restart"/>
                  <w:tcBorders>
                    <w:tl2br w:val="nil"/>
                    <w:tr2bl w:val="nil"/>
                  </w:tcBorders>
                  <w:vAlign w:val="center"/>
                </w:tcPr>
                <w:p w14:paraId="2649F027">
                  <w:pPr>
                    <w:pStyle w:val="120"/>
                  </w:pPr>
                  <w:r>
                    <w:rPr>
                      <w:rFonts w:hint="eastAsia"/>
                    </w:rPr>
                    <w:t>废水类别</w:t>
                  </w:r>
                </w:p>
              </w:tc>
              <w:tc>
                <w:tcPr>
                  <w:tcW w:w="953" w:type="dxa"/>
                  <w:vMerge w:val="restart"/>
                  <w:tcBorders>
                    <w:tl2br w:val="nil"/>
                    <w:tr2bl w:val="nil"/>
                  </w:tcBorders>
                  <w:vAlign w:val="center"/>
                </w:tcPr>
                <w:p w14:paraId="48232648">
                  <w:pPr>
                    <w:pStyle w:val="120"/>
                  </w:pPr>
                  <w:r>
                    <w:rPr>
                      <w:rFonts w:hint="eastAsia"/>
                    </w:rPr>
                    <w:t>污染物种类</w:t>
                  </w:r>
                </w:p>
              </w:tc>
              <w:tc>
                <w:tcPr>
                  <w:tcW w:w="986" w:type="dxa"/>
                  <w:vMerge w:val="restart"/>
                  <w:tcBorders>
                    <w:tl2br w:val="nil"/>
                    <w:tr2bl w:val="nil"/>
                  </w:tcBorders>
                  <w:vAlign w:val="center"/>
                </w:tcPr>
                <w:p w14:paraId="2A4B1519">
                  <w:pPr>
                    <w:pStyle w:val="120"/>
                  </w:pPr>
                  <w:r>
                    <w:rPr>
                      <w:rFonts w:hint="eastAsia"/>
                    </w:rPr>
                    <w:t>排放</w:t>
                  </w:r>
                </w:p>
                <w:p w14:paraId="12FD5300">
                  <w:pPr>
                    <w:pStyle w:val="120"/>
                  </w:pPr>
                  <w:r>
                    <w:rPr>
                      <w:rFonts w:hint="eastAsia"/>
                    </w:rPr>
                    <w:t>去向</w:t>
                  </w:r>
                </w:p>
              </w:tc>
              <w:tc>
                <w:tcPr>
                  <w:tcW w:w="1552" w:type="dxa"/>
                  <w:vMerge w:val="restart"/>
                  <w:tcBorders>
                    <w:tl2br w:val="nil"/>
                    <w:tr2bl w:val="nil"/>
                  </w:tcBorders>
                  <w:vAlign w:val="center"/>
                </w:tcPr>
                <w:p w14:paraId="1A44AEE8">
                  <w:pPr>
                    <w:pStyle w:val="120"/>
                  </w:pPr>
                  <w:r>
                    <w:rPr>
                      <w:rFonts w:hint="eastAsia"/>
                    </w:rPr>
                    <w:t>排放规律</w:t>
                  </w:r>
                </w:p>
              </w:tc>
              <w:tc>
                <w:tcPr>
                  <w:tcW w:w="3108" w:type="dxa"/>
                  <w:gridSpan w:val="3"/>
                  <w:tcBorders>
                    <w:tl2br w:val="nil"/>
                    <w:tr2bl w:val="nil"/>
                  </w:tcBorders>
                  <w:vAlign w:val="center"/>
                </w:tcPr>
                <w:p w14:paraId="43383B8A">
                  <w:pPr>
                    <w:pStyle w:val="120"/>
                  </w:pPr>
                  <w:r>
                    <w:rPr>
                      <w:rFonts w:hint="eastAsia"/>
                    </w:rPr>
                    <w:t>污染治理设施</w:t>
                  </w:r>
                </w:p>
              </w:tc>
              <w:tc>
                <w:tcPr>
                  <w:tcW w:w="886" w:type="dxa"/>
                  <w:vMerge w:val="restart"/>
                  <w:tcBorders>
                    <w:tl2br w:val="nil"/>
                    <w:tr2bl w:val="nil"/>
                  </w:tcBorders>
                  <w:vAlign w:val="center"/>
                </w:tcPr>
                <w:p w14:paraId="5A1F8138">
                  <w:pPr>
                    <w:pStyle w:val="120"/>
                  </w:pPr>
                  <w:r>
                    <w:rPr>
                      <w:rFonts w:hint="eastAsia"/>
                    </w:rPr>
                    <w:t>排放口编号</w:t>
                  </w:r>
                </w:p>
              </w:tc>
              <w:tc>
                <w:tcPr>
                  <w:tcW w:w="908" w:type="dxa"/>
                  <w:vMerge w:val="restart"/>
                  <w:tcBorders>
                    <w:tl2br w:val="nil"/>
                    <w:tr2bl w:val="nil"/>
                  </w:tcBorders>
                  <w:vAlign w:val="center"/>
                </w:tcPr>
                <w:p w14:paraId="0A7E79F6">
                  <w:pPr>
                    <w:pStyle w:val="120"/>
                  </w:pPr>
                  <w:r>
                    <w:rPr>
                      <w:rFonts w:hint="eastAsia"/>
                    </w:rPr>
                    <w:t>排放口设置是否符合要求</w:t>
                  </w:r>
                </w:p>
              </w:tc>
              <w:tc>
                <w:tcPr>
                  <w:tcW w:w="3055" w:type="dxa"/>
                  <w:vMerge w:val="restart"/>
                  <w:tcBorders>
                    <w:tl2br w:val="nil"/>
                    <w:tr2bl w:val="nil"/>
                  </w:tcBorders>
                  <w:vAlign w:val="center"/>
                </w:tcPr>
                <w:p w14:paraId="562CFA5B">
                  <w:pPr>
                    <w:pStyle w:val="120"/>
                  </w:pPr>
                  <w:r>
                    <w:rPr>
                      <w:rFonts w:hint="eastAsia"/>
                    </w:rPr>
                    <w:t>排放类型</w:t>
                  </w:r>
                </w:p>
              </w:tc>
            </w:tr>
            <w:tr w14:paraId="75879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8" w:type="dxa"/>
                  <w:vMerge w:val="continue"/>
                  <w:tcBorders>
                    <w:tl2br w:val="nil"/>
                    <w:tr2bl w:val="nil"/>
                  </w:tcBorders>
                  <w:vAlign w:val="center"/>
                </w:tcPr>
                <w:p w14:paraId="5329E267">
                  <w:pPr>
                    <w:pStyle w:val="120"/>
                  </w:pPr>
                </w:p>
              </w:tc>
              <w:tc>
                <w:tcPr>
                  <w:tcW w:w="953" w:type="dxa"/>
                  <w:vMerge w:val="continue"/>
                  <w:tcBorders>
                    <w:tl2br w:val="nil"/>
                    <w:tr2bl w:val="nil"/>
                  </w:tcBorders>
                  <w:vAlign w:val="center"/>
                </w:tcPr>
                <w:p w14:paraId="0375EABF">
                  <w:pPr>
                    <w:pStyle w:val="120"/>
                  </w:pPr>
                </w:p>
              </w:tc>
              <w:tc>
                <w:tcPr>
                  <w:tcW w:w="986" w:type="dxa"/>
                  <w:vMerge w:val="continue"/>
                  <w:tcBorders>
                    <w:tl2br w:val="nil"/>
                    <w:tr2bl w:val="nil"/>
                  </w:tcBorders>
                  <w:vAlign w:val="center"/>
                </w:tcPr>
                <w:p w14:paraId="61EDC7DF">
                  <w:pPr>
                    <w:pStyle w:val="120"/>
                  </w:pPr>
                </w:p>
              </w:tc>
              <w:tc>
                <w:tcPr>
                  <w:tcW w:w="1552" w:type="dxa"/>
                  <w:vMerge w:val="continue"/>
                  <w:tcBorders>
                    <w:tl2br w:val="nil"/>
                    <w:tr2bl w:val="nil"/>
                  </w:tcBorders>
                  <w:vAlign w:val="center"/>
                </w:tcPr>
                <w:p w14:paraId="76677A14">
                  <w:pPr>
                    <w:pStyle w:val="120"/>
                  </w:pPr>
                </w:p>
              </w:tc>
              <w:tc>
                <w:tcPr>
                  <w:tcW w:w="1000" w:type="dxa"/>
                  <w:tcBorders>
                    <w:tl2br w:val="nil"/>
                    <w:tr2bl w:val="nil"/>
                  </w:tcBorders>
                  <w:vAlign w:val="center"/>
                </w:tcPr>
                <w:p w14:paraId="6BBC78AF">
                  <w:pPr>
                    <w:pStyle w:val="120"/>
                  </w:pPr>
                  <w:r>
                    <w:rPr>
                      <w:rFonts w:hint="eastAsia"/>
                    </w:rPr>
                    <w:t>污染治理设施编号</w:t>
                  </w:r>
                </w:p>
              </w:tc>
              <w:tc>
                <w:tcPr>
                  <w:tcW w:w="1064" w:type="dxa"/>
                  <w:tcBorders>
                    <w:tl2br w:val="nil"/>
                    <w:tr2bl w:val="nil"/>
                  </w:tcBorders>
                  <w:vAlign w:val="center"/>
                </w:tcPr>
                <w:p w14:paraId="3436A197">
                  <w:pPr>
                    <w:pStyle w:val="120"/>
                  </w:pPr>
                  <w:r>
                    <w:rPr>
                      <w:rFonts w:hint="eastAsia"/>
                    </w:rPr>
                    <w:t>污染治理设施名称</w:t>
                  </w:r>
                </w:p>
              </w:tc>
              <w:tc>
                <w:tcPr>
                  <w:tcW w:w="1044" w:type="dxa"/>
                  <w:tcBorders>
                    <w:tl2br w:val="nil"/>
                    <w:tr2bl w:val="nil"/>
                  </w:tcBorders>
                  <w:vAlign w:val="center"/>
                </w:tcPr>
                <w:p w14:paraId="14B2197A">
                  <w:pPr>
                    <w:pStyle w:val="120"/>
                  </w:pPr>
                  <w:r>
                    <w:rPr>
                      <w:rFonts w:hint="eastAsia"/>
                    </w:rPr>
                    <w:t>污染治理设施工艺</w:t>
                  </w:r>
                </w:p>
              </w:tc>
              <w:tc>
                <w:tcPr>
                  <w:tcW w:w="886" w:type="dxa"/>
                  <w:vMerge w:val="continue"/>
                  <w:tcBorders>
                    <w:tl2br w:val="nil"/>
                    <w:tr2bl w:val="nil"/>
                  </w:tcBorders>
                  <w:vAlign w:val="center"/>
                </w:tcPr>
                <w:p w14:paraId="1E51747A">
                  <w:pPr>
                    <w:pStyle w:val="120"/>
                  </w:pPr>
                </w:p>
              </w:tc>
              <w:tc>
                <w:tcPr>
                  <w:tcW w:w="908" w:type="dxa"/>
                  <w:vMerge w:val="continue"/>
                  <w:tcBorders>
                    <w:tl2br w:val="nil"/>
                    <w:tr2bl w:val="nil"/>
                  </w:tcBorders>
                  <w:vAlign w:val="center"/>
                </w:tcPr>
                <w:p w14:paraId="059CBA7A">
                  <w:pPr>
                    <w:pStyle w:val="120"/>
                  </w:pPr>
                </w:p>
              </w:tc>
              <w:tc>
                <w:tcPr>
                  <w:tcW w:w="3055" w:type="dxa"/>
                  <w:vMerge w:val="continue"/>
                  <w:tcBorders>
                    <w:tl2br w:val="nil"/>
                    <w:tr2bl w:val="nil"/>
                  </w:tcBorders>
                  <w:vAlign w:val="center"/>
                </w:tcPr>
                <w:p w14:paraId="53DC7469">
                  <w:pPr>
                    <w:pStyle w:val="120"/>
                  </w:pPr>
                </w:p>
              </w:tc>
            </w:tr>
            <w:tr w14:paraId="4D90F6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798" w:type="dxa"/>
                  <w:tcBorders>
                    <w:tl2br w:val="nil"/>
                    <w:tr2bl w:val="nil"/>
                  </w:tcBorders>
                  <w:vAlign w:val="center"/>
                </w:tcPr>
                <w:p w14:paraId="3E99D0DD">
                  <w:pPr>
                    <w:pStyle w:val="120"/>
                  </w:pPr>
                  <w:r>
                    <w:rPr>
                      <w:rFonts w:hint="eastAsia"/>
                    </w:rPr>
                    <w:t>生活</w:t>
                  </w:r>
                </w:p>
                <w:p w14:paraId="36A91A27">
                  <w:pPr>
                    <w:pStyle w:val="120"/>
                  </w:pPr>
                  <w:r>
                    <w:rPr>
                      <w:rFonts w:hint="eastAsia"/>
                    </w:rPr>
                    <w:t>污水</w:t>
                  </w:r>
                </w:p>
              </w:tc>
              <w:tc>
                <w:tcPr>
                  <w:tcW w:w="953" w:type="dxa"/>
                  <w:tcBorders>
                    <w:tl2br w:val="nil"/>
                    <w:tr2bl w:val="nil"/>
                  </w:tcBorders>
                  <w:vAlign w:val="center"/>
                </w:tcPr>
                <w:p w14:paraId="1D531AB0">
                  <w:pPr>
                    <w:pStyle w:val="120"/>
                  </w:pPr>
                  <w:r>
                    <w:rPr>
                      <w:rFonts w:hint="eastAsia"/>
                    </w:rPr>
                    <w:t>pH、</w:t>
                  </w:r>
                  <w:r>
                    <w:t>COD、</w:t>
                  </w:r>
                  <w:r>
                    <w:rPr>
                      <w:rFonts w:hint="eastAsia"/>
                    </w:rPr>
                    <w:t>BOD</w:t>
                  </w:r>
                  <w:r>
                    <w:rPr>
                      <w:rFonts w:hint="eastAsia"/>
                      <w:vertAlign w:val="subscript"/>
                    </w:rPr>
                    <w:t>5</w:t>
                  </w:r>
                  <w:r>
                    <w:rPr>
                      <w:rFonts w:hint="eastAsia"/>
                    </w:rPr>
                    <w:t>、SS、</w:t>
                  </w:r>
                  <w:r>
                    <w:t>NH</w:t>
                  </w:r>
                  <w:r>
                    <w:rPr>
                      <w:vertAlign w:val="subscript"/>
                    </w:rPr>
                    <w:t>3</w:t>
                  </w:r>
                  <w:r>
                    <w:t>-N</w:t>
                  </w:r>
                </w:p>
              </w:tc>
              <w:tc>
                <w:tcPr>
                  <w:tcW w:w="986" w:type="dxa"/>
                  <w:tcBorders>
                    <w:tl2br w:val="nil"/>
                    <w:tr2bl w:val="nil"/>
                  </w:tcBorders>
                  <w:vAlign w:val="center"/>
                </w:tcPr>
                <w:p w14:paraId="26452B25">
                  <w:pPr>
                    <w:pStyle w:val="120"/>
                  </w:pPr>
                  <w:r>
                    <w:t>进入城市污水处理厂</w:t>
                  </w:r>
                </w:p>
              </w:tc>
              <w:tc>
                <w:tcPr>
                  <w:tcW w:w="1552" w:type="dxa"/>
                  <w:tcBorders>
                    <w:tl2br w:val="nil"/>
                    <w:tr2bl w:val="nil"/>
                  </w:tcBorders>
                  <w:vAlign w:val="center"/>
                </w:tcPr>
                <w:p w14:paraId="4D8F0AD0">
                  <w:pPr>
                    <w:pStyle w:val="120"/>
                  </w:pPr>
                  <w:r>
                    <w:t>间断排放</w:t>
                  </w:r>
                  <w:r>
                    <w:rPr>
                      <w:rFonts w:hint="eastAsia"/>
                    </w:rPr>
                    <w:t>，</w:t>
                  </w:r>
                  <w:r>
                    <w:t>排放期间流量不稳定且无规律，但不属于冲击型排放</w:t>
                  </w:r>
                </w:p>
              </w:tc>
              <w:tc>
                <w:tcPr>
                  <w:tcW w:w="1000" w:type="dxa"/>
                  <w:tcBorders>
                    <w:tl2br w:val="nil"/>
                    <w:tr2bl w:val="nil"/>
                  </w:tcBorders>
                  <w:vAlign w:val="center"/>
                </w:tcPr>
                <w:p w14:paraId="436C858B">
                  <w:pPr>
                    <w:pStyle w:val="120"/>
                  </w:pPr>
                  <w:r>
                    <w:rPr>
                      <w:rFonts w:hint="eastAsia"/>
                    </w:rPr>
                    <w:t>TW001</w:t>
                  </w:r>
                </w:p>
              </w:tc>
              <w:tc>
                <w:tcPr>
                  <w:tcW w:w="1064" w:type="dxa"/>
                  <w:tcBorders>
                    <w:tl2br w:val="nil"/>
                    <w:tr2bl w:val="nil"/>
                  </w:tcBorders>
                  <w:vAlign w:val="center"/>
                </w:tcPr>
                <w:p w14:paraId="6049D60D">
                  <w:pPr>
                    <w:pStyle w:val="120"/>
                  </w:pPr>
                  <w:r>
                    <w:rPr>
                      <w:rFonts w:hint="eastAsia"/>
                    </w:rPr>
                    <w:t>化粪池</w:t>
                  </w:r>
                </w:p>
              </w:tc>
              <w:tc>
                <w:tcPr>
                  <w:tcW w:w="1044" w:type="dxa"/>
                  <w:tcBorders>
                    <w:tl2br w:val="nil"/>
                    <w:tr2bl w:val="nil"/>
                  </w:tcBorders>
                  <w:vAlign w:val="center"/>
                </w:tcPr>
                <w:p w14:paraId="207A267A">
                  <w:pPr>
                    <w:pStyle w:val="120"/>
                  </w:pPr>
                  <w:r>
                    <w:rPr>
                      <w:rFonts w:hint="eastAsia"/>
                    </w:rPr>
                    <w:t>沉淀、生化</w:t>
                  </w:r>
                </w:p>
              </w:tc>
              <w:tc>
                <w:tcPr>
                  <w:tcW w:w="886" w:type="dxa"/>
                  <w:tcBorders>
                    <w:tl2br w:val="nil"/>
                    <w:tr2bl w:val="nil"/>
                  </w:tcBorders>
                  <w:vAlign w:val="center"/>
                </w:tcPr>
                <w:p w14:paraId="755EEA11">
                  <w:pPr>
                    <w:pStyle w:val="120"/>
                  </w:pPr>
                  <w:r>
                    <w:t>DW001</w:t>
                  </w:r>
                </w:p>
              </w:tc>
              <w:tc>
                <w:tcPr>
                  <w:tcW w:w="908" w:type="dxa"/>
                  <w:tcBorders>
                    <w:tl2br w:val="nil"/>
                    <w:tr2bl w:val="nil"/>
                  </w:tcBorders>
                  <w:vAlign w:val="center"/>
                </w:tcPr>
                <w:p w14:paraId="28FD5BFC">
                  <w:pPr>
                    <w:pStyle w:val="120"/>
                  </w:pPr>
                  <w:r>
                    <w:rPr/>
                    <w:sym w:font="Wingdings" w:char="00FE"/>
                  </w:r>
                  <w:r>
                    <w:t xml:space="preserve"> 是</w:t>
                  </w:r>
                </w:p>
                <w:p w14:paraId="41ABBA7D">
                  <w:pPr>
                    <w:pStyle w:val="120"/>
                  </w:pPr>
                  <w:r>
                    <w:rPr/>
                    <w:sym w:font="Wingdings" w:char="00A8"/>
                  </w:r>
                  <w:r>
                    <w:t xml:space="preserve"> 否</w:t>
                  </w:r>
                </w:p>
              </w:tc>
              <w:tc>
                <w:tcPr>
                  <w:tcW w:w="3055" w:type="dxa"/>
                  <w:tcBorders>
                    <w:tl2br w:val="nil"/>
                    <w:tr2bl w:val="nil"/>
                  </w:tcBorders>
                  <w:vAlign w:val="center"/>
                </w:tcPr>
                <w:p w14:paraId="00F318A0">
                  <w:pPr>
                    <w:pStyle w:val="120"/>
                    <w:jc w:val="left"/>
                  </w:pPr>
                  <w:r>
                    <w:rPr/>
                    <w:sym w:font="Wingdings" w:char="00A8"/>
                  </w:r>
                  <w:r>
                    <w:t xml:space="preserve"> 企业总排</w:t>
                  </w:r>
                </w:p>
                <w:p w14:paraId="3B5B1AC5">
                  <w:pPr>
                    <w:pStyle w:val="120"/>
                    <w:jc w:val="left"/>
                  </w:pPr>
                  <w:r>
                    <w:rPr/>
                    <w:sym w:font="Wingdings" w:char="00A8"/>
                  </w:r>
                  <w:r>
                    <w:t xml:space="preserve"> 雨水排放</w:t>
                  </w:r>
                </w:p>
                <w:p w14:paraId="2460361C">
                  <w:pPr>
                    <w:pStyle w:val="120"/>
                    <w:jc w:val="left"/>
                  </w:pPr>
                  <w:r>
                    <w:rPr/>
                    <w:sym w:font="Wingdings" w:char="00A8"/>
                  </w:r>
                  <w:r>
                    <w:t xml:space="preserve"> 清净下水排放</w:t>
                  </w:r>
                </w:p>
                <w:p w14:paraId="1C1175FA">
                  <w:pPr>
                    <w:pStyle w:val="120"/>
                    <w:jc w:val="left"/>
                  </w:pPr>
                  <w:r>
                    <w:rPr/>
                    <w:sym w:font="Wingdings" w:char="00A8"/>
                  </w:r>
                  <w:r>
                    <w:t xml:space="preserve"> 温水排放</w:t>
                  </w:r>
                </w:p>
                <w:p w14:paraId="1CA17C9A">
                  <w:pPr>
                    <w:pStyle w:val="120"/>
                    <w:jc w:val="left"/>
                  </w:pPr>
                  <w:r>
                    <w:rPr/>
                    <w:sym w:font="Wingdings" w:char="00A8"/>
                  </w:r>
                  <w:r>
                    <w:t xml:space="preserve"> 车间或车间处理设施排放口</w:t>
                  </w:r>
                </w:p>
                <w:p w14:paraId="3ADC24F2">
                  <w:pPr>
                    <w:pStyle w:val="120"/>
                    <w:jc w:val="left"/>
                  </w:pPr>
                  <w:r>
                    <w:rPr/>
                    <w:sym w:font="Wingdings" w:char="00FE"/>
                  </w:r>
                  <w:r>
                    <w:rPr>
                      <w:rFonts w:hint="eastAsia"/>
                    </w:rPr>
                    <w:t xml:space="preserve"> 其它</w:t>
                  </w:r>
                </w:p>
              </w:tc>
            </w:tr>
          </w:tbl>
          <w:p w14:paraId="0231D5D6">
            <w:pPr>
              <w:pStyle w:val="74"/>
              <w:rPr>
                <w:sz w:val="24"/>
              </w:rPr>
            </w:pPr>
            <w:r>
              <w:rPr>
                <w:rFonts w:hint="eastAsia"/>
                <w:sz w:val="24"/>
              </w:rPr>
              <w:t xml:space="preserve">表4.3-5  </w:t>
            </w:r>
            <w:r>
              <w:rPr>
                <w:sz w:val="24"/>
              </w:rPr>
              <w:t>废水间接排放口基本情况表</w:t>
            </w:r>
          </w:p>
          <w:tbl>
            <w:tblPr>
              <w:tblStyle w:val="35"/>
              <w:tblW w:w="122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851"/>
              <w:gridCol w:w="1027"/>
              <w:gridCol w:w="974"/>
              <w:gridCol w:w="1937"/>
              <w:gridCol w:w="1153"/>
              <w:gridCol w:w="1046"/>
              <w:gridCol w:w="1163"/>
              <w:gridCol w:w="2117"/>
            </w:tblGrid>
            <w:tr w14:paraId="45535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8" w:type="dxa"/>
                  <w:vMerge w:val="restart"/>
                  <w:tcBorders>
                    <w:tl2br w:val="nil"/>
                    <w:tr2bl w:val="nil"/>
                  </w:tcBorders>
                  <w:vAlign w:val="center"/>
                </w:tcPr>
                <w:p w14:paraId="73DF7999">
                  <w:pPr>
                    <w:pStyle w:val="120"/>
                  </w:pPr>
                  <w:r>
                    <w:rPr>
                      <w:rFonts w:hint="eastAsia"/>
                    </w:rPr>
                    <w:t>排放口编码</w:t>
                  </w:r>
                </w:p>
              </w:tc>
              <w:tc>
                <w:tcPr>
                  <w:tcW w:w="1851" w:type="dxa"/>
                  <w:vMerge w:val="restart"/>
                  <w:tcBorders>
                    <w:tl2br w:val="nil"/>
                    <w:tr2bl w:val="nil"/>
                  </w:tcBorders>
                  <w:vAlign w:val="center"/>
                </w:tcPr>
                <w:p w14:paraId="4CF7E9E7">
                  <w:pPr>
                    <w:pStyle w:val="120"/>
                  </w:pPr>
                  <w:r>
                    <w:rPr>
                      <w:rFonts w:hint="eastAsia"/>
                    </w:rPr>
                    <w:t>排放口地理坐标</w:t>
                  </w:r>
                </w:p>
              </w:tc>
              <w:tc>
                <w:tcPr>
                  <w:tcW w:w="1027" w:type="dxa"/>
                  <w:vMerge w:val="restart"/>
                  <w:tcBorders>
                    <w:tl2br w:val="nil"/>
                    <w:tr2bl w:val="nil"/>
                  </w:tcBorders>
                  <w:vAlign w:val="center"/>
                </w:tcPr>
                <w:p w14:paraId="50274B74">
                  <w:pPr>
                    <w:pStyle w:val="120"/>
                  </w:pPr>
                  <w:r>
                    <w:rPr>
                      <w:rFonts w:hint="eastAsia"/>
                    </w:rPr>
                    <w:t>废水排放量</w:t>
                  </w:r>
                </w:p>
              </w:tc>
              <w:tc>
                <w:tcPr>
                  <w:tcW w:w="974" w:type="dxa"/>
                  <w:vMerge w:val="restart"/>
                  <w:tcBorders>
                    <w:tl2br w:val="nil"/>
                    <w:tr2bl w:val="nil"/>
                  </w:tcBorders>
                  <w:vAlign w:val="center"/>
                </w:tcPr>
                <w:p w14:paraId="1D9ABB5E">
                  <w:pPr>
                    <w:pStyle w:val="120"/>
                  </w:pPr>
                  <w:r>
                    <w:rPr>
                      <w:rFonts w:hint="eastAsia"/>
                    </w:rPr>
                    <w:t>排放</w:t>
                  </w:r>
                </w:p>
                <w:p w14:paraId="0019177B">
                  <w:pPr>
                    <w:pStyle w:val="120"/>
                  </w:pPr>
                  <w:r>
                    <w:rPr>
                      <w:rFonts w:hint="eastAsia"/>
                    </w:rPr>
                    <w:t>去向</w:t>
                  </w:r>
                </w:p>
              </w:tc>
              <w:tc>
                <w:tcPr>
                  <w:tcW w:w="1937" w:type="dxa"/>
                  <w:vMerge w:val="restart"/>
                  <w:tcBorders>
                    <w:tl2br w:val="nil"/>
                    <w:tr2bl w:val="nil"/>
                  </w:tcBorders>
                  <w:vAlign w:val="center"/>
                </w:tcPr>
                <w:p w14:paraId="6F91765D">
                  <w:pPr>
                    <w:pStyle w:val="120"/>
                  </w:pPr>
                  <w:r>
                    <w:rPr>
                      <w:rFonts w:hint="eastAsia"/>
                    </w:rPr>
                    <w:t>排放规律</w:t>
                  </w:r>
                </w:p>
              </w:tc>
              <w:tc>
                <w:tcPr>
                  <w:tcW w:w="1153" w:type="dxa"/>
                  <w:vMerge w:val="restart"/>
                  <w:tcBorders>
                    <w:tl2br w:val="nil"/>
                    <w:tr2bl w:val="nil"/>
                  </w:tcBorders>
                  <w:vAlign w:val="center"/>
                </w:tcPr>
                <w:p w14:paraId="67A87B3C">
                  <w:pPr>
                    <w:pStyle w:val="120"/>
                  </w:pPr>
                  <w:r>
                    <w:rPr>
                      <w:rFonts w:hint="eastAsia"/>
                    </w:rPr>
                    <w:t>间歇排放时段</w:t>
                  </w:r>
                </w:p>
              </w:tc>
              <w:tc>
                <w:tcPr>
                  <w:tcW w:w="4326" w:type="dxa"/>
                  <w:gridSpan w:val="3"/>
                  <w:tcBorders>
                    <w:tl2br w:val="nil"/>
                    <w:tr2bl w:val="nil"/>
                  </w:tcBorders>
                  <w:vAlign w:val="center"/>
                </w:tcPr>
                <w:p w14:paraId="65010F53">
                  <w:pPr>
                    <w:pStyle w:val="120"/>
                  </w:pPr>
                  <w:r>
                    <w:rPr>
                      <w:rFonts w:hint="eastAsia"/>
                    </w:rPr>
                    <w:t>收纳污水处理厂信息</w:t>
                  </w:r>
                </w:p>
              </w:tc>
            </w:tr>
            <w:tr w14:paraId="36F89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8" w:type="dxa"/>
                  <w:vMerge w:val="continue"/>
                  <w:tcBorders>
                    <w:tl2br w:val="nil"/>
                    <w:tr2bl w:val="nil"/>
                  </w:tcBorders>
                  <w:vAlign w:val="center"/>
                </w:tcPr>
                <w:p w14:paraId="4755CDC9">
                  <w:pPr>
                    <w:pStyle w:val="120"/>
                  </w:pPr>
                </w:p>
              </w:tc>
              <w:tc>
                <w:tcPr>
                  <w:tcW w:w="1851" w:type="dxa"/>
                  <w:vMerge w:val="continue"/>
                  <w:tcBorders>
                    <w:tl2br w:val="nil"/>
                    <w:tr2bl w:val="nil"/>
                  </w:tcBorders>
                  <w:vAlign w:val="center"/>
                </w:tcPr>
                <w:p w14:paraId="760813BE">
                  <w:pPr>
                    <w:pStyle w:val="120"/>
                  </w:pPr>
                </w:p>
              </w:tc>
              <w:tc>
                <w:tcPr>
                  <w:tcW w:w="1027" w:type="dxa"/>
                  <w:vMerge w:val="continue"/>
                  <w:tcBorders>
                    <w:tl2br w:val="nil"/>
                    <w:tr2bl w:val="nil"/>
                  </w:tcBorders>
                  <w:vAlign w:val="center"/>
                </w:tcPr>
                <w:p w14:paraId="6144C994">
                  <w:pPr>
                    <w:pStyle w:val="120"/>
                  </w:pPr>
                </w:p>
              </w:tc>
              <w:tc>
                <w:tcPr>
                  <w:tcW w:w="974" w:type="dxa"/>
                  <w:vMerge w:val="continue"/>
                  <w:tcBorders>
                    <w:tl2br w:val="nil"/>
                    <w:tr2bl w:val="nil"/>
                  </w:tcBorders>
                  <w:vAlign w:val="center"/>
                </w:tcPr>
                <w:p w14:paraId="42A103CE">
                  <w:pPr>
                    <w:pStyle w:val="120"/>
                  </w:pPr>
                </w:p>
              </w:tc>
              <w:tc>
                <w:tcPr>
                  <w:tcW w:w="1937" w:type="dxa"/>
                  <w:vMerge w:val="continue"/>
                  <w:tcBorders>
                    <w:tl2br w:val="nil"/>
                    <w:tr2bl w:val="nil"/>
                  </w:tcBorders>
                  <w:vAlign w:val="center"/>
                </w:tcPr>
                <w:p w14:paraId="31D729CC">
                  <w:pPr>
                    <w:pStyle w:val="120"/>
                  </w:pPr>
                </w:p>
              </w:tc>
              <w:tc>
                <w:tcPr>
                  <w:tcW w:w="1153" w:type="dxa"/>
                  <w:vMerge w:val="continue"/>
                  <w:tcBorders>
                    <w:tl2br w:val="nil"/>
                    <w:tr2bl w:val="nil"/>
                  </w:tcBorders>
                  <w:vAlign w:val="center"/>
                </w:tcPr>
                <w:p w14:paraId="33951AAB">
                  <w:pPr>
                    <w:pStyle w:val="120"/>
                  </w:pPr>
                </w:p>
              </w:tc>
              <w:tc>
                <w:tcPr>
                  <w:tcW w:w="1046" w:type="dxa"/>
                  <w:tcBorders>
                    <w:tl2br w:val="nil"/>
                    <w:tr2bl w:val="nil"/>
                  </w:tcBorders>
                  <w:vAlign w:val="center"/>
                </w:tcPr>
                <w:p w14:paraId="1A67631C">
                  <w:pPr>
                    <w:pStyle w:val="120"/>
                  </w:pPr>
                  <w:r>
                    <w:rPr>
                      <w:rFonts w:hint="eastAsia"/>
                    </w:rPr>
                    <w:t>名称</w:t>
                  </w:r>
                </w:p>
              </w:tc>
              <w:tc>
                <w:tcPr>
                  <w:tcW w:w="1163" w:type="dxa"/>
                  <w:tcBorders>
                    <w:tl2br w:val="nil"/>
                    <w:tr2bl w:val="nil"/>
                  </w:tcBorders>
                  <w:vAlign w:val="center"/>
                </w:tcPr>
                <w:p w14:paraId="0DE1FF9A">
                  <w:pPr>
                    <w:pStyle w:val="120"/>
                  </w:pPr>
                  <w:r>
                    <w:rPr>
                      <w:rFonts w:hint="eastAsia"/>
                    </w:rPr>
                    <w:t>污染物种类</w:t>
                  </w:r>
                </w:p>
              </w:tc>
              <w:tc>
                <w:tcPr>
                  <w:tcW w:w="2117" w:type="dxa"/>
                  <w:tcBorders>
                    <w:tl2br w:val="nil"/>
                    <w:tr2bl w:val="nil"/>
                  </w:tcBorders>
                  <w:vAlign w:val="center"/>
                </w:tcPr>
                <w:p w14:paraId="75AAF3FA">
                  <w:pPr>
                    <w:pStyle w:val="120"/>
                  </w:pPr>
                  <w:r>
                    <w:t>国家或地方污染物排放标准浓度限值（mg/L）</w:t>
                  </w:r>
                </w:p>
              </w:tc>
            </w:tr>
            <w:tr w14:paraId="0B087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8" w:type="dxa"/>
                  <w:vMerge w:val="restart"/>
                  <w:tcBorders>
                    <w:tl2br w:val="nil"/>
                    <w:tr2bl w:val="nil"/>
                  </w:tcBorders>
                  <w:vAlign w:val="center"/>
                </w:tcPr>
                <w:p w14:paraId="3868ACF7">
                  <w:pPr>
                    <w:pStyle w:val="120"/>
                  </w:pPr>
                  <w:r>
                    <w:rPr>
                      <w:rFonts w:hint="eastAsia"/>
                    </w:rPr>
                    <w:t>DW001</w:t>
                  </w:r>
                </w:p>
              </w:tc>
              <w:tc>
                <w:tcPr>
                  <w:tcW w:w="1851" w:type="dxa"/>
                  <w:vMerge w:val="restart"/>
                  <w:tcBorders>
                    <w:tl2br w:val="nil"/>
                    <w:tr2bl w:val="nil"/>
                  </w:tcBorders>
                  <w:vAlign w:val="center"/>
                </w:tcPr>
                <w:p w14:paraId="0E3D1220">
                  <w:pPr>
                    <w:pStyle w:val="120"/>
                  </w:pPr>
                  <w:r>
                    <w:rPr>
                      <w:rFonts w:hint="eastAsia"/>
                    </w:rPr>
                    <w:t xml:space="preserve">E </w:t>
                  </w:r>
                  <w:r>
                    <w:t>119.32237</w:t>
                  </w:r>
                  <w:r>
                    <w:rPr>
                      <w:rFonts w:hint="eastAsia"/>
                    </w:rPr>
                    <w:t>2</w:t>
                  </w:r>
                  <w:r>
                    <w:t>°</w:t>
                  </w:r>
                  <w:r>
                    <w:rPr>
                      <w:rFonts w:hint="eastAsia"/>
                    </w:rPr>
                    <w:t>，</w:t>
                  </w:r>
                </w:p>
                <w:p w14:paraId="59131BB3">
                  <w:pPr>
                    <w:pStyle w:val="120"/>
                  </w:pPr>
                  <w:r>
                    <w:rPr>
                      <w:rFonts w:hint="eastAsia"/>
                    </w:rPr>
                    <w:t>N 25.438448</w:t>
                  </w:r>
                  <w:r>
                    <w:t>°</w:t>
                  </w:r>
                </w:p>
              </w:tc>
              <w:tc>
                <w:tcPr>
                  <w:tcW w:w="1027" w:type="dxa"/>
                  <w:vMerge w:val="restart"/>
                  <w:tcBorders>
                    <w:tl2br w:val="nil"/>
                    <w:tr2bl w:val="nil"/>
                  </w:tcBorders>
                  <w:vAlign w:val="center"/>
                </w:tcPr>
                <w:p w14:paraId="62B38123">
                  <w:pPr>
                    <w:pStyle w:val="120"/>
                  </w:pPr>
                  <w:r>
                    <w:rPr>
                      <w:rFonts w:hint="eastAsia"/>
                    </w:rPr>
                    <w:t>1680</w:t>
                  </w:r>
                  <w:r>
                    <w:t>t/a</w:t>
                  </w:r>
                </w:p>
              </w:tc>
              <w:tc>
                <w:tcPr>
                  <w:tcW w:w="974" w:type="dxa"/>
                  <w:vMerge w:val="restart"/>
                  <w:tcBorders>
                    <w:tl2br w:val="nil"/>
                    <w:tr2bl w:val="nil"/>
                  </w:tcBorders>
                  <w:vAlign w:val="center"/>
                </w:tcPr>
                <w:p w14:paraId="4B1657BC">
                  <w:pPr>
                    <w:pStyle w:val="120"/>
                  </w:pPr>
                  <w:r>
                    <w:t>进入城市污水处理厂</w:t>
                  </w:r>
                </w:p>
              </w:tc>
              <w:tc>
                <w:tcPr>
                  <w:tcW w:w="1937" w:type="dxa"/>
                  <w:vMerge w:val="restart"/>
                  <w:tcBorders>
                    <w:tl2br w:val="nil"/>
                    <w:tr2bl w:val="nil"/>
                  </w:tcBorders>
                  <w:vAlign w:val="center"/>
                </w:tcPr>
                <w:p w14:paraId="3B296123">
                  <w:pPr>
                    <w:pStyle w:val="120"/>
                  </w:pPr>
                  <w:r>
                    <w:t>间断排放，排放期间流量不稳定且无规律，但不属于冲击型排放</w:t>
                  </w:r>
                </w:p>
              </w:tc>
              <w:tc>
                <w:tcPr>
                  <w:tcW w:w="1153" w:type="dxa"/>
                  <w:vMerge w:val="restart"/>
                  <w:tcBorders>
                    <w:tl2br w:val="nil"/>
                    <w:tr2bl w:val="nil"/>
                  </w:tcBorders>
                  <w:vAlign w:val="center"/>
                </w:tcPr>
                <w:p w14:paraId="5420AB2B">
                  <w:pPr>
                    <w:pStyle w:val="120"/>
                  </w:pPr>
                  <w:r>
                    <w:t>0~24h</w:t>
                  </w:r>
                </w:p>
                <w:p w14:paraId="0F1B5E71">
                  <w:pPr>
                    <w:pStyle w:val="120"/>
                  </w:pPr>
                  <w:r>
                    <w:t>间歇排放</w:t>
                  </w:r>
                </w:p>
              </w:tc>
              <w:tc>
                <w:tcPr>
                  <w:tcW w:w="1046" w:type="dxa"/>
                  <w:vMerge w:val="restart"/>
                  <w:tcBorders>
                    <w:tl2br w:val="nil"/>
                    <w:tr2bl w:val="nil"/>
                  </w:tcBorders>
                  <w:vAlign w:val="center"/>
                </w:tcPr>
                <w:p w14:paraId="765895BC">
                  <w:pPr>
                    <w:pStyle w:val="120"/>
                  </w:pPr>
                  <w:r>
                    <w:rPr>
                      <w:rFonts w:hint="eastAsia"/>
                    </w:rPr>
                    <w:t>江阴</w:t>
                  </w:r>
                  <w:r>
                    <w:t>污水处理厂</w:t>
                  </w:r>
                </w:p>
              </w:tc>
              <w:tc>
                <w:tcPr>
                  <w:tcW w:w="1163" w:type="dxa"/>
                  <w:tcBorders>
                    <w:tl2br w:val="nil"/>
                    <w:tr2bl w:val="nil"/>
                  </w:tcBorders>
                  <w:vAlign w:val="center"/>
                </w:tcPr>
                <w:p w14:paraId="74C9A1AF">
                  <w:pPr>
                    <w:pStyle w:val="120"/>
                  </w:pPr>
                  <w:r>
                    <w:t>COD</w:t>
                  </w:r>
                </w:p>
              </w:tc>
              <w:tc>
                <w:tcPr>
                  <w:tcW w:w="2117" w:type="dxa"/>
                  <w:tcBorders>
                    <w:tl2br w:val="nil"/>
                    <w:tr2bl w:val="nil"/>
                  </w:tcBorders>
                  <w:vAlign w:val="center"/>
                </w:tcPr>
                <w:p w14:paraId="44026FBD">
                  <w:pPr>
                    <w:pStyle w:val="120"/>
                  </w:pPr>
                  <w:r>
                    <w:rPr>
                      <w:rFonts w:hint="eastAsia"/>
                    </w:rPr>
                    <w:t>500</w:t>
                  </w:r>
                </w:p>
              </w:tc>
            </w:tr>
            <w:tr w14:paraId="11BBA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8" w:type="dxa"/>
                  <w:vMerge w:val="continue"/>
                  <w:tcBorders>
                    <w:tl2br w:val="nil"/>
                    <w:tr2bl w:val="nil"/>
                  </w:tcBorders>
                  <w:vAlign w:val="center"/>
                </w:tcPr>
                <w:p w14:paraId="49C38F08">
                  <w:pPr>
                    <w:pStyle w:val="120"/>
                  </w:pPr>
                </w:p>
              </w:tc>
              <w:tc>
                <w:tcPr>
                  <w:tcW w:w="1851" w:type="dxa"/>
                  <w:vMerge w:val="continue"/>
                  <w:tcBorders>
                    <w:tl2br w:val="nil"/>
                    <w:tr2bl w:val="nil"/>
                  </w:tcBorders>
                  <w:vAlign w:val="center"/>
                </w:tcPr>
                <w:p w14:paraId="2C52AFE8">
                  <w:pPr>
                    <w:pStyle w:val="120"/>
                  </w:pPr>
                </w:p>
              </w:tc>
              <w:tc>
                <w:tcPr>
                  <w:tcW w:w="1027" w:type="dxa"/>
                  <w:vMerge w:val="continue"/>
                  <w:tcBorders>
                    <w:tl2br w:val="nil"/>
                    <w:tr2bl w:val="nil"/>
                  </w:tcBorders>
                  <w:vAlign w:val="center"/>
                </w:tcPr>
                <w:p w14:paraId="33BC4F4F">
                  <w:pPr>
                    <w:pStyle w:val="120"/>
                  </w:pPr>
                </w:p>
              </w:tc>
              <w:tc>
                <w:tcPr>
                  <w:tcW w:w="974" w:type="dxa"/>
                  <w:vMerge w:val="continue"/>
                  <w:tcBorders>
                    <w:tl2br w:val="nil"/>
                    <w:tr2bl w:val="nil"/>
                  </w:tcBorders>
                  <w:vAlign w:val="center"/>
                </w:tcPr>
                <w:p w14:paraId="3DF42028">
                  <w:pPr>
                    <w:pStyle w:val="120"/>
                  </w:pPr>
                </w:p>
              </w:tc>
              <w:tc>
                <w:tcPr>
                  <w:tcW w:w="1937" w:type="dxa"/>
                  <w:vMerge w:val="continue"/>
                  <w:tcBorders>
                    <w:tl2br w:val="nil"/>
                    <w:tr2bl w:val="nil"/>
                  </w:tcBorders>
                  <w:vAlign w:val="center"/>
                </w:tcPr>
                <w:p w14:paraId="632F4D42">
                  <w:pPr>
                    <w:pStyle w:val="120"/>
                  </w:pPr>
                </w:p>
              </w:tc>
              <w:tc>
                <w:tcPr>
                  <w:tcW w:w="1153" w:type="dxa"/>
                  <w:vMerge w:val="continue"/>
                  <w:tcBorders>
                    <w:tl2br w:val="nil"/>
                    <w:tr2bl w:val="nil"/>
                  </w:tcBorders>
                  <w:vAlign w:val="center"/>
                </w:tcPr>
                <w:p w14:paraId="2D70D3C2">
                  <w:pPr>
                    <w:pStyle w:val="120"/>
                  </w:pPr>
                </w:p>
              </w:tc>
              <w:tc>
                <w:tcPr>
                  <w:tcW w:w="1046" w:type="dxa"/>
                  <w:vMerge w:val="continue"/>
                  <w:tcBorders>
                    <w:tl2br w:val="nil"/>
                    <w:tr2bl w:val="nil"/>
                  </w:tcBorders>
                  <w:vAlign w:val="center"/>
                </w:tcPr>
                <w:p w14:paraId="2F858492">
                  <w:pPr>
                    <w:pStyle w:val="120"/>
                  </w:pPr>
                </w:p>
              </w:tc>
              <w:tc>
                <w:tcPr>
                  <w:tcW w:w="1163" w:type="dxa"/>
                  <w:tcBorders>
                    <w:tl2br w:val="nil"/>
                    <w:tr2bl w:val="nil"/>
                  </w:tcBorders>
                  <w:vAlign w:val="center"/>
                </w:tcPr>
                <w:p w14:paraId="33C2D6FF">
                  <w:pPr>
                    <w:pStyle w:val="120"/>
                  </w:pPr>
                  <w:r>
                    <w:rPr>
                      <w:rFonts w:hint="eastAsia"/>
                    </w:rPr>
                    <w:t>BOD</w:t>
                  </w:r>
                  <w:r>
                    <w:rPr>
                      <w:rFonts w:hint="eastAsia"/>
                      <w:vertAlign w:val="subscript"/>
                    </w:rPr>
                    <w:t>5</w:t>
                  </w:r>
                </w:p>
              </w:tc>
              <w:tc>
                <w:tcPr>
                  <w:tcW w:w="2117" w:type="dxa"/>
                  <w:tcBorders>
                    <w:tl2br w:val="nil"/>
                    <w:tr2bl w:val="nil"/>
                  </w:tcBorders>
                  <w:vAlign w:val="center"/>
                </w:tcPr>
                <w:p w14:paraId="4DAE6F14">
                  <w:pPr>
                    <w:pStyle w:val="120"/>
                  </w:pPr>
                  <w:r>
                    <w:rPr>
                      <w:rFonts w:hint="eastAsia"/>
                    </w:rPr>
                    <w:t>300</w:t>
                  </w:r>
                </w:p>
              </w:tc>
            </w:tr>
            <w:tr w14:paraId="68F6A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8" w:type="dxa"/>
                  <w:vMerge w:val="continue"/>
                  <w:tcBorders>
                    <w:tl2br w:val="nil"/>
                    <w:tr2bl w:val="nil"/>
                  </w:tcBorders>
                  <w:vAlign w:val="center"/>
                </w:tcPr>
                <w:p w14:paraId="4197712A">
                  <w:pPr>
                    <w:pStyle w:val="120"/>
                  </w:pPr>
                </w:p>
              </w:tc>
              <w:tc>
                <w:tcPr>
                  <w:tcW w:w="1851" w:type="dxa"/>
                  <w:vMerge w:val="continue"/>
                  <w:tcBorders>
                    <w:tl2br w:val="nil"/>
                    <w:tr2bl w:val="nil"/>
                  </w:tcBorders>
                  <w:vAlign w:val="center"/>
                </w:tcPr>
                <w:p w14:paraId="2368A25F">
                  <w:pPr>
                    <w:pStyle w:val="120"/>
                  </w:pPr>
                </w:p>
              </w:tc>
              <w:tc>
                <w:tcPr>
                  <w:tcW w:w="1027" w:type="dxa"/>
                  <w:vMerge w:val="continue"/>
                  <w:tcBorders>
                    <w:tl2br w:val="nil"/>
                    <w:tr2bl w:val="nil"/>
                  </w:tcBorders>
                  <w:vAlign w:val="center"/>
                </w:tcPr>
                <w:p w14:paraId="390E0D87">
                  <w:pPr>
                    <w:pStyle w:val="120"/>
                  </w:pPr>
                </w:p>
              </w:tc>
              <w:tc>
                <w:tcPr>
                  <w:tcW w:w="974" w:type="dxa"/>
                  <w:vMerge w:val="continue"/>
                  <w:tcBorders>
                    <w:tl2br w:val="nil"/>
                    <w:tr2bl w:val="nil"/>
                  </w:tcBorders>
                  <w:vAlign w:val="center"/>
                </w:tcPr>
                <w:p w14:paraId="49DD17D2">
                  <w:pPr>
                    <w:pStyle w:val="120"/>
                  </w:pPr>
                </w:p>
              </w:tc>
              <w:tc>
                <w:tcPr>
                  <w:tcW w:w="1937" w:type="dxa"/>
                  <w:vMerge w:val="continue"/>
                  <w:tcBorders>
                    <w:tl2br w:val="nil"/>
                    <w:tr2bl w:val="nil"/>
                  </w:tcBorders>
                  <w:vAlign w:val="center"/>
                </w:tcPr>
                <w:p w14:paraId="28D12A1C">
                  <w:pPr>
                    <w:pStyle w:val="120"/>
                  </w:pPr>
                </w:p>
              </w:tc>
              <w:tc>
                <w:tcPr>
                  <w:tcW w:w="1153" w:type="dxa"/>
                  <w:vMerge w:val="continue"/>
                  <w:tcBorders>
                    <w:tl2br w:val="nil"/>
                    <w:tr2bl w:val="nil"/>
                  </w:tcBorders>
                  <w:vAlign w:val="center"/>
                </w:tcPr>
                <w:p w14:paraId="1ED2E0DF">
                  <w:pPr>
                    <w:pStyle w:val="120"/>
                  </w:pPr>
                </w:p>
              </w:tc>
              <w:tc>
                <w:tcPr>
                  <w:tcW w:w="1046" w:type="dxa"/>
                  <w:vMerge w:val="continue"/>
                  <w:tcBorders>
                    <w:tl2br w:val="nil"/>
                    <w:tr2bl w:val="nil"/>
                  </w:tcBorders>
                  <w:vAlign w:val="center"/>
                </w:tcPr>
                <w:p w14:paraId="3CC8C64C">
                  <w:pPr>
                    <w:pStyle w:val="120"/>
                  </w:pPr>
                </w:p>
              </w:tc>
              <w:tc>
                <w:tcPr>
                  <w:tcW w:w="1163" w:type="dxa"/>
                  <w:tcBorders>
                    <w:tl2br w:val="nil"/>
                    <w:tr2bl w:val="nil"/>
                  </w:tcBorders>
                  <w:vAlign w:val="center"/>
                </w:tcPr>
                <w:p w14:paraId="2D15ECD1">
                  <w:pPr>
                    <w:pStyle w:val="120"/>
                  </w:pPr>
                  <w:r>
                    <w:rPr>
                      <w:rFonts w:hint="eastAsia"/>
                    </w:rPr>
                    <w:t>SS</w:t>
                  </w:r>
                </w:p>
              </w:tc>
              <w:tc>
                <w:tcPr>
                  <w:tcW w:w="2117" w:type="dxa"/>
                  <w:tcBorders>
                    <w:tl2br w:val="nil"/>
                    <w:tr2bl w:val="nil"/>
                  </w:tcBorders>
                  <w:vAlign w:val="center"/>
                </w:tcPr>
                <w:p w14:paraId="0DB3BCCB">
                  <w:pPr>
                    <w:pStyle w:val="120"/>
                  </w:pPr>
                  <w:r>
                    <w:rPr>
                      <w:rFonts w:hint="eastAsia"/>
                    </w:rPr>
                    <w:t>400</w:t>
                  </w:r>
                </w:p>
              </w:tc>
            </w:tr>
            <w:tr w14:paraId="6D8AC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8" w:type="dxa"/>
                  <w:vMerge w:val="continue"/>
                  <w:tcBorders>
                    <w:tl2br w:val="nil"/>
                    <w:tr2bl w:val="nil"/>
                  </w:tcBorders>
                  <w:vAlign w:val="center"/>
                </w:tcPr>
                <w:p w14:paraId="2A8B1210">
                  <w:pPr>
                    <w:pStyle w:val="120"/>
                  </w:pPr>
                </w:p>
              </w:tc>
              <w:tc>
                <w:tcPr>
                  <w:tcW w:w="1851" w:type="dxa"/>
                  <w:vMerge w:val="continue"/>
                  <w:tcBorders>
                    <w:tl2br w:val="nil"/>
                    <w:tr2bl w:val="nil"/>
                  </w:tcBorders>
                  <w:vAlign w:val="center"/>
                </w:tcPr>
                <w:p w14:paraId="2035ADCE">
                  <w:pPr>
                    <w:pStyle w:val="120"/>
                  </w:pPr>
                </w:p>
              </w:tc>
              <w:tc>
                <w:tcPr>
                  <w:tcW w:w="1027" w:type="dxa"/>
                  <w:vMerge w:val="continue"/>
                  <w:tcBorders>
                    <w:tl2br w:val="nil"/>
                    <w:tr2bl w:val="nil"/>
                  </w:tcBorders>
                  <w:vAlign w:val="center"/>
                </w:tcPr>
                <w:p w14:paraId="10F9DE86">
                  <w:pPr>
                    <w:pStyle w:val="120"/>
                  </w:pPr>
                </w:p>
              </w:tc>
              <w:tc>
                <w:tcPr>
                  <w:tcW w:w="974" w:type="dxa"/>
                  <w:vMerge w:val="continue"/>
                  <w:tcBorders>
                    <w:tl2br w:val="nil"/>
                    <w:tr2bl w:val="nil"/>
                  </w:tcBorders>
                  <w:vAlign w:val="center"/>
                </w:tcPr>
                <w:p w14:paraId="093A15B3">
                  <w:pPr>
                    <w:pStyle w:val="120"/>
                  </w:pPr>
                </w:p>
              </w:tc>
              <w:tc>
                <w:tcPr>
                  <w:tcW w:w="1937" w:type="dxa"/>
                  <w:vMerge w:val="continue"/>
                  <w:tcBorders>
                    <w:tl2br w:val="nil"/>
                    <w:tr2bl w:val="nil"/>
                  </w:tcBorders>
                  <w:vAlign w:val="center"/>
                </w:tcPr>
                <w:p w14:paraId="0930C486">
                  <w:pPr>
                    <w:pStyle w:val="120"/>
                  </w:pPr>
                </w:p>
              </w:tc>
              <w:tc>
                <w:tcPr>
                  <w:tcW w:w="1153" w:type="dxa"/>
                  <w:vMerge w:val="continue"/>
                  <w:tcBorders>
                    <w:tl2br w:val="nil"/>
                    <w:tr2bl w:val="nil"/>
                  </w:tcBorders>
                  <w:vAlign w:val="center"/>
                </w:tcPr>
                <w:p w14:paraId="446F28BA">
                  <w:pPr>
                    <w:pStyle w:val="120"/>
                  </w:pPr>
                </w:p>
              </w:tc>
              <w:tc>
                <w:tcPr>
                  <w:tcW w:w="1046" w:type="dxa"/>
                  <w:vMerge w:val="continue"/>
                  <w:tcBorders>
                    <w:tl2br w:val="nil"/>
                    <w:tr2bl w:val="nil"/>
                  </w:tcBorders>
                  <w:vAlign w:val="center"/>
                </w:tcPr>
                <w:p w14:paraId="25541F6B">
                  <w:pPr>
                    <w:pStyle w:val="120"/>
                  </w:pPr>
                </w:p>
              </w:tc>
              <w:tc>
                <w:tcPr>
                  <w:tcW w:w="1163" w:type="dxa"/>
                  <w:tcBorders>
                    <w:tl2br w:val="nil"/>
                    <w:tr2bl w:val="nil"/>
                  </w:tcBorders>
                  <w:vAlign w:val="center"/>
                </w:tcPr>
                <w:p w14:paraId="73A9E85F">
                  <w:pPr>
                    <w:pStyle w:val="120"/>
                  </w:pPr>
                  <w:r>
                    <w:t>NH</w:t>
                  </w:r>
                  <w:r>
                    <w:rPr>
                      <w:vertAlign w:val="subscript"/>
                    </w:rPr>
                    <w:t>3</w:t>
                  </w:r>
                  <w:r>
                    <w:t>-N</w:t>
                  </w:r>
                </w:p>
              </w:tc>
              <w:tc>
                <w:tcPr>
                  <w:tcW w:w="2117" w:type="dxa"/>
                  <w:tcBorders>
                    <w:tl2br w:val="nil"/>
                    <w:tr2bl w:val="nil"/>
                  </w:tcBorders>
                  <w:vAlign w:val="center"/>
                </w:tcPr>
                <w:p w14:paraId="124C9238">
                  <w:pPr>
                    <w:pStyle w:val="120"/>
                  </w:pPr>
                  <w:r>
                    <w:rPr>
                      <w:rFonts w:hint="eastAsia"/>
                    </w:rPr>
                    <w:t>45</w:t>
                  </w:r>
                </w:p>
              </w:tc>
            </w:tr>
          </w:tbl>
          <w:p w14:paraId="4AB8425F">
            <w:pPr>
              <w:pStyle w:val="74"/>
              <w:rPr>
                <w:sz w:val="24"/>
              </w:rPr>
            </w:pPr>
            <w:r>
              <w:rPr>
                <w:rFonts w:hint="eastAsia"/>
                <w:sz w:val="24"/>
              </w:rPr>
              <w:t xml:space="preserve">表4.3-6  </w:t>
            </w:r>
            <w:r>
              <w:rPr>
                <w:sz w:val="24"/>
              </w:rPr>
              <w:t>废水污染物排放执行标准表</w:t>
            </w:r>
          </w:p>
          <w:tbl>
            <w:tblPr>
              <w:tblStyle w:val="35"/>
              <w:tblW w:w="122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848"/>
              <w:gridCol w:w="5393"/>
              <w:gridCol w:w="3310"/>
            </w:tblGrid>
            <w:tr w14:paraId="3E63E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5" w:type="dxa"/>
                  <w:vMerge w:val="restart"/>
                  <w:tcBorders>
                    <w:tl2br w:val="nil"/>
                    <w:tr2bl w:val="nil"/>
                  </w:tcBorders>
                  <w:vAlign w:val="center"/>
                </w:tcPr>
                <w:p w14:paraId="5B547FAE">
                  <w:pPr>
                    <w:pStyle w:val="120"/>
                  </w:pPr>
                  <w:r>
                    <w:t>排放口编号</w:t>
                  </w:r>
                </w:p>
              </w:tc>
              <w:tc>
                <w:tcPr>
                  <w:tcW w:w="1848" w:type="dxa"/>
                  <w:vMerge w:val="restart"/>
                  <w:tcBorders>
                    <w:tl2br w:val="nil"/>
                    <w:tr2bl w:val="nil"/>
                  </w:tcBorders>
                  <w:vAlign w:val="center"/>
                </w:tcPr>
                <w:p w14:paraId="39B51ED5">
                  <w:pPr>
                    <w:pStyle w:val="120"/>
                  </w:pPr>
                  <w:r>
                    <w:t>污染物种类</w:t>
                  </w:r>
                </w:p>
              </w:tc>
              <w:tc>
                <w:tcPr>
                  <w:tcW w:w="8703" w:type="dxa"/>
                  <w:gridSpan w:val="2"/>
                  <w:tcBorders>
                    <w:tl2br w:val="nil"/>
                    <w:tr2bl w:val="nil"/>
                  </w:tcBorders>
                  <w:vAlign w:val="center"/>
                </w:tcPr>
                <w:p w14:paraId="34EBE161">
                  <w:pPr>
                    <w:pStyle w:val="120"/>
                  </w:pPr>
                  <w:r>
                    <w:t>国家或地方污染物排放标准及其他按规定商定的排放协议</w:t>
                  </w:r>
                </w:p>
              </w:tc>
            </w:tr>
            <w:tr w14:paraId="09133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5" w:type="dxa"/>
                  <w:vMerge w:val="continue"/>
                  <w:tcBorders>
                    <w:tl2br w:val="nil"/>
                    <w:tr2bl w:val="nil"/>
                  </w:tcBorders>
                  <w:vAlign w:val="center"/>
                </w:tcPr>
                <w:p w14:paraId="708C45BC">
                  <w:pPr>
                    <w:pStyle w:val="120"/>
                  </w:pPr>
                </w:p>
              </w:tc>
              <w:tc>
                <w:tcPr>
                  <w:tcW w:w="1848" w:type="dxa"/>
                  <w:vMerge w:val="continue"/>
                  <w:tcBorders>
                    <w:tl2br w:val="nil"/>
                    <w:tr2bl w:val="nil"/>
                  </w:tcBorders>
                  <w:vAlign w:val="center"/>
                </w:tcPr>
                <w:p w14:paraId="17FA30AF">
                  <w:pPr>
                    <w:pStyle w:val="120"/>
                  </w:pPr>
                </w:p>
              </w:tc>
              <w:tc>
                <w:tcPr>
                  <w:tcW w:w="5393" w:type="dxa"/>
                  <w:tcBorders>
                    <w:tl2br w:val="nil"/>
                    <w:tr2bl w:val="nil"/>
                  </w:tcBorders>
                  <w:vAlign w:val="center"/>
                </w:tcPr>
                <w:p w14:paraId="7AB62FDF">
                  <w:pPr>
                    <w:pStyle w:val="120"/>
                  </w:pPr>
                  <w:r>
                    <w:t>名称</w:t>
                  </w:r>
                </w:p>
              </w:tc>
              <w:tc>
                <w:tcPr>
                  <w:tcW w:w="3310" w:type="dxa"/>
                  <w:tcBorders>
                    <w:tl2br w:val="nil"/>
                    <w:tr2bl w:val="nil"/>
                  </w:tcBorders>
                  <w:vAlign w:val="center"/>
                </w:tcPr>
                <w:p w14:paraId="5AFBBD1D">
                  <w:pPr>
                    <w:pStyle w:val="120"/>
                  </w:pPr>
                  <w:r>
                    <w:t>浓度限值（mg/L）</w:t>
                  </w:r>
                </w:p>
              </w:tc>
            </w:tr>
            <w:tr w14:paraId="4D909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5" w:type="dxa"/>
                  <w:vMerge w:val="restart"/>
                  <w:tcBorders>
                    <w:tl2br w:val="nil"/>
                    <w:tr2bl w:val="nil"/>
                  </w:tcBorders>
                  <w:vAlign w:val="center"/>
                </w:tcPr>
                <w:p w14:paraId="1F77B6EB">
                  <w:pPr>
                    <w:pStyle w:val="120"/>
                  </w:pPr>
                  <w:r>
                    <w:t>DW001</w:t>
                  </w:r>
                </w:p>
              </w:tc>
              <w:tc>
                <w:tcPr>
                  <w:tcW w:w="1848" w:type="dxa"/>
                  <w:tcBorders>
                    <w:tl2br w:val="nil"/>
                    <w:tr2bl w:val="nil"/>
                  </w:tcBorders>
                  <w:vAlign w:val="center"/>
                </w:tcPr>
                <w:p w14:paraId="5BDF6396">
                  <w:pPr>
                    <w:pStyle w:val="120"/>
                  </w:pPr>
                  <w:r>
                    <w:t>COD</w:t>
                  </w:r>
                </w:p>
              </w:tc>
              <w:tc>
                <w:tcPr>
                  <w:tcW w:w="5393" w:type="dxa"/>
                  <w:vMerge w:val="restart"/>
                  <w:tcBorders>
                    <w:tl2br w:val="nil"/>
                    <w:tr2bl w:val="nil"/>
                  </w:tcBorders>
                  <w:vAlign w:val="center"/>
                </w:tcPr>
                <w:p w14:paraId="026240A4">
                  <w:pPr>
                    <w:pStyle w:val="120"/>
                  </w:pPr>
                  <w:r>
                    <w:rPr>
                      <w:rFonts w:hint="eastAsia"/>
                    </w:rPr>
                    <w:t>《污水综合排放标准》（GB8978-1996）中表4的三级排放标准（氨氮参照执行《污水排入城市下水道水质标准》（GB/T31962-2015）表1中B级标准）</w:t>
                  </w:r>
                </w:p>
              </w:tc>
              <w:tc>
                <w:tcPr>
                  <w:tcW w:w="3310" w:type="dxa"/>
                  <w:tcBorders>
                    <w:tl2br w:val="nil"/>
                    <w:tr2bl w:val="nil"/>
                  </w:tcBorders>
                  <w:vAlign w:val="center"/>
                </w:tcPr>
                <w:p w14:paraId="61272B63">
                  <w:pPr>
                    <w:pStyle w:val="120"/>
                  </w:pPr>
                  <w:r>
                    <w:rPr>
                      <w:rFonts w:hint="eastAsia"/>
                    </w:rPr>
                    <w:t>500</w:t>
                  </w:r>
                </w:p>
              </w:tc>
            </w:tr>
            <w:tr w14:paraId="6B8B8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5" w:type="dxa"/>
                  <w:vMerge w:val="continue"/>
                  <w:tcBorders>
                    <w:tl2br w:val="nil"/>
                    <w:tr2bl w:val="nil"/>
                  </w:tcBorders>
                  <w:vAlign w:val="center"/>
                </w:tcPr>
                <w:p w14:paraId="152C96C0">
                  <w:pPr>
                    <w:pStyle w:val="120"/>
                  </w:pPr>
                </w:p>
              </w:tc>
              <w:tc>
                <w:tcPr>
                  <w:tcW w:w="1848" w:type="dxa"/>
                  <w:tcBorders>
                    <w:tl2br w:val="nil"/>
                    <w:tr2bl w:val="nil"/>
                  </w:tcBorders>
                  <w:vAlign w:val="center"/>
                </w:tcPr>
                <w:p w14:paraId="3A5D253C">
                  <w:pPr>
                    <w:pStyle w:val="120"/>
                  </w:pPr>
                  <w:r>
                    <w:rPr>
                      <w:rFonts w:hint="eastAsia"/>
                    </w:rPr>
                    <w:t>BOD</w:t>
                  </w:r>
                  <w:r>
                    <w:rPr>
                      <w:rFonts w:hint="eastAsia"/>
                      <w:vertAlign w:val="subscript"/>
                    </w:rPr>
                    <w:t>5</w:t>
                  </w:r>
                </w:p>
              </w:tc>
              <w:tc>
                <w:tcPr>
                  <w:tcW w:w="5393" w:type="dxa"/>
                  <w:vMerge w:val="continue"/>
                  <w:tcBorders>
                    <w:tl2br w:val="nil"/>
                    <w:tr2bl w:val="nil"/>
                  </w:tcBorders>
                  <w:vAlign w:val="center"/>
                </w:tcPr>
                <w:p w14:paraId="0D069279">
                  <w:pPr>
                    <w:pStyle w:val="120"/>
                  </w:pPr>
                </w:p>
              </w:tc>
              <w:tc>
                <w:tcPr>
                  <w:tcW w:w="3310" w:type="dxa"/>
                  <w:tcBorders>
                    <w:tl2br w:val="nil"/>
                    <w:tr2bl w:val="nil"/>
                  </w:tcBorders>
                  <w:vAlign w:val="center"/>
                </w:tcPr>
                <w:p w14:paraId="47CF7BA4">
                  <w:pPr>
                    <w:pStyle w:val="120"/>
                  </w:pPr>
                  <w:r>
                    <w:rPr>
                      <w:rFonts w:hint="eastAsia"/>
                    </w:rPr>
                    <w:t>300</w:t>
                  </w:r>
                </w:p>
              </w:tc>
            </w:tr>
            <w:tr w14:paraId="116B3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5" w:type="dxa"/>
                  <w:vMerge w:val="continue"/>
                  <w:tcBorders>
                    <w:tl2br w:val="nil"/>
                    <w:tr2bl w:val="nil"/>
                  </w:tcBorders>
                  <w:vAlign w:val="center"/>
                </w:tcPr>
                <w:p w14:paraId="42420B4D">
                  <w:pPr>
                    <w:pStyle w:val="120"/>
                  </w:pPr>
                </w:p>
              </w:tc>
              <w:tc>
                <w:tcPr>
                  <w:tcW w:w="1848" w:type="dxa"/>
                  <w:tcBorders>
                    <w:tl2br w:val="nil"/>
                    <w:tr2bl w:val="nil"/>
                  </w:tcBorders>
                  <w:vAlign w:val="center"/>
                </w:tcPr>
                <w:p w14:paraId="711F77BF">
                  <w:pPr>
                    <w:pStyle w:val="120"/>
                  </w:pPr>
                  <w:r>
                    <w:rPr>
                      <w:rFonts w:hint="eastAsia"/>
                    </w:rPr>
                    <w:t>SS</w:t>
                  </w:r>
                </w:p>
              </w:tc>
              <w:tc>
                <w:tcPr>
                  <w:tcW w:w="5393" w:type="dxa"/>
                  <w:vMerge w:val="continue"/>
                  <w:tcBorders>
                    <w:tl2br w:val="nil"/>
                    <w:tr2bl w:val="nil"/>
                  </w:tcBorders>
                  <w:vAlign w:val="center"/>
                </w:tcPr>
                <w:p w14:paraId="70CD0390">
                  <w:pPr>
                    <w:pStyle w:val="120"/>
                  </w:pPr>
                </w:p>
              </w:tc>
              <w:tc>
                <w:tcPr>
                  <w:tcW w:w="3310" w:type="dxa"/>
                  <w:tcBorders>
                    <w:tl2br w:val="nil"/>
                    <w:tr2bl w:val="nil"/>
                  </w:tcBorders>
                  <w:vAlign w:val="center"/>
                </w:tcPr>
                <w:p w14:paraId="4E4B9FE1">
                  <w:pPr>
                    <w:pStyle w:val="120"/>
                  </w:pPr>
                  <w:r>
                    <w:rPr>
                      <w:rFonts w:hint="eastAsia"/>
                    </w:rPr>
                    <w:t>400</w:t>
                  </w:r>
                </w:p>
              </w:tc>
            </w:tr>
            <w:tr w14:paraId="6AAD5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5" w:type="dxa"/>
                  <w:vMerge w:val="continue"/>
                  <w:tcBorders>
                    <w:tl2br w:val="nil"/>
                    <w:tr2bl w:val="nil"/>
                  </w:tcBorders>
                  <w:vAlign w:val="center"/>
                </w:tcPr>
                <w:p w14:paraId="24690BAC">
                  <w:pPr>
                    <w:pStyle w:val="120"/>
                  </w:pPr>
                </w:p>
              </w:tc>
              <w:tc>
                <w:tcPr>
                  <w:tcW w:w="1848" w:type="dxa"/>
                  <w:tcBorders>
                    <w:tl2br w:val="nil"/>
                    <w:tr2bl w:val="nil"/>
                  </w:tcBorders>
                  <w:vAlign w:val="center"/>
                </w:tcPr>
                <w:p w14:paraId="35B25377">
                  <w:pPr>
                    <w:pStyle w:val="120"/>
                  </w:pPr>
                  <w:r>
                    <w:t>NH</w:t>
                  </w:r>
                  <w:r>
                    <w:rPr>
                      <w:vertAlign w:val="subscript"/>
                    </w:rPr>
                    <w:t>3</w:t>
                  </w:r>
                  <w:r>
                    <w:t>-N</w:t>
                  </w:r>
                </w:p>
              </w:tc>
              <w:tc>
                <w:tcPr>
                  <w:tcW w:w="5393" w:type="dxa"/>
                  <w:vMerge w:val="continue"/>
                  <w:tcBorders>
                    <w:tl2br w:val="nil"/>
                    <w:tr2bl w:val="nil"/>
                  </w:tcBorders>
                  <w:vAlign w:val="center"/>
                </w:tcPr>
                <w:p w14:paraId="46C16A13">
                  <w:pPr>
                    <w:pStyle w:val="120"/>
                  </w:pPr>
                </w:p>
              </w:tc>
              <w:tc>
                <w:tcPr>
                  <w:tcW w:w="3310" w:type="dxa"/>
                  <w:tcBorders>
                    <w:tl2br w:val="nil"/>
                    <w:tr2bl w:val="nil"/>
                  </w:tcBorders>
                  <w:vAlign w:val="center"/>
                </w:tcPr>
                <w:p w14:paraId="2A8DB0F1">
                  <w:pPr>
                    <w:pStyle w:val="120"/>
                  </w:pPr>
                  <w:r>
                    <w:rPr>
                      <w:rFonts w:hint="eastAsia"/>
                    </w:rPr>
                    <w:t>45</w:t>
                  </w:r>
                </w:p>
              </w:tc>
            </w:tr>
          </w:tbl>
          <w:p w14:paraId="357EC313">
            <w:pPr>
              <w:pStyle w:val="21"/>
              <w:spacing w:line="360" w:lineRule="auto"/>
              <w:ind w:left="0" w:right="0" w:firstLine="480"/>
              <w:jc w:val="left"/>
            </w:pPr>
          </w:p>
        </w:tc>
      </w:tr>
    </w:tbl>
    <w:p w14:paraId="26176B52">
      <w:pPr>
        <w:rPr>
          <w:color w:val="FF0000"/>
        </w:rPr>
        <w:sectPr>
          <w:pgSz w:w="16840" w:h="11907" w:orient="landscape"/>
          <w:pgMar w:top="1531" w:right="1701" w:bottom="1531" w:left="2127" w:header="851" w:footer="851" w:gutter="0"/>
          <w:cols w:space="720" w:num="1"/>
          <w:docGrid w:linePitch="312" w:charSpace="0"/>
        </w:sectPr>
      </w:pPr>
    </w:p>
    <w:tbl>
      <w:tblPr>
        <w:tblStyle w:val="34"/>
        <w:tblW w:w="13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2495"/>
      </w:tblGrid>
      <w:tr w14:paraId="578EC5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4" w:type="dxa"/>
            <w:tcMar>
              <w:left w:w="28" w:type="dxa"/>
              <w:right w:w="28" w:type="dxa"/>
            </w:tcMar>
            <w:vAlign w:val="center"/>
          </w:tcPr>
          <w:p w14:paraId="573C694E">
            <w:pPr>
              <w:pStyle w:val="29"/>
              <w:spacing w:before="0" w:beforeAutospacing="0" w:after="0" w:afterAutospacing="0"/>
              <w:jc w:val="center"/>
              <w:rPr>
                <w:rFonts w:ascii="Times New Roman" w:hAnsi="Times New Roman"/>
                <w:kern w:val="21"/>
                <w:szCs w:val="24"/>
              </w:rPr>
            </w:pPr>
            <w:r>
              <w:rPr>
                <w:rFonts w:hint="eastAsia" w:ascii="Times New Roman" w:hAnsi="Times New Roman"/>
                <w:kern w:val="21"/>
                <w:szCs w:val="24"/>
              </w:rPr>
              <w:t>运营期</w:t>
            </w:r>
            <w:r>
              <w:rPr>
                <w:rFonts w:ascii="Times New Roman" w:hAnsi="Times New Roman"/>
                <w:kern w:val="21"/>
                <w:szCs w:val="24"/>
              </w:rPr>
              <w:t>环</w:t>
            </w:r>
          </w:p>
          <w:p w14:paraId="7DF3417B">
            <w:pPr>
              <w:pStyle w:val="29"/>
              <w:spacing w:before="0" w:beforeAutospacing="0" w:after="0" w:afterAutospacing="0"/>
              <w:jc w:val="center"/>
              <w:rPr>
                <w:rFonts w:ascii="Times New Roman" w:hAnsi="Times New Roman"/>
                <w:kern w:val="21"/>
                <w:szCs w:val="24"/>
              </w:rPr>
            </w:pPr>
            <w:r>
              <w:rPr>
                <w:rFonts w:ascii="Times New Roman" w:hAnsi="Times New Roman"/>
                <w:kern w:val="21"/>
                <w:szCs w:val="24"/>
              </w:rPr>
              <w:t>境保</w:t>
            </w:r>
          </w:p>
          <w:p w14:paraId="54BBCEE4">
            <w:pPr>
              <w:pStyle w:val="29"/>
              <w:spacing w:before="0" w:beforeAutospacing="0" w:after="0" w:afterAutospacing="0"/>
              <w:jc w:val="center"/>
              <w:rPr>
                <w:rFonts w:ascii="Times New Roman" w:hAnsi="Times New Roman"/>
                <w:kern w:val="21"/>
                <w:szCs w:val="24"/>
              </w:rPr>
            </w:pPr>
            <w:r>
              <w:rPr>
                <w:rFonts w:ascii="Times New Roman" w:hAnsi="Times New Roman"/>
                <w:kern w:val="21"/>
                <w:szCs w:val="24"/>
              </w:rPr>
              <w:t>护措</w:t>
            </w:r>
          </w:p>
          <w:p w14:paraId="67405DC6">
            <w:pPr>
              <w:jc w:val="center"/>
              <w:rPr>
                <w:color w:val="FF0000"/>
                <w:kern w:val="21"/>
                <w:sz w:val="24"/>
              </w:rPr>
            </w:pPr>
            <w:r>
              <w:rPr>
                <w:kern w:val="21"/>
                <w:sz w:val="24"/>
              </w:rPr>
              <w:t>施</w:t>
            </w:r>
          </w:p>
        </w:tc>
        <w:tc>
          <w:tcPr>
            <w:tcW w:w="12495" w:type="dxa"/>
            <w:vAlign w:val="center"/>
          </w:tcPr>
          <w:p w14:paraId="0FD8AC48">
            <w:pPr>
              <w:pStyle w:val="66"/>
              <w:ind w:firstLine="0" w:firstLineChars="0"/>
              <w:rPr>
                <w:b/>
                <w:bCs/>
                <w:kern w:val="2"/>
                <w:sz w:val="24"/>
                <w:szCs w:val="24"/>
              </w:rPr>
            </w:pPr>
            <w:r>
              <w:rPr>
                <w:rFonts w:hint="eastAsia"/>
                <w:b/>
                <w:bCs/>
                <w:kern w:val="2"/>
                <w:sz w:val="24"/>
                <w:szCs w:val="24"/>
              </w:rPr>
              <w:t>4.4运营期</w:t>
            </w:r>
            <w:r>
              <w:rPr>
                <w:b/>
                <w:bCs/>
                <w:kern w:val="2"/>
                <w:sz w:val="24"/>
                <w:szCs w:val="24"/>
              </w:rPr>
              <w:t>噪声源强分析及环保措施</w:t>
            </w:r>
          </w:p>
          <w:p w14:paraId="5FCAC15E">
            <w:pPr>
              <w:pStyle w:val="66"/>
              <w:ind w:firstLine="482"/>
              <w:rPr>
                <w:b/>
                <w:bCs/>
                <w:kern w:val="2"/>
                <w:sz w:val="24"/>
                <w:szCs w:val="24"/>
              </w:rPr>
            </w:pPr>
            <w:r>
              <w:rPr>
                <w:b/>
                <w:bCs/>
                <w:kern w:val="2"/>
                <w:sz w:val="24"/>
                <w:szCs w:val="24"/>
              </w:rPr>
              <w:t>1、噪声污染源强</w:t>
            </w:r>
          </w:p>
          <w:p w14:paraId="13526369">
            <w:pPr>
              <w:pStyle w:val="66"/>
              <w:ind w:firstLine="480"/>
              <w:rPr>
                <w:sz w:val="24"/>
                <w:szCs w:val="24"/>
              </w:rPr>
            </w:pPr>
            <w:r>
              <w:rPr>
                <w:sz w:val="24"/>
                <w:szCs w:val="24"/>
              </w:rPr>
              <w:t>本项目高噪声设备主要有滚焊机、点焊机、拉丝机、圈板机、搅拌机、芯模振动机、升芯振动机、立式振捣机等设备运行的噪声，其噪声值大约在75-90dB，分布于生产车间内，噪声污染源强核算结果及相关参数如下表4.4-1。</w:t>
            </w:r>
          </w:p>
          <w:p w14:paraId="3D6C559D">
            <w:pPr>
              <w:pStyle w:val="74"/>
              <w:rPr>
                <w:sz w:val="24"/>
              </w:rPr>
            </w:pPr>
            <w:r>
              <w:rPr>
                <w:sz w:val="24"/>
              </w:rPr>
              <w:t>表</w:t>
            </w:r>
            <w:r>
              <w:rPr>
                <w:rFonts w:hint="eastAsia"/>
                <w:sz w:val="24"/>
              </w:rPr>
              <w:t xml:space="preserve">4.4-1 </w:t>
            </w:r>
            <w:r>
              <w:rPr>
                <w:sz w:val="24"/>
              </w:rPr>
              <w:t xml:space="preserve"> 项目噪声</w:t>
            </w:r>
            <w:r>
              <w:rPr>
                <w:rFonts w:hint="eastAsia"/>
                <w:sz w:val="24"/>
              </w:rPr>
              <w:t>污染源强核算结果及相关参数一览表（室内声源）</w:t>
            </w:r>
          </w:p>
          <w:tbl>
            <w:tblPr>
              <w:tblStyle w:val="34"/>
              <w:tblW w:w="12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305"/>
              <w:gridCol w:w="645"/>
              <w:gridCol w:w="1369"/>
              <w:gridCol w:w="965"/>
              <w:gridCol w:w="804"/>
              <w:gridCol w:w="878"/>
              <w:gridCol w:w="1007"/>
              <w:gridCol w:w="606"/>
              <w:gridCol w:w="594"/>
              <w:gridCol w:w="712"/>
              <w:gridCol w:w="591"/>
              <w:gridCol w:w="715"/>
              <w:gridCol w:w="883"/>
              <w:gridCol w:w="599"/>
            </w:tblGrid>
            <w:tr w14:paraId="63E7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restart"/>
                  <w:vAlign w:val="center"/>
                </w:tcPr>
                <w:p w14:paraId="09EC2D68">
                  <w:pPr>
                    <w:widowControl/>
                    <w:adjustRightInd/>
                    <w:snapToGrid/>
                    <w:jc w:val="center"/>
                    <w:textAlignment w:val="center"/>
                    <w:rPr>
                      <w:szCs w:val="21"/>
                    </w:rPr>
                  </w:pPr>
                  <w:r>
                    <w:rPr>
                      <w:kern w:val="0"/>
                      <w:szCs w:val="21"/>
                    </w:rPr>
                    <w:t>建筑物名称</w:t>
                  </w:r>
                </w:p>
              </w:tc>
              <w:tc>
                <w:tcPr>
                  <w:tcW w:w="1305" w:type="dxa"/>
                  <w:vMerge w:val="restart"/>
                  <w:vAlign w:val="center"/>
                </w:tcPr>
                <w:p w14:paraId="2AF7B493">
                  <w:pPr>
                    <w:widowControl/>
                    <w:adjustRightInd/>
                    <w:snapToGrid/>
                    <w:jc w:val="center"/>
                    <w:textAlignment w:val="center"/>
                    <w:rPr>
                      <w:szCs w:val="21"/>
                    </w:rPr>
                  </w:pPr>
                  <w:r>
                    <w:rPr>
                      <w:kern w:val="0"/>
                      <w:szCs w:val="21"/>
                    </w:rPr>
                    <w:t>声源名称</w:t>
                  </w:r>
                </w:p>
              </w:tc>
              <w:tc>
                <w:tcPr>
                  <w:tcW w:w="645" w:type="dxa"/>
                  <w:vMerge w:val="restart"/>
                  <w:vAlign w:val="center"/>
                </w:tcPr>
                <w:p w14:paraId="2A4ABF25">
                  <w:pPr>
                    <w:widowControl/>
                    <w:adjustRightInd/>
                    <w:snapToGrid/>
                    <w:jc w:val="center"/>
                    <w:textAlignment w:val="center"/>
                    <w:rPr>
                      <w:szCs w:val="21"/>
                    </w:rPr>
                  </w:pPr>
                  <w:r>
                    <w:rPr>
                      <w:kern w:val="0"/>
                      <w:szCs w:val="21"/>
                    </w:rPr>
                    <w:t>运行台数/台</w:t>
                  </w:r>
                </w:p>
              </w:tc>
              <w:tc>
                <w:tcPr>
                  <w:tcW w:w="2334" w:type="dxa"/>
                  <w:gridSpan w:val="2"/>
                  <w:vAlign w:val="center"/>
                </w:tcPr>
                <w:p w14:paraId="213625A9">
                  <w:pPr>
                    <w:widowControl/>
                    <w:adjustRightInd/>
                    <w:snapToGrid/>
                    <w:jc w:val="center"/>
                    <w:textAlignment w:val="center"/>
                    <w:rPr>
                      <w:szCs w:val="21"/>
                    </w:rPr>
                  </w:pPr>
                  <w:r>
                    <w:rPr>
                      <w:kern w:val="0"/>
                      <w:szCs w:val="21"/>
                    </w:rPr>
                    <w:t>声源源强</w:t>
                  </w:r>
                </w:p>
              </w:tc>
              <w:tc>
                <w:tcPr>
                  <w:tcW w:w="804" w:type="dxa"/>
                  <w:vMerge w:val="restart"/>
                  <w:vAlign w:val="center"/>
                </w:tcPr>
                <w:p w14:paraId="6CF75451">
                  <w:pPr>
                    <w:widowControl/>
                    <w:adjustRightInd/>
                    <w:snapToGrid/>
                    <w:jc w:val="center"/>
                    <w:textAlignment w:val="center"/>
                    <w:rPr>
                      <w:szCs w:val="21"/>
                    </w:rPr>
                  </w:pPr>
                  <w:r>
                    <w:rPr>
                      <w:kern w:val="0"/>
                      <w:szCs w:val="21"/>
                    </w:rPr>
                    <w:t>声源控制措施</w:t>
                  </w:r>
                </w:p>
              </w:tc>
              <w:tc>
                <w:tcPr>
                  <w:tcW w:w="2491" w:type="dxa"/>
                  <w:gridSpan w:val="3"/>
                  <w:vAlign w:val="center"/>
                </w:tcPr>
                <w:p w14:paraId="123CEADB">
                  <w:pPr>
                    <w:widowControl/>
                    <w:adjustRightInd/>
                    <w:snapToGrid/>
                    <w:jc w:val="center"/>
                    <w:textAlignment w:val="center"/>
                    <w:rPr>
                      <w:szCs w:val="21"/>
                    </w:rPr>
                  </w:pPr>
                  <w:r>
                    <w:rPr>
                      <w:kern w:val="0"/>
                      <w:szCs w:val="21"/>
                    </w:rPr>
                    <w:t>空间相对位置</w:t>
                  </w:r>
                  <w:r>
                    <w:rPr>
                      <w:szCs w:val="21"/>
                    </w:rPr>
                    <w:t>/m*</w:t>
                  </w:r>
                </w:p>
              </w:tc>
              <w:tc>
                <w:tcPr>
                  <w:tcW w:w="594" w:type="dxa"/>
                  <w:vMerge w:val="restart"/>
                  <w:vAlign w:val="center"/>
                </w:tcPr>
                <w:p w14:paraId="5995DC49">
                  <w:pPr>
                    <w:widowControl/>
                    <w:adjustRightInd/>
                    <w:snapToGrid/>
                    <w:jc w:val="center"/>
                    <w:textAlignment w:val="center"/>
                    <w:rPr>
                      <w:szCs w:val="21"/>
                    </w:rPr>
                  </w:pPr>
                  <w:r>
                    <w:rPr>
                      <w:kern w:val="0"/>
                      <w:szCs w:val="21"/>
                    </w:rPr>
                    <w:t>距室内边界距离</w:t>
                  </w:r>
                  <w:r>
                    <w:rPr>
                      <w:szCs w:val="21"/>
                    </w:rPr>
                    <w:t>/m</w:t>
                  </w:r>
                </w:p>
              </w:tc>
              <w:tc>
                <w:tcPr>
                  <w:tcW w:w="712" w:type="dxa"/>
                  <w:vMerge w:val="restart"/>
                  <w:vAlign w:val="center"/>
                </w:tcPr>
                <w:p w14:paraId="13D8F346">
                  <w:pPr>
                    <w:widowControl/>
                    <w:adjustRightInd/>
                    <w:snapToGrid/>
                    <w:jc w:val="center"/>
                    <w:textAlignment w:val="center"/>
                    <w:rPr>
                      <w:szCs w:val="21"/>
                    </w:rPr>
                  </w:pPr>
                  <w:r>
                    <w:rPr>
                      <w:kern w:val="0"/>
                      <w:szCs w:val="21"/>
                    </w:rPr>
                    <w:t>室内边界声级</w:t>
                  </w:r>
                  <w:r>
                    <w:rPr>
                      <w:szCs w:val="21"/>
                    </w:rPr>
                    <w:t>/dB(A)</w:t>
                  </w:r>
                </w:p>
              </w:tc>
              <w:tc>
                <w:tcPr>
                  <w:tcW w:w="591" w:type="dxa"/>
                  <w:vMerge w:val="restart"/>
                  <w:vAlign w:val="center"/>
                </w:tcPr>
                <w:p w14:paraId="434A761D">
                  <w:pPr>
                    <w:widowControl/>
                    <w:adjustRightInd/>
                    <w:snapToGrid/>
                    <w:jc w:val="center"/>
                    <w:textAlignment w:val="center"/>
                    <w:rPr>
                      <w:szCs w:val="21"/>
                    </w:rPr>
                  </w:pPr>
                  <w:r>
                    <w:rPr>
                      <w:kern w:val="0"/>
                      <w:szCs w:val="21"/>
                    </w:rPr>
                    <w:t>运行时段</w:t>
                  </w:r>
                </w:p>
              </w:tc>
              <w:tc>
                <w:tcPr>
                  <w:tcW w:w="715" w:type="dxa"/>
                  <w:vMerge w:val="restart"/>
                  <w:vAlign w:val="center"/>
                </w:tcPr>
                <w:p w14:paraId="77A98FC1">
                  <w:pPr>
                    <w:widowControl/>
                    <w:adjustRightInd/>
                    <w:snapToGrid/>
                    <w:jc w:val="center"/>
                    <w:textAlignment w:val="center"/>
                    <w:rPr>
                      <w:szCs w:val="21"/>
                    </w:rPr>
                  </w:pPr>
                  <w:r>
                    <w:rPr>
                      <w:kern w:val="0"/>
                      <w:szCs w:val="21"/>
                    </w:rPr>
                    <w:t>建筑物插入损失</w:t>
                  </w:r>
                  <w:r>
                    <w:rPr>
                      <w:szCs w:val="21"/>
                    </w:rPr>
                    <w:t>/dB(A)</w:t>
                  </w:r>
                </w:p>
              </w:tc>
              <w:tc>
                <w:tcPr>
                  <w:tcW w:w="1482" w:type="dxa"/>
                  <w:gridSpan w:val="2"/>
                  <w:vAlign w:val="center"/>
                </w:tcPr>
                <w:p w14:paraId="3683457F">
                  <w:pPr>
                    <w:widowControl/>
                    <w:adjustRightInd/>
                    <w:snapToGrid/>
                    <w:jc w:val="center"/>
                    <w:textAlignment w:val="center"/>
                    <w:rPr>
                      <w:szCs w:val="21"/>
                    </w:rPr>
                  </w:pPr>
                  <w:r>
                    <w:rPr>
                      <w:kern w:val="0"/>
                      <w:szCs w:val="21"/>
                    </w:rPr>
                    <w:t>建筑外噪声</w:t>
                  </w:r>
                </w:p>
              </w:tc>
            </w:tr>
            <w:tr w14:paraId="56F1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continue"/>
                  <w:vAlign w:val="center"/>
                </w:tcPr>
                <w:p w14:paraId="53D11AEA">
                  <w:pPr>
                    <w:widowControl/>
                    <w:adjustRightInd/>
                    <w:snapToGrid/>
                    <w:jc w:val="center"/>
                    <w:rPr>
                      <w:szCs w:val="21"/>
                    </w:rPr>
                  </w:pPr>
                </w:p>
              </w:tc>
              <w:tc>
                <w:tcPr>
                  <w:tcW w:w="1305" w:type="dxa"/>
                  <w:vMerge w:val="continue"/>
                  <w:vAlign w:val="center"/>
                </w:tcPr>
                <w:p w14:paraId="2D41A7CA">
                  <w:pPr>
                    <w:widowControl/>
                    <w:adjustRightInd/>
                    <w:snapToGrid/>
                    <w:jc w:val="center"/>
                    <w:rPr>
                      <w:szCs w:val="21"/>
                    </w:rPr>
                  </w:pPr>
                </w:p>
              </w:tc>
              <w:tc>
                <w:tcPr>
                  <w:tcW w:w="645" w:type="dxa"/>
                  <w:vMerge w:val="continue"/>
                  <w:vAlign w:val="center"/>
                </w:tcPr>
                <w:p w14:paraId="5C79F4BB">
                  <w:pPr>
                    <w:widowControl/>
                    <w:adjustRightInd/>
                    <w:snapToGrid/>
                    <w:jc w:val="center"/>
                    <w:rPr>
                      <w:szCs w:val="21"/>
                    </w:rPr>
                  </w:pPr>
                </w:p>
              </w:tc>
              <w:tc>
                <w:tcPr>
                  <w:tcW w:w="1369" w:type="dxa"/>
                  <w:vAlign w:val="center"/>
                </w:tcPr>
                <w:p w14:paraId="2255726F">
                  <w:pPr>
                    <w:widowControl/>
                    <w:adjustRightInd/>
                    <w:snapToGrid/>
                    <w:jc w:val="center"/>
                    <w:textAlignment w:val="center"/>
                    <w:rPr>
                      <w:szCs w:val="21"/>
                    </w:rPr>
                  </w:pPr>
                  <w:r>
                    <w:rPr>
                      <w:kern w:val="0"/>
                      <w:szCs w:val="21"/>
                    </w:rPr>
                    <w:t>（声压级</w:t>
                  </w:r>
                  <w:r>
                    <w:rPr>
                      <w:szCs w:val="21"/>
                    </w:rPr>
                    <w:t>/</w:t>
                  </w:r>
                  <w:r>
                    <w:rPr>
                      <w:kern w:val="0"/>
                      <w:szCs w:val="21"/>
                    </w:rPr>
                    <w:t>距声源距离）</w:t>
                  </w:r>
                  <w:r>
                    <w:rPr>
                      <w:szCs w:val="21"/>
                    </w:rPr>
                    <w:t>/</w:t>
                  </w:r>
                  <w:r>
                    <w:rPr>
                      <w:kern w:val="0"/>
                      <w:szCs w:val="21"/>
                    </w:rPr>
                    <w:t>（</w:t>
                  </w:r>
                  <w:r>
                    <w:rPr>
                      <w:szCs w:val="21"/>
                    </w:rPr>
                    <w:t>dB(A)/m</w:t>
                  </w:r>
                  <w:r>
                    <w:rPr>
                      <w:kern w:val="0"/>
                      <w:szCs w:val="21"/>
                    </w:rPr>
                    <w:t>）</w:t>
                  </w:r>
                </w:p>
              </w:tc>
              <w:tc>
                <w:tcPr>
                  <w:tcW w:w="965" w:type="dxa"/>
                  <w:vAlign w:val="center"/>
                </w:tcPr>
                <w:p w14:paraId="4A677B19">
                  <w:pPr>
                    <w:widowControl/>
                    <w:adjustRightInd/>
                    <w:snapToGrid/>
                    <w:jc w:val="center"/>
                    <w:textAlignment w:val="center"/>
                    <w:rPr>
                      <w:szCs w:val="21"/>
                    </w:rPr>
                  </w:pPr>
                  <w:r>
                    <w:rPr>
                      <w:kern w:val="0"/>
                      <w:szCs w:val="21"/>
                    </w:rPr>
                    <w:t>声功率级</w:t>
                  </w:r>
                  <w:r>
                    <w:rPr>
                      <w:szCs w:val="21"/>
                    </w:rPr>
                    <w:t xml:space="preserve"> /dB(A)</w:t>
                  </w:r>
                </w:p>
              </w:tc>
              <w:tc>
                <w:tcPr>
                  <w:tcW w:w="804" w:type="dxa"/>
                  <w:vMerge w:val="continue"/>
                  <w:vAlign w:val="center"/>
                </w:tcPr>
                <w:p w14:paraId="2044436E">
                  <w:pPr>
                    <w:widowControl/>
                    <w:adjustRightInd/>
                    <w:snapToGrid/>
                    <w:jc w:val="center"/>
                    <w:rPr>
                      <w:szCs w:val="21"/>
                    </w:rPr>
                  </w:pPr>
                </w:p>
              </w:tc>
              <w:tc>
                <w:tcPr>
                  <w:tcW w:w="878" w:type="dxa"/>
                  <w:vAlign w:val="center"/>
                </w:tcPr>
                <w:p w14:paraId="43409B65">
                  <w:pPr>
                    <w:widowControl/>
                    <w:adjustRightInd/>
                    <w:snapToGrid/>
                    <w:jc w:val="center"/>
                    <w:textAlignment w:val="center"/>
                    <w:rPr>
                      <w:szCs w:val="21"/>
                    </w:rPr>
                  </w:pPr>
                  <w:r>
                    <w:rPr>
                      <w:kern w:val="0"/>
                      <w:szCs w:val="21"/>
                    </w:rPr>
                    <w:t>X</w:t>
                  </w:r>
                </w:p>
              </w:tc>
              <w:tc>
                <w:tcPr>
                  <w:tcW w:w="1007" w:type="dxa"/>
                  <w:vAlign w:val="center"/>
                </w:tcPr>
                <w:p w14:paraId="78851890">
                  <w:pPr>
                    <w:widowControl/>
                    <w:adjustRightInd/>
                    <w:snapToGrid/>
                    <w:jc w:val="center"/>
                    <w:textAlignment w:val="center"/>
                    <w:rPr>
                      <w:szCs w:val="21"/>
                    </w:rPr>
                  </w:pPr>
                  <w:r>
                    <w:rPr>
                      <w:kern w:val="0"/>
                      <w:szCs w:val="21"/>
                    </w:rPr>
                    <w:t>Y</w:t>
                  </w:r>
                </w:p>
              </w:tc>
              <w:tc>
                <w:tcPr>
                  <w:tcW w:w="606" w:type="dxa"/>
                  <w:vAlign w:val="center"/>
                </w:tcPr>
                <w:p w14:paraId="37E03969">
                  <w:pPr>
                    <w:widowControl/>
                    <w:adjustRightInd/>
                    <w:snapToGrid/>
                    <w:jc w:val="center"/>
                    <w:textAlignment w:val="center"/>
                    <w:rPr>
                      <w:szCs w:val="21"/>
                    </w:rPr>
                  </w:pPr>
                  <w:r>
                    <w:rPr>
                      <w:kern w:val="0"/>
                      <w:szCs w:val="21"/>
                    </w:rPr>
                    <w:t>Z</w:t>
                  </w:r>
                </w:p>
              </w:tc>
              <w:tc>
                <w:tcPr>
                  <w:tcW w:w="594" w:type="dxa"/>
                  <w:vMerge w:val="continue"/>
                  <w:vAlign w:val="center"/>
                </w:tcPr>
                <w:p w14:paraId="7834CD8E">
                  <w:pPr>
                    <w:widowControl/>
                    <w:adjustRightInd/>
                    <w:snapToGrid/>
                    <w:jc w:val="center"/>
                    <w:rPr>
                      <w:szCs w:val="21"/>
                    </w:rPr>
                  </w:pPr>
                </w:p>
              </w:tc>
              <w:tc>
                <w:tcPr>
                  <w:tcW w:w="712" w:type="dxa"/>
                  <w:vMerge w:val="continue"/>
                  <w:vAlign w:val="center"/>
                </w:tcPr>
                <w:p w14:paraId="2D2B8345">
                  <w:pPr>
                    <w:widowControl/>
                    <w:adjustRightInd/>
                    <w:snapToGrid/>
                    <w:jc w:val="center"/>
                    <w:rPr>
                      <w:szCs w:val="21"/>
                    </w:rPr>
                  </w:pPr>
                </w:p>
              </w:tc>
              <w:tc>
                <w:tcPr>
                  <w:tcW w:w="591" w:type="dxa"/>
                  <w:vMerge w:val="continue"/>
                  <w:vAlign w:val="center"/>
                </w:tcPr>
                <w:p w14:paraId="5F20B302">
                  <w:pPr>
                    <w:widowControl/>
                    <w:adjustRightInd/>
                    <w:snapToGrid/>
                    <w:jc w:val="center"/>
                    <w:rPr>
                      <w:szCs w:val="21"/>
                    </w:rPr>
                  </w:pPr>
                </w:p>
              </w:tc>
              <w:tc>
                <w:tcPr>
                  <w:tcW w:w="715" w:type="dxa"/>
                  <w:vMerge w:val="continue"/>
                  <w:vAlign w:val="center"/>
                </w:tcPr>
                <w:p w14:paraId="3305A790">
                  <w:pPr>
                    <w:widowControl/>
                    <w:adjustRightInd/>
                    <w:snapToGrid/>
                    <w:jc w:val="center"/>
                    <w:rPr>
                      <w:szCs w:val="21"/>
                    </w:rPr>
                  </w:pPr>
                </w:p>
              </w:tc>
              <w:tc>
                <w:tcPr>
                  <w:tcW w:w="883" w:type="dxa"/>
                  <w:vAlign w:val="center"/>
                </w:tcPr>
                <w:p w14:paraId="676F6118">
                  <w:pPr>
                    <w:widowControl/>
                    <w:adjustRightInd/>
                    <w:snapToGrid/>
                    <w:jc w:val="center"/>
                    <w:textAlignment w:val="center"/>
                    <w:rPr>
                      <w:szCs w:val="21"/>
                    </w:rPr>
                  </w:pPr>
                  <w:r>
                    <w:rPr>
                      <w:kern w:val="0"/>
                      <w:szCs w:val="21"/>
                    </w:rPr>
                    <w:t>声压级</w:t>
                  </w:r>
                  <w:r>
                    <w:rPr>
                      <w:szCs w:val="21"/>
                    </w:rPr>
                    <w:t>/dB(A)</w:t>
                  </w:r>
                </w:p>
              </w:tc>
              <w:tc>
                <w:tcPr>
                  <w:tcW w:w="599" w:type="dxa"/>
                  <w:vAlign w:val="center"/>
                </w:tcPr>
                <w:p w14:paraId="111D4E99">
                  <w:pPr>
                    <w:widowControl/>
                    <w:adjustRightInd/>
                    <w:snapToGrid/>
                    <w:jc w:val="center"/>
                    <w:textAlignment w:val="center"/>
                    <w:rPr>
                      <w:szCs w:val="21"/>
                    </w:rPr>
                  </w:pPr>
                  <w:r>
                    <w:rPr>
                      <w:kern w:val="0"/>
                      <w:szCs w:val="21"/>
                    </w:rPr>
                    <w:t>建筑物外距离</w:t>
                  </w:r>
                  <w:r>
                    <w:rPr>
                      <w:szCs w:val="21"/>
                    </w:rPr>
                    <w:t>/m</w:t>
                  </w:r>
                </w:p>
              </w:tc>
            </w:tr>
            <w:tr w14:paraId="318F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restart"/>
                  <w:vAlign w:val="center"/>
                </w:tcPr>
                <w:p w14:paraId="1DF50621">
                  <w:pPr>
                    <w:widowControl/>
                    <w:adjustRightInd/>
                    <w:snapToGrid/>
                    <w:jc w:val="center"/>
                    <w:textAlignment w:val="center"/>
                    <w:rPr>
                      <w:szCs w:val="21"/>
                    </w:rPr>
                  </w:pPr>
                  <w:r>
                    <w:rPr>
                      <w:rFonts w:hint="eastAsia"/>
                      <w:szCs w:val="21"/>
                    </w:rPr>
                    <w:t>生车车间</w:t>
                  </w:r>
                </w:p>
              </w:tc>
              <w:tc>
                <w:tcPr>
                  <w:tcW w:w="1305" w:type="dxa"/>
                  <w:vAlign w:val="center"/>
                </w:tcPr>
                <w:p w14:paraId="451F0395">
                  <w:pPr>
                    <w:widowControl/>
                    <w:adjustRightInd/>
                    <w:snapToGrid/>
                    <w:jc w:val="center"/>
                    <w:rPr>
                      <w:kern w:val="0"/>
                      <w:szCs w:val="21"/>
                    </w:rPr>
                  </w:pPr>
                  <w:r>
                    <w:rPr>
                      <w:rFonts w:hint="eastAsia"/>
                      <w:snapToGrid w:val="0"/>
                      <w:szCs w:val="21"/>
                    </w:rPr>
                    <w:t>滚焊机</w:t>
                  </w:r>
                </w:p>
              </w:tc>
              <w:tc>
                <w:tcPr>
                  <w:tcW w:w="645" w:type="dxa"/>
                  <w:vAlign w:val="center"/>
                </w:tcPr>
                <w:p w14:paraId="2DE8B828">
                  <w:pPr>
                    <w:pStyle w:val="15"/>
                    <w:spacing w:before="120"/>
                    <w:rPr>
                      <w:kern w:val="0"/>
                      <w:szCs w:val="21"/>
                    </w:rPr>
                  </w:pPr>
                  <w:r>
                    <w:rPr>
                      <w:rFonts w:hint="eastAsia" w:ascii="Times New Roman" w:eastAsia="宋体"/>
                      <w:sz w:val="21"/>
                      <w:szCs w:val="21"/>
                    </w:rPr>
                    <w:t>1</w:t>
                  </w:r>
                </w:p>
              </w:tc>
              <w:tc>
                <w:tcPr>
                  <w:tcW w:w="1369" w:type="dxa"/>
                  <w:vAlign w:val="center"/>
                </w:tcPr>
                <w:p w14:paraId="30A3B271">
                  <w:pPr>
                    <w:widowControl/>
                    <w:adjustRightInd/>
                    <w:snapToGrid/>
                    <w:jc w:val="center"/>
                    <w:textAlignment w:val="center"/>
                    <w:rPr>
                      <w:szCs w:val="21"/>
                    </w:rPr>
                  </w:pPr>
                  <w:r>
                    <w:rPr>
                      <w:kern w:val="0"/>
                      <w:szCs w:val="21"/>
                    </w:rPr>
                    <w:t>/</w:t>
                  </w:r>
                </w:p>
              </w:tc>
              <w:tc>
                <w:tcPr>
                  <w:tcW w:w="965" w:type="dxa"/>
                  <w:vAlign w:val="center"/>
                </w:tcPr>
                <w:p w14:paraId="1611E376">
                  <w:pPr>
                    <w:widowControl/>
                    <w:adjustRightInd/>
                    <w:snapToGrid/>
                    <w:jc w:val="center"/>
                    <w:textAlignment w:val="center"/>
                    <w:rPr>
                      <w:szCs w:val="21"/>
                    </w:rPr>
                  </w:pPr>
                  <w:r>
                    <w:rPr>
                      <w:szCs w:val="21"/>
                    </w:rPr>
                    <w:t>80</w:t>
                  </w:r>
                </w:p>
              </w:tc>
              <w:tc>
                <w:tcPr>
                  <w:tcW w:w="804" w:type="dxa"/>
                  <w:vMerge w:val="restart"/>
                  <w:vAlign w:val="center"/>
                </w:tcPr>
                <w:p w14:paraId="643B885A">
                  <w:pPr>
                    <w:widowControl/>
                    <w:adjustRightInd/>
                    <w:snapToGrid/>
                    <w:jc w:val="center"/>
                    <w:textAlignment w:val="center"/>
                    <w:rPr>
                      <w:szCs w:val="21"/>
                    </w:rPr>
                  </w:pPr>
                  <w:r>
                    <w:rPr>
                      <w:rFonts w:hint="eastAsia" w:ascii="宋体" w:hAnsi="宋体" w:cs="宋体"/>
                      <w:color w:val="000000"/>
                      <w:kern w:val="0"/>
                      <w:szCs w:val="21"/>
                    </w:rPr>
                    <w:t>厂房隔声、基础减振、低噪声设备</w:t>
                  </w:r>
                </w:p>
              </w:tc>
              <w:tc>
                <w:tcPr>
                  <w:tcW w:w="878" w:type="dxa"/>
                  <w:vAlign w:val="center"/>
                </w:tcPr>
                <w:p w14:paraId="5DC4F790">
                  <w:pPr>
                    <w:widowControl/>
                    <w:adjustRightInd/>
                    <w:snapToGrid/>
                    <w:jc w:val="center"/>
                    <w:textAlignment w:val="center"/>
                    <w:rPr>
                      <w:szCs w:val="21"/>
                    </w:rPr>
                  </w:pPr>
                  <w:r>
                    <w:rPr>
                      <w:rFonts w:hint="eastAsia"/>
                      <w:szCs w:val="21"/>
                    </w:rPr>
                    <w:t>27</w:t>
                  </w:r>
                </w:p>
              </w:tc>
              <w:tc>
                <w:tcPr>
                  <w:tcW w:w="1007" w:type="dxa"/>
                  <w:vAlign w:val="center"/>
                </w:tcPr>
                <w:p w14:paraId="3F270747">
                  <w:pPr>
                    <w:widowControl/>
                    <w:adjustRightInd/>
                    <w:snapToGrid/>
                    <w:jc w:val="center"/>
                    <w:textAlignment w:val="center"/>
                    <w:rPr>
                      <w:szCs w:val="21"/>
                    </w:rPr>
                  </w:pPr>
                  <w:r>
                    <w:rPr>
                      <w:rFonts w:hint="eastAsia"/>
                      <w:szCs w:val="21"/>
                    </w:rPr>
                    <w:t>-10</w:t>
                  </w:r>
                </w:p>
              </w:tc>
              <w:tc>
                <w:tcPr>
                  <w:tcW w:w="606" w:type="dxa"/>
                  <w:vAlign w:val="center"/>
                </w:tcPr>
                <w:p w14:paraId="3E416548">
                  <w:pPr>
                    <w:widowControl/>
                    <w:adjustRightInd/>
                    <w:snapToGrid/>
                    <w:jc w:val="center"/>
                    <w:textAlignment w:val="center"/>
                    <w:rPr>
                      <w:szCs w:val="21"/>
                    </w:rPr>
                  </w:pPr>
                  <w:r>
                    <w:rPr>
                      <w:rFonts w:hint="eastAsia"/>
                      <w:szCs w:val="21"/>
                    </w:rPr>
                    <w:t>2</w:t>
                  </w:r>
                </w:p>
              </w:tc>
              <w:tc>
                <w:tcPr>
                  <w:tcW w:w="594" w:type="dxa"/>
                  <w:vAlign w:val="center"/>
                </w:tcPr>
                <w:p w14:paraId="53008737">
                  <w:pPr>
                    <w:widowControl/>
                    <w:adjustRightInd/>
                    <w:snapToGrid/>
                    <w:jc w:val="center"/>
                    <w:textAlignment w:val="center"/>
                    <w:rPr>
                      <w:szCs w:val="21"/>
                    </w:rPr>
                  </w:pPr>
                  <w:r>
                    <w:rPr>
                      <w:rFonts w:hint="eastAsia"/>
                      <w:szCs w:val="21"/>
                    </w:rPr>
                    <w:t>3</w:t>
                  </w:r>
                </w:p>
              </w:tc>
              <w:tc>
                <w:tcPr>
                  <w:tcW w:w="712" w:type="dxa"/>
                  <w:vAlign w:val="center"/>
                </w:tcPr>
                <w:p w14:paraId="1BF2D83C">
                  <w:pPr>
                    <w:widowControl/>
                    <w:adjustRightInd/>
                    <w:snapToGrid/>
                    <w:jc w:val="center"/>
                    <w:textAlignment w:val="center"/>
                    <w:rPr>
                      <w:szCs w:val="21"/>
                    </w:rPr>
                  </w:pPr>
                  <w:r>
                    <w:rPr>
                      <w:rFonts w:hint="eastAsia"/>
                      <w:szCs w:val="21"/>
                    </w:rPr>
                    <w:t>70.46</w:t>
                  </w:r>
                </w:p>
              </w:tc>
              <w:tc>
                <w:tcPr>
                  <w:tcW w:w="591" w:type="dxa"/>
                  <w:vAlign w:val="center"/>
                </w:tcPr>
                <w:p w14:paraId="53F0025D">
                  <w:pPr>
                    <w:widowControl/>
                    <w:adjustRightInd/>
                    <w:snapToGrid/>
                    <w:jc w:val="center"/>
                    <w:textAlignment w:val="center"/>
                    <w:rPr>
                      <w:szCs w:val="21"/>
                    </w:rPr>
                  </w:pPr>
                  <w:r>
                    <w:rPr>
                      <w:rFonts w:hint="eastAsia"/>
                      <w:kern w:val="0"/>
                      <w:szCs w:val="21"/>
                    </w:rPr>
                    <w:t>8</w:t>
                  </w:r>
                  <w:r>
                    <w:rPr>
                      <w:kern w:val="0"/>
                      <w:szCs w:val="21"/>
                    </w:rPr>
                    <w:t>h</w:t>
                  </w:r>
                </w:p>
              </w:tc>
              <w:tc>
                <w:tcPr>
                  <w:tcW w:w="715" w:type="dxa"/>
                  <w:vMerge w:val="restart"/>
                  <w:vAlign w:val="center"/>
                </w:tcPr>
                <w:p w14:paraId="7C81F4F7">
                  <w:pPr>
                    <w:widowControl/>
                    <w:adjustRightInd/>
                    <w:snapToGrid/>
                    <w:jc w:val="center"/>
                    <w:textAlignment w:val="center"/>
                    <w:rPr>
                      <w:szCs w:val="21"/>
                    </w:rPr>
                  </w:pPr>
                  <w:r>
                    <w:rPr>
                      <w:rFonts w:hint="eastAsia"/>
                      <w:kern w:val="0"/>
                      <w:szCs w:val="21"/>
                    </w:rPr>
                    <w:t>20</w:t>
                  </w:r>
                </w:p>
              </w:tc>
              <w:tc>
                <w:tcPr>
                  <w:tcW w:w="883" w:type="dxa"/>
                  <w:vAlign w:val="center"/>
                </w:tcPr>
                <w:p w14:paraId="5C0FD7DF">
                  <w:pPr>
                    <w:widowControl/>
                    <w:adjustRightInd/>
                    <w:snapToGrid/>
                    <w:jc w:val="center"/>
                    <w:textAlignment w:val="bottom"/>
                    <w:rPr>
                      <w:szCs w:val="21"/>
                    </w:rPr>
                  </w:pPr>
                  <w:r>
                    <w:rPr>
                      <w:rFonts w:hint="eastAsia"/>
                      <w:szCs w:val="21"/>
                    </w:rPr>
                    <w:t>50.46</w:t>
                  </w:r>
                </w:p>
              </w:tc>
              <w:tc>
                <w:tcPr>
                  <w:tcW w:w="599" w:type="dxa"/>
                  <w:vMerge w:val="restart"/>
                  <w:vAlign w:val="center"/>
                </w:tcPr>
                <w:p w14:paraId="213A1AAC">
                  <w:pPr>
                    <w:widowControl/>
                    <w:adjustRightInd/>
                    <w:snapToGrid/>
                    <w:jc w:val="center"/>
                    <w:textAlignment w:val="center"/>
                    <w:rPr>
                      <w:szCs w:val="21"/>
                    </w:rPr>
                  </w:pPr>
                  <w:r>
                    <w:rPr>
                      <w:rFonts w:hint="eastAsia"/>
                      <w:kern w:val="0"/>
                      <w:szCs w:val="21"/>
                    </w:rPr>
                    <w:t>1</w:t>
                  </w:r>
                </w:p>
              </w:tc>
            </w:tr>
            <w:tr w14:paraId="2C59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continue"/>
                  <w:vAlign w:val="center"/>
                </w:tcPr>
                <w:p w14:paraId="076BBAD0">
                  <w:pPr>
                    <w:widowControl/>
                    <w:adjustRightInd/>
                    <w:snapToGrid/>
                    <w:jc w:val="center"/>
                    <w:rPr>
                      <w:szCs w:val="21"/>
                    </w:rPr>
                  </w:pPr>
                </w:p>
              </w:tc>
              <w:tc>
                <w:tcPr>
                  <w:tcW w:w="1305" w:type="dxa"/>
                  <w:vAlign w:val="center"/>
                </w:tcPr>
                <w:p w14:paraId="0114DBB5">
                  <w:pPr>
                    <w:widowControl/>
                    <w:adjustRightInd/>
                    <w:snapToGrid/>
                    <w:jc w:val="center"/>
                    <w:rPr>
                      <w:kern w:val="0"/>
                      <w:szCs w:val="21"/>
                    </w:rPr>
                  </w:pPr>
                  <w:r>
                    <w:rPr>
                      <w:rFonts w:hint="eastAsia"/>
                      <w:bCs/>
                      <w:szCs w:val="21"/>
                    </w:rPr>
                    <w:t>点焊机</w:t>
                  </w:r>
                </w:p>
              </w:tc>
              <w:tc>
                <w:tcPr>
                  <w:tcW w:w="645" w:type="dxa"/>
                  <w:vAlign w:val="center"/>
                </w:tcPr>
                <w:p w14:paraId="0650DF3A">
                  <w:pPr>
                    <w:pStyle w:val="15"/>
                    <w:spacing w:before="120"/>
                    <w:rPr>
                      <w:kern w:val="0"/>
                      <w:szCs w:val="21"/>
                    </w:rPr>
                  </w:pPr>
                  <w:r>
                    <w:rPr>
                      <w:rFonts w:hint="eastAsia" w:ascii="Times New Roman" w:eastAsia="宋体"/>
                      <w:szCs w:val="24"/>
                    </w:rPr>
                    <w:t>1</w:t>
                  </w:r>
                </w:p>
              </w:tc>
              <w:tc>
                <w:tcPr>
                  <w:tcW w:w="1369" w:type="dxa"/>
                  <w:vAlign w:val="center"/>
                </w:tcPr>
                <w:p w14:paraId="137FC07A">
                  <w:pPr>
                    <w:widowControl/>
                    <w:adjustRightInd/>
                    <w:snapToGrid/>
                    <w:jc w:val="center"/>
                  </w:pPr>
                  <w:r>
                    <w:rPr>
                      <w:kern w:val="0"/>
                      <w:szCs w:val="21"/>
                    </w:rPr>
                    <w:t>/</w:t>
                  </w:r>
                </w:p>
              </w:tc>
              <w:tc>
                <w:tcPr>
                  <w:tcW w:w="965" w:type="dxa"/>
                  <w:vAlign w:val="center"/>
                </w:tcPr>
                <w:p w14:paraId="4D53A0EE">
                  <w:pPr>
                    <w:widowControl/>
                    <w:adjustRightInd/>
                    <w:snapToGrid/>
                    <w:jc w:val="center"/>
                    <w:textAlignment w:val="center"/>
                    <w:rPr>
                      <w:szCs w:val="21"/>
                    </w:rPr>
                  </w:pPr>
                  <w:r>
                    <w:rPr>
                      <w:rFonts w:hint="eastAsia"/>
                      <w:szCs w:val="21"/>
                    </w:rPr>
                    <w:t>80</w:t>
                  </w:r>
                </w:p>
              </w:tc>
              <w:tc>
                <w:tcPr>
                  <w:tcW w:w="804" w:type="dxa"/>
                  <w:vMerge w:val="continue"/>
                  <w:vAlign w:val="center"/>
                </w:tcPr>
                <w:p w14:paraId="7B03D413">
                  <w:pPr>
                    <w:widowControl/>
                    <w:adjustRightInd/>
                    <w:snapToGrid/>
                    <w:jc w:val="center"/>
                    <w:textAlignment w:val="center"/>
                    <w:rPr>
                      <w:kern w:val="0"/>
                      <w:szCs w:val="21"/>
                    </w:rPr>
                  </w:pPr>
                </w:p>
              </w:tc>
              <w:tc>
                <w:tcPr>
                  <w:tcW w:w="878" w:type="dxa"/>
                  <w:vAlign w:val="center"/>
                </w:tcPr>
                <w:p w14:paraId="34957763">
                  <w:pPr>
                    <w:widowControl/>
                    <w:adjustRightInd/>
                    <w:snapToGrid/>
                    <w:jc w:val="center"/>
                    <w:textAlignment w:val="center"/>
                    <w:rPr>
                      <w:szCs w:val="21"/>
                    </w:rPr>
                  </w:pPr>
                  <w:r>
                    <w:rPr>
                      <w:rFonts w:hint="eastAsia"/>
                      <w:szCs w:val="21"/>
                    </w:rPr>
                    <w:t>26</w:t>
                  </w:r>
                </w:p>
              </w:tc>
              <w:tc>
                <w:tcPr>
                  <w:tcW w:w="1007" w:type="dxa"/>
                  <w:vAlign w:val="center"/>
                </w:tcPr>
                <w:p w14:paraId="1A9B08BD">
                  <w:pPr>
                    <w:widowControl/>
                    <w:adjustRightInd/>
                    <w:snapToGrid/>
                    <w:jc w:val="center"/>
                    <w:textAlignment w:val="center"/>
                    <w:rPr>
                      <w:szCs w:val="21"/>
                    </w:rPr>
                  </w:pPr>
                  <w:r>
                    <w:rPr>
                      <w:rFonts w:hint="eastAsia"/>
                      <w:szCs w:val="21"/>
                    </w:rPr>
                    <w:t>-18</w:t>
                  </w:r>
                </w:p>
              </w:tc>
              <w:tc>
                <w:tcPr>
                  <w:tcW w:w="606" w:type="dxa"/>
                  <w:vAlign w:val="center"/>
                </w:tcPr>
                <w:p w14:paraId="13A922A2">
                  <w:pPr>
                    <w:widowControl/>
                    <w:adjustRightInd/>
                    <w:snapToGrid/>
                    <w:jc w:val="center"/>
                    <w:textAlignment w:val="center"/>
                    <w:rPr>
                      <w:szCs w:val="21"/>
                    </w:rPr>
                  </w:pPr>
                  <w:r>
                    <w:rPr>
                      <w:rFonts w:hint="eastAsia"/>
                      <w:szCs w:val="21"/>
                    </w:rPr>
                    <w:t>0.5</w:t>
                  </w:r>
                </w:p>
              </w:tc>
              <w:tc>
                <w:tcPr>
                  <w:tcW w:w="594" w:type="dxa"/>
                  <w:vAlign w:val="center"/>
                </w:tcPr>
                <w:p w14:paraId="2DF6E058">
                  <w:pPr>
                    <w:widowControl/>
                    <w:adjustRightInd/>
                    <w:snapToGrid/>
                    <w:jc w:val="center"/>
                    <w:textAlignment w:val="center"/>
                    <w:rPr>
                      <w:szCs w:val="21"/>
                    </w:rPr>
                  </w:pPr>
                  <w:r>
                    <w:rPr>
                      <w:rFonts w:hint="eastAsia"/>
                      <w:szCs w:val="21"/>
                    </w:rPr>
                    <w:t>3</w:t>
                  </w:r>
                </w:p>
              </w:tc>
              <w:tc>
                <w:tcPr>
                  <w:tcW w:w="712" w:type="dxa"/>
                  <w:vAlign w:val="center"/>
                </w:tcPr>
                <w:p w14:paraId="21A89823">
                  <w:pPr>
                    <w:widowControl/>
                    <w:adjustRightInd/>
                    <w:snapToGrid/>
                    <w:jc w:val="center"/>
                    <w:textAlignment w:val="center"/>
                    <w:rPr>
                      <w:szCs w:val="21"/>
                    </w:rPr>
                  </w:pPr>
                  <w:r>
                    <w:rPr>
                      <w:rFonts w:hint="eastAsia"/>
                      <w:szCs w:val="21"/>
                    </w:rPr>
                    <w:t>67.96</w:t>
                  </w:r>
                </w:p>
              </w:tc>
              <w:tc>
                <w:tcPr>
                  <w:tcW w:w="591" w:type="dxa"/>
                  <w:vAlign w:val="center"/>
                </w:tcPr>
                <w:p w14:paraId="4BFC9C3C">
                  <w:pPr>
                    <w:widowControl/>
                    <w:adjustRightInd/>
                    <w:snapToGrid/>
                    <w:jc w:val="center"/>
                    <w:textAlignment w:val="center"/>
                    <w:rPr>
                      <w:szCs w:val="21"/>
                    </w:rPr>
                  </w:pPr>
                  <w:r>
                    <w:rPr>
                      <w:rFonts w:hint="eastAsia"/>
                      <w:kern w:val="0"/>
                      <w:szCs w:val="21"/>
                    </w:rPr>
                    <w:t>8</w:t>
                  </w:r>
                  <w:r>
                    <w:rPr>
                      <w:kern w:val="0"/>
                      <w:szCs w:val="21"/>
                    </w:rPr>
                    <w:t>h</w:t>
                  </w:r>
                </w:p>
              </w:tc>
              <w:tc>
                <w:tcPr>
                  <w:tcW w:w="715" w:type="dxa"/>
                  <w:vMerge w:val="continue"/>
                  <w:vAlign w:val="center"/>
                </w:tcPr>
                <w:p w14:paraId="658982EC">
                  <w:pPr>
                    <w:widowControl/>
                    <w:adjustRightInd/>
                    <w:snapToGrid/>
                    <w:jc w:val="center"/>
                    <w:rPr>
                      <w:szCs w:val="21"/>
                    </w:rPr>
                  </w:pPr>
                </w:p>
              </w:tc>
              <w:tc>
                <w:tcPr>
                  <w:tcW w:w="883" w:type="dxa"/>
                  <w:vAlign w:val="center"/>
                </w:tcPr>
                <w:p w14:paraId="6BCBE497">
                  <w:pPr>
                    <w:widowControl/>
                    <w:adjustRightInd/>
                    <w:snapToGrid/>
                    <w:jc w:val="center"/>
                    <w:rPr>
                      <w:szCs w:val="21"/>
                    </w:rPr>
                  </w:pPr>
                  <w:r>
                    <w:rPr>
                      <w:rFonts w:hint="eastAsia"/>
                      <w:szCs w:val="21"/>
                    </w:rPr>
                    <w:t>47.96</w:t>
                  </w:r>
                </w:p>
              </w:tc>
              <w:tc>
                <w:tcPr>
                  <w:tcW w:w="599" w:type="dxa"/>
                  <w:vMerge w:val="continue"/>
                  <w:vAlign w:val="center"/>
                </w:tcPr>
                <w:p w14:paraId="35BA1B81">
                  <w:pPr>
                    <w:widowControl/>
                    <w:adjustRightInd/>
                    <w:snapToGrid/>
                    <w:jc w:val="center"/>
                    <w:rPr>
                      <w:szCs w:val="21"/>
                    </w:rPr>
                  </w:pPr>
                </w:p>
              </w:tc>
            </w:tr>
            <w:tr w14:paraId="5B76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continue"/>
                  <w:vAlign w:val="center"/>
                </w:tcPr>
                <w:p w14:paraId="71727808">
                  <w:pPr>
                    <w:widowControl/>
                    <w:adjustRightInd/>
                    <w:snapToGrid/>
                    <w:jc w:val="center"/>
                    <w:rPr>
                      <w:szCs w:val="21"/>
                    </w:rPr>
                  </w:pPr>
                </w:p>
              </w:tc>
              <w:tc>
                <w:tcPr>
                  <w:tcW w:w="1305" w:type="dxa"/>
                  <w:vAlign w:val="center"/>
                </w:tcPr>
                <w:p w14:paraId="2F81C2A5">
                  <w:pPr>
                    <w:widowControl/>
                    <w:adjustRightInd/>
                    <w:snapToGrid/>
                    <w:jc w:val="center"/>
                    <w:rPr>
                      <w:kern w:val="0"/>
                      <w:szCs w:val="21"/>
                    </w:rPr>
                  </w:pPr>
                  <w:r>
                    <w:rPr>
                      <w:rFonts w:hint="eastAsia"/>
                      <w:snapToGrid w:val="0"/>
                      <w:szCs w:val="21"/>
                    </w:rPr>
                    <w:t>拉丝机</w:t>
                  </w:r>
                </w:p>
              </w:tc>
              <w:tc>
                <w:tcPr>
                  <w:tcW w:w="645" w:type="dxa"/>
                  <w:vAlign w:val="center"/>
                </w:tcPr>
                <w:p w14:paraId="37C37B6C">
                  <w:pPr>
                    <w:pStyle w:val="15"/>
                    <w:spacing w:before="120"/>
                    <w:rPr>
                      <w:kern w:val="0"/>
                      <w:szCs w:val="21"/>
                    </w:rPr>
                  </w:pPr>
                  <w:r>
                    <w:rPr>
                      <w:rFonts w:hint="eastAsia" w:ascii="Times New Roman" w:eastAsia="宋体"/>
                      <w:szCs w:val="24"/>
                    </w:rPr>
                    <w:t>1</w:t>
                  </w:r>
                </w:p>
              </w:tc>
              <w:tc>
                <w:tcPr>
                  <w:tcW w:w="1369" w:type="dxa"/>
                  <w:vAlign w:val="center"/>
                </w:tcPr>
                <w:p w14:paraId="25C28C87">
                  <w:pPr>
                    <w:widowControl/>
                    <w:adjustRightInd/>
                    <w:snapToGrid/>
                    <w:jc w:val="center"/>
                  </w:pPr>
                  <w:r>
                    <w:rPr>
                      <w:kern w:val="0"/>
                      <w:szCs w:val="21"/>
                    </w:rPr>
                    <w:t>/</w:t>
                  </w:r>
                </w:p>
              </w:tc>
              <w:tc>
                <w:tcPr>
                  <w:tcW w:w="965" w:type="dxa"/>
                  <w:vAlign w:val="center"/>
                </w:tcPr>
                <w:p w14:paraId="3A48658B">
                  <w:pPr>
                    <w:widowControl/>
                    <w:adjustRightInd/>
                    <w:snapToGrid/>
                    <w:jc w:val="center"/>
                    <w:textAlignment w:val="center"/>
                    <w:rPr>
                      <w:szCs w:val="21"/>
                    </w:rPr>
                  </w:pPr>
                  <w:r>
                    <w:rPr>
                      <w:szCs w:val="21"/>
                    </w:rPr>
                    <w:t>75</w:t>
                  </w:r>
                </w:p>
              </w:tc>
              <w:tc>
                <w:tcPr>
                  <w:tcW w:w="804" w:type="dxa"/>
                  <w:vMerge w:val="continue"/>
                  <w:vAlign w:val="center"/>
                </w:tcPr>
                <w:p w14:paraId="32A46E23">
                  <w:pPr>
                    <w:widowControl/>
                    <w:adjustRightInd/>
                    <w:snapToGrid/>
                    <w:jc w:val="center"/>
                    <w:textAlignment w:val="center"/>
                    <w:rPr>
                      <w:kern w:val="0"/>
                      <w:szCs w:val="21"/>
                    </w:rPr>
                  </w:pPr>
                </w:p>
              </w:tc>
              <w:tc>
                <w:tcPr>
                  <w:tcW w:w="878" w:type="dxa"/>
                  <w:vAlign w:val="center"/>
                </w:tcPr>
                <w:p w14:paraId="42EB9C82">
                  <w:pPr>
                    <w:widowControl/>
                    <w:adjustRightInd/>
                    <w:snapToGrid/>
                    <w:jc w:val="center"/>
                    <w:textAlignment w:val="center"/>
                    <w:rPr>
                      <w:szCs w:val="21"/>
                    </w:rPr>
                  </w:pPr>
                  <w:r>
                    <w:rPr>
                      <w:rFonts w:hint="eastAsia"/>
                      <w:szCs w:val="21"/>
                    </w:rPr>
                    <w:t>22</w:t>
                  </w:r>
                </w:p>
              </w:tc>
              <w:tc>
                <w:tcPr>
                  <w:tcW w:w="1007" w:type="dxa"/>
                  <w:vAlign w:val="center"/>
                </w:tcPr>
                <w:p w14:paraId="2E97F997">
                  <w:pPr>
                    <w:widowControl/>
                    <w:adjustRightInd/>
                    <w:snapToGrid/>
                    <w:jc w:val="center"/>
                    <w:textAlignment w:val="center"/>
                    <w:rPr>
                      <w:szCs w:val="21"/>
                    </w:rPr>
                  </w:pPr>
                  <w:r>
                    <w:rPr>
                      <w:rFonts w:hint="eastAsia"/>
                      <w:szCs w:val="21"/>
                    </w:rPr>
                    <w:t>-16</w:t>
                  </w:r>
                </w:p>
              </w:tc>
              <w:tc>
                <w:tcPr>
                  <w:tcW w:w="606" w:type="dxa"/>
                  <w:vAlign w:val="center"/>
                </w:tcPr>
                <w:p w14:paraId="0193D447">
                  <w:pPr>
                    <w:widowControl/>
                    <w:adjustRightInd/>
                    <w:snapToGrid/>
                    <w:jc w:val="center"/>
                    <w:textAlignment w:val="center"/>
                    <w:rPr>
                      <w:szCs w:val="21"/>
                    </w:rPr>
                  </w:pPr>
                  <w:r>
                    <w:rPr>
                      <w:rFonts w:hint="eastAsia"/>
                      <w:szCs w:val="21"/>
                    </w:rPr>
                    <w:t>1</w:t>
                  </w:r>
                </w:p>
              </w:tc>
              <w:tc>
                <w:tcPr>
                  <w:tcW w:w="594" w:type="dxa"/>
                  <w:vAlign w:val="center"/>
                </w:tcPr>
                <w:p w14:paraId="76CCFC7E">
                  <w:pPr>
                    <w:widowControl/>
                    <w:adjustRightInd/>
                    <w:snapToGrid/>
                    <w:jc w:val="center"/>
                    <w:textAlignment w:val="center"/>
                    <w:rPr>
                      <w:szCs w:val="21"/>
                    </w:rPr>
                  </w:pPr>
                  <w:r>
                    <w:rPr>
                      <w:rFonts w:hint="eastAsia"/>
                      <w:szCs w:val="21"/>
                    </w:rPr>
                    <w:t>2</w:t>
                  </w:r>
                </w:p>
              </w:tc>
              <w:tc>
                <w:tcPr>
                  <w:tcW w:w="712" w:type="dxa"/>
                  <w:vAlign w:val="center"/>
                </w:tcPr>
                <w:p w14:paraId="04FABDDE">
                  <w:pPr>
                    <w:widowControl/>
                    <w:adjustRightInd/>
                    <w:snapToGrid/>
                    <w:jc w:val="center"/>
                    <w:textAlignment w:val="center"/>
                    <w:rPr>
                      <w:szCs w:val="21"/>
                    </w:rPr>
                  </w:pPr>
                  <w:r>
                    <w:rPr>
                      <w:rFonts w:hint="eastAsia"/>
                      <w:szCs w:val="21"/>
                    </w:rPr>
                    <w:t>70.46</w:t>
                  </w:r>
                </w:p>
              </w:tc>
              <w:tc>
                <w:tcPr>
                  <w:tcW w:w="591" w:type="dxa"/>
                  <w:vAlign w:val="center"/>
                </w:tcPr>
                <w:p w14:paraId="36338D72">
                  <w:pPr>
                    <w:widowControl/>
                    <w:adjustRightInd/>
                    <w:snapToGrid/>
                    <w:jc w:val="center"/>
                    <w:textAlignment w:val="center"/>
                    <w:rPr>
                      <w:szCs w:val="21"/>
                    </w:rPr>
                  </w:pPr>
                  <w:r>
                    <w:rPr>
                      <w:rFonts w:hint="eastAsia"/>
                      <w:kern w:val="0"/>
                      <w:szCs w:val="21"/>
                    </w:rPr>
                    <w:t>8</w:t>
                  </w:r>
                  <w:r>
                    <w:rPr>
                      <w:kern w:val="0"/>
                      <w:szCs w:val="21"/>
                    </w:rPr>
                    <w:t>h</w:t>
                  </w:r>
                </w:p>
              </w:tc>
              <w:tc>
                <w:tcPr>
                  <w:tcW w:w="715" w:type="dxa"/>
                  <w:vMerge w:val="continue"/>
                  <w:vAlign w:val="center"/>
                </w:tcPr>
                <w:p w14:paraId="3B95557D">
                  <w:pPr>
                    <w:widowControl/>
                    <w:adjustRightInd/>
                    <w:snapToGrid/>
                    <w:jc w:val="center"/>
                    <w:rPr>
                      <w:szCs w:val="21"/>
                    </w:rPr>
                  </w:pPr>
                </w:p>
              </w:tc>
              <w:tc>
                <w:tcPr>
                  <w:tcW w:w="883" w:type="dxa"/>
                  <w:vAlign w:val="center"/>
                </w:tcPr>
                <w:p w14:paraId="58633D61">
                  <w:pPr>
                    <w:widowControl/>
                    <w:adjustRightInd/>
                    <w:snapToGrid/>
                    <w:jc w:val="center"/>
                    <w:rPr>
                      <w:szCs w:val="21"/>
                    </w:rPr>
                  </w:pPr>
                  <w:r>
                    <w:rPr>
                      <w:rFonts w:hint="eastAsia"/>
                      <w:szCs w:val="21"/>
                    </w:rPr>
                    <w:t>50.46</w:t>
                  </w:r>
                </w:p>
              </w:tc>
              <w:tc>
                <w:tcPr>
                  <w:tcW w:w="599" w:type="dxa"/>
                  <w:vMerge w:val="continue"/>
                  <w:vAlign w:val="center"/>
                </w:tcPr>
                <w:p w14:paraId="71170B7B">
                  <w:pPr>
                    <w:widowControl/>
                    <w:adjustRightInd/>
                    <w:snapToGrid/>
                    <w:jc w:val="center"/>
                    <w:rPr>
                      <w:szCs w:val="21"/>
                    </w:rPr>
                  </w:pPr>
                </w:p>
              </w:tc>
            </w:tr>
            <w:tr w14:paraId="2D35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continue"/>
                  <w:vAlign w:val="center"/>
                </w:tcPr>
                <w:p w14:paraId="72929299">
                  <w:pPr>
                    <w:widowControl/>
                    <w:adjustRightInd/>
                    <w:snapToGrid/>
                    <w:jc w:val="center"/>
                    <w:rPr>
                      <w:szCs w:val="21"/>
                    </w:rPr>
                  </w:pPr>
                </w:p>
              </w:tc>
              <w:tc>
                <w:tcPr>
                  <w:tcW w:w="1305" w:type="dxa"/>
                  <w:vAlign w:val="center"/>
                </w:tcPr>
                <w:p w14:paraId="2A2F661E">
                  <w:pPr>
                    <w:widowControl/>
                    <w:adjustRightInd/>
                    <w:snapToGrid/>
                    <w:jc w:val="center"/>
                    <w:rPr>
                      <w:kern w:val="0"/>
                      <w:szCs w:val="21"/>
                    </w:rPr>
                  </w:pPr>
                  <w:r>
                    <w:rPr>
                      <w:rFonts w:hint="eastAsia"/>
                      <w:bCs/>
                      <w:szCs w:val="21"/>
                    </w:rPr>
                    <w:t>圈板机</w:t>
                  </w:r>
                </w:p>
              </w:tc>
              <w:tc>
                <w:tcPr>
                  <w:tcW w:w="645" w:type="dxa"/>
                  <w:vAlign w:val="center"/>
                </w:tcPr>
                <w:p w14:paraId="526BCF16">
                  <w:pPr>
                    <w:pStyle w:val="15"/>
                    <w:spacing w:before="120"/>
                    <w:rPr>
                      <w:kern w:val="0"/>
                      <w:szCs w:val="21"/>
                    </w:rPr>
                  </w:pPr>
                  <w:r>
                    <w:rPr>
                      <w:rFonts w:hint="eastAsia" w:ascii="Times New Roman" w:eastAsia="宋体"/>
                      <w:szCs w:val="24"/>
                    </w:rPr>
                    <w:t>1</w:t>
                  </w:r>
                </w:p>
              </w:tc>
              <w:tc>
                <w:tcPr>
                  <w:tcW w:w="1369" w:type="dxa"/>
                  <w:vAlign w:val="center"/>
                </w:tcPr>
                <w:p w14:paraId="122B0906">
                  <w:pPr>
                    <w:widowControl/>
                    <w:adjustRightInd/>
                    <w:snapToGrid/>
                    <w:jc w:val="center"/>
                    <w:rPr>
                      <w:kern w:val="0"/>
                      <w:szCs w:val="21"/>
                    </w:rPr>
                  </w:pPr>
                  <w:r>
                    <w:rPr>
                      <w:rFonts w:hint="eastAsia"/>
                      <w:kern w:val="0"/>
                      <w:szCs w:val="21"/>
                    </w:rPr>
                    <w:t>/</w:t>
                  </w:r>
                </w:p>
              </w:tc>
              <w:tc>
                <w:tcPr>
                  <w:tcW w:w="965" w:type="dxa"/>
                  <w:vAlign w:val="center"/>
                </w:tcPr>
                <w:p w14:paraId="4AF7E14F">
                  <w:pPr>
                    <w:widowControl/>
                    <w:adjustRightInd/>
                    <w:snapToGrid/>
                    <w:jc w:val="center"/>
                    <w:textAlignment w:val="center"/>
                    <w:rPr>
                      <w:szCs w:val="21"/>
                    </w:rPr>
                  </w:pPr>
                  <w:r>
                    <w:rPr>
                      <w:rFonts w:hint="eastAsia"/>
                      <w:szCs w:val="21"/>
                    </w:rPr>
                    <w:t>80</w:t>
                  </w:r>
                </w:p>
              </w:tc>
              <w:tc>
                <w:tcPr>
                  <w:tcW w:w="804" w:type="dxa"/>
                  <w:vMerge w:val="continue"/>
                  <w:vAlign w:val="center"/>
                </w:tcPr>
                <w:p w14:paraId="00E88AAF">
                  <w:pPr>
                    <w:widowControl/>
                    <w:adjustRightInd/>
                    <w:snapToGrid/>
                    <w:jc w:val="center"/>
                    <w:textAlignment w:val="center"/>
                    <w:rPr>
                      <w:kern w:val="0"/>
                      <w:szCs w:val="21"/>
                    </w:rPr>
                  </w:pPr>
                </w:p>
              </w:tc>
              <w:tc>
                <w:tcPr>
                  <w:tcW w:w="878" w:type="dxa"/>
                  <w:vAlign w:val="center"/>
                </w:tcPr>
                <w:p w14:paraId="60202747">
                  <w:pPr>
                    <w:widowControl/>
                    <w:adjustRightInd/>
                    <w:snapToGrid/>
                    <w:jc w:val="center"/>
                    <w:textAlignment w:val="center"/>
                    <w:rPr>
                      <w:szCs w:val="21"/>
                    </w:rPr>
                  </w:pPr>
                  <w:r>
                    <w:rPr>
                      <w:rFonts w:hint="eastAsia"/>
                      <w:szCs w:val="21"/>
                    </w:rPr>
                    <w:t>20</w:t>
                  </w:r>
                </w:p>
              </w:tc>
              <w:tc>
                <w:tcPr>
                  <w:tcW w:w="1007" w:type="dxa"/>
                  <w:vAlign w:val="center"/>
                </w:tcPr>
                <w:p w14:paraId="0D8512A7">
                  <w:pPr>
                    <w:widowControl/>
                    <w:adjustRightInd/>
                    <w:snapToGrid/>
                    <w:jc w:val="center"/>
                    <w:textAlignment w:val="center"/>
                    <w:rPr>
                      <w:szCs w:val="21"/>
                    </w:rPr>
                  </w:pPr>
                  <w:r>
                    <w:rPr>
                      <w:rFonts w:hint="eastAsia"/>
                      <w:szCs w:val="21"/>
                    </w:rPr>
                    <w:t>-20</w:t>
                  </w:r>
                </w:p>
              </w:tc>
              <w:tc>
                <w:tcPr>
                  <w:tcW w:w="606" w:type="dxa"/>
                  <w:vAlign w:val="center"/>
                </w:tcPr>
                <w:p w14:paraId="6F59E0F3">
                  <w:pPr>
                    <w:widowControl/>
                    <w:adjustRightInd/>
                    <w:snapToGrid/>
                    <w:jc w:val="center"/>
                    <w:textAlignment w:val="center"/>
                    <w:rPr>
                      <w:szCs w:val="21"/>
                    </w:rPr>
                  </w:pPr>
                  <w:r>
                    <w:rPr>
                      <w:rFonts w:hint="eastAsia"/>
                      <w:szCs w:val="21"/>
                    </w:rPr>
                    <w:t>1</w:t>
                  </w:r>
                </w:p>
              </w:tc>
              <w:tc>
                <w:tcPr>
                  <w:tcW w:w="594" w:type="dxa"/>
                  <w:vAlign w:val="center"/>
                </w:tcPr>
                <w:p w14:paraId="1BBC07D0">
                  <w:pPr>
                    <w:widowControl/>
                    <w:adjustRightInd/>
                    <w:snapToGrid/>
                    <w:jc w:val="center"/>
                    <w:textAlignment w:val="center"/>
                    <w:rPr>
                      <w:szCs w:val="21"/>
                    </w:rPr>
                  </w:pPr>
                  <w:r>
                    <w:rPr>
                      <w:rFonts w:hint="eastAsia"/>
                      <w:szCs w:val="21"/>
                    </w:rPr>
                    <w:t>3</w:t>
                  </w:r>
                </w:p>
              </w:tc>
              <w:tc>
                <w:tcPr>
                  <w:tcW w:w="712" w:type="dxa"/>
                  <w:vAlign w:val="center"/>
                </w:tcPr>
                <w:p w14:paraId="3E99A61F">
                  <w:pPr>
                    <w:widowControl/>
                    <w:adjustRightInd/>
                    <w:snapToGrid/>
                    <w:jc w:val="center"/>
                    <w:textAlignment w:val="center"/>
                    <w:rPr>
                      <w:szCs w:val="21"/>
                    </w:rPr>
                  </w:pPr>
                  <w:r>
                    <w:rPr>
                      <w:rFonts w:hint="eastAsia"/>
                      <w:szCs w:val="21"/>
                    </w:rPr>
                    <w:t>70.46</w:t>
                  </w:r>
                </w:p>
              </w:tc>
              <w:tc>
                <w:tcPr>
                  <w:tcW w:w="591" w:type="dxa"/>
                  <w:vAlign w:val="center"/>
                </w:tcPr>
                <w:p w14:paraId="664F3829">
                  <w:pPr>
                    <w:widowControl/>
                    <w:adjustRightInd/>
                    <w:snapToGrid/>
                    <w:jc w:val="center"/>
                    <w:textAlignment w:val="center"/>
                    <w:rPr>
                      <w:kern w:val="0"/>
                      <w:szCs w:val="21"/>
                    </w:rPr>
                  </w:pPr>
                  <w:r>
                    <w:rPr>
                      <w:rFonts w:hint="eastAsia"/>
                      <w:kern w:val="0"/>
                      <w:szCs w:val="21"/>
                    </w:rPr>
                    <w:t>8</w:t>
                  </w:r>
                  <w:r>
                    <w:rPr>
                      <w:kern w:val="0"/>
                      <w:szCs w:val="21"/>
                    </w:rPr>
                    <w:t>h</w:t>
                  </w:r>
                </w:p>
              </w:tc>
              <w:tc>
                <w:tcPr>
                  <w:tcW w:w="715" w:type="dxa"/>
                  <w:vMerge w:val="continue"/>
                  <w:vAlign w:val="center"/>
                </w:tcPr>
                <w:p w14:paraId="3E284FC2">
                  <w:pPr>
                    <w:widowControl/>
                    <w:adjustRightInd/>
                    <w:snapToGrid/>
                    <w:jc w:val="center"/>
                    <w:rPr>
                      <w:szCs w:val="21"/>
                    </w:rPr>
                  </w:pPr>
                </w:p>
              </w:tc>
              <w:tc>
                <w:tcPr>
                  <w:tcW w:w="883" w:type="dxa"/>
                  <w:vAlign w:val="center"/>
                </w:tcPr>
                <w:p w14:paraId="3E3C90A0">
                  <w:pPr>
                    <w:widowControl/>
                    <w:adjustRightInd/>
                    <w:snapToGrid/>
                    <w:jc w:val="center"/>
                    <w:rPr>
                      <w:szCs w:val="21"/>
                    </w:rPr>
                  </w:pPr>
                  <w:r>
                    <w:rPr>
                      <w:rFonts w:hint="eastAsia"/>
                      <w:szCs w:val="21"/>
                    </w:rPr>
                    <w:t>50.46</w:t>
                  </w:r>
                </w:p>
              </w:tc>
              <w:tc>
                <w:tcPr>
                  <w:tcW w:w="599" w:type="dxa"/>
                  <w:vMerge w:val="continue"/>
                  <w:vAlign w:val="center"/>
                </w:tcPr>
                <w:p w14:paraId="7E7D2AFF">
                  <w:pPr>
                    <w:widowControl/>
                    <w:adjustRightInd/>
                    <w:snapToGrid/>
                    <w:jc w:val="center"/>
                    <w:rPr>
                      <w:szCs w:val="21"/>
                    </w:rPr>
                  </w:pPr>
                </w:p>
              </w:tc>
            </w:tr>
            <w:tr w14:paraId="3D13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86" w:type="dxa"/>
                  <w:vMerge w:val="continue"/>
                  <w:vAlign w:val="center"/>
                </w:tcPr>
                <w:p w14:paraId="5C5BD8E3">
                  <w:pPr>
                    <w:widowControl/>
                    <w:adjustRightInd/>
                    <w:snapToGrid/>
                    <w:jc w:val="center"/>
                    <w:rPr>
                      <w:szCs w:val="21"/>
                    </w:rPr>
                  </w:pPr>
                </w:p>
              </w:tc>
              <w:tc>
                <w:tcPr>
                  <w:tcW w:w="1305" w:type="dxa"/>
                  <w:vAlign w:val="center"/>
                </w:tcPr>
                <w:p w14:paraId="7074B861">
                  <w:pPr>
                    <w:widowControl/>
                    <w:adjustRightInd/>
                    <w:snapToGrid/>
                    <w:jc w:val="center"/>
                    <w:rPr>
                      <w:kern w:val="0"/>
                      <w:szCs w:val="21"/>
                    </w:rPr>
                  </w:pPr>
                  <w:r>
                    <w:rPr>
                      <w:rFonts w:hint="eastAsia"/>
                      <w:snapToGrid w:val="0"/>
                      <w:szCs w:val="21"/>
                    </w:rPr>
                    <w:t>搅拌机</w:t>
                  </w:r>
                </w:p>
              </w:tc>
              <w:tc>
                <w:tcPr>
                  <w:tcW w:w="645" w:type="dxa"/>
                  <w:vAlign w:val="center"/>
                </w:tcPr>
                <w:p w14:paraId="2AFCB825">
                  <w:pPr>
                    <w:pStyle w:val="15"/>
                    <w:spacing w:before="120"/>
                    <w:rPr>
                      <w:kern w:val="0"/>
                      <w:szCs w:val="21"/>
                    </w:rPr>
                  </w:pPr>
                  <w:r>
                    <w:rPr>
                      <w:rFonts w:hint="eastAsia" w:ascii="Times New Roman" w:eastAsia="宋体"/>
                      <w:sz w:val="21"/>
                      <w:szCs w:val="21"/>
                    </w:rPr>
                    <w:t>4</w:t>
                  </w:r>
                </w:p>
              </w:tc>
              <w:tc>
                <w:tcPr>
                  <w:tcW w:w="1369" w:type="dxa"/>
                  <w:vAlign w:val="center"/>
                </w:tcPr>
                <w:p w14:paraId="44B64FCB">
                  <w:pPr>
                    <w:widowControl/>
                    <w:adjustRightInd/>
                    <w:snapToGrid/>
                    <w:jc w:val="center"/>
                    <w:rPr>
                      <w:kern w:val="0"/>
                      <w:szCs w:val="21"/>
                    </w:rPr>
                  </w:pPr>
                  <w:r>
                    <w:rPr>
                      <w:rFonts w:hint="eastAsia"/>
                      <w:kern w:val="0"/>
                      <w:szCs w:val="21"/>
                    </w:rPr>
                    <w:t>/</w:t>
                  </w:r>
                </w:p>
              </w:tc>
              <w:tc>
                <w:tcPr>
                  <w:tcW w:w="965" w:type="dxa"/>
                  <w:vAlign w:val="center"/>
                </w:tcPr>
                <w:p w14:paraId="44F3E70D">
                  <w:pPr>
                    <w:widowControl/>
                    <w:adjustRightInd/>
                    <w:snapToGrid/>
                    <w:jc w:val="center"/>
                    <w:textAlignment w:val="center"/>
                    <w:rPr>
                      <w:szCs w:val="21"/>
                    </w:rPr>
                  </w:pPr>
                  <w:r>
                    <w:rPr>
                      <w:rFonts w:hint="eastAsia"/>
                      <w:szCs w:val="21"/>
                    </w:rPr>
                    <w:t>75</w:t>
                  </w:r>
                </w:p>
              </w:tc>
              <w:tc>
                <w:tcPr>
                  <w:tcW w:w="804" w:type="dxa"/>
                  <w:vMerge w:val="continue"/>
                  <w:vAlign w:val="center"/>
                </w:tcPr>
                <w:p w14:paraId="7DAB35F3">
                  <w:pPr>
                    <w:widowControl/>
                    <w:adjustRightInd/>
                    <w:snapToGrid/>
                    <w:jc w:val="center"/>
                    <w:textAlignment w:val="center"/>
                    <w:rPr>
                      <w:kern w:val="0"/>
                      <w:szCs w:val="21"/>
                    </w:rPr>
                  </w:pPr>
                </w:p>
              </w:tc>
              <w:tc>
                <w:tcPr>
                  <w:tcW w:w="878" w:type="dxa"/>
                  <w:vAlign w:val="center"/>
                </w:tcPr>
                <w:p w14:paraId="41E6F747">
                  <w:pPr>
                    <w:widowControl/>
                    <w:adjustRightInd/>
                    <w:snapToGrid/>
                    <w:jc w:val="center"/>
                    <w:textAlignment w:val="center"/>
                    <w:rPr>
                      <w:szCs w:val="21"/>
                    </w:rPr>
                  </w:pPr>
                  <w:r>
                    <w:rPr>
                      <w:rFonts w:hint="eastAsia"/>
                      <w:szCs w:val="21"/>
                    </w:rPr>
                    <w:t>-35</w:t>
                  </w:r>
                </w:p>
              </w:tc>
              <w:tc>
                <w:tcPr>
                  <w:tcW w:w="1007" w:type="dxa"/>
                  <w:vAlign w:val="center"/>
                </w:tcPr>
                <w:p w14:paraId="47C5F3EC">
                  <w:pPr>
                    <w:widowControl/>
                    <w:adjustRightInd/>
                    <w:snapToGrid/>
                    <w:jc w:val="center"/>
                    <w:textAlignment w:val="center"/>
                    <w:rPr>
                      <w:szCs w:val="21"/>
                    </w:rPr>
                  </w:pPr>
                  <w:r>
                    <w:rPr>
                      <w:rFonts w:hint="eastAsia"/>
                      <w:szCs w:val="21"/>
                    </w:rPr>
                    <w:t>20</w:t>
                  </w:r>
                </w:p>
              </w:tc>
              <w:tc>
                <w:tcPr>
                  <w:tcW w:w="606" w:type="dxa"/>
                  <w:vAlign w:val="center"/>
                </w:tcPr>
                <w:p w14:paraId="5823B86D">
                  <w:pPr>
                    <w:widowControl/>
                    <w:adjustRightInd/>
                    <w:snapToGrid/>
                    <w:jc w:val="center"/>
                    <w:textAlignment w:val="center"/>
                    <w:rPr>
                      <w:szCs w:val="21"/>
                    </w:rPr>
                  </w:pPr>
                  <w:r>
                    <w:rPr>
                      <w:rFonts w:hint="eastAsia"/>
                      <w:szCs w:val="21"/>
                    </w:rPr>
                    <w:t>3</w:t>
                  </w:r>
                </w:p>
              </w:tc>
              <w:tc>
                <w:tcPr>
                  <w:tcW w:w="594" w:type="dxa"/>
                  <w:vAlign w:val="center"/>
                </w:tcPr>
                <w:p w14:paraId="2097F22C">
                  <w:pPr>
                    <w:widowControl/>
                    <w:adjustRightInd/>
                    <w:snapToGrid/>
                    <w:jc w:val="center"/>
                    <w:textAlignment w:val="center"/>
                    <w:rPr>
                      <w:szCs w:val="21"/>
                    </w:rPr>
                  </w:pPr>
                  <w:r>
                    <w:rPr>
                      <w:rFonts w:hint="eastAsia"/>
                      <w:szCs w:val="21"/>
                    </w:rPr>
                    <w:t>12</w:t>
                  </w:r>
                </w:p>
              </w:tc>
              <w:tc>
                <w:tcPr>
                  <w:tcW w:w="712" w:type="dxa"/>
                  <w:vAlign w:val="center"/>
                </w:tcPr>
                <w:p w14:paraId="0D1DCBCE">
                  <w:pPr>
                    <w:widowControl/>
                    <w:adjustRightInd/>
                    <w:snapToGrid/>
                    <w:jc w:val="center"/>
                    <w:textAlignment w:val="center"/>
                    <w:rPr>
                      <w:szCs w:val="21"/>
                    </w:rPr>
                  </w:pPr>
                  <w:r>
                    <w:rPr>
                      <w:rFonts w:hint="eastAsia"/>
                      <w:szCs w:val="21"/>
                    </w:rPr>
                    <w:t>65.46</w:t>
                  </w:r>
                </w:p>
              </w:tc>
              <w:tc>
                <w:tcPr>
                  <w:tcW w:w="591" w:type="dxa"/>
                  <w:vAlign w:val="center"/>
                </w:tcPr>
                <w:p w14:paraId="508EA6A6">
                  <w:pPr>
                    <w:widowControl/>
                    <w:adjustRightInd/>
                    <w:snapToGrid/>
                    <w:jc w:val="center"/>
                    <w:textAlignment w:val="center"/>
                    <w:rPr>
                      <w:kern w:val="0"/>
                      <w:szCs w:val="21"/>
                    </w:rPr>
                  </w:pPr>
                  <w:r>
                    <w:rPr>
                      <w:rFonts w:hint="eastAsia"/>
                      <w:kern w:val="0"/>
                      <w:szCs w:val="21"/>
                    </w:rPr>
                    <w:t>8</w:t>
                  </w:r>
                  <w:r>
                    <w:rPr>
                      <w:kern w:val="0"/>
                      <w:szCs w:val="21"/>
                    </w:rPr>
                    <w:t>h</w:t>
                  </w:r>
                </w:p>
              </w:tc>
              <w:tc>
                <w:tcPr>
                  <w:tcW w:w="715" w:type="dxa"/>
                  <w:vMerge w:val="continue"/>
                  <w:vAlign w:val="center"/>
                </w:tcPr>
                <w:p w14:paraId="705A8CE2">
                  <w:pPr>
                    <w:widowControl/>
                    <w:adjustRightInd/>
                    <w:snapToGrid/>
                    <w:jc w:val="center"/>
                    <w:rPr>
                      <w:szCs w:val="21"/>
                    </w:rPr>
                  </w:pPr>
                </w:p>
              </w:tc>
              <w:tc>
                <w:tcPr>
                  <w:tcW w:w="883" w:type="dxa"/>
                  <w:vAlign w:val="center"/>
                </w:tcPr>
                <w:p w14:paraId="7C06D5C1">
                  <w:pPr>
                    <w:widowControl/>
                    <w:adjustRightInd/>
                    <w:snapToGrid/>
                    <w:jc w:val="center"/>
                    <w:rPr>
                      <w:szCs w:val="21"/>
                    </w:rPr>
                  </w:pPr>
                  <w:r>
                    <w:rPr>
                      <w:rFonts w:hint="eastAsia"/>
                      <w:szCs w:val="21"/>
                    </w:rPr>
                    <w:t>45.46</w:t>
                  </w:r>
                </w:p>
              </w:tc>
              <w:tc>
                <w:tcPr>
                  <w:tcW w:w="599" w:type="dxa"/>
                  <w:vMerge w:val="continue"/>
                  <w:vAlign w:val="center"/>
                </w:tcPr>
                <w:p w14:paraId="1A90573C">
                  <w:pPr>
                    <w:widowControl/>
                    <w:adjustRightInd/>
                    <w:snapToGrid/>
                    <w:jc w:val="center"/>
                    <w:rPr>
                      <w:szCs w:val="21"/>
                    </w:rPr>
                  </w:pPr>
                </w:p>
              </w:tc>
            </w:tr>
            <w:tr w14:paraId="53D5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continue"/>
                  <w:vAlign w:val="center"/>
                </w:tcPr>
                <w:p w14:paraId="4A805FCE">
                  <w:pPr>
                    <w:widowControl/>
                    <w:adjustRightInd/>
                    <w:snapToGrid/>
                    <w:jc w:val="center"/>
                    <w:rPr>
                      <w:szCs w:val="21"/>
                    </w:rPr>
                  </w:pPr>
                </w:p>
              </w:tc>
              <w:tc>
                <w:tcPr>
                  <w:tcW w:w="1305" w:type="dxa"/>
                  <w:vAlign w:val="center"/>
                </w:tcPr>
                <w:p w14:paraId="46F27432">
                  <w:pPr>
                    <w:widowControl/>
                    <w:adjustRightInd/>
                    <w:snapToGrid/>
                    <w:jc w:val="center"/>
                    <w:rPr>
                      <w:snapToGrid w:val="0"/>
                      <w:szCs w:val="21"/>
                    </w:rPr>
                  </w:pPr>
                  <w:r>
                    <w:rPr>
                      <w:rFonts w:hint="eastAsia"/>
                      <w:snapToGrid w:val="0"/>
                      <w:szCs w:val="21"/>
                    </w:rPr>
                    <w:t>芯模振动机</w:t>
                  </w:r>
                </w:p>
              </w:tc>
              <w:tc>
                <w:tcPr>
                  <w:tcW w:w="645" w:type="dxa"/>
                  <w:vAlign w:val="center"/>
                </w:tcPr>
                <w:p w14:paraId="15C42E86">
                  <w:pPr>
                    <w:pStyle w:val="15"/>
                    <w:spacing w:before="120"/>
                    <w:rPr>
                      <w:kern w:val="0"/>
                      <w:szCs w:val="21"/>
                    </w:rPr>
                  </w:pPr>
                  <w:r>
                    <w:rPr>
                      <w:rFonts w:hint="eastAsia" w:ascii="Times New Roman" w:eastAsia="宋体"/>
                      <w:sz w:val="21"/>
                      <w:szCs w:val="21"/>
                    </w:rPr>
                    <w:t>2</w:t>
                  </w:r>
                </w:p>
              </w:tc>
              <w:tc>
                <w:tcPr>
                  <w:tcW w:w="1369" w:type="dxa"/>
                  <w:vAlign w:val="center"/>
                </w:tcPr>
                <w:p w14:paraId="338EED4E">
                  <w:pPr>
                    <w:widowControl/>
                    <w:adjustRightInd/>
                    <w:snapToGrid/>
                    <w:jc w:val="center"/>
                    <w:rPr>
                      <w:kern w:val="0"/>
                      <w:szCs w:val="21"/>
                    </w:rPr>
                  </w:pPr>
                  <w:r>
                    <w:rPr>
                      <w:rFonts w:hint="eastAsia"/>
                      <w:kern w:val="0"/>
                      <w:szCs w:val="21"/>
                    </w:rPr>
                    <w:t>/</w:t>
                  </w:r>
                </w:p>
              </w:tc>
              <w:tc>
                <w:tcPr>
                  <w:tcW w:w="965" w:type="dxa"/>
                  <w:vAlign w:val="center"/>
                </w:tcPr>
                <w:p w14:paraId="0FBE57B7">
                  <w:pPr>
                    <w:widowControl/>
                    <w:adjustRightInd/>
                    <w:snapToGrid/>
                    <w:jc w:val="center"/>
                    <w:textAlignment w:val="center"/>
                    <w:rPr>
                      <w:szCs w:val="21"/>
                    </w:rPr>
                  </w:pPr>
                  <w:r>
                    <w:rPr>
                      <w:rFonts w:hint="eastAsia"/>
                      <w:szCs w:val="21"/>
                    </w:rPr>
                    <w:t>75</w:t>
                  </w:r>
                </w:p>
              </w:tc>
              <w:tc>
                <w:tcPr>
                  <w:tcW w:w="804" w:type="dxa"/>
                  <w:vMerge w:val="continue"/>
                  <w:vAlign w:val="center"/>
                </w:tcPr>
                <w:p w14:paraId="2E3413C7">
                  <w:pPr>
                    <w:widowControl/>
                    <w:adjustRightInd/>
                    <w:snapToGrid/>
                    <w:jc w:val="center"/>
                    <w:textAlignment w:val="center"/>
                    <w:rPr>
                      <w:kern w:val="0"/>
                      <w:szCs w:val="21"/>
                    </w:rPr>
                  </w:pPr>
                </w:p>
              </w:tc>
              <w:tc>
                <w:tcPr>
                  <w:tcW w:w="878" w:type="dxa"/>
                  <w:vAlign w:val="center"/>
                </w:tcPr>
                <w:p w14:paraId="68B4A461">
                  <w:pPr>
                    <w:widowControl/>
                    <w:adjustRightInd/>
                    <w:snapToGrid/>
                    <w:jc w:val="center"/>
                    <w:textAlignment w:val="center"/>
                    <w:rPr>
                      <w:szCs w:val="21"/>
                    </w:rPr>
                  </w:pPr>
                  <w:r>
                    <w:rPr>
                      <w:rFonts w:hint="eastAsia"/>
                      <w:szCs w:val="21"/>
                    </w:rPr>
                    <w:t>17</w:t>
                  </w:r>
                </w:p>
              </w:tc>
              <w:tc>
                <w:tcPr>
                  <w:tcW w:w="1007" w:type="dxa"/>
                  <w:vAlign w:val="center"/>
                </w:tcPr>
                <w:p w14:paraId="373C96AD">
                  <w:pPr>
                    <w:widowControl/>
                    <w:adjustRightInd/>
                    <w:snapToGrid/>
                    <w:jc w:val="center"/>
                    <w:textAlignment w:val="center"/>
                    <w:rPr>
                      <w:szCs w:val="21"/>
                    </w:rPr>
                  </w:pPr>
                  <w:r>
                    <w:rPr>
                      <w:rFonts w:hint="eastAsia"/>
                      <w:szCs w:val="21"/>
                    </w:rPr>
                    <w:t>5</w:t>
                  </w:r>
                </w:p>
              </w:tc>
              <w:tc>
                <w:tcPr>
                  <w:tcW w:w="606" w:type="dxa"/>
                  <w:vAlign w:val="center"/>
                </w:tcPr>
                <w:p w14:paraId="414EB41B">
                  <w:pPr>
                    <w:widowControl/>
                    <w:adjustRightInd/>
                    <w:snapToGrid/>
                    <w:jc w:val="center"/>
                    <w:textAlignment w:val="center"/>
                    <w:rPr>
                      <w:szCs w:val="21"/>
                    </w:rPr>
                  </w:pPr>
                  <w:r>
                    <w:rPr>
                      <w:rFonts w:hint="eastAsia"/>
                      <w:szCs w:val="21"/>
                    </w:rPr>
                    <w:t>3</w:t>
                  </w:r>
                </w:p>
              </w:tc>
              <w:tc>
                <w:tcPr>
                  <w:tcW w:w="594" w:type="dxa"/>
                  <w:vAlign w:val="center"/>
                </w:tcPr>
                <w:p w14:paraId="63F4F819">
                  <w:pPr>
                    <w:widowControl/>
                    <w:adjustRightInd/>
                    <w:snapToGrid/>
                    <w:jc w:val="center"/>
                    <w:textAlignment w:val="center"/>
                    <w:rPr>
                      <w:szCs w:val="21"/>
                    </w:rPr>
                  </w:pPr>
                  <w:r>
                    <w:rPr>
                      <w:rFonts w:hint="eastAsia"/>
                      <w:szCs w:val="21"/>
                    </w:rPr>
                    <w:t>8</w:t>
                  </w:r>
                </w:p>
              </w:tc>
              <w:tc>
                <w:tcPr>
                  <w:tcW w:w="712" w:type="dxa"/>
                  <w:vAlign w:val="center"/>
                </w:tcPr>
                <w:p w14:paraId="77D76F17">
                  <w:pPr>
                    <w:widowControl/>
                    <w:adjustRightInd/>
                    <w:snapToGrid/>
                    <w:jc w:val="center"/>
                    <w:textAlignment w:val="center"/>
                    <w:rPr>
                      <w:szCs w:val="21"/>
                    </w:rPr>
                  </w:pPr>
                  <w:r>
                    <w:rPr>
                      <w:rFonts w:hint="eastAsia"/>
                      <w:szCs w:val="21"/>
                    </w:rPr>
                    <w:t>65.46</w:t>
                  </w:r>
                </w:p>
              </w:tc>
              <w:tc>
                <w:tcPr>
                  <w:tcW w:w="591" w:type="dxa"/>
                  <w:vAlign w:val="center"/>
                </w:tcPr>
                <w:p w14:paraId="65783AF2">
                  <w:pPr>
                    <w:widowControl/>
                    <w:adjustRightInd/>
                    <w:snapToGrid/>
                    <w:jc w:val="center"/>
                    <w:textAlignment w:val="center"/>
                    <w:rPr>
                      <w:kern w:val="0"/>
                      <w:szCs w:val="21"/>
                    </w:rPr>
                  </w:pPr>
                  <w:r>
                    <w:rPr>
                      <w:rFonts w:hint="eastAsia"/>
                      <w:kern w:val="0"/>
                      <w:szCs w:val="21"/>
                    </w:rPr>
                    <w:t>8</w:t>
                  </w:r>
                  <w:r>
                    <w:rPr>
                      <w:kern w:val="0"/>
                      <w:szCs w:val="21"/>
                    </w:rPr>
                    <w:t>h</w:t>
                  </w:r>
                </w:p>
              </w:tc>
              <w:tc>
                <w:tcPr>
                  <w:tcW w:w="715" w:type="dxa"/>
                  <w:vMerge w:val="continue"/>
                  <w:vAlign w:val="center"/>
                </w:tcPr>
                <w:p w14:paraId="1C5E3ED8">
                  <w:pPr>
                    <w:widowControl/>
                    <w:adjustRightInd/>
                    <w:snapToGrid/>
                    <w:jc w:val="center"/>
                    <w:rPr>
                      <w:szCs w:val="21"/>
                    </w:rPr>
                  </w:pPr>
                </w:p>
              </w:tc>
              <w:tc>
                <w:tcPr>
                  <w:tcW w:w="883" w:type="dxa"/>
                  <w:vAlign w:val="center"/>
                </w:tcPr>
                <w:p w14:paraId="49454142">
                  <w:pPr>
                    <w:widowControl/>
                    <w:adjustRightInd/>
                    <w:snapToGrid/>
                    <w:jc w:val="center"/>
                    <w:rPr>
                      <w:szCs w:val="21"/>
                    </w:rPr>
                  </w:pPr>
                  <w:r>
                    <w:rPr>
                      <w:rFonts w:hint="eastAsia"/>
                      <w:szCs w:val="21"/>
                    </w:rPr>
                    <w:t>45.46</w:t>
                  </w:r>
                </w:p>
              </w:tc>
              <w:tc>
                <w:tcPr>
                  <w:tcW w:w="599" w:type="dxa"/>
                  <w:vMerge w:val="continue"/>
                  <w:vAlign w:val="center"/>
                </w:tcPr>
                <w:p w14:paraId="6D6DC520">
                  <w:pPr>
                    <w:widowControl/>
                    <w:adjustRightInd/>
                    <w:snapToGrid/>
                    <w:jc w:val="center"/>
                    <w:rPr>
                      <w:szCs w:val="21"/>
                    </w:rPr>
                  </w:pPr>
                </w:p>
              </w:tc>
            </w:tr>
            <w:tr w14:paraId="2078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continue"/>
                  <w:vAlign w:val="center"/>
                </w:tcPr>
                <w:p w14:paraId="3D8CC494">
                  <w:pPr>
                    <w:widowControl/>
                    <w:adjustRightInd/>
                    <w:snapToGrid/>
                    <w:jc w:val="center"/>
                    <w:rPr>
                      <w:szCs w:val="21"/>
                    </w:rPr>
                  </w:pPr>
                </w:p>
              </w:tc>
              <w:tc>
                <w:tcPr>
                  <w:tcW w:w="1305" w:type="dxa"/>
                  <w:vAlign w:val="center"/>
                </w:tcPr>
                <w:p w14:paraId="73A412DA">
                  <w:pPr>
                    <w:widowControl/>
                    <w:adjustRightInd/>
                    <w:snapToGrid/>
                    <w:jc w:val="center"/>
                    <w:rPr>
                      <w:snapToGrid w:val="0"/>
                      <w:szCs w:val="21"/>
                    </w:rPr>
                  </w:pPr>
                  <w:r>
                    <w:rPr>
                      <w:rFonts w:hint="eastAsia"/>
                      <w:snapToGrid w:val="0"/>
                      <w:szCs w:val="21"/>
                    </w:rPr>
                    <w:t>升芯振动机</w:t>
                  </w:r>
                </w:p>
              </w:tc>
              <w:tc>
                <w:tcPr>
                  <w:tcW w:w="645" w:type="dxa"/>
                  <w:vAlign w:val="center"/>
                </w:tcPr>
                <w:p w14:paraId="3C785FAA">
                  <w:pPr>
                    <w:pStyle w:val="15"/>
                    <w:spacing w:before="120"/>
                    <w:rPr>
                      <w:kern w:val="0"/>
                      <w:szCs w:val="21"/>
                    </w:rPr>
                  </w:pPr>
                  <w:r>
                    <w:rPr>
                      <w:rFonts w:hint="eastAsia" w:ascii="Times New Roman" w:eastAsia="宋体"/>
                      <w:sz w:val="21"/>
                      <w:szCs w:val="21"/>
                    </w:rPr>
                    <w:t>2</w:t>
                  </w:r>
                </w:p>
              </w:tc>
              <w:tc>
                <w:tcPr>
                  <w:tcW w:w="1369" w:type="dxa"/>
                  <w:vAlign w:val="center"/>
                </w:tcPr>
                <w:p w14:paraId="3AA3F3A8">
                  <w:pPr>
                    <w:widowControl/>
                    <w:adjustRightInd/>
                    <w:snapToGrid/>
                    <w:jc w:val="center"/>
                  </w:pPr>
                  <w:r>
                    <w:rPr>
                      <w:kern w:val="0"/>
                      <w:szCs w:val="21"/>
                    </w:rPr>
                    <w:t>/</w:t>
                  </w:r>
                </w:p>
              </w:tc>
              <w:tc>
                <w:tcPr>
                  <w:tcW w:w="965" w:type="dxa"/>
                  <w:vAlign w:val="center"/>
                </w:tcPr>
                <w:p w14:paraId="66129DDD">
                  <w:pPr>
                    <w:widowControl/>
                    <w:adjustRightInd/>
                    <w:snapToGrid/>
                    <w:jc w:val="center"/>
                    <w:textAlignment w:val="center"/>
                    <w:rPr>
                      <w:szCs w:val="21"/>
                    </w:rPr>
                  </w:pPr>
                  <w:r>
                    <w:rPr>
                      <w:rFonts w:hint="eastAsia"/>
                      <w:szCs w:val="21"/>
                    </w:rPr>
                    <w:t>75</w:t>
                  </w:r>
                </w:p>
              </w:tc>
              <w:tc>
                <w:tcPr>
                  <w:tcW w:w="804" w:type="dxa"/>
                  <w:vMerge w:val="continue"/>
                  <w:vAlign w:val="center"/>
                </w:tcPr>
                <w:p w14:paraId="08D78AC1">
                  <w:pPr>
                    <w:widowControl/>
                    <w:adjustRightInd/>
                    <w:snapToGrid/>
                    <w:jc w:val="center"/>
                    <w:textAlignment w:val="center"/>
                    <w:rPr>
                      <w:kern w:val="0"/>
                      <w:szCs w:val="21"/>
                    </w:rPr>
                  </w:pPr>
                </w:p>
              </w:tc>
              <w:tc>
                <w:tcPr>
                  <w:tcW w:w="878" w:type="dxa"/>
                  <w:vAlign w:val="center"/>
                </w:tcPr>
                <w:p w14:paraId="3200172A">
                  <w:pPr>
                    <w:widowControl/>
                    <w:adjustRightInd/>
                    <w:snapToGrid/>
                    <w:jc w:val="center"/>
                    <w:textAlignment w:val="center"/>
                    <w:rPr>
                      <w:szCs w:val="21"/>
                    </w:rPr>
                  </w:pPr>
                  <w:r>
                    <w:rPr>
                      <w:rFonts w:hint="eastAsia"/>
                      <w:szCs w:val="21"/>
                    </w:rPr>
                    <w:t>-7</w:t>
                  </w:r>
                </w:p>
              </w:tc>
              <w:tc>
                <w:tcPr>
                  <w:tcW w:w="1007" w:type="dxa"/>
                  <w:vAlign w:val="center"/>
                </w:tcPr>
                <w:p w14:paraId="2770EE01">
                  <w:pPr>
                    <w:widowControl/>
                    <w:adjustRightInd/>
                    <w:snapToGrid/>
                    <w:jc w:val="center"/>
                    <w:textAlignment w:val="center"/>
                    <w:rPr>
                      <w:szCs w:val="21"/>
                    </w:rPr>
                  </w:pPr>
                  <w:r>
                    <w:rPr>
                      <w:rFonts w:hint="eastAsia"/>
                      <w:szCs w:val="21"/>
                    </w:rPr>
                    <w:t>10</w:t>
                  </w:r>
                </w:p>
              </w:tc>
              <w:tc>
                <w:tcPr>
                  <w:tcW w:w="606" w:type="dxa"/>
                  <w:vAlign w:val="center"/>
                </w:tcPr>
                <w:p w14:paraId="0A2AF7C0">
                  <w:pPr>
                    <w:widowControl/>
                    <w:adjustRightInd/>
                    <w:snapToGrid/>
                    <w:jc w:val="center"/>
                    <w:textAlignment w:val="center"/>
                    <w:rPr>
                      <w:szCs w:val="21"/>
                    </w:rPr>
                  </w:pPr>
                  <w:r>
                    <w:rPr>
                      <w:rFonts w:hint="eastAsia"/>
                      <w:szCs w:val="21"/>
                    </w:rPr>
                    <w:t>3</w:t>
                  </w:r>
                </w:p>
              </w:tc>
              <w:tc>
                <w:tcPr>
                  <w:tcW w:w="594" w:type="dxa"/>
                  <w:vAlign w:val="center"/>
                </w:tcPr>
                <w:p w14:paraId="5F26D187">
                  <w:pPr>
                    <w:widowControl/>
                    <w:adjustRightInd/>
                    <w:snapToGrid/>
                    <w:jc w:val="center"/>
                    <w:textAlignment w:val="center"/>
                    <w:rPr>
                      <w:szCs w:val="21"/>
                    </w:rPr>
                  </w:pPr>
                  <w:r>
                    <w:rPr>
                      <w:rFonts w:hint="eastAsia"/>
                      <w:szCs w:val="21"/>
                    </w:rPr>
                    <w:t>33</w:t>
                  </w:r>
                </w:p>
              </w:tc>
              <w:tc>
                <w:tcPr>
                  <w:tcW w:w="712" w:type="dxa"/>
                  <w:vAlign w:val="center"/>
                </w:tcPr>
                <w:p w14:paraId="1387AA15">
                  <w:pPr>
                    <w:widowControl/>
                    <w:adjustRightInd/>
                    <w:snapToGrid/>
                    <w:jc w:val="center"/>
                    <w:textAlignment w:val="center"/>
                    <w:rPr>
                      <w:szCs w:val="21"/>
                    </w:rPr>
                  </w:pPr>
                  <w:r>
                    <w:rPr>
                      <w:rFonts w:hint="eastAsia"/>
                      <w:szCs w:val="21"/>
                    </w:rPr>
                    <w:t>65.46</w:t>
                  </w:r>
                </w:p>
              </w:tc>
              <w:tc>
                <w:tcPr>
                  <w:tcW w:w="591" w:type="dxa"/>
                  <w:vAlign w:val="center"/>
                </w:tcPr>
                <w:p w14:paraId="2245F0F6">
                  <w:pPr>
                    <w:widowControl/>
                    <w:adjustRightInd/>
                    <w:snapToGrid/>
                    <w:jc w:val="center"/>
                    <w:textAlignment w:val="center"/>
                    <w:rPr>
                      <w:szCs w:val="21"/>
                    </w:rPr>
                  </w:pPr>
                  <w:r>
                    <w:rPr>
                      <w:rFonts w:hint="eastAsia"/>
                      <w:kern w:val="0"/>
                      <w:szCs w:val="21"/>
                    </w:rPr>
                    <w:t>8</w:t>
                  </w:r>
                  <w:r>
                    <w:rPr>
                      <w:kern w:val="0"/>
                      <w:szCs w:val="21"/>
                    </w:rPr>
                    <w:t>h</w:t>
                  </w:r>
                </w:p>
              </w:tc>
              <w:tc>
                <w:tcPr>
                  <w:tcW w:w="715" w:type="dxa"/>
                  <w:vMerge w:val="continue"/>
                  <w:vAlign w:val="center"/>
                </w:tcPr>
                <w:p w14:paraId="3CABFA2F">
                  <w:pPr>
                    <w:widowControl/>
                    <w:adjustRightInd/>
                    <w:snapToGrid/>
                    <w:jc w:val="center"/>
                    <w:rPr>
                      <w:szCs w:val="21"/>
                    </w:rPr>
                  </w:pPr>
                </w:p>
              </w:tc>
              <w:tc>
                <w:tcPr>
                  <w:tcW w:w="883" w:type="dxa"/>
                  <w:vAlign w:val="center"/>
                </w:tcPr>
                <w:p w14:paraId="31E4CB10">
                  <w:pPr>
                    <w:widowControl/>
                    <w:adjustRightInd/>
                    <w:snapToGrid/>
                    <w:jc w:val="center"/>
                    <w:rPr>
                      <w:szCs w:val="21"/>
                    </w:rPr>
                  </w:pPr>
                  <w:r>
                    <w:rPr>
                      <w:rFonts w:hint="eastAsia"/>
                      <w:szCs w:val="21"/>
                    </w:rPr>
                    <w:t>45.46</w:t>
                  </w:r>
                </w:p>
              </w:tc>
              <w:tc>
                <w:tcPr>
                  <w:tcW w:w="599" w:type="dxa"/>
                  <w:vMerge w:val="continue"/>
                  <w:vAlign w:val="center"/>
                </w:tcPr>
                <w:p w14:paraId="0954D3C0">
                  <w:pPr>
                    <w:widowControl/>
                    <w:adjustRightInd/>
                    <w:snapToGrid/>
                    <w:jc w:val="center"/>
                    <w:rPr>
                      <w:szCs w:val="21"/>
                    </w:rPr>
                  </w:pPr>
                </w:p>
              </w:tc>
            </w:tr>
            <w:tr w14:paraId="3BD8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vMerge w:val="continue"/>
                  <w:vAlign w:val="center"/>
                </w:tcPr>
                <w:p w14:paraId="3BA7BCF7">
                  <w:pPr>
                    <w:widowControl/>
                    <w:adjustRightInd/>
                    <w:snapToGrid/>
                    <w:jc w:val="center"/>
                    <w:rPr>
                      <w:szCs w:val="21"/>
                    </w:rPr>
                  </w:pPr>
                </w:p>
              </w:tc>
              <w:tc>
                <w:tcPr>
                  <w:tcW w:w="1305" w:type="dxa"/>
                  <w:vAlign w:val="center"/>
                </w:tcPr>
                <w:p w14:paraId="17A98A3A">
                  <w:pPr>
                    <w:widowControl/>
                    <w:adjustRightInd/>
                    <w:snapToGrid/>
                    <w:jc w:val="center"/>
                    <w:rPr>
                      <w:snapToGrid w:val="0"/>
                      <w:szCs w:val="21"/>
                    </w:rPr>
                  </w:pPr>
                  <w:r>
                    <w:rPr>
                      <w:rFonts w:hint="eastAsia"/>
                      <w:snapToGrid w:val="0"/>
                      <w:szCs w:val="21"/>
                    </w:rPr>
                    <w:t>立式振捣机</w:t>
                  </w:r>
                </w:p>
              </w:tc>
              <w:tc>
                <w:tcPr>
                  <w:tcW w:w="645" w:type="dxa"/>
                  <w:vAlign w:val="center"/>
                </w:tcPr>
                <w:p w14:paraId="698C61CE">
                  <w:pPr>
                    <w:pStyle w:val="15"/>
                    <w:spacing w:before="120"/>
                    <w:rPr>
                      <w:kern w:val="0"/>
                      <w:szCs w:val="21"/>
                    </w:rPr>
                  </w:pPr>
                  <w:r>
                    <w:rPr>
                      <w:rFonts w:hint="eastAsia" w:ascii="Times New Roman" w:eastAsia="宋体"/>
                      <w:sz w:val="21"/>
                      <w:szCs w:val="21"/>
                    </w:rPr>
                    <w:t>1</w:t>
                  </w:r>
                </w:p>
              </w:tc>
              <w:tc>
                <w:tcPr>
                  <w:tcW w:w="1369" w:type="dxa"/>
                  <w:vAlign w:val="center"/>
                </w:tcPr>
                <w:p w14:paraId="7A048ECE">
                  <w:pPr>
                    <w:widowControl/>
                    <w:adjustRightInd/>
                    <w:snapToGrid/>
                    <w:jc w:val="center"/>
                  </w:pPr>
                  <w:r>
                    <w:rPr>
                      <w:kern w:val="0"/>
                      <w:szCs w:val="21"/>
                    </w:rPr>
                    <w:t>/</w:t>
                  </w:r>
                </w:p>
              </w:tc>
              <w:tc>
                <w:tcPr>
                  <w:tcW w:w="965" w:type="dxa"/>
                  <w:vAlign w:val="center"/>
                </w:tcPr>
                <w:p w14:paraId="2B877C96">
                  <w:pPr>
                    <w:widowControl/>
                    <w:adjustRightInd/>
                    <w:snapToGrid/>
                    <w:jc w:val="center"/>
                    <w:textAlignment w:val="center"/>
                    <w:rPr>
                      <w:szCs w:val="21"/>
                    </w:rPr>
                  </w:pPr>
                  <w:r>
                    <w:rPr>
                      <w:rFonts w:hint="eastAsia"/>
                      <w:szCs w:val="21"/>
                    </w:rPr>
                    <w:t>75</w:t>
                  </w:r>
                </w:p>
              </w:tc>
              <w:tc>
                <w:tcPr>
                  <w:tcW w:w="804" w:type="dxa"/>
                  <w:vMerge w:val="continue"/>
                  <w:vAlign w:val="center"/>
                </w:tcPr>
                <w:p w14:paraId="1A7E334C">
                  <w:pPr>
                    <w:widowControl/>
                    <w:adjustRightInd/>
                    <w:snapToGrid/>
                    <w:jc w:val="center"/>
                    <w:textAlignment w:val="center"/>
                    <w:rPr>
                      <w:kern w:val="0"/>
                      <w:szCs w:val="21"/>
                    </w:rPr>
                  </w:pPr>
                </w:p>
              </w:tc>
              <w:tc>
                <w:tcPr>
                  <w:tcW w:w="878" w:type="dxa"/>
                  <w:vAlign w:val="center"/>
                </w:tcPr>
                <w:p w14:paraId="7320C925">
                  <w:pPr>
                    <w:widowControl/>
                    <w:adjustRightInd/>
                    <w:snapToGrid/>
                    <w:jc w:val="center"/>
                    <w:textAlignment w:val="center"/>
                    <w:rPr>
                      <w:szCs w:val="21"/>
                    </w:rPr>
                  </w:pPr>
                  <w:r>
                    <w:rPr>
                      <w:rFonts w:hint="eastAsia"/>
                      <w:szCs w:val="21"/>
                    </w:rPr>
                    <w:t>26</w:t>
                  </w:r>
                </w:p>
              </w:tc>
              <w:tc>
                <w:tcPr>
                  <w:tcW w:w="1007" w:type="dxa"/>
                  <w:vAlign w:val="center"/>
                </w:tcPr>
                <w:p w14:paraId="0016341B">
                  <w:pPr>
                    <w:widowControl/>
                    <w:adjustRightInd/>
                    <w:snapToGrid/>
                    <w:jc w:val="center"/>
                    <w:textAlignment w:val="center"/>
                    <w:rPr>
                      <w:szCs w:val="21"/>
                    </w:rPr>
                  </w:pPr>
                  <w:r>
                    <w:rPr>
                      <w:rFonts w:hint="eastAsia"/>
                      <w:szCs w:val="21"/>
                    </w:rPr>
                    <w:t>15</w:t>
                  </w:r>
                </w:p>
              </w:tc>
              <w:tc>
                <w:tcPr>
                  <w:tcW w:w="606" w:type="dxa"/>
                  <w:vAlign w:val="center"/>
                </w:tcPr>
                <w:p w14:paraId="3BD2B0E8">
                  <w:pPr>
                    <w:widowControl/>
                    <w:adjustRightInd/>
                    <w:snapToGrid/>
                    <w:jc w:val="center"/>
                    <w:textAlignment w:val="center"/>
                    <w:rPr>
                      <w:szCs w:val="21"/>
                    </w:rPr>
                  </w:pPr>
                  <w:r>
                    <w:rPr>
                      <w:rFonts w:hint="eastAsia"/>
                      <w:szCs w:val="21"/>
                    </w:rPr>
                    <w:t>2</w:t>
                  </w:r>
                </w:p>
              </w:tc>
              <w:tc>
                <w:tcPr>
                  <w:tcW w:w="594" w:type="dxa"/>
                  <w:vAlign w:val="center"/>
                </w:tcPr>
                <w:p w14:paraId="3D113B7D">
                  <w:pPr>
                    <w:widowControl/>
                    <w:adjustRightInd/>
                    <w:snapToGrid/>
                    <w:jc w:val="center"/>
                    <w:textAlignment w:val="center"/>
                    <w:rPr>
                      <w:szCs w:val="21"/>
                    </w:rPr>
                  </w:pPr>
                  <w:r>
                    <w:rPr>
                      <w:rFonts w:hint="eastAsia"/>
                      <w:szCs w:val="21"/>
                    </w:rPr>
                    <w:t>18</w:t>
                  </w:r>
                </w:p>
              </w:tc>
              <w:tc>
                <w:tcPr>
                  <w:tcW w:w="712" w:type="dxa"/>
                  <w:vAlign w:val="center"/>
                </w:tcPr>
                <w:p w14:paraId="5A74D5F3">
                  <w:pPr>
                    <w:widowControl/>
                    <w:adjustRightInd/>
                    <w:snapToGrid/>
                    <w:jc w:val="center"/>
                    <w:textAlignment w:val="center"/>
                    <w:rPr>
                      <w:szCs w:val="21"/>
                    </w:rPr>
                  </w:pPr>
                  <w:r>
                    <w:rPr>
                      <w:rFonts w:hint="eastAsia"/>
                      <w:szCs w:val="21"/>
                    </w:rPr>
                    <w:t>65.46</w:t>
                  </w:r>
                </w:p>
              </w:tc>
              <w:tc>
                <w:tcPr>
                  <w:tcW w:w="591" w:type="dxa"/>
                  <w:vAlign w:val="center"/>
                </w:tcPr>
                <w:p w14:paraId="5717413F">
                  <w:pPr>
                    <w:widowControl/>
                    <w:adjustRightInd/>
                    <w:snapToGrid/>
                    <w:jc w:val="center"/>
                    <w:textAlignment w:val="center"/>
                    <w:rPr>
                      <w:kern w:val="0"/>
                      <w:szCs w:val="21"/>
                    </w:rPr>
                  </w:pPr>
                  <w:r>
                    <w:rPr>
                      <w:rFonts w:hint="eastAsia"/>
                      <w:kern w:val="0"/>
                      <w:szCs w:val="21"/>
                    </w:rPr>
                    <w:t>8</w:t>
                  </w:r>
                  <w:r>
                    <w:rPr>
                      <w:kern w:val="0"/>
                      <w:szCs w:val="21"/>
                    </w:rPr>
                    <w:t>h</w:t>
                  </w:r>
                </w:p>
              </w:tc>
              <w:tc>
                <w:tcPr>
                  <w:tcW w:w="715" w:type="dxa"/>
                  <w:vMerge w:val="continue"/>
                  <w:vAlign w:val="center"/>
                </w:tcPr>
                <w:p w14:paraId="2052D7E0">
                  <w:pPr>
                    <w:widowControl/>
                    <w:adjustRightInd/>
                    <w:snapToGrid/>
                    <w:jc w:val="center"/>
                    <w:rPr>
                      <w:szCs w:val="21"/>
                    </w:rPr>
                  </w:pPr>
                </w:p>
              </w:tc>
              <w:tc>
                <w:tcPr>
                  <w:tcW w:w="883" w:type="dxa"/>
                  <w:vAlign w:val="center"/>
                </w:tcPr>
                <w:p w14:paraId="7AFA9187">
                  <w:pPr>
                    <w:widowControl/>
                    <w:adjustRightInd/>
                    <w:snapToGrid/>
                    <w:jc w:val="center"/>
                    <w:rPr>
                      <w:szCs w:val="21"/>
                    </w:rPr>
                  </w:pPr>
                  <w:r>
                    <w:rPr>
                      <w:rFonts w:hint="eastAsia"/>
                      <w:szCs w:val="21"/>
                    </w:rPr>
                    <w:t>45.46</w:t>
                  </w:r>
                </w:p>
              </w:tc>
              <w:tc>
                <w:tcPr>
                  <w:tcW w:w="599" w:type="dxa"/>
                  <w:vMerge w:val="continue"/>
                  <w:vAlign w:val="center"/>
                </w:tcPr>
                <w:p w14:paraId="3323CACC">
                  <w:pPr>
                    <w:widowControl/>
                    <w:adjustRightInd/>
                    <w:snapToGrid/>
                    <w:jc w:val="center"/>
                    <w:rPr>
                      <w:szCs w:val="21"/>
                    </w:rPr>
                  </w:pPr>
                </w:p>
              </w:tc>
            </w:tr>
          </w:tbl>
          <w:p w14:paraId="61F3C650">
            <w:pPr>
              <w:pStyle w:val="21"/>
              <w:spacing w:line="360" w:lineRule="auto"/>
              <w:ind w:left="0" w:right="0" w:firstLine="480"/>
              <w:jc w:val="left"/>
            </w:pPr>
          </w:p>
        </w:tc>
      </w:tr>
    </w:tbl>
    <w:p w14:paraId="6972F79D">
      <w:pPr>
        <w:rPr>
          <w:color w:val="FF0000"/>
        </w:rPr>
        <w:sectPr>
          <w:pgSz w:w="16840" w:h="11907" w:orient="landscape"/>
          <w:pgMar w:top="1531" w:right="1701" w:bottom="1531" w:left="2127" w:header="851" w:footer="851" w:gutter="0"/>
          <w:cols w:space="720" w:num="1"/>
          <w:docGrid w:linePitch="312" w:charSpace="0"/>
        </w:sectPr>
      </w:pPr>
    </w:p>
    <w:tbl>
      <w:tblPr>
        <w:tblStyle w:val="3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06"/>
      </w:tblGrid>
      <w:tr w14:paraId="1DED74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97" w:hRule="atLeast"/>
          <w:jc w:val="center"/>
        </w:trPr>
        <w:tc>
          <w:tcPr>
            <w:tcW w:w="375" w:type="dxa"/>
            <w:tcMar>
              <w:left w:w="28" w:type="dxa"/>
              <w:right w:w="28" w:type="dxa"/>
            </w:tcMar>
            <w:vAlign w:val="center"/>
          </w:tcPr>
          <w:p w14:paraId="1AAC94E6">
            <w:pPr>
              <w:pStyle w:val="29"/>
              <w:spacing w:before="0" w:beforeAutospacing="0" w:after="0" w:afterAutospacing="0"/>
              <w:jc w:val="center"/>
              <w:rPr>
                <w:rFonts w:ascii="Times New Roman" w:hAnsi="Times New Roman"/>
                <w:kern w:val="21"/>
                <w:szCs w:val="24"/>
              </w:rPr>
            </w:pPr>
            <w:r>
              <w:rPr>
                <w:rFonts w:hint="eastAsia" w:ascii="Times New Roman" w:hAnsi="Times New Roman"/>
                <w:kern w:val="21"/>
                <w:szCs w:val="24"/>
              </w:rPr>
              <w:t>运营期</w:t>
            </w:r>
            <w:r>
              <w:rPr>
                <w:rFonts w:ascii="Times New Roman" w:hAnsi="Times New Roman"/>
                <w:kern w:val="21"/>
                <w:szCs w:val="24"/>
              </w:rPr>
              <w:t>环</w:t>
            </w:r>
          </w:p>
          <w:p w14:paraId="62B31157">
            <w:pPr>
              <w:pStyle w:val="29"/>
              <w:spacing w:before="0" w:beforeAutospacing="0" w:after="0" w:afterAutospacing="0"/>
              <w:jc w:val="center"/>
              <w:rPr>
                <w:rFonts w:ascii="Times New Roman" w:hAnsi="Times New Roman"/>
                <w:kern w:val="21"/>
                <w:szCs w:val="24"/>
              </w:rPr>
            </w:pPr>
            <w:r>
              <w:rPr>
                <w:rFonts w:ascii="Times New Roman" w:hAnsi="Times New Roman"/>
                <w:kern w:val="21"/>
                <w:szCs w:val="24"/>
              </w:rPr>
              <w:t>境保</w:t>
            </w:r>
          </w:p>
          <w:p w14:paraId="7C43FCD4">
            <w:pPr>
              <w:pStyle w:val="29"/>
              <w:spacing w:before="0" w:beforeAutospacing="0" w:after="0" w:afterAutospacing="0"/>
              <w:jc w:val="center"/>
              <w:rPr>
                <w:rFonts w:ascii="Times New Roman" w:hAnsi="Times New Roman"/>
                <w:kern w:val="21"/>
                <w:szCs w:val="24"/>
              </w:rPr>
            </w:pPr>
            <w:r>
              <w:rPr>
                <w:rFonts w:ascii="Times New Roman" w:hAnsi="Times New Roman"/>
                <w:kern w:val="21"/>
                <w:szCs w:val="24"/>
              </w:rPr>
              <w:t>护措</w:t>
            </w:r>
          </w:p>
          <w:p w14:paraId="4921ED09">
            <w:pPr>
              <w:jc w:val="center"/>
              <w:rPr>
                <w:color w:val="FF0000"/>
                <w:kern w:val="21"/>
                <w:sz w:val="24"/>
              </w:rPr>
            </w:pPr>
            <w:r>
              <w:rPr>
                <w:kern w:val="21"/>
                <w:sz w:val="24"/>
              </w:rPr>
              <w:t>施</w:t>
            </w:r>
          </w:p>
        </w:tc>
        <w:tc>
          <w:tcPr>
            <w:tcW w:w="8606" w:type="dxa"/>
            <w:vAlign w:val="center"/>
          </w:tcPr>
          <w:p w14:paraId="52E45D93">
            <w:pPr>
              <w:pStyle w:val="66"/>
              <w:ind w:firstLine="482"/>
              <w:rPr>
                <w:b/>
                <w:bCs/>
                <w:kern w:val="2"/>
                <w:sz w:val="24"/>
                <w:szCs w:val="24"/>
              </w:rPr>
            </w:pPr>
            <w:bookmarkStart w:id="48" w:name="_Toc2883_WPSOffice_Level2"/>
            <w:bookmarkStart w:id="49" w:name="_Toc13888_WPSOffice_Level3"/>
            <w:r>
              <w:rPr>
                <w:b/>
                <w:bCs/>
                <w:kern w:val="2"/>
                <w:sz w:val="24"/>
                <w:szCs w:val="24"/>
              </w:rPr>
              <w:t>2、声环境的影响预测与分析</w:t>
            </w:r>
            <w:bookmarkEnd w:id="48"/>
            <w:bookmarkEnd w:id="49"/>
          </w:p>
          <w:p w14:paraId="2E5ACAE9">
            <w:pPr>
              <w:spacing w:line="360" w:lineRule="auto"/>
              <w:ind w:firstLine="480" w:firstLineChars="200"/>
              <w:rPr>
                <w:sz w:val="24"/>
              </w:rPr>
            </w:pPr>
            <w:r>
              <w:rPr>
                <w:rFonts w:hint="eastAsia"/>
                <w:sz w:val="24"/>
              </w:rPr>
              <w:t>(1)</w:t>
            </w:r>
            <w:r>
              <w:rPr>
                <w:sz w:val="24"/>
              </w:rPr>
              <w:t>预测范围、点位与评价因子</w:t>
            </w:r>
          </w:p>
          <w:p w14:paraId="7A5644EB">
            <w:pPr>
              <w:spacing w:line="360" w:lineRule="auto"/>
              <w:ind w:firstLine="480" w:firstLineChars="200"/>
              <w:rPr>
                <w:sz w:val="24"/>
              </w:rPr>
            </w:pPr>
            <w:r>
              <w:rPr>
                <w:sz w:val="24"/>
              </w:rPr>
              <w:t>噪声预测范围：厂界噪声；</w:t>
            </w:r>
          </w:p>
          <w:p w14:paraId="28E3C6BD">
            <w:pPr>
              <w:spacing w:line="360" w:lineRule="auto"/>
              <w:ind w:firstLine="480" w:firstLineChars="200"/>
              <w:rPr>
                <w:sz w:val="24"/>
              </w:rPr>
            </w:pPr>
            <w:r>
              <w:rPr>
                <w:sz w:val="24"/>
              </w:rPr>
              <w:t>预测内容：本项目夜间不生产，因此不做夜间噪声预测</w:t>
            </w:r>
            <w:r>
              <w:rPr>
                <w:rFonts w:hint="eastAsia"/>
                <w:sz w:val="24"/>
              </w:rPr>
              <w:t>，</w:t>
            </w:r>
            <w:r>
              <w:rPr>
                <w:sz w:val="24"/>
              </w:rPr>
              <w:t>预测厂界</w:t>
            </w:r>
            <w:r>
              <w:rPr>
                <w:rFonts w:hint="eastAsia"/>
                <w:sz w:val="24"/>
              </w:rPr>
              <w:t>昼间</w:t>
            </w:r>
            <w:r>
              <w:rPr>
                <w:sz w:val="24"/>
              </w:rPr>
              <w:t>预测点位等效连续A声级。</w:t>
            </w:r>
          </w:p>
          <w:p w14:paraId="60C29AA1">
            <w:pPr>
              <w:spacing w:line="360" w:lineRule="auto"/>
              <w:ind w:firstLine="480" w:firstLineChars="200"/>
              <w:rPr>
                <w:sz w:val="24"/>
              </w:rPr>
            </w:pPr>
            <w:r>
              <w:rPr>
                <w:rFonts w:hint="eastAsia"/>
                <w:sz w:val="24"/>
              </w:rPr>
              <w:t>(2)</w:t>
            </w:r>
            <w:r>
              <w:rPr>
                <w:sz w:val="24"/>
              </w:rPr>
              <w:t>预测模式的选取</w:t>
            </w:r>
          </w:p>
          <w:p w14:paraId="320C5F62">
            <w:pPr>
              <w:pStyle w:val="150"/>
              <w:ind w:firstLine="480"/>
              <w:rPr>
                <w:kern w:val="28"/>
              </w:rPr>
            </w:pPr>
            <w:r>
              <w:rPr>
                <w:kern w:val="28"/>
              </w:rPr>
              <w:t>噪声预测模式采用《环境影响评价技术导则—声环境》(HJ2.4-2021)中附录A中的预测模式。</w:t>
            </w:r>
          </w:p>
          <w:p w14:paraId="3CA6B798">
            <w:pPr>
              <w:pStyle w:val="150"/>
              <w:ind w:firstLine="480"/>
              <w:rPr>
                <w:kern w:val="28"/>
              </w:rPr>
            </w:pPr>
            <w:r>
              <w:rPr>
                <w:rFonts w:hint="eastAsia"/>
              </w:rPr>
              <w:t>(3)</w:t>
            </w:r>
            <w:r>
              <w:rPr>
                <w:kern w:val="28"/>
              </w:rPr>
              <w:t>预测结果及分析</w:t>
            </w:r>
          </w:p>
          <w:p w14:paraId="587B42BE">
            <w:pPr>
              <w:spacing w:line="360" w:lineRule="auto"/>
              <w:ind w:firstLine="480" w:firstLineChars="200"/>
              <w:rPr>
                <w:sz w:val="24"/>
              </w:rPr>
            </w:pPr>
            <w:r>
              <w:rPr>
                <w:sz w:val="24"/>
              </w:rPr>
              <w:t>本项目运营后，项目对于厂界的噪声贡献值见表4.</w:t>
            </w:r>
            <w:r>
              <w:rPr>
                <w:rFonts w:hint="eastAsia"/>
                <w:sz w:val="24"/>
              </w:rPr>
              <w:t>4-2</w:t>
            </w:r>
            <w:r>
              <w:rPr>
                <w:sz w:val="24"/>
              </w:rPr>
              <w:t>。</w:t>
            </w:r>
          </w:p>
          <w:p w14:paraId="1D8233CE">
            <w:pPr>
              <w:ind w:firstLine="200"/>
              <w:jc w:val="center"/>
              <w:outlineLvl w:val="4"/>
              <w:rPr>
                <w:b/>
                <w:sz w:val="24"/>
              </w:rPr>
            </w:pPr>
            <w:r>
              <w:rPr>
                <w:b/>
                <w:sz w:val="24"/>
              </w:rPr>
              <w:t>表4.</w:t>
            </w:r>
            <w:r>
              <w:rPr>
                <w:rFonts w:hint="eastAsia"/>
                <w:b/>
                <w:sz w:val="24"/>
              </w:rPr>
              <w:t>4-2</w:t>
            </w:r>
            <w:r>
              <w:rPr>
                <w:b/>
                <w:sz w:val="24"/>
              </w:rPr>
              <w:t xml:space="preserve">  厂界噪声预测结果  单位：dB（A）</w:t>
            </w:r>
          </w:p>
          <w:tbl>
            <w:tblPr>
              <w:tblStyle w:val="34"/>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572"/>
              <w:gridCol w:w="2131"/>
              <w:gridCol w:w="1043"/>
              <w:gridCol w:w="881"/>
              <w:gridCol w:w="1126"/>
              <w:gridCol w:w="1027"/>
            </w:tblGrid>
            <w:tr w14:paraId="4706D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4" w:type="dxa"/>
                  <w:vMerge w:val="restart"/>
                  <w:tcBorders>
                    <w:tl2br w:val="nil"/>
                    <w:tr2bl w:val="nil"/>
                  </w:tcBorders>
                  <w:vAlign w:val="center"/>
                </w:tcPr>
                <w:p w14:paraId="6C8FD50F">
                  <w:pPr>
                    <w:jc w:val="center"/>
                    <w:rPr>
                      <w:snapToGrid w:val="0"/>
                      <w:color w:val="000000"/>
                      <w:szCs w:val="21"/>
                    </w:rPr>
                  </w:pPr>
                  <w:r>
                    <w:rPr>
                      <w:snapToGrid w:val="0"/>
                      <w:color w:val="000000"/>
                      <w:szCs w:val="21"/>
                    </w:rPr>
                    <w:t>编号</w:t>
                  </w:r>
                </w:p>
              </w:tc>
              <w:tc>
                <w:tcPr>
                  <w:tcW w:w="1572" w:type="dxa"/>
                  <w:vMerge w:val="restart"/>
                  <w:tcBorders>
                    <w:tl2br w:val="nil"/>
                    <w:tr2bl w:val="nil"/>
                  </w:tcBorders>
                  <w:vAlign w:val="center"/>
                </w:tcPr>
                <w:p w14:paraId="3FF811BF">
                  <w:pPr>
                    <w:jc w:val="center"/>
                    <w:rPr>
                      <w:snapToGrid w:val="0"/>
                      <w:color w:val="000000"/>
                      <w:szCs w:val="21"/>
                    </w:rPr>
                  </w:pPr>
                  <w:r>
                    <w:rPr>
                      <w:snapToGrid w:val="0"/>
                      <w:color w:val="000000"/>
                      <w:szCs w:val="21"/>
                    </w:rPr>
                    <w:t>位置</w:t>
                  </w:r>
                </w:p>
              </w:tc>
              <w:tc>
                <w:tcPr>
                  <w:tcW w:w="2131" w:type="dxa"/>
                  <w:vMerge w:val="restart"/>
                  <w:tcBorders>
                    <w:tl2br w:val="nil"/>
                    <w:tr2bl w:val="nil"/>
                  </w:tcBorders>
                  <w:vAlign w:val="center"/>
                </w:tcPr>
                <w:p w14:paraId="7BB5FB1B">
                  <w:pPr>
                    <w:jc w:val="center"/>
                    <w:rPr>
                      <w:snapToGrid w:val="0"/>
                      <w:color w:val="000000"/>
                      <w:szCs w:val="21"/>
                    </w:rPr>
                  </w:pPr>
                  <w:r>
                    <w:rPr>
                      <w:snapToGrid w:val="0"/>
                      <w:color w:val="000000"/>
                      <w:szCs w:val="21"/>
                    </w:rPr>
                    <w:t>项目最大噪声贡献值</w:t>
                  </w:r>
                </w:p>
              </w:tc>
              <w:tc>
                <w:tcPr>
                  <w:tcW w:w="1924" w:type="dxa"/>
                  <w:gridSpan w:val="2"/>
                  <w:tcBorders>
                    <w:tl2br w:val="nil"/>
                    <w:tr2bl w:val="nil"/>
                  </w:tcBorders>
                  <w:vAlign w:val="center"/>
                </w:tcPr>
                <w:p w14:paraId="41AEB08D">
                  <w:pPr>
                    <w:jc w:val="center"/>
                    <w:rPr>
                      <w:snapToGrid w:val="0"/>
                      <w:color w:val="000000"/>
                      <w:szCs w:val="21"/>
                    </w:rPr>
                  </w:pPr>
                  <w:r>
                    <w:rPr>
                      <w:snapToGrid w:val="0"/>
                      <w:color w:val="000000"/>
                      <w:szCs w:val="21"/>
                    </w:rPr>
                    <w:t>执行标准</w:t>
                  </w:r>
                </w:p>
              </w:tc>
              <w:tc>
                <w:tcPr>
                  <w:tcW w:w="2153" w:type="dxa"/>
                  <w:gridSpan w:val="2"/>
                  <w:tcBorders>
                    <w:tl2br w:val="nil"/>
                    <w:tr2bl w:val="nil"/>
                  </w:tcBorders>
                  <w:vAlign w:val="center"/>
                </w:tcPr>
                <w:p w14:paraId="0358B741">
                  <w:pPr>
                    <w:jc w:val="center"/>
                    <w:rPr>
                      <w:snapToGrid w:val="0"/>
                      <w:color w:val="000000"/>
                      <w:szCs w:val="21"/>
                    </w:rPr>
                  </w:pPr>
                  <w:r>
                    <w:rPr>
                      <w:snapToGrid w:val="0"/>
                      <w:color w:val="000000"/>
                      <w:szCs w:val="21"/>
                    </w:rPr>
                    <w:t>达标情况</w:t>
                  </w:r>
                </w:p>
              </w:tc>
            </w:tr>
            <w:tr w14:paraId="3BE6D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4" w:type="dxa"/>
                  <w:vMerge w:val="continue"/>
                  <w:tcBorders>
                    <w:tl2br w:val="nil"/>
                    <w:tr2bl w:val="nil"/>
                  </w:tcBorders>
                  <w:vAlign w:val="center"/>
                </w:tcPr>
                <w:p w14:paraId="131D946F">
                  <w:pPr>
                    <w:jc w:val="center"/>
                    <w:rPr>
                      <w:snapToGrid w:val="0"/>
                      <w:color w:val="000000"/>
                      <w:szCs w:val="21"/>
                    </w:rPr>
                  </w:pPr>
                </w:p>
              </w:tc>
              <w:tc>
                <w:tcPr>
                  <w:tcW w:w="1572" w:type="dxa"/>
                  <w:vMerge w:val="continue"/>
                  <w:tcBorders>
                    <w:tl2br w:val="nil"/>
                    <w:tr2bl w:val="nil"/>
                  </w:tcBorders>
                  <w:vAlign w:val="center"/>
                </w:tcPr>
                <w:p w14:paraId="7490E3B8">
                  <w:pPr>
                    <w:jc w:val="center"/>
                    <w:rPr>
                      <w:snapToGrid w:val="0"/>
                      <w:color w:val="000000"/>
                      <w:szCs w:val="21"/>
                    </w:rPr>
                  </w:pPr>
                </w:p>
              </w:tc>
              <w:tc>
                <w:tcPr>
                  <w:tcW w:w="2131" w:type="dxa"/>
                  <w:vMerge w:val="continue"/>
                  <w:tcBorders>
                    <w:tl2br w:val="nil"/>
                    <w:tr2bl w:val="nil"/>
                  </w:tcBorders>
                  <w:vAlign w:val="center"/>
                </w:tcPr>
                <w:p w14:paraId="40FF9F6D">
                  <w:pPr>
                    <w:jc w:val="center"/>
                    <w:rPr>
                      <w:snapToGrid w:val="0"/>
                      <w:color w:val="000000"/>
                      <w:szCs w:val="21"/>
                    </w:rPr>
                  </w:pPr>
                </w:p>
              </w:tc>
              <w:tc>
                <w:tcPr>
                  <w:tcW w:w="1043" w:type="dxa"/>
                  <w:tcBorders>
                    <w:tl2br w:val="nil"/>
                    <w:tr2bl w:val="nil"/>
                  </w:tcBorders>
                  <w:vAlign w:val="center"/>
                </w:tcPr>
                <w:p w14:paraId="713B78DB">
                  <w:pPr>
                    <w:jc w:val="center"/>
                    <w:rPr>
                      <w:snapToGrid w:val="0"/>
                      <w:color w:val="000000"/>
                      <w:szCs w:val="21"/>
                    </w:rPr>
                  </w:pPr>
                  <w:r>
                    <w:rPr>
                      <w:snapToGrid w:val="0"/>
                      <w:color w:val="000000"/>
                      <w:szCs w:val="21"/>
                    </w:rPr>
                    <w:t>昼间</w:t>
                  </w:r>
                </w:p>
              </w:tc>
              <w:tc>
                <w:tcPr>
                  <w:tcW w:w="881" w:type="dxa"/>
                  <w:tcBorders>
                    <w:tl2br w:val="nil"/>
                    <w:tr2bl w:val="nil"/>
                  </w:tcBorders>
                  <w:vAlign w:val="center"/>
                </w:tcPr>
                <w:p w14:paraId="4BC70EA2">
                  <w:pPr>
                    <w:jc w:val="center"/>
                    <w:rPr>
                      <w:snapToGrid w:val="0"/>
                      <w:color w:val="000000"/>
                      <w:szCs w:val="21"/>
                    </w:rPr>
                  </w:pPr>
                  <w:r>
                    <w:rPr>
                      <w:snapToGrid w:val="0"/>
                      <w:color w:val="000000"/>
                      <w:szCs w:val="21"/>
                    </w:rPr>
                    <w:t>夜间</w:t>
                  </w:r>
                </w:p>
              </w:tc>
              <w:tc>
                <w:tcPr>
                  <w:tcW w:w="1126" w:type="dxa"/>
                  <w:tcBorders>
                    <w:tl2br w:val="nil"/>
                    <w:tr2bl w:val="nil"/>
                  </w:tcBorders>
                  <w:vAlign w:val="center"/>
                </w:tcPr>
                <w:p w14:paraId="65E16ADF">
                  <w:pPr>
                    <w:jc w:val="center"/>
                    <w:rPr>
                      <w:snapToGrid w:val="0"/>
                      <w:color w:val="000000"/>
                      <w:szCs w:val="21"/>
                    </w:rPr>
                  </w:pPr>
                  <w:r>
                    <w:rPr>
                      <w:snapToGrid w:val="0"/>
                      <w:color w:val="000000"/>
                      <w:szCs w:val="21"/>
                    </w:rPr>
                    <w:t>昼间</w:t>
                  </w:r>
                </w:p>
              </w:tc>
              <w:tc>
                <w:tcPr>
                  <w:tcW w:w="1027" w:type="dxa"/>
                  <w:tcBorders>
                    <w:tl2br w:val="nil"/>
                    <w:tr2bl w:val="nil"/>
                  </w:tcBorders>
                  <w:vAlign w:val="center"/>
                </w:tcPr>
                <w:p w14:paraId="726C3BB8">
                  <w:pPr>
                    <w:jc w:val="center"/>
                    <w:rPr>
                      <w:snapToGrid w:val="0"/>
                      <w:color w:val="000000"/>
                      <w:szCs w:val="21"/>
                    </w:rPr>
                  </w:pPr>
                  <w:r>
                    <w:rPr>
                      <w:snapToGrid w:val="0"/>
                      <w:color w:val="000000"/>
                      <w:szCs w:val="21"/>
                    </w:rPr>
                    <w:t>夜间</w:t>
                  </w:r>
                </w:p>
              </w:tc>
            </w:tr>
            <w:tr w14:paraId="71749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4" w:type="dxa"/>
                  <w:tcBorders>
                    <w:tl2br w:val="nil"/>
                    <w:tr2bl w:val="nil"/>
                  </w:tcBorders>
                  <w:vAlign w:val="center"/>
                </w:tcPr>
                <w:p w14:paraId="6BB08FF0">
                  <w:pPr>
                    <w:jc w:val="center"/>
                    <w:rPr>
                      <w:snapToGrid w:val="0"/>
                      <w:color w:val="000000"/>
                      <w:szCs w:val="21"/>
                    </w:rPr>
                  </w:pPr>
                  <w:r>
                    <w:rPr>
                      <w:snapToGrid w:val="0"/>
                      <w:color w:val="000000"/>
                      <w:szCs w:val="21"/>
                    </w:rPr>
                    <w:t>1</w:t>
                  </w:r>
                </w:p>
              </w:tc>
              <w:tc>
                <w:tcPr>
                  <w:tcW w:w="1572" w:type="dxa"/>
                  <w:tcBorders>
                    <w:tl2br w:val="nil"/>
                    <w:tr2bl w:val="nil"/>
                  </w:tcBorders>
                  <w:vAlign w:val="center"/>
                </w:tcPr>
                <w:p w14:paraId="2FA5A77D">
                  <w:pPr>
                    <w:pStyle w:val="151"/>
                    <w:rPr>
                      <w:color w:val="000000"/>
                    </w:rPr>
                  </w:pPr>
                  <w:r>
                    <w:rPr>
                      <w:color w:val="000000"/>
                    </w:rPr>
                    <w:t>N1项目南侧</w:t>
                  </w:r>
                </w:p>
              </w:tc>
              <w:tc>
                <w:tcPr>
                  <w:tcW w:w="2131" w:type="dxa"/>
                  <w:tcBorders>
                    <w:tl2br w:val="nil"/>
                    <w:tr2bl w:val="nil"/>
                  </w:tcBorders>
                  <w:vAlign w:val="center"/>
                </w:tcPr>
                <w:p w14:paraId="4DE5CA1C">
                  <w:pPr>
                    <w:widowControl/>
                    <w:jc w:val="center"/>
                    <w:rPr>
                      <w:color w:val="000000"/>
                      <w:szCs w:val="21"/>
                    </w:rPr>
                  </w:pPr>
                  <w:r>
                    <w:rPr>
                      <w:color w:val="000000"/>
                      <w:szCs w:val="21"/>
                    </w:rPr>
                    <w:t>45.</w:t>
                  </w:r>
                  <w:r>
                    <w:rPr>
                      <w:rFonts w:hint="eastAsia"/>
                      <w:color w:val="000000"/>
                      <w:szCs w:val="21"/>
                    </w:rPr>
                    <w:t>7</w:t>
                  </w:r>
                </w:p>
              </w:tc>
              <w:tc>
                <w:tcPr>
                  <w:tcW w:w="1043" w:type="dxa"/>
                  <w:tcBorders>
                    <w:tl2br w:val="nil"/>
                    <w:tr2bl w:val="nil"/>
                  </w:tcBorders>
                  <w:vAlign w:val="center"/>
                </w:tcPr>
                <w:p w14:paraId="44418B6E">
                  <w:pPr>
                    <w:jc w:val="center"/>
                    <w:rPr>
                      <w:snapToGrid w:val="0"/>
                      <w:color w:val="000000"/>
                      <w:szCs w:val="21"/>
                    </w:rPr>
                  </w:pPr>
                  <w:r>
                    <w:rPr>
                      <w:snapToGrid w:val="0"/>
                      <w:color w:val="000000"/>
                      <w:szCs w:val="21"/>
                    </w:rPr>
                    <w:t>65</w:t>
                  </w:r>
                </w:p>
              </w:tc>
              <w:tc>
                <w:tcPr>
                  <w:tcW w:w="881" w:type="dxa"/>
                  <w:tcBorders>
                    <w:tl2br w:val="nil"/>
                    <w:tr2bl w:val="nil"/>
                  </w:tcBorders>
                  <w:vAlign w:val="center"/>
                </w:tcPr>
                <w:p w14:paraId="6DC03F1C">
                  <w:pPr>
                    <w:jc w:val="center"/>
                    <w:rPr>
                      <w:snapToGrid w:val="0"/>
                      <w:color w:val="000000"/>
                      <w:szCs w:val="21"/>
                    </w:rPr>
                  </w:pPr>
                  <w:r>
                    <w:rPr>
                      <w:rFonts w:hint="eastAsia"/>
                      <w:snapToGrid w:val="0"/>
                      <w:color w:val="000000"/>
                      <w:szCs w:val="21"/>
                    </w:rPr>
                    <w:t>/</w:t>
                  </w:r>
                </w:p>
              </w:tc>
              <w:tc>
                <w:tcPr>
                  <w:tcW w:w="1126" w:type="dxa"/>
                  <w:tcBorders>
                    <w:tl2br w:val="nil"/>
                    <w:tr2bl w:val="nil"/>
                  </w:tcBorders>
                  <w:vAlign w:val="center"/>
                </w:tcPr>
                <w:p w14:paraId="0529C25B">
                  <w:pPr>
                    <w:jc w:val="center"/>
                    <w:rPr>
                      <w:snapToGrid w:val="0"/>
                      <w:color w:val="000000"/>
                      <w:szCs w:val="21"/>
                    </w:rPr>
                  </w:pPr>
                  <w:r>
                    <w:rPr>
                      <w:snapToGrid w:val="0"/>
                      <w:color w:val="000000"/>
                      <w:szCs w:val="21"/>
                    </w:rPr>
                    <w:t>达标</w:t>
                  </w:r>
                </w:p>
              </w:tc>
              <w:tc>
                <w:tcPr>
                  <w:tcW w:w="1027" w:type="dxa"/>
                  <w:tcBorders>
                    <w:tl2br w:val="nil"/>
                    <w:tr2bl w:val="nil"/>
                  </w:tcBorders>
                  <w:vAlign w:val="center"/>
                </w:tcPr>
                <w:p w14:paraId="482C25B4">
                  <w:pPr>
                    <w:jc w:val="center"/>
                    <w:rPr>
                      <w:snapToGrid w:val="0"/>
                      <w:color w:val="000000"/>
                      <w:szCs w:val="21"/>
                    </w:rPr>
                  </w:pPr>
                  <w:r>
                    <w:rPr>
                      <w:rFonts w:hint="eastAsia"/>
                      <w:snapToGrid w:val="0"/>
                      <w:color w:val="000000"/>
                      <w:szCs w:val="21"/>
                    </w:rPr>
                    <w:t>/</w:t>
                  </w:r>
                </w:p>
              </w:tc>
            </w:tr>
            <w:tr w14:paraId="60180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4" w:type="dxa"/>
                  <w:tcBorders>
                    <w:tl2br w:val="nil"/>
                    <w:tr2bl w:val="nil"/>
                  </w:tcBorders>
                  <w:vAlign w:val="center"/>
                </w:tcPr>
                <w:p w14:paraId="58339983">
                  <w:pPr>
                    <w:jc w:val="center"/>
                    <w:rPr>
                      <w:snapToGrid w:val="0"/>
                      <w:color w:val="000000"/>
                      <w:szCs w:val="21"/>
                    </w:rPr>
                  </w:pPr>
                  <w:r>
                    <w:rPr>
                      <w:snapToGrid w:val="0"/>
                      <w:color w:val="000000"/>
                      <w:szCs w:val="21"/>
                    </w:rPr>
                    <w:t>2</w:t>
                  </w:r>
                </w:p>
              </w:tc>
              <w:tc>
                <w:tcPr>
                  <w:tcW w:w="1572" w:type="dxa"/>
                  <w:tcBorders>
                    <w:tl2br w:val="nil"/>
                    <w:tr2bl w:val="nil"/>
                  </w:tcBorders>
                  <w:vAlign w:val="center"/>
                </w:tcPr>
                <w:p w14:paraId="15B5FDD5">
                  <w:pPr>
                    <w:pStyle w:val="151"/>
                    <w:rPr>
                      <w:color w:val="000000"/>
                    </w:rPr>
                  </w:pPr>
                  <w:r>
                    <w:rPr>
                      <w:color w:val="000000"/>
                    </w:rPr>
                    <w:t>N2项目东侧</w:t>
                  </w:r>
                </w:p>
              </w:tc>
              <w:tc>
                <w:tcPr>
                  <w:tcW w:w="2131" w:type="dxa"/>
                  <w:tcBorders>
                    <w:tl2br w:val="nil"/>
                    <w:tr2bl w:val="nil"/>
                  </w:tcBorders>
                  <w:vAlign w:val="center"/>
                </w:tcPr>
                <w:p w14:paraId="7DE24D9A">
                  <w:pPr>
                    <w:jc w:val="center"/>
                    <w:rPr>
                      <w:color w:val="000000"/>
                      <w:szCs w:val="21"/>
                    </w:rPr>
                  </w:pPr>
                  <w:r>
                    <w:rPr>
                      <w:color w:val="000000"/>
                      <w:szCs w:val="21"/>
                    </w:rPr>
                    <w:t>4</w:t>
                  </w:r>
                  <w:r>
                    <w:rPr>
                      <w:rFonts w:hint="eastAsia"/>
                      <w:color w:val="000000"/>
                      <w:szCs w:val="21"/>
                    </w:rPr>
                    <w:t>6.2</w:t>
                  </w:r>
                </w:p>
              </w:tc>
              <w:tc>
                <w:tcPr>
                  <w:tcW w:w="1043" w:type="dxa"/>
                  <w:tcBorders>
                    <w:tl2br w:val="nil"/>
                    <w:tr2bl w:val="nil"/>
                  </w:tcBorders>
                  <w:vAlign w:val="center"/>
                </w:tcPr>
                <w:p w14:paraId="470E895E">
                  <w:pPr>
                    <w:jc w:val="center"/>
                    <w:rPr>
                      <w:snapToGrid w:val="0"/>
                      <w:color w:val="000000"/>
                      <w:szCs w:val="21"/>
                    </w:rPr>
                  </w:pPr>
                  <w:r>
                    <w:rPr>
                      <w:snapToGrid w:val="0"/>
                      <w:color w:val="000000"/>
                      <w:szCs w:val="21"/>
                    </w:rPr>
                    <w:t>65</w:t>
                  </w:r>
                </w:p>
              </w:tc>
              <w:tc>
                <w:tcPr>
                  <w:tcW w:w="881" w:type="dxa"/>
                  <w:tcBorders>
                    <w:tl2br w:val="nil"/>
                    <w:tr2bl w:val="nil"/>
                  </w:tcBorders>
                  <w:vAlign w:val="center"/>
                </w:tcPr>
                <w:p w14:paraId="599A8B5F">
                  <w:pPr>
                    <w:jc w:val="center"/>
                    <w:rPr>
                      <w:snapToGrid w:val="0"/>
                      <w:color w:val="000000"/>
                      <w:szCs w:val="21"/>
                    </w:rPr>
                  </w:pPr>
                  <w:r>
                    <w:rPr>
                      <w:rFonts w:hint="eastAsia"/>
                      <w:snapToGrid w:val="0"/>
                      <w:color w:val="000000"/>
                      <w:szCs w:val="21"/>
                    </w:rPr>
                    <w:t>/</w:t>
                  </w:r>
                </w:p>
              </w:tc>
              <w:tc>
                <w:tcPr>
                  <w:tcW w:w="1126" w:type="dxa"/>
                  <w:tcBorders>
                    <w:tl2br w:val="nil"/>
                    <w:tr2bl w:val="nil"/>
                  </w:tcBorders>
                  <w:vAlign w:val="center"/>
                </w:tcPr>
                <w:p w14:paraId="12B49385">
                  <w:pPr>
                    <w:jc w:val="center"/>
                    <w:rPr>
                      <w:snapToGrid w:val="0"/>
                      <w:color w:val="000000"/>
                      <w:szCs w:val="21"/>
                    </w:rPr>
                  </w:pPr>
                  <w:r>
                    <w:rPr>
                      <w:snapToGrid w:val="0"/>
                      <w:color w:val="000000"/>
                      <w:szCs w:val="21"/>
                    </w:rPr>
                    <w:t>达标</w:t>
                  </w:r>
                </w:p>
              </w:tc>
              <w:tc>
                <w:tcPr>
                  <w:tcW w:w="1027" w:type="dxa"/>
                  <w:tcBorders>
                    <w:tl2br w:val="nil"/>
                    <w:tr2bl w:val="nil"/>
                  </w:tcBorders>
                  <w:vAlign w:val="center"/>
                </w:tcPr>
                <w:p w14:paraId="029A9506">
                  <w:pPr>
                    <w:jc w:val="center"/>
                    <w:rPr>
                      <w:snapToGrid w:val="0"/>
                      <w:color w:val="000000"/>
                      <w:szCs w:val="21"/>
                    </w:rPr>
                  </w:pPr>
                  <w:r>
                    <w:rPr>
                      <w:rFonts w:hint="eastAsia"/>
                      <w:snapToGrid w:val="0"/>
                      <w:color w:val="000000"/>
                      <w:szCs w:val="21"/>
                    </w:rPr>
                    <w:t>/</w:t>
                  </w:r>
                </w:p>
              </w:tc>
            </w:tr>
            <w:tr w14:paraId="4F6AF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4" w:type="dxa"/>
                  <w:tcBorders>
                    <w:tl2br w:val="nil"/>
                    <w:tr2bl w:val="nil"/>
                  </w:tcBorders>
                  <w:vAlign w:val="center"/>
                </w:tcPr>
                <w:p w14:paraId="38AEDC06">
                  <w:pPr>
                    <w:jc w:val="center"/>
                    <w:rPr>
                      <w:snapToGrid w:val="0"/>
                      <w:color w:val="000000"/>
                      <w:szCs w:val="21"/>
                    </w:rPr>
                  </w:pPr>
                  <w:r>
                    <w:rPr>
                      <w:snapToGrid w:val="0"/>
                      <w:color w:val="000000"/>
                      <w:szCs w:val="21"/>
                    </w:rPr>
                    <w:t>3</w:t>
                  </w:r>
                </w:p>
              </w:tc>
              <w:tc>
                <w:tcPr>
                  <w:tcW w:w="1572" w:type="dxa"/>
                  <w:tcBorders>
                    <w:tl2br w:val="nil"/>
                    <w:tr2bl w:val="nil"/>
                  </w:tcBorders>
                  <w:vAlign w:val="center"/>
                </w:tcPr>
                <w:p w14:paraId="03BB1E61">
                  <w:pPr>
                    <w:pStyle w:val="151"/>
                    <w:rPr>
                      <w:color w:val="000000"/>
                    </w:rPr>
                  </w:pPr>
                  <w:r>
                    <w:rPr>
                      <w:color w:val="000000"/>
                    </w:rPr>
                    <w:t>N3项目北侧</w:t>
                  </w:r>
                </w:p>
              </w:tc>
              <w:tc>
                <w:tcPr>
                  <w:tcW w:w="2131" w:type="dxa"/>
                  <w:tcBorders>
                    <w:tl2br w:val="nil"/>
                    <w:tr2bl w:val="nil"/>
                  </w:tcBorders>
                  <w:vAlign w:val="center"/>
                </w:tcPr>
                <w:p w14:paraId="5A187562">
                  <w:pPr>
                    <w:jc w:val="center"/>
                    <w:rPr>
                      <w:color w:val="000000"/>
                      <w:szCs w:val="21"/>
                    </w:rPr>
                  </w:pPr>
                  <w:r>
                    <w:rPr>
                      <w:rFonts w:hint="eastAsia"/>
                      <w:color w:val="000000"/>
                      <w:szCs w:val="21"/>
                    </w:rPr>
                    <w:t>45.3</w:t>
                  </w:r>
                </w:p>
              </w:tc>
              <w:tc>
                <w:tcPr>
                  <w:tcW w:w="1043" w:type="dxa"/>
                  <w:tcBorders>
                    <w:tl2br w:val="nil"/>
                    <w:tr2bl w:val="nil"/>
                  </w:tcBorders>
                  <w:vAlign w:val="center"/>
                </w:tcPr>
                <w:p w14:paraId="401FE3FF">
                  <w:pPr>
                    <w:jc w:val="center"/>
                    <w:rPr>
                      <w:snapToGrid w:val="0"/>
                      <w:color w:val="000000"/>
                      <w:szCs w:val="21"/>
                    </w:rPr>
                  </w:pPr>
                  <w:r>
                    <w:rPr>
                      <w:snapToGrid w:val="0"/>
                      <w:color w:val="000000"/>
                      <w:szCs w:val="21"/>
                    </w:rPr>
                    <w:t>65</w:t>
                  </w:r>
                </w:p>
              </w:tc>
              <w:tc>
                <w:tcPr>
                  <w:tcW w:w="881" w:type="dxa"/>
                  <w:tcBorders>
                    <w:tl2br w:val="nil"/>
                    <w:tr2bl w:val="nil"/>
                  </w:tcBorders>
                  <w:vAlign w:val="center"/>
                </w:tcPr>
                <w:p w14:paraId="354C259A">
                  <w:pPr>
                    <w:jc w:val="center"/>
                    <w:rPr>
                      <w:snapToGrid w:val="0"/>
                      <w:color w:val="000000"/>
                      <w:szCs w:val="21"/>
                    </w:rPr>
                  </w:pPr>
                  <w:r>
                    <w:rPr>
                      <w:rFonts w:hint="eastAsia"/>
                      <w:snapToGrid w:val="0"/>
                      <w:color w:val="000000"/>
                      <w:szCs w:val="21"/>
                    </w:rPr>
                    <w:t>/</w:t>
                  </w:r>
                </w:p>
              </w:tc>
              <w:tc>
                <w:tcPr>
                  <w:tcW w:w="1126" w:type="dxa"/>
                  <w:tcBorders>
                    <w:tl2br w:val="nil"/>
                    <w:tr2bl w:val="nil"/>
                  </w:tcBorders>
                  <w:vAlign w:val="center"/>
                </w:tcPr>
                <w:p w14:paraId="54D95CA7">
                  <w:pPr>
                    <w:jc w:val="center"/>
                    <w:rPr>
                      <w:snapToGrid w:val="0"/>
                      <w:color w:val="000000"/>
                      <w:szCs w:val="21"/>
                    </w:rPr>
                  </w:pPr>
                  <w:r>
                    <w:rPr>
                      <w:snapToGrid w:val="0"/>
                      <w:color w:val="000000"/>
                      <w:szCs w:val="21"/>
                    </w:rPr>
                    <w:t>达标</w:t>
                  </w:r>
                </w:p>
              </w:tc>
              <w:tc>
                <w:tcPr>
                  <w:tcW w:w="1027" w:type="dxa"/>
                  <w:tcBorders>
                    <w:tl2br w:val="nil"/>
                    <w:tr2bl w:val="nil"/>
                  </w:tcBorders>
                  <w:vAlign w:val="center"/>
                </w:tcPr>
                <w:p w14:paraId="5E6DD8BD">
                  <w:pPr>
                    <w:jc w:val="center"/>
                    <w:rPr>
                      <w:snapToGrid w:val="0"/>
                      <w:color w:val="000000"/>
                      <w:szCs w:val="21"/>
                    </w:rPr>
                  </w:pPr>
                  <w:r>
                    <w:rPr>
                      <w:rFonts w:hint="eastAsia"/>
                      <w:snapToGrid w:val="0"/>
                      <w:color w:val="000000"/>
                      <w:szCs w:val="21"/>
                    </w:rPr>
                    <w:t>/</w:t>
                  </w:r>
                </w:p>
              </w:tc>
            </w:tr>
            <w:tr w14:paraId="2651C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4" w:type="dxa"/>
                  <w:tcBorders>
                    <w:tl2br w:val="nil"/>
                    <w:tr2bl w:val="nil"/>
                  </w:tcBorders>
                  <w:vAlign w:val="center"/>
                </w:tcPr>
                <w:p w14:paraId="1F6A02F5">
                  <w:pPr>
                    <w:jc w:val="center"/>
                    <w:rPr>
                      <w:snapToGrid w:val="0"/>
                      <w:color w:val="000000"/>
                      <w:szCs w:val="21"/>
                    </w:rPr>
                  </w:pPr>
                  <w:r>
                    <w:rPr>
                      <w:snapToGrid w:val="0"/>
                      <w:color w:val="000000"/>
                      <w:szCs w:val="21"/>
                    </w:rPr>
                    <w:t>4</w:t>
                  </w:r>
                </w:p>
              </w:tc>
              <w:tc>
                <w:tcPr>
                  <w:tcW w:w="1572" w:type="dxa"/>
                  <w:tcBorders>
                    <w:tl2br w:val="nil"/>
                    <w:tr2bl w:val="nil"/>
                  </w:tcBorders>
                  <w:vAlign w:val="center"/>
                </w:tcPr>
                <w:p w14:paraId="55203D69">
                  <w:pPr>
                    <w:pStyle w:val="151"/>
                    <w:rPr>
                      <w:color w:val="000000"/>
                    </w:rPr>
                  </w:pPr>
                  <w:r>
                    <w:rPr>
                      <w:color w:val="000000"/>
                    </w:rPr>
                    <w:t>N4项目西侧</w:t>
                  </w:r>
                </w:p>
              </w:tc>
              <w:tc>
                <w:tcPr>
                  <w:tcW w:w="2131" w:type="dxa"/>
                  <w:tcBorders>
                    <w:tl2br w:val="nil"/>
                    <w:tr2bl w:val="nil"/>
                  </w:tcBorders>
                  <w:vAlign w:val="center"/>
                </w:tcPr>
                <w:p w14:paraId="55D571A2">
                  <w:pPr>
                    <w:jc w:val="center"/>
                    <w:rPr>
                      <w:color w:val="000000"/>
                      <w:szCs w:val="21"/>
                    </w:rPr>
                  </w:pPr>
                  <w:r>
                    <w:rPr>
                      <w:color w:val="000000"/>
                      <w:szCs w:val="21"/>
                    </w:rPr>
                    <w:t>29.2</w:t>
                  </w:r>
                </w:p>
              </w:tc>
              <w:tc>
                <w:tcPr>
                  <w:tcW w:w="1043" w:type="dxa"/>
                  <w:tcBorders>
                    <w:tl2br w:val="nil"/>
                    <w:tr2bl w:val="nil"/>
                  </w:tcBorders>
                  <w:vAlign w:val="center"/>
                </w:tcPr>
                <w:p w14:paraId="64FD163C">
                  <w:pPr>
                    <w:jc w:val="center"/>
                    <w:rPr>
                      <w:snapToGrid w:val="0"/>
                      <w:color w:val="000000"/>
                      <w:szCs w:val="21"/>
                    </w:rPr>
                  </w:pPr>
                  <w:r>
                    <w:rPr>
                      <w:snapToGrid w:val="0"/>
                      <w:color w:val="000000"/>
                      <w:szCs w:val="21"/>
                    </w:rPr>
                    <w:t>65</w:t>
                  </w:r>
                </w:p>
              </w:tc>
              <w:tc>
                <w:tcPr>
                  <w:tcW w:w="881" w:type="dxa"/>
                  <w:tcBorders>
                    <w:tl2br w:val="nil"/>
                    <w:tr2bl w:val="nil"/>
                  </w:tcBorders>
                  <w:vAlign w:val="center"/>
                </w:tcPr>
                <w:p w14:paraId="6317D12A">
                  <w:pPr>
                    <w:jc w:val="center"/>
                    <w:rPr>
                      <w:snapToGrid w:val="0"/>
                      <w:color w:val="000000"/>
                      <w:szCs w:val="21"/>
                    </w:rPr>
                  </w:pPr>
                  <w:r>
                    <w:rPr>
                      <w:rFonts w:hint="eastAsia"/>
                      <w:snapToGrid w:val="0"/>
                      <w:color w:val="000000"/>
                      <w:szCs w:val="21"/>
                    </w:rPr>
                    <w:t>/</w:t>
                  </w:r>
                </w:p>
              </w:tc>
              <w:tc>
                <w:tcPr>
                  <w:tcW w:w="1126" w:type="dxa"/>
                  <w:tcBorders>
                    <w:tl2br w:val="nil"/>
                    <w:tr2bl w:val="nil"/>
                  </w:tcBorders>
                  <w:vAlign w:val="center"/>
                </w:tcPr>
                <w:p w14:paraId="3A40661F">
                  <w:pPr>
                    <w:jc w:val="center"/>
                    <w:rPr>
                      <w:snapToGrid w:val="0"/>
                      <w:color w:val="000000"/>
                      <w:szCs w:val="21"/>
                    </w:rPr>
                  </w:pPr>
                  <w:r>
                    <w:rPr>
                      <w:snapToGrid w:val="0"/>
                      <w:color w:val="000000"/>
                      <w:szCs w:val="21"/>
                    </w:rPr>
                    <w:t>达标</w:t>
                  </w:r>
                </w:p>
              </w:tc>
              <w:tc>
                <w:tcPr>
                  <w:tcW w:w="1027" w:type="dxa"/>
                  <w:tcBorders>
                    <w:tl2br w:val="nil"/>
                    <w:tr2bl w:val="nil"/>
                  </w:tcBorders>
                  <w:vAlign w:val="center"/>
                </w:tcPr>
                <w:p w14:paraId="4DE85C30">
                  <w:pPr>
                    <w:jc w:val="center"/>
                    <w:rPr>
                      <w:snapToGrid w:val="0"/>
                      <w:color w:val="000000"/>
                      <w:szCs w:val="21"/>
                    </w:rPr>
                  </w:pPr>
                  <w:r>
                    <w:rPr>
                      <w:rFonts w:hint="eastAsia"/>
                      <w:snapToGrid w:val="0"/>
                      <w:color w:val="000000"/>
                      <w:szCs w:val="21"/>
                    </w:rPr>
                    <w:t>/</w:t>
                  </w:r>
                </w:p>
              </w:tc>
            </w:tr>
          </w:tbl>
          <w:p w14:paraId="4AA7ED5D">
            <w:pPr>
              <w:spacing w:line="360" w:lineRule="auto"/>
              <w:ind w:firstLine="480" w:firstLineChars="200"/>
              <w:rPr>
                <w:sz w:val="24"/>
              </w:rPr>
            </w:pPr>
            <w:r>
              <w:rPr>
                <w:sz w:val="24"/>
              </w:rPr>
              <w:t>根据上表可知，</w:t>
            </w:r>
            <w:r>
              <w:rPr>
                <w:color w:val="000000"/>
                <w:kern w:val="0"/>
                <w:sz w:val="24"/>
              </w:rPr>
              <w:t>本项目建成后，厂界周围声级都有所上升。本项目噪声源对厂界噪声贡献值介于29.2dB（A）~46.2dB（A）之间，运营期厂界昼间噪声贡献值不超过65dB，</w:t>
            </w:r>
            <w:r>
              <w:rPr>
                <w:sz w:val="24"/>
              </w:rPr>
              <w:t>项目厂界噪声均可达《工业企业厂界环境噪声排放标准》（GB12348-2008）中3类标准准（昼间≤60dB（A））。</w:t>
            </w:r>
          </w:p>
          <w:p w14:paraId="392BC326">
            <w:pPr>
              <w:pStyle w:val="66"/>
              <w:ind w:firstLine="480"/>
              <w:rPr>
                <w:kern w:val="2"/>
                <w:sz w:val="24"/>
                <w:szCs w:val="24"/>
              </w:rPr>
            </w:pPr>
            <w:r>
              <w:rPr>
                <w:kern w:val="2"/>
                <w:sz w:val="24"/>
                <w:szCs w:val="24"/>
              </w:rPr>
              <w:t>综上，本项目运营时产生的噪声对周边环境影响小。</w:t>
            </w:r>
          </w:p>
          <w:p w14:paraId="683C0075">
            <w:pPr>
              <w:spacing w:line="360" w:lineRule="auto"/>
              <w:ind w:firstLine="480" w:firstLineChars="200"/>
              <w:rPr>
                <w:sz w:val="24"/>
              </w:rPr>
            </w:pPr>
            <w:r>
              <w:rPr>
                <w:sz w:val="24"/>
              </w:rPr>
              <w:t>为确保项目厂界噪声排放达到《工业企业厂界环境噪声排放标准》（GB12348-2008）3类标准，项目应采取了以下治理措施：</w:t>
            </w:r>
          </w:p>
          <w:p w14:paraId="55725560">
            <w:pPr>
              <w:spacing w:line="360" w:lineRule="auto"/>
              <w:ind w:firstLine="480" w:firstLineChars="200"/>
              <w:rPr>
                <w:sz w:val="24"/>
              </w:rPr>
            </w:pPr>
            <w:r>
              <w:rPr>
                <w:sz w:val="24"/>
              </w:rPr>
              <w:t>(1)对于设备选型方面，应尽量选用低噪声设备。</w:t>
            </w:r>
          </w:p>
          <w:p w14:paraId="02243C3E">
            <w:pPr>
              <w:spacing w:line="360" w:lineRule="auto"/>
              <w:ind w:firstLine="480" w:firstLineChars="200"/>
              <w:rPr>
                <w:sz w:val="24"/>
              </w:rPr>
            </w:pPr>
            <w:r>
              <w:rPr>
                <w:sz w:val="24"/>
              </w:rPr>
              <w:t>(2)对设备进行合理布局，项目应将高噪声设备放置在远离厂界的位置，通过墙体的阻隔作用减少噪声对周边环境的影响。</w:t>
            </w:r>
          </w:p>
          <w:p w14:paraId="06F635A5">
            <w:pPr>
              <w:spacing w:line="360" w:lineRule="auto"/>
              <w:ind w:firstLine="480" w:firstLineChars="200"/>
              <w:rPr>
                <w:sz w:val="24"/>
              </w:rPr>
            </w:pPr>
            <w:r>
              <w:rPr>
                <w:sz w:val="24"/>
              </w:rPr>
              <w:t>(3)同时重视厂房的使用状况，尽量采用密闭形式。除必要的消防门、物流门之外，在生产时项目将车间门窗关闭。</w:t>
            </w:r>
          </w:p>
          <w:p w14:paraId="4848A6B0">
            <w:pPr>
              <w:spacing w:line="360" w:lineRule="auto"/>
              <w:ind w:firstLine="480" w:firstLineChars="200"/>
              <w:rPr>
                <w:sz w:val="24"/>
              </w:rPr>
            </w:pPr>
            <w:r>
              <w:rPr>
                <w:sz w:val="24"/>
              </w:rPr>
              <w:t>(4)使用中要加强维修保养，适时添加润滑剂防止设备老化，使设备处于良好的运行状态，避免因不正常运行所导致的噪声增大。</w:t>
            </w:r>
          </w:p>
          <w:p w14:paraId="19910C4C">
            <w:pPr>
              <w:spacing w:line="360" w:lineRule="auto"/>
              <w:ind w:firstLine="480" w:firstLineChars="200"/>
              <w:rPr>
                <w:sz w:val="24"/>
              </w:rPr>
            </w:pPr>
            <w:r>
              <w:rPr>
                <w:sz w:val="24"/>
              </w:rPr>
              <w:t>(5)加强职工环保意识教育，提倡文明生产，防止人为噪声。</w:t>
            </w:r>
          </w:p>
          <w:p w14:paraId="16FB10E7">
            <w:pPr>
              <w:pStyle w:val="66"/>
              <w:ind w:firstLine="482"/>
              <w:rPr>
                <w:b/>
                <w:bCs/>
                <w:kern w:val="2"/>
                <w:sz w:val="24"/>
                <w:szCs w:val="24"/>
              </w:rPr>
            </w:pPr>
            <w:r>
              <w:rPr>
                <w:rFonts w:hint="eastAsia"/>
                <w:b/>
                <w:bCs/>
                <w:kern w:val="2"/>
                <w:sz w:val="24"/>
                <w:szCs w:val="24"/>
              </w:rPr>
              <w:t>3</w:t>
            </w:r>
            <w:r>
              <w:rPr>
                <w:b/>
                <w:bCs/>
                <w:kern w:val="2"/>
                <w:sz w:val="24"/>
                <w:szCs w:val="24"/>
              </w:rPr>
              <w:t>、</w:t>
            </w:r>
            <w:r>
              <w:rPr>
                <w:rFonts w:hint="eastAsia"/>
                <w:b/>
                <w:bCs/>
                <w:kern w:val="2"/>
                <w:sz w:val="24"/>
                <w:szCs w:val="24"/>
              </w:rPr>
              <w:t>噪声监测计划</w:t>
            </w:r>
          </w:p>
          <w:p w14:paraId="3036AA8D">
            <w:pPr>
              <w:pStyle w:val="138"/>
              <w:ind w:firstLine="480"/>
              <w:rPr>
                <w:snapToGrid w:val="0"/>
                <w:color w:val="000000"/>
              </w:rPr>
            </w:pPr>
            <w:r>
              <w:rPr>
                <w:snapToGrid w:val="0"/>
                <w:color w:val="000000"/>
              </w:rPr>
              <w:t>根据</w:t>
            </w:r>
            <w:r>
              <w:rPr>
                <w:color w:val="000000"/>
              </w:rPr>
              <w:t>《排污单位自行监测技术指南总则》（HJ819-2017）</w:t>
            </w:r>
            <w:r>
              <w:rPr>
                <w:rFonts w:hint="eastAsia"/>
                <w:color w:val="000000"/>
              </w:rPr>
              <w:t>、</w:t>
            </w:r>
            <w:r>
              <w:t>《排污单位自行监测技术指南 水泥工业》（HJ848-2017），本项目运营期</w:t>
            </w:r>
            <w:r>
              <w:rPr>
                <w:rFonts w:hint="eastAsia"/>
              </w:rPr>
              <w:t>噪声</w:t>
            </w:r>
            <w:r>
              <w:t>自行监测计划如下表</w:t>
            </w:r>
            <w:r>
              <w:rPr>
                <w:rFonts w:hint="eastAsia"/>
              </w:rPr>
              <w:t>4.4-3</w:t>
            </w:r>
            <w:r>
              <w:t>所示。</w:t>
            </w:r>
          </w:p>
          <w:p w14:paraId="1D44C01B">
            <w:pPr>
              <w:ind w:firstLine="200"/>
              <w:jc w:val="center"/>
              <w:outlineLvl w:val="4"/>
              <w:rPr>
                <w:b/>
                <w:sz w:val="24"/>
              </w:rPr>
            </w:pPr>
            <w:r>
              <w:rPr>
                <w:b/>
                <w:sz w:val="24"/>
              </w:rPr>
              <w:t>表4.</w:t>
            </w:r>
            <w:r>
              <w:rPr>
                <w:rFonts w:hint="eastAsia"/>
                <w:b/>
                <w:sz w:val="24"/>
              </w:rPr>
              <w:t>4-3</w:t>
            </w:r>
            <w:r>
              <w:rPr>
                <w:b/>
                <w:sz w:val="24"/>
              </w:rPr>
              <w:t xml:space="preserve">  项目营运期噪声自行监测计划</w:t>
            </w:r>
          </w:p>
          <w:tbl>
            <w:tblPr>
              <w:tblStyle w:val="3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150"/>
              <w:gridCol w:w="1275"/>
              <w:gridCol w:w="1155"/>
              <w:gridCol w:w="1455"/>
              <w:gridCol w:w="2203"/>
            </w:tblGrid>
            <w:tr w14:paraId="1BA0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66" w:type="dxa"/>
                  <w:tcBorders>
                    <w:top w:val="single" w:color="auto" w:sz="12" w:space="0"/>
                  </w:tcBorders>
                  <w:vAlign w:val="center"/>
                </w:tcPr>
                <w:p w14:paraId="7914FC62">
                  <w:pPr>
                    <w:pStyle w:val="152"/>
                    <w:rPr>
                      <w:rFonts w:eastAsia="宋体" w:cs="Times New Roman"/>
                      <w:color w:val="000000"/>
                      <w:szCs w:val="21"/>
                    </w:rPr>
                  </w:pPr>
                  <w:r>
                    <w:rPr>
                      <w:rFonts w:hint="eastAsia" w:eastAsia="宋体" w:cs="Times New Roman"/>
                      <w:color w:val="000000"/>
                      <w:szCs w:val="21"/>
                    </w:rPr>
                    <w:t>污染源名称</w:t>
                  </w:r>
                </w:p>
              </w:tc>
              <w:tc>
                <w:tcPr>
                  <w:tcW w:w="1150" w:type="dxa"/>
                  <w:tcBorders>
                    <w:top w:val="single" w:color="auto" w:sz="12" w:space="0"/>
                  </w:tcBorders>
                  <w:vAlign w:val="center"/>
                </w:tcPr>
                <w:p w14:paraId="2FBDB2B8">
                  <w:pPr>
                    <w:pStyle w:val="152"/>
                    <w:rPr>
                      <w:rFonts w:eastAsia="宋体" w:cs="Times New Roman"/>
                      <w:color w:val="000000"/>
                      <w:szCs w:val="21"/>
                    </w:rPr>
                  </w:pPr>
                  <w:r>
                    <w:rPr>
                      <w:rFonts w:eastAsia="宋体" w:cs="Times New Roman"/>
                      <w:color w:val="000000"/>
                      <w:szCs w:val="21"/>
                    </w:rPr>
                    <w:t>监测</w:t>
                  </w:r>
                  <w:r>
                    <w:rPr>
                      <w:rFonts w:hint="eastAsia" w:eastAsia="宋体" w:cs="Times New Roman"/>
                      <w:color w:val="000000"/>
                      <w:szCs w:val="21"/>
                    </w:rPr>
                    <w:t>点位</w:t>
                  </w:r>
                </w:p>
              </w:tc>
              <w:tc>
                <w:tcPr>
                  <w:tcW w:w="1275" w:type="dxa"/>
                  <w:tcBorders>
                    <w:top w:val="single" w:color="auto" w:sz="12" w:space="0"/>
                  </w:tcBorders>
                  <w:vAlign w:val="center"/>
                </w:tcPr>
                <w:p w14:paraId="5BA51D43">
                  <w:pPr>
                    <w:pStyle w:val="152"/>
                    <w:rPr>
                      <w:rFonts w:eastAsia="宋体" w:cs="Times New Roman"/>
                      <w:color w:val="000000"/>
                      <w:szCs w:val="21"/>
                    </w:rPr>
                  </w:pPr>
                  <w:r>
                    <w:rPr>
                      <w:rFonts w:eastAsia="宋体" w:cs="Times New Roman"/>
                      <w:color w:val="000000"/>
                      <w:szCs w:val="21"/>
                    </w:rPr>
                    <w:t>监测因子</w:t>
                  </w:r>
                </w:p>
              </w:tc>
              <w:tc>
                <w:tcPr>
                  <w:tcW w:w="1155" w:type="dxa"/>
                  <w:tcBorders>
                    <w:top w:val="single" w:color="auto" w:sz="12" w:space="0"/>
                  </w:tcBorders>
                  <w:vAlign w:val="center"/>
                </w:tcPr>
                <w:p w14:paraId="3359B739">
                  <w:pPr>
                    <w:pStyle w:val="152"/>
                    <w:rPr>
                      <w:rFonts w:eastAsia="宋体" w:cs="Times New Roman"/>
                      <w:color w:val="000000"/>
                      <w:szCs w:val="21"/>
                    </w:rPr>
                  </w:pPr>
                  <w:r>
                    <w:rPr>
                      <w:rFonts w:eastAsia="宋体" w:cs="Times New Roman"/>
                      <w:color w:val="000000"/>
                      <w:szCs w:val="21"/>
                    </w:rPr>
                    <w:t>监测频率</w:t>
                  </w:r>
                </w:p>
              </w:tc>
              <w:tc>
                <w:tcPr>
                  <w:tcW w:w="1455" w:type="dxa"/>
                  <w:tcBorders>
                    <w:top w:val="single" w:color="auto" w:sz="12" w:space="0"/>
                  </w:tcBorders>
                  <w:vAlign w:val="center"/>
                </w:tcPr>
                <w:p w14:paraId="4010B62B">
                  <w:pPr>
                    <w:pStyle w:val="152"/>
                    <w:rPr>
                      <w:rFonts w:eastAsia="宋体" w:cs="Times New Roman"/>
                      <w:color w:val="000000"/>
                      <w:szCs w:val="21"/>
                    </w:rPr>
                  </w:pPr>
                  <w:r>
                    <w:rPr>
                      <w:rFonts w:hint="eastAsia" w:eastAsia="宋体" w:cs="Times New Roman"/>
                      <w:color w:val="000000"/>
                      <w:szCs w:val="21"/>
                    </w:rPr>
                    <w:t>监测采样和分析方法</w:t>
                  </w:r>
                </w:p>
              </w:tc>
              <w:tc>
                <w:tcPr>
                  <w:tcW w:w="2203" w:type="dxa"/>
                  <w:tcBorders>
                    <w:top w:val="single" w:color="auto" w:sz="12" w:space="0"/>
                    <w:right w:val="nil"/>
                  </w:tcBorders>
                  <w:vAlign w:val="center"/>
                </w:tcPr>
                <w:p w14:paraId="7B1136C0">
                  <w:pPr>
                    <w:pStyle w:val="152"/>
                    <w:rPr>
                      <w:rFonts w:eastAsia="宋体" w:cs="Times New Roman"/>
                      <w:color w:val="000000"/>
                      <w:szCs w:val="21"/>
                    </w:rPr>
                  </w:pPr>
                  <w:r>
                    <w:rPr>
                      <w:rFonts w:hint="eastAsia" w:eastAsia="宋体" w:cs="Times New Roman"/>
                      <w:color w:val="000000"/>
                      <w:szCs w:val="21"/>
                    </w:rPr>
                    <w:t>排放标准</w:t>
                  </w:r>
                </w:p>
              </w:tc>
            </w:tr>
            <w:tr w14:paraId="219B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66" w:type="dxa"/>
                  <w:tcBorders>
                    <w:left w:val="nil"/>
                    <w:bottom w:val="single" w:color="auto" w:sz="12" w:space="0"/>
                  </w:tcBorders>
                  <w:vAlign w:val="center"/>
                </w:tcPr>
                <w:p w14:paraId="103D16A1">
                  <w:pPr>
                    <w:pStyle w:val="152"/>
                    <w:rPr>
                      <w:rFonts w:eastAsia="宋体" w:cs="Times New Roman"/>
                      <w:color w:val="000000"/>
                      <w:szCs w:val="21"/>
                    </w:rPr>
                  </w:pPr>
                  <w:r>
                    <w:rPr>
                      <w:rFonts w:eastAsia="宋体" w:cs="Times New Roman"/>
                      <w:color w:val="000000"/>
                      <w:szCs w:val="21"/>
                    </w:rPr>
                    <w:t>噪声</w:t>
                  </w:r>
                </w:p>
              </w:tc>
              <w:tc>
                <w:tcPr>
                  <w:tcW w:w="1150" w:type="dxa"/>
                  <w:tcBorders>
                    <w:bottom w:val="single" w:color="auto" w:sz="12" w:space="0"/>
                  </w:tcBorders>
                  <w:vAlign w:val="center"/>
                </w:tcPr>
                <w:p w14:paraId="5E4BEFC0">
                  <w:pPr>
                    <w:pStyle w:val="152"/>
                    <w:rPr>
                      <w:rFonts w:eastAsia="宋体" w:cs="Times New Roman"/>
                      <w:color w:val="000000"/>
                      <w:szCs w:val="21"/>
                    </w:rPr>
                  </w:pPr>
                  <w:r>
                    <w:rPr>
                      <w:rFonts w:hint="eastAsia" w:eastAsia="宋体" w:cs="Times New Roman"/>
                      <w:color w:val="000000"/>
                      <w:szCs w:val="21"/>
                    </w:rPr>
                    <w:t>厂界外1米处</w:t>
                  </w:r>
                  <w:r>
                    <w:rPr>
                      <w:rFonts w:eastAsia="宋体" w:cs="Times New Roman"/>
                      <w:color w:val="000000"/>
                      <w:szCs w:val="21"/>
                    </w:rPr>
                    <w:t>布设四个点位</w:t>
                  </w:r>
                </w:p>
              </w:tc>
              <w:tc>
                <w:tcPr>
                  <w:tcW w:w="1275" w:type="dxa"/>
                  <w:tcBorders>
                    <w:bottom w:val="single" w:color="auto" w:sz="12" w:space="0"/>
                  </w:tcBorders>
                  <w:vAlign w:val="center"/>
                </w:tcPr>
                <w:p w14:paraId="358CA869">
                  <w:pPr>
                    <w:pStyle w:val="152"/>
                    <w:rPr>
                      <w:rFonts w:eastAsia="宋体" w:cs="Times New Roman"/>
                      <w:color w:val="000000"/>
                      <w:szCs w:val="21"/>
                    </w:rPr>
                  </w:pPr>
                  <w:r>
                    <w:rPr>
                      <w:rFonts w:eastAsia="宋体" w:cs="Times New Roman"/>
                      <w:color w:val="000000"/>
                      <w:szCs w:val="21"/>
                    </w:rPr>
                    <w:t>昼</w:t>
                  </w:r>
                  <w:r>
                    <w:rPr>
                      <w:rFonts w:hint="eastAsia" w:eastAsia="宋体" w:cs="Times New Roman"/>
                      <w:color w:val="000000"/>
                      <w:szCs w:val="21"/>
                    </w:rPr>
                    <w:t>间</w:t>
                  </w:r>
                  <w:r>
                    <w:rPr>
                      <w:rFonts w:eastAsia="宋体" w:cs="Times New Roman"/>
                      <w:color w:val="000000"/>
                      <w:szCs w:val="21"/>
                    </w:rPr>
                    <w:t>等效连续A声级</w:t>
                  </w:r>
                </w:p>
              </w:tc>
              <w:tc>
                <w:tcPr>
                  <w:tcW w:w="1155" w:type="dxa"/>
                  <w:tcBorders>
                    <w:bottom w:val="single" w:color="auto" w:sz="12" w:space="0"/>
                  </w:tcBorders>
                  <w:vAlign w:val="center"/>
                </w:tcPr>
                <w:p w14:paraId="3D9DE2A2">
                  <w:pPr>
                    <w:pStyle w:val="152"/>
                    <w:rPr>
                      <w:rFonts w:eastAsia="宋体" w:cs="Times New Roman"/>
                      <w:color w:val="000000"/>
                      <w:szCs w:val="21"/>
                    </w:rPr>
                  </w:pPr>
                  <w:r>
                    <w:rPr>
                      <w:rFonts w:eastAsia="宋体" w:cs="Times New Roman"/>
                      <w:color w:val="000000"/>
                      <w:szCs w:val="21"/>
                    </w:rPr>
                    <w:t>1次/季</w:t>
                  </w:r>
                </w:p>
              </w:tc>
              <w:tc>
                <w:tcPr>
                  <w:tcW w:w="1455" w:type="dxa"/>
                  <w:tcBorders>
                    <w:bottom w:val="single" w:color="auto" w:sz="12" w:space="0"/>
                  </w:tcBorders>
                  <w:vAlign w:val="center"/>
                </w:tcPr>
                <w:p w14:paraId="64F64AEB">
                  <w:pPr>
                    <w:pStyle w:val="152"/>
                    <w:rPr>
                      <w:rFonts w:eastAsia="宋体" w:cs="Times New Roman"/>
                      <w:color w:val="000000"/>
                      <w:szCs w:val="21"/>
                    </w:rPr>
                  </w:pPr>
                  <w:r>
                    <w:rPr>
                      <w:rFonts w:eastAsia="宋体" w:cs="Times New Roman"/>
                      <w:color w:val="000000"/>
                      <w:szCs w:val="21"/>
                    </w:rPr>
                    <w:t>《环境监测技术规范》</w:t>
                  </w:r>
                </w:p>
              </w:tc>
              <w:tc>
                <w:tcPr>
                  <w:tcW w:w="2203" w:type="dxa"/>
                  <w:tcBorders>
                    <w:bottom w:val="single" w:color="auto" w:sz="12" w:space="0"/>
                    <w:right w:val="nil"/>
                  </w:tcBorders>
                  <w:vAlign w:val="center"/>
                </w:tcPr>
                <w:p w14:paraId="1B489223">
                  <w:pPr>
                    <w:pStyle w:val="152"/>
                    <w:rPr>
                      <w:rFonts w:eastAsia="宋体" w:cs="Times New Roman"/>
                      <w:color w:val="000000"/>
                      <w:szCs w:val="21"/>
                    </w:rPr>
                  </w:pPr>
                  <w:r>
                    <w:rPr>
                      <w:rFonts w:eastAsia="宋体" w:cs="Times New Roman"/>
                      <w:color w:val="000000"/>
                      <w:szCs w:val="21"/>
                    </w:rPr>
                    <w:t>《工业企业厂界环境噪声排放标准》（GB12348-2008）</w:t>
                  </w:r>
                  <w:r>
                    <w:rPr>
                      <w:rFonts w:hint="eastAsia" w:eastAsia="宋体" w:cs="Times New Roman"/>
                      <w:color w:val="000000"/>
                      <w:szCs w:val="21"/>
                    </w:rPr>
                    <w:t>3</w:t>
                  </w:r>
                  <w:r>
                    <w:rPr>
                      <w:rFonts w:eastAsia="宋体" w:cs="Times New Roman"/>
                      <w:color w:val="000000"/>
                      <w:szCs w:val="21"/>
                    </w:rPr>
                    <w:t>类标准</w:t>
                  </w:r>
                </w:p>
              </w:tc>
            </w:tr>
          </w:tbl>
          <w:p w14:paraId="56A0B21C">
            <w:pPr>
              <w:pStyle w:val="66"/>
              <w:ind w:firstLine="0" w:firstLineChars="0"/>
              <w:rPr>
                <w:b/>
                <w:bCs/>
                <w:kern w:val="2"/>
                <w:sz w:val="24"/>
                <w:szCs w:val="24"/>
              </w:rPr>
            </w:pPr>
            <w:r>
              <w:rPr>
                <w:b/>
                <w:bCs/>
                <w:kern w:val="2"/>
                <w:sz w:val="24"/>
                <w:szCs w:val="24"/>
              </w:rPr>
              <w:t>4.</w:t>
            </w:r>
            <w:r>
              <w:rPr>
                <w:rFonts w:hint="eastAsia"/>
                <w:b/>
                <w:bCs/>
                <w:kern w:val="2"/>
                <w:sz w:val="24"/>
                <w:szCs w:val="24"/>
              </w:rPr>
              <w:t>5</w:t>
            </w:r>
            <w:r>
              <w:rPr>
                <w:b/>
                <w:bCs/>
                <w:kern w:val="2"/>
                <w:sz w:val="24"/>
                <w:szCs w:val="24"/>
              </w:rPr>
              <w:t>固体废物核算及环保措施</w:t>
            </w:r>
          </w:p>
          <w:p w14:paraId="22FEE4E5">
            <w:pPr>
              <w:pStyle w:val="66"/>
              <w:ind w:firstLine="482"/>
              <w:rPr>
                <w:b/>
                <w:bCs/>
                <w:kern w:val="2"/>
                <w:sz w:val="24"/>
                <w:szCs w:val="24"/>
              </w:rPr>
            </w:pPr>
            <w:r>
              <w:rPr>
                <w:b/>
                <w:bCs/>
                <w:kern w:val="2"/>
                <w:sz w:val="24"/>
                <w:szCs w:val="24"/>
              </w:rPr>
              <w:t>1、固体废物核算</w:t>
            </w:r>
          </w:p>
          <w:p w14:paraId="71C50A4F">
            <w:pPr>
              <w:pStyle w:val="66"/>
              <w:ind w:firstLine="480"/>
              <w:rPr>
                <w:kern w:val="2"/>
                <w:sz w:val="24"/>
                <w:szCs w:val="24"/>
              </w:rPr>
            </w:pPr>
            <w:bookmarkStart w:id="50" w:name="_Toc2298_WPSOffice_Level2"/>
            <w:bookmarkStart w:id="51" w:name="_Toc11632"/>
            <w:bookmarkStart w:id="52" w:name="_Toc29105_WPSOffice_Level1"/>
            <w:bookmarkStart w:id="53" w:name="_Toc21865_WPSOffice_Level2"/>
            <w:r>
              <w:rPr>
                <w:rFonts w:hint="eastAsia"/>
                <w:kern w:val="2"/>
                <w:sz w:val="24"/>
                <w:szCs w:val="24"/>
              </w:rPr>
              <w:t>项目产生的固废主要为生活垃圾、一般工业固体废物。</w:t>
            </w:r>
          </w:p>
          <w:p w14:paraId="0FC80EFD">
            <w:pPr>
              <w:pStyle w:val="66"/>
              <w:ind w:firstLine="480"/>
              <w:rPr>
                <w:kern w:val="2"/>
                <w:sz w:val="24"/>
                <w:szCs w:val="24"/>
              </w:rPr>
            </w:pPr>
            <w:r>
              <w:rPr>
                <w:rFonts w:hint="eastAsia"/>
                <w:kern w:val="2"/>
                <w:sz w:val="24"/>
                <w:szCs w:val="24"/>
              </w:rPr>
              <w:t>(1)</w:t>
            </w:r>
            <w:r>
              <w:rPr>
                <w:kern w:val="2"/>
                <w:sz w:val="24"/>
                <w:szCs w:val="24"/>
              </w:rPr>
              <w:t>生活垃圾</w:t>
            </w:r>
          </w:p>
          <w:p w14:paraId="7072CD30">
            <w:pPr>
              <w:pStyle w:val="66"/>
              <w:ind w:firstLine="480"/>
              <w:rPr>
                <w:kern w:val="2"/>
                <w:sz w:val="24"/>
                <w:szCs w:val="24"/>
              </w:rPr>
            </w:pPr>
            <w:r>
              <w:rPr>
                <w:kern w:val="2"/>
                <w:sz w:val="24"/>
                <w:szCs w:val="24"/>
              </w:rPr>
              <w:t>生活垃圾主要来源于项目职工日常生活中产生的垃圾，项目</w:t>
            </w:r>
            <w:r>
              <w:rPr>
                <w:rFonts w:hint="eastAsia"/>
                <w:kern w:val="2"/>
                <w:sz w:val="24"/>
                <w:szCs w:val="24"/>
              </w:rPr>
              <w:t>劳动定员</w:t>
            </w:r>
            <w:r>
              <w:rPr>
                <w:kern w:val="2"/>
                <w:sz w:val="24"/>
                <w:szCs w:val="24"/>
              </w:rPr>
              <w:t>共</w:t>
            </w:r>
            <w:r>
              <w:rPr>
                <w:rFonts w:hint="eastAsia"/>
                <w:kern w:val="2"/>
                <w:sz w:val="24"/>
                <w:szCs w:val="24"/>
              </w:rPr>
              <w:t>80</w:t>
            </w:r>
            <w:r>
              <w:rPr>
                <w:kern w:val="2"/>
                <w:sz w:val="24"/>
                <w:szCs w:val="24"/>
              </w:rPr>
              <w:t>人，</w:t>
            </w:r>
            <w:r>
              <w:rPr>
                <w:rFonts w:hint="eastAsia"/>
                <w:kern w:val="2"/>
                <w:sz w:val="24"/>
                <w:szCs w:val="24"/>
              </w:rPr>
              <w:t>其中30人在厂区</w:t>
            </w:r>
            <w:r>
              <w:rPr>
                <w:kern w:val="2"/>
                <w:sz w:val="24"/>
                <w:szCs w:val="24"/>
              </w:rPr>
              <w:t>内</w:t>
            </w:r>
            <w:r>
              <w:rPr>
                <w:rFonts w:hint="eastAsia"/>
                <w:kern w:val="2"/>
                <w:sz w:val="24"/>
                <w:szCs w:val="24"/>
              </w:rPr>
              <w:t>食宿</w:t>
            </w:r>
            <w:r>
              <w:rPr>
                <w:kern w:val="2"/>
                <w:sz w:val="24"/>
                <w:szCs w:val="24"/>
              </w:rPr>
              <w:t>，职工生活垃圾</w:t>
            </w:r>
            <w:r>
              <w:rPr>
                <w:rFonts w:hint="eastAsia"/>
                <w:kern w:val="2"/>
                <w:sz w:val="24"/>
                <w:szCs w:val="24"/>
              </w:rPr>
              <w:t>产生量按不食宿0.5kg</w:t>
            </w:r>
            <w:r>
              <w:rPr>
                <w:kern w:val="2"/>
                <w:sz w:val="24"/>
                <w:szCs w:val="24"/>
              </w:rPr>
              <w:t>/人·天计，</w:t>
            </w:r>
            <w:r>
              <w:rPr>
                <w:rFonts w:hint="eastAsia"/>
                <w:kern w:val="2"/>
                <w:sz w:val="24"/>
                <w:szCs w:val="24"/>
              </w:rPr>
              <w:t>食宿1.0kg</w:t>
            </w:r>
            <w:r>
              <w:rPr>
                <w:kern w:val="2"/>
                <w:sz w:val="24"/>
                <w:szCs w:val="24"/>
              </w:rPr>
              <w:t>/人·天计</w:t>
            </w:r>
            <w:r>
              <w:rPr>
                <w:rFonts w:hint="eastAsia"/>
                <w:kern w:val="2"/>
                <w:sz w:val="24"/>
                <w:szCs w:val="24"/>
              </w:rPr>
              <w:t>，</w:t>
            </w:r>
            <w:r>
              <w:rPr>
                <w:kern w:val="2"/>
                <w:sz w:val="24"/>
                <w:szCs w:val="24"/>
              </w:rPr>
              <w:t>则生活垃圾产生量为</w:t>
            </w:r>
            <w:r>
              <w:rPr>
                <w:rFonts w:hint="eastAsia"/>
                <w:kern w:val="2"/>
                <w:sz w:val="24"/>
                <w:szCs w:val="24"/>
              </w:rPr>
              <w:t>55</w:t>
            </w:r>
            <w:r>
              <w:rPr>
                <w:kern w:val="2"/>
                <w:sz w:val="24"/>
                <w:szCs w:val="24"/>
              </w:rPr>
              <w:t>kg/d，年产生量约为</w:t>
            </w:r>
            <w:r>
              <w:rPr>
                <w:rFonts w:hint="eastAsia"/>
                <w:kern w:val="2"/>
                <w:sz w:val="24"/>
                <w:szCs w:val="24"/>
              </w:rPr>
              <w:t>16.5</w:t>
            </w:r>
            <w:r>
              <w:rPr>
                <w:kern w:val="2"/>
                <w:sz w:val="24"/>
                <w:szCs w:val="24"/>
              </w:rPr>
              <w:t>t(按年工作300天计)，</w:t>
            </w:r>
            <w:r>
              <w:rPr>
                <w:rFonts w:hint="eastAsia"/>
                <w:kern w:val="2"/>
                <w:sz w:val="24"/>
                <w:szCs w:val="24"/>
              </w:rPr>
              <w:t>分类</w:t>
            </w:r>
            <w:r>
              <w:rPr>
                <w:kern w:val="2"/>
                <w:sz w:val="24"/>
                <w:szCs w:val="24"/>
              </w:rPr>
              <w:t>收集</w:t>
            </w:r>
            <w:r>
              <w:rPr>
                <w:rFonts w:hint="eastAsia"/>
                <w:kern w:val="2"/>
                <w:sz w:val="24"/>
                <w:szCs w:val="24"/>
              </w:rPr>
              <w:t>于垃圾桶</w:t>
            </w:r>
            <w:r>
              <w:rPr>
                <w:kern w:val="2"/>
                <w:sz w:val="24"/>
                <w:szCs w:val="24"/>
              </w:rPr>
              <w:t>后，全部委托环卫部门定期外运统一处置。</w:t>
            </w:r>
          </w:p>
          <w:p w14:paraId="1DE3ECD1">
            <w:pPr>
              <w:pStyle w:val="66"/>
              <w:ind w:firstLine="480"/>
              <w:rPr>
                <w:kern w:val="2"/>
                <w:sz w:val="24"/>
                <w:szCs w:val="24"/>
              </w:rPr>
            </w:pPr>
            <w:r>
              <w:rPr>
                <w:rFonts w:hint="eastAsia"/>
                <w:kern w:val="2"/>
                <w:sz w:val="24"/>
                <w:szCs w:val="24"/>
              </w:rPr>
              <w:t>(2)</w:t>
            </w:r>
            <w:r>
              <w:rPr>
                <w:kern w:val="2"/>
                <w:sz w:val="24"/>
                <w:szCs w:val="24"/>
              </w:rPr>
              <w:t>一般工业</w:t>
            </w:r>
            <w:r>
              <w:rPr>
                <w:rFonts w:hint="eastAsia"/>
                <w:kern w:val="2"/>
                <w:sz w:val="24"/>
                <w:szCs w:val="24"/>
              </w:rPr>
              <w:t>固体废物</w:t>
            </w:r>
          </w:p>
          <w:p w14:paraId="77556F81">
            <w:pPr>
              <w:spacing w:line="360" w:lineRule="auto"/>
              <w:ind w:firstLine="480" w:firstLineChars="200"/>
              <w:rPr>
                <w:sz w:val="24"/>
              </w:rPr>
            </w:pPr>
            <w:r>
              <w:rPr>
                <w:rFonts w:hint="eastAsia" w:ascii="宋体" w:hAnsi="宋体" w:cs="宋体"/>
                <w:sz w:val="24"/>
              </w:rPr>
              <w:t>项目</w:t>
            </w:r>
            <w:r>
              <w:rPr>
                <w:sz w:val="24"/>
              </w:rPr>
              <w:t>一般工业</w:t>
            </w:r>
            <w:r>
              <w:rPr>
                <w:rFonts w:hint="eastAsia"/>
                <w:sz w:val="24"/>
              </w:rPr>
              <w:t>固体废物主要为沉淀池沉渣、钢筋边角料、焊渣。</w:t>
            </w:r>
          </w:p>
          <w:p w14:paraId="15B3AA2A">
            <w:pPr>
              <w:spacing w:line="360" w:lineRule="auto"/>
              <w:ind w:firstLine="480" w:firstLineChars="200"/>
              <w:rPr>
                <w:sz w:val="24"/>
              </w:rPr>
            </w:pPr>
            <w:r>
              <w:rPr>
                <w:sz w:val="24"/>
              </w:rPr>
              <w:t>①</w:t>
            </w:r>
            <w:r>
              <w:rPr>
                <w:rFonts w:hint="eastAsia"/>
                <w:sz w:val="24"/>
              </w:rPr>
              <w:t>沉淀池沉渣</w:t>
            </w:r>
          </w:p>
          <w:p w14:paraId="109DC80E">
            <w:pPr>
              <w:spacing w:line="360" w:lineRule="auto"/>
              <w:ind w:firstLine="480" w:firstLineChars="200"/>
              <w:rPr>
                <w:sz w:val="24"/>
              </w:rPr>
            </w:pPr>
            <w:r>
              <w:rPr>
                <w:sz w:val="24"/>
              </w:rPr>
              <w:t>本项目三级沉淀池会产生沉渣，预计沉渣产生量约15t/a，属于《一般固体废物分类与代码》（GB/T198-2020）中的“</w:t>
            </w:r>
            <w:r>
              <w:rPr>
                <w:rFonts w:hint="eastAsia"/>
                <w:sz w:val="24"/>
              </w:rPr>
              <w:t>61</w:t>
            </w:r>
            <w:r>
              <w:rPr>
                <w:sz w:val="24"/>
              </w:rPr>
              <w:t>无机废水污泥”类别，废物代码为302-001-61，妥善收集后回用于生产。</w:t>
            </w:r>
          </w:p>
          <w:p w14:paraId="1740C6F0">
            <w:pPr>
              <w:pStyle w:val="66"/>
              <w:ind w:firstLine="480"/>
              <w:rPr>
                <w:kern w:val="2"/>
                <w:sz w:val="24"/>
                <w:szCs w:val="24"/>
              </w:rPr>
            </w:pPr>
            <w:r>
              <w:rPr>
                <w:rFonts w:hint="eastAsia"/>
                <w:sz w:val="24"/>
              </w:rPr>
              <w:t>②</w:t>
            </w:r>
            <w:r>
              <w:rPr>
                <w:rFonts w:hint="eastAsia"/>
                <w:kern w:val="2"/>
                <w:sz w:val="24"/>
                <w:szCs w:val="24"/>
              </w:rPr>
              <w:t>钢筋边角料</w:t>
            </w:r>
          </w:p>
          <w:p w14:paraId="6C4EA35E">
            <w:pPr>
              <w:spacing w:line="360" w:lineRule="auto"/>
              <w:ind w:firstLine="480" w:firstLineChars="200"/>
              <w:rPr>
                <w:sz w:val="24"/>
              </w:rPr>
            </w:pPr>
            <w:r>
              <w:rPr>
                <w:rFonts w:hint="eastAsia"/>
                <w:sz w:val="24"/>
              </w:rPr>
              <w:t>本项目钢筋加工过程会产生钢筋边角料</w:t>
            </w:r>
            <w:r>
              <w:rPr>
                <w:sz w:val="24"/>
              </w:rPr>
              <w:t>，预计沉渣产生量约</w:t>
            </w:r>
            <w:r>
              <w:rPr>
                <w:rFonts w:hint="eastAsia"/>
                <w:sz w:val="24"/>
              </w:rPr>
              <w:t>11</w:t>
            </w:r>
            <w:r>
              <w:rPr>
                <w:sz w:val="24"/>
              </w:rPr>
              <w:t>t/a，属于《一般固体废物分类与代码》（GB/T198-2020）中的“</w:t>
            </w:r>
            <w:r>
              <w:rPr>
                <w:rFonts w:hint="eastAsia"/>
                <w:sz w:val="24"/>
              </w:rPr>
              <w:t>07废钢铁</w:t>
            </w:r>
            <w:r>
              <w:rPr>
                <w:sz w:val="24"/>
              </w:rPr>
              <w:t>”类别，废物代码为302-001-</w:t>
            </w:r>
            <w:r>
              <w:rPr>
                <w:rFonts w:hint="eastAsia"/>
                <w:sz w:val="24"/>
              </w:rPr>
              <w:t>07</w:t>
            </w:r>
            <w:r>
              <w:rPr>
                <w:sz w:val="24"/>
              </w:rPr>
              <w:t>，收集后</w:t>
            </w:r>
            <w:r>
              <w:rPr>
                <w:rFonts w:hint="eastAsia"/>
                <w:sz w:val="24"/>
              </w:rPr>
              <w:t>外售物资回收单位</w:t>
            </w:r>
            <w:r>
              <w:rPr>
                <w:sz w:val="24"/>
              </w:rPr>
              <w:t>。</w:t>
            </w:r>
          </w:p>
          <w:p w14:paraId="6E6671A3">
            <w:pPr>
              <w:pStyle w:val="66"/>
              <w:ind w:firstLine="480"/>
              <w:rPr>
                <w:kern w:val="2"/>
                <w:sz w:val="24"/>
                <w:szCs w:val="24"/>
              </w:rPr>
            </w:pPr>
            <w:r>
              <w:rPr>
                <w:sz w:val="24"/>
                <w:szCs w:val="24"/>
              </w:rPr>
              <w:t>③</w:t>
            </w:r>
            <w:r>
              <w:rPr>
                <w:rFonts w:hint="eastAsia"/>
                <w:sz w:val="24"/>
                <w:szCs w:val="24"/>
              </w:rPr>
              <w:t>焊渣</w:t>
            </w:r>
          </w:p>
          <w:p w14:paraId="113FB12C">
            <w:pPr>
              <w:spacing w:line="360" w:lineRule="auto"/>
              <w:ind w:firstLine="480" w:firstLineChars="200"/>
              <w:rPr>
                <w:sz w:val="24"/>
              </w:rPr>
            </w:pPr>
            <w:r>
              <w:rPr>
                <w:sz w:val="24"/>
              </w:rPr>
              <w:t>本项目</w:t>
            </w:r>
            <w:r>
              <w:rPr>
                <w:rFonts w:hint="eastAsia"/>
                <w:sz w:val="24"/>
              </w:rPr>
              <w:t>点焊过程会</w:t>
            </w:r>
            <w:r>
              <w:rPr>
                <w:sz w:val="24"/>
              </w:rPr>
              <w:t>产生</w:t>
            </w:r>
            <w:r>
              <w:rPr>
                <w:rFonts w:hint="eastAsia"/>
                <w:sz w:val="24"/>
              </w:rPr>
              <w:t>焊渣</w:t>
            </w:r>
            <w:r>
              <w:rPr>
                <w:sz w:val="24"/>
              </w:rPr>
              <w:t>，预计</w:t>
            </w:r>
            <w:r>
              <w:rPr>
                <w:rFonts w:hint="eastAsia"/>
                <w:sz w:val="24"/>
              </w:rPr>
              <w:t>焊渣</w:t>
            </w:r>
            <w:r>
              <w:rPr>
                <w:sz w:val="24"/>
              </w:rPr>
              <w:t>产生量约</w:t>
            </w:r>
            <w:r>
              <w:rPr>
                <w:rFonts w:hint="eastAsia"/>
                <w:sz w:val="24"/>
              </w:rPr>
              <w:t>0.04</w:t>
            </w:r>
            <w:r>
              <w:rPr>
                <w:sz w:val="24"/>
              </w:rPr>
              <w:t>t/a，属于《一般固体废物分类与代码》（GB/T198-2020）中的“</w:t>
            </w:r>
            <w:r>
              <w:rPr>
                <w:rFonts w:hint="eastAsia"/>
                <w:sz w:val="24"/>
              </w:rPr>
              <w:t>99其他废物</w:t>
            </w:r>
            <w:r>
              <w:rPr>
                <w:sz w:val="24"/>
              </w:rPr>
              <w:t>”类别，废物代码为302-001-</w:t>
            </w:r>
            <w:r>
              <w:rPr>
                <w:rFonts w:hint="eastAsia"/>
                <w:sz w:val="24"/>
              </w:rPr>
              <w:t>99</w:t>
            </w:r>
            <w:r>
              <w:rPr>
                <w:sz w:val="24"/>
              </w:rPr>
              <w:t>，收集后</w:t>
            </w:r>
            <w:r>
              <w:rPr>
                <w:rFonts w:hint="eastAsia"/>
                <w:sz w:val="24"/>
              </w:rPr>
              <w:t>外售物资回收单位</w:t>
            </w:r>
            <w:r>
              <w:rPr>
                <w:sz w:val="24"/>
              </w:rPr>
              <w:t>。</w:t>
            </w:r>
          </w:p>
          <w:p w14:paraId="6110461F">
            <w:pPr>
              <w:pStyle w:val="74"/>
              <w:rPr>
                <w:sz w:val="24"/>
              </w:rPr>
            </w:pPr>
            <w:r>
              <w:rPr>
                <w:sz w:val="24"/>
              </w:rPr>
              <w:t>表</w:t>
            </w:r>
            <w:r>
              <w:rPr>
                <w:rFonts w:hint="eastAsia"/>
                <w:sz w:val="24"/>
              </w:rPr>
              <w:t>4.5-1</w:t>
            </w:r>
            <w:r>
              <w:rPr>
                <w:sz w:val="24"/>
              </w:rPr>
              <w:t xml:space="preserve"> </w:t>
            </w:r>
            <w:r>
              <w:rPr>
                <w:rFonts w:hint="eastAsia"/>
                <w:sz w:val="24"/>
              </w:rPr>
              <w:t xml:space="preserve"> </w:t>
            </w:r>
            <w:r>
              <w:rPr>
                <w:sz w:val="24"/>
              </w:rPr>
              <w:t>项目固废产生情况及处置方式一览表</w:t>
            </w:r>
          </w:p>
          <w:tbl>
            <w:tblPr>
              <w:tblStyle w:val="3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403"/>
              <w:gridCol w:w="735"/>
              <w:gridCol w:w="1033"/>
              <w:gridCol w:w="857"/>
              <w:gridCol w:w="795"/>
              <w:gridCol w:w="795"/>
              <w:gridCol w:w="2128"/>
            </w:tblGrid>
            <w:tr w14:paraId="73E931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14:paraId="52ADCA2A">
                  <w:pPr>
                    <w:pStyle w:val="120"/>
                  </w:pPr>
                  <w:r>
                    <w:rPr>
                      <w:rFonts w:hint="eastAsia"/>
                    </w:rPr>
                    <w:t>序号</w:t>
                  </w:r>
                </w:p>
              </w:tc>
              <w:tc>
                <w:tcPr>
                  <w:tcW w:w="1403" w:type="dxa"/>
                  <w:tcBorders>
                    <w:tl2br w:val="nil"/>
                    <w:tr2bl w:val="nil"/>
                  </w:tcBorders>
                  <w:vAlign w:val="center"/>
                </w:tcPr>
                <w:p w14:paraId="491A910E">
                  <w:pPr>
                    <w:pStyle w:val="120"/>
                  </w:pPr>
                  <w:r>
                    <w:t>固废种类</w:t>
                  </w:r>
                </w:p>
              </w:tc>
              <w:tc>
                <w:tcPr>
                  <w:tcW w:w="735" w:type="dxa"/>
                  <w:tcBorders>
                    <w:tl2br w:val="nil"/>
                    <w:tr2bl w:val="nil"/>
                  </w:tcBorders>
                  <w:vAlign w:val="center"/>
                </w:tcPr>
                <w:p w14:paraId="5A5C901A">
                  <w:pPr>
                    <w:pStyle w:val="120"/>
                  </w:pPr>
                  <w:r>
                    <w:t>废物类别</w:t>
                  </w:r>
                </w:p>
              </w:tc>
              <w:tc>
                <w:tcPr>
                  <w:tcW w:w="1033" w:type="dxa"/>
                  <w:tcBorders>
                    <w:tl2br w:val="nil"/>
                    <w:tr2bl w:val="nil"/>
                  </w:tcBorders>
                  <w:vAlign w:val="center"/>
                </w:tcPr>
                <w:p w14:paraId="2F7D8710">
                  <w:pPr>
                    <w:pStyle w:val="120"/>
                  </w:pPr>
                  <w:r>
                    <w:rPr>
                      <w:rFonts w:hint="eastAsia"/>
                    </w:rPr>
                    <w:t>废物</w:t>
                  </w:r>
                </w:p>
                <w:p w14:paraId="43659FD8">
                  <w:pPr>
                    <w:pStyle w:val="120"/>
                  </w:pPr>
                  <w:r>
                    <w:rPr>
                      <w:rFonts w:hint="eastAsia"/>
                    </w:rPr>
                    <w:t>类别</w:t>
                  </w:r>
                </w:p>
              </w:tc>
              <w:tc>
                <w:tcPr>
                  <w:tcW w:w="857" w:type="dxa"/>
                  <w:tcBorders>
                    <w:tl2br w:val="nil"/>
                    <w:tr2bl w:val="nil"/>
                  </w:tcBorders>
                  <w:vAlign w:val="center"/>
                </w:tcPr>
                <w:p w14:paraId="1FE13041">
                  <w:pPr>
                    <w:pStyle w:val="120"/>
                  </w:pPr>
                  <w:r>
                    <w:rPr>
                      <w:rFonts w:hint="eastAsia"/>
                    </w:rPr>
                    <w:t>废物</w:t>
                  </w:r>
                </w:p>
                <w:p w14:paraId="1E3994D5">
                  <w:pPr>
                    <w:pStyle w:val="120"/>
                  </w:pPr>
                  <w:r>
                    <w:rPr>
                      <w:rFonts w:hint="eastAsia"/>
                    </w:rPr>
                    <w:t>代码</w:t>
                  </w:r>
                </w:p>
              </w:tc>
              <w:tc>
                <w:tcPr>
                  <w:tcW w:w="795" w:type="dxa"/>
                  <w:tcBorders>
                    <w:tl2br w:val="nil"/>
                    <w:tr2bl w:val="nil"/>
                  </w:tcBorders>
                  <w:vAlign w:val="center"/>
                </w:tcPr>
                <w:p w14:paraId="779AEA70">
                  <w:pPr>
                    <w:pStyle w:val="120"/>
                  </w:pPr>
                  <w:r>
                    <w:t>产生量t/a</w:t>
                  </w:r>
                </w:p>
              </w:tc>
              <w:tc>
                <w:tcPr>
                  <w:tcW w:w="795" w:type="dxa"/>
                  <w:tcBorders>
                    <w:tl2br w:val="nil"/>
                    <w:tr2bl w:val="nil"/>
                  </w:tcBorders>
                  <w:vAlign w:val="center"/>
                </w:tcPr>
                <w:p w14:paraId="2C0FFF13">
                  <w:pPr>
                    <w:pStyle w:val="120"/>
                  </w:pPr>
                  <w:r>
                    <w:t>排放量t/a</w:t>
                  </w:r>
                </w:p>
              </w:tc>
              <w:tc>
                <w:tcPr>
                  <w:tcW w:w="2128" w:type="dxa"/>
                  <w:tcBorders>
                    <w:tl2br w:val="nil"/>
                    <w:tr2bl w:val="nil"/>
                  </w:tcBorders>
                  <w:vAlign w:val="center"/>
                </w:tcPr>
                <w:p w14:paraId="0BD624A6">
                  <w:pPr>
                    <w:pStyle w:val="120"/>
                  </w:pPr>
                  <w:r>
                    <w:t>最终处置方式</w:t>
                  </w:r>
                </w:p>
              </w:tc>
            </w:tr>
            <w:tr w14:paraId="0B562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14:paraId="0369FB42">
                  <w:pPr>
                    <w:pStyle w:val="120"/>
                  </w:pPr>
                  <w:r>
                    <w:rPr>
                      <w:rFonts w:hint="eastAsia"/>
                    </w:rPr>
                    <w:t>1</w:t>
                  </w:r>
                </w:p>
              </w:tc>
              <w:tc>
                <w:tcPr>
                  <w:tcW w:w="1403" w:type="dxa"/>
                  <w:tcBorders>
                    <w:tl2br w:val="nil"/>
                    <w:tr2bl w:val="nil"/>
                  </w:tcBorders>
                  <w:vAlign w:val="center"/>
                </w:tcPr>
                <w:p w14:paraId="3B085169">
                  <w:pPr>
                    <w:pStyle w:val="120"/>
                  </w:pPr>
                  <w:r>
                    <w:t>生活垃圾</w:t>
                  </w:r>
                </w:p>
              </w:tc>
              <w:tc>
                <w:tcPr>
                  <w:tcW w:w="735" w:type="dxa"/>
                  <w:tcBorders>
                    <w:tl2br w:val="nil"/>
                    <w:tr2bl w:val="nil"/>
                  </w:tcBorders>
                  <w:vAlign w:val="center"/>
                </w:tcPr>
                <w:p w14:paraId="368D302C">
                  <w:pPr>
                    <w:pStyle w:val="120"/>
                  </w:pPr>
                  <w:r>
                    <w:t>生活垃圾</w:t>
                  </w:r>
                </w:p>
              </w:tc>
              <w:tc>
                <w:tcPr>
                  <w:tcW w:w="1033" w:type="dxa"/>
                  <w:tcBorders>
                    <w:tl2br w:val="nil"/>
                    <w:tr2bl w:val="nil"/>
                  </w:tcBorders>
                  <w:vAlign w:val="center"/>
                </w:tcPr>
                <w:p w14:paraId="286F5207">
                  <w:pPr>
                    <w:pStyle w:val="120"/>
                  </w:pPr>
                  <w:r>
                    <w:rPr>
                      <w:rFonts w:hint="eastAsia"/>
                    </w:rPr>
                    <w:t>/</w:t>
                  </w:r>
                </w:p>
              </w:tc>
              <w:tc>
                <w:tcPr>
                  <w:tcW w:w="857" w:type="dxa"/>
                  <w:tcBorders>
                    <w:tl2br w:val="nil"/>
                    <w:tr2bl w:val="nil"/>
                  </w:tcBorders>
                  <w:vAlign w:val="center"/>
                </w:tcPr>
                <w:p w14:paraId="256DED65">
                  <w:pPr>
                    <w:pStyle w:val="120"/>
                  </w:pPr>
                  <w:r>
                    <w:rPr>
                      <w:rFonts w:hint="eastAsia"/>
                    </w:rPr>
                    <w:t>/</w:t>
                  </w:r>
                </w:p>
              </w:tc>
              <w:tc>
                <w:tcPr>
                  <w:tcW w:w="795" w:type="dxa"/>
                  <w:tcBorders>
                    <w:tl2br w:val="nil"/>
                    <w:tr2bl w:val="nil"/>
                  </w:tcBorders>
                  <w:shd w:val="clear" w:color="auto" w:fill="auto"/>
                  <w:vAlign w:val="center"/>
                </w:tcPr>
                <w:p w14:paraId="6AF13AA2">
                  <w:pPr>
                    <w:pStyle w:val="120"/>
                  </w:pPr>
                  <w:r>
                    <w:rPr>
                      <w:rFonts w:hint="eastAsia"/>
                    </w:rPr>
                    <w:t>16.5</w:t>
                  </w:r>
                </w:p>
              </w:tc>
              <w:tc>
                <w:tcPr>
                  <w:tcW w:w="795" w:type="dxa"/>
                  <w:tcBorders>
                    <w:tl2br w:val="nil"/>
                    <w:tr2bl w:val="nil"/>
                  </w:tcBorders>
                  <w:vAlign w:val="center"/>
                </w:tcPr>
                <w:p w14:paraId="374273BE">
                  <w:pPr>
                    <w:pStyle w:val="120"/>
                  </w:pPr>
                  <w:r>
                    <w:t>0</w:t>
                  </w:r>
                </w:p>
              </w:tc>
              <w:tc>
                <w:tcPr>
                  <w:tcW w:w="2128" w:type="dxa"/>
                  <w:tcBorders>
                    <w:tl2br w:val="nil"/>
                    <w:tr2bl w:val="nil"/>
                  </w:tcBorders>
                  <w:vAlign w:val="center"/>
                </w:tcPr>
                <w:p w14:paraId="09E42776">
                  <w:pPr>
                    <w:pStyle w:val="120"/>
                  </w:pPr>
                  <w:r>
                    <w:t>经生活垃圾桶分类收集后委托环卫部门统一清运处理</w:t>
                  </w:r>
                </w:p>
              </w:tc>
            </w:tr>
            <w:tr w14:paraId="4AA921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14:paraId="0D81F547">
                  <w:pPr>
                    <w:pStyle w:val="120"/>
                  </w:pPr>
                  <w:r>
                    <w:rPr>
                      <w:rFonts w:hint="eastAsia"/>
                    </w:rPr>
                    <w:t>2</w:t>
                  </w:r>
                </w:p>
              </w:tc>
              <w:tc>
                <w:tcPr>
                  <w:tcW w:w="1403" w:type="dxa"/>
                  <w:tcBorders>
                    <w:tl2br w:val="nil"/>
                    <w:tr2bl w:val="nil"/>
                  </w:tcBorders>
                  <w:vAlign w:val="center"/>
                </w:tcPr>
                <w:p w14:paraId="03F0002B">
                  <w:pPr>
                    <w:pStyle w:val="120"/>
                  </w:pPr>
                  <w:r>
                    <w:rPr>
                      <w:rFonts w:hint="eastAsia"/>
                    </w:rPr>
                    <w:t>沉淀池沉渣</w:t>
                  </w:r>
                </w:p>
              </w:tc>
              <w:tc>
                <w:tcPr>
                  <w:tcW w:w="735" w:type="dxa"/>
                  <w:vMerge w:val="restart"/>
                  <w:tcBorders>
                    <w:tl2br w:val="nil"/>
                    <w:tr2bl w:val="nil"/>
                  </w:tcBorders>
                  <w:vAlign w:val="center"/>
                </w:tcPr>
                <w:p w14:paraId="063B3273">
                  <w:pPr>
                    <w:pStyle w:val="120"/>
                  </w:pPr>
                  <w:r>
                    <w:rPr>
                      <w:rFonts w:hint="eastAsia"/>
                    </w:rPr>
                    <w:t>一般固废</w:t>
                  </w:r>
                </w:p>
              </w:tc>
              <w:tc>
                <w:tcPr>
                  <w:tcW w:w="1033" w:type="dxa"/>
                  <w:tcBorders>
                    <w:tl2br w:val="nil"/>
                    <w:tr2bl w:val="nil"/>
                  </w:tcBorders>
                  <w:shd w:val="clear" w:color="auto" w:fill="auto"/>
                  <w:vAlign w:val="center"/>
                </w:tcPr>
                <w:p w14:paraId="4CCB46FB">
                  <w:pPr>
                    <w:pStyle w:val="120"/>
                  </w:pPr>
                  <w:r>
                    <w:t>61无机废水污泥</w:t>
                  </w:r>
                </w:p>
              </w:tc>
              <w:tc>
                <w:tcPr>
                  <w:tcW w:w="857" w:type="dxa"/>
                  <w:tcBorders>
                    <w:tl2br w:val="nil"/>
                    <w:tr2bl w:val="nil"/>
                  </w:tcBorders>
                  <w:vAlign w:val="center"/>
                </w:tcPr>
                <w:p w14:paraId="6FA7A365">
                  <w:pPr>
                    <w:pStyle w:val="120"/>
                  </w:pPr>
                  <w:r>
                    <w:rPr>
                      <w:rFonts w:hint="eastAsia"/>
                    </w:rPr>
                    <w:t>302-001-61</w:t>
                  </w:r>
                </w:p>
              </w:tc>
              <w:tc>
                <w:tcPr>
                  <w:tcW w:w="795" w:type="dxa"/>
                  <w:tcBorders>
                    <w:tl2br w:val="nil"/>
                    <w:tr2bl w:val="nil"/>
                  </w:tcBorders>
                  <w:shd w:val="clear" w:color="auto" w:fill="auto"/>
                  <w:vAlign w:val="center"/>
                </w:tcPr>
                <w:p w14:paraId="3827A156">
                  <w:pPr>
                    <w:pStyle w:val="120"/>
                  </w:pPr>
                  <w:r>
                    <w:rPr>
                      <w:rFonts w:hint="eastAsia"/>
                    </w:rPr>
                    <w:t>15</w:t>
                  </w:r>
                </w:p>
              </w:tc>
              <w:tc>
                <w:tcPr>
                  <w:tcW w:w="795" w:type="dxa"/>
                  <w:tcBorders>
                    <w:tl2br w:val="nil"/>
                    <w:tr2bl w:val="nil"/>
                  </w:tcBorders>
                  <w:vAlign w:val="center"/>
                </w:tcPr>
                <w:p w14:paraId="6D9D3B00">
                  <w:pPr>
                    <w:pStyle w:val="120"/>
                  </w:pPr>
                  <w:r>
                    <w:rPr>
                      <w:rFonts w:hint="eastAsia"/>
                    </w:rPr>
                    <w:t>0</w:t>
                  </w:r>
                </w:p>
              </w:tc>
              <w:tc>
                <w:tcPr>
                  <w:tcW w:w="2128" w:type="dxa"/>
                  <w:tcBorders>
                    <w:tl2br w:val="nil"/>
                    <w:tr2bl w:val="nil"/>
                  </w:tcBorders>
                  <w:vAlign w:val="center"/>
                </w:tcPr>
                <w:p w14:paraId="53595CF7">
                  <w:pPr>
                    <w:pStyle w:val="120"/>
                  </w:pPr>
                  <w:r>
                    <w:rPr>
                      <w:rFonts w:hint="eastAsia"/>
                    </w:rPr>
                    <w:t>妥善收集后回用生产</w:t>
                  </w:r>
                </w:p>
              </w:tc>
            </w:tr>
            <w:tr w14:paraId="59B1E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14:paraId="1BCBE2DC">
                  <w:pPr>
                    <w:pStyle w:val="120"/>
                  </w:pPr>
                  <w:r>
                    <w:rPr>
                      <w:rFonts w:hint="eastAsia"/>
                    </w:rPr>
                    <w:t>3</w:t>
                  </w:r>
                </w:p>
              </w:tc>
              <w:tc>
                <w:tcPr>
                  <w:tcW w:w="1403" w:type="dxa"/>
                  <w:tcBorders>
                    <w:tl2br w:val="nil"/>
                    <w:tr2bl w:val="nil"/>
                  </w:tcBorders>
                  <w:vAlign w:val="center"/>
                </w:tcPr>
                <w:p w14:paraId="75BF2200">
                  <w:pPr>
                    <w:pStyle w:val="120"/>
                  </w:pPr>
                  <w:r>
                    <w:rPr>
                      <w:rFonts w:hint="eastAsia"/>
                    </w:rPr>
                    <w:t>钢筋边角料</w:t>
                  </w:r>
                </w:p>
              </w:tc>
              <w:tc>
                <w:tcPr>
                  <w:tcW w:w="735" w:type="dxa"/>
                  <w:vMerge w:val="continue"/>
                  <w:tcBorders>
                    <w:tl2br w:val="nil"/>
                    <w:tr2bl w:val="nil"/>
                  </w:tcBorders>
                  <w:vAlign w:val="center"/>
                </w:tcPr>
                <w:p w14:paraId="6BDBF429">
                  <w:pPr>
                    <w:pStyle w:val="120"/>
                  </w:pPr>
                </w:p>
              </w:tc>
              <w:tc>
                <w:tcPr>
                  <w:tcW w:w="1033" w:type="dxa"/>
                  <w:tcBorders>
                    <w:tl2br w:val="nil"/>
                    <w:tr2bl w:val="nil"/>
                  </w:tcBorders>
                  <w:shd w:val="clear" w:color="auto" w:fill="auto"/>
                  <w:vAlign w:val="center"/>
                </w:tcPr>
                <w:p w14:paraId="6FB639F0">
                  <w:pPr>
                    <w:pStyle w:val="120"/>
                  </w:pPr>
                  <w:r>
                    <w:t>07废钢铁</w:t>
                  </w:r>
                </w:p>
              </w:tc>
              <w:tc>
                <w:tcPr>
                  <w:tcW w:w="857" w:type="dxa"/>
                  <w:tcBorders>
                    <w:tl2br w:val="nil"/>
                    <w:tr2bl w:val="nil"/>
                  </w:tcBorders>
                  <w:vAlign w:val="center"/>
                </w:tcPr>
                <w:p w14:paraId="37A69169">
                  <w:pPr>
                    <w:pStyle w:val="120"/>
                  </w:pPr>
                  <w:r>
                    <w:rPr>
                      <w:rFonts w:hint="eastAsia"/>
                    </w:rPr>
                    <w:t>302-001-07</w:t>
                  </w:r>
                </w:p>
              </w:tc>
              <w:tc>
                <w:tcPr>
                  <w:tcW w:w="795" w:type="dxa"/>
                  <w:tcBorders>
                    <w:tl2br w:val="nil"/>
                    <w:tr2bl w:val="nil"/>
                  </w:tcBorders>
                  <w:shd w:val="clear" w:color="auto" w:fill="auto"/>
                  <w:vAlign w:val="center"/>
                </w:tcPr>
                <w:p w14:paraId="4F123542">
                  <w:pPr>
                    <w:pStyle w:val="120"/>
                  </w:pPr>
                  <w:r>
                    <w:rPr>
                      <w:rFonts w:hint="eastAsia"/>
                    </w:rPr>
                    <w:t>11</w:t>
                  </w:r>
                </w:p>
              </w:tc>
              <w:tc>
                <w:tcPr>
                  <w:tcW w:w="795" w:type="dxa"/>
                  <w:tcBorders>
                    <w:tl2br w:val="nil"/>
                    <w:tr2bl w:val="nil"/>
                  </w:tcBorders>
                  <w:vAlign w:val="center"/>
                </w:tcPr>
                <w:p w14:paraId="49E4BA06">
                  <w:pPr>
                    <w:pStyle w:val="120"/>
                  </w:pPr>
                  <w:r>
                    <w:rPr>
                      <w:rFonts w:hint="eastAsia"/>
                    </w:rPr>
                    <w:t>0</w:t>
                  </w:r>
                </w:p>
              </w:tc>
              <w:tc>
                <w:tcPr>
                  <w:tcW w:w="2128" w:type="dxa"/>
                  <w:vMerge w:val="restart"/>
                  <w:tcBorders>
                    <w:tl2br w:val="nil"/>
                    <w:tr2bl w:val="nil"/>
                  </w:tcBorders>
                  <w:vAlign w:val="center"/>
                </w:tcPr>
                <w:p w14:paraId="6E8057FA">
                  <w:pPr>
                    <w:pStyle w:val="120"/>
                  </w:pPr>
                  <w:r>
                    <w:rPr>
                      <w:rFonts w:hint="eastAsia"/>
                    </w:rPr>
                    <w:t>分类收集暂存于一般固废暂存区，外售物资回收单位</w:t>
                  </w:r>
                </w:p>
              </w:tc>
            </w:tr>
            <w:tr w14:paraId="33D2D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l2br w:val="nil"/>
                    <w:tr2bl w:val="nil"/>
                  </w:tcBorders>
                  <w:vAlign w:val="center"/>
                </w:tcPr>
                <w:p w14:paraId="29D88C44">
                  <w:pPr>
                    <w:pStyle w:val="120"/>
                  </w:pPr>
                  <w:r>
                    <w:rPr>
                      <w:rFonts w:hint="eastAsia"/>
                    </w:rPr>
                    <w:t>4</w:t>
                  </w:r>
                </w:p>
              </w:tc>
              <w:tc>
                <w:tcPr>
                  <w:tcW w:w="1403" w:type="dxa"/>
                  <w:tcBorders>
                    <w:tl2br w:val="nil"/>
                    <w:tr2bl w:val="nil"/>
                  </w:tcBorders>
                  <w:vAlign w:val="center"/>
                </w:tcPr>
                <w:p w14:paraId="3DD831F3">
                  <w:pPr>
                    <w:pStyle w:val="120"/>
                  </w:pPr>
                  <w:r>
                    <w:rPr>
                      <w:rFonts w:hint="eastAsia"/>
                    </w:rPr>
                    <w:t>焊渣</w:t>
                  </w:r>
                </w:p>
              </w:tc>
              <w:tc>
                <w:tcPr>
                  <w:tcW w:w="735" w:type="dxa"/>
                  <w:vMerge w:val="continue"/>
                  <w:tcBorders>
                    <w:tl2br w:val="nil"/>
                    <w:tr2bl w:val="nil"/>
                  </w:tcBorders>
                  <w:vAlign w:val="center"/>
                </w:tcPr>
                <w:p w14:paraId="15AEBD40">
                  <w:pPr>
                    <w:pStyle w:val="120"/>
                  </w:pPr>
                </w:p>
              </w:tc>
              <w:tc>
                <w:tcPr>
                  <w:tcW w:w="1033" w:type="dxa"/>
                  <w:tcBorders>
                    <w:tl2br w:val="nil"/>
                    <w:tr2bl w:val="nil"/>
                  </w:tcBorders>
                  <w:shd w:val="clear" w:color="auto" w:fill="auto"/>
                  <w:vAlign w:val="center"/>
                </w:tcPr>
                <w:p w14:paraId="746E0AE0">
                  <w:pPr>
                    <w:pStyle w:val="120"/>
                  </w:pPr>
                  <w:r>
                    <w:t>99其他废物</w:t>
                  </w:r>
                </w:p>
              </w:tc>
              <w:tc>
                <w:tcPr>
                  <w:tcW w:w="857" w:type="dxa"/>
                  <w:tcBorders>
                    <w:tl2br w:val="nil"/>
                    <w:tr2bl w:val="nil"/>
                  </w:tcBorders>
                  <w:vAlign w:val="center"/>
                </w:tcPr>
                <w:p w14:paraId="03412E2C">
                  <w:pPr>
                    <w:pStyle w:val="120"/>
                  </w:pPr>
                  <w:r>
                    <w:rPr>
                      <w:rFonts w:hint="eastAsia"/>
                    </w:rPr>
                    <w:t>302-001-99</w:t>
                  </w:r>
                </w:p>
              </w:tc>
              <w:tc>
                <w:tcPr>
                  <w:tcW w:w="795" w:type="dxa"/>
                  <w:tcBorders>
                    <w:tl2br w:val="nil"/>
                    <w:tr2bl w:val="nil"/>
                  </w:tcBorders>
                  <w:shd w:val="clear" w:color="auto" w:fill="auto"/>
                  <w:vAlign w:val="center"/>
                </w:tcPr>
                <w:p w14:paraId="0325EAF2">
                  <w:pPr>
                    <w:pStyle w:val="120"/>
                  </w:pPr>
                  <w:r>
                    <w:rPr>
                      <w:rFonts w:hint="eastAsia"/>
                    </w:rPr>
                    <w:t>0.04</w:t>
                  </w:r>
                </w:p>
              </w:tc>
              <w:tc>
                <w:tcPr>
                  <w:tcW w:w="795" w:type="dxa"/>
                  <w:tcBorders>
                    <w:tl2br w:val="nil"/>
                    <w:tr2bl w:val="nil"/>
                  </w:tcBorders>
                  <w:vAlign w:val="center"/>
                </w:tcPr>
                <w:p w14:paraId="25D2B58C">
                  <w:pPr>
                    <w:pStyle w:val="120"/>
                  </w:pPr>
                  <w:r>
                    <w:rPr>
                      <w:rFonts w:hint="eastAsia"/>
                    </w:rPr>
                    <w:t>0</w:t>
                  </w:r>
                </w:p>
              </w:tc>
              <w:tc>
                <w:tcPr>
                  <w:tcW w:w="2128" w:type="dxa"/>
                  <w:vMerge w:val="continue"/>
                  <w:tcBorders>
                    <w:tl2br w:val="nil"/>
                    <w:tr2bl w:val="nil"/>
                  </w:tcBorders>
                  <w:vAlign w:val="center"/>
                </w:tcPr>
                <w:p w14:paraId="210585BF">
                  <w:pPr>
                    <w:pStyle w:val="120"/>
                  </w:pPr>
                </w:p>
              </w:tc>
            </w:tr>
            <w:bookmarkEnd w:id="50"/>
            <w:bookmarkEnd w:id="51"/>
            <w:bookmarkEnd w:id="52"/>
            <w:bookmarkEnd w:id="53"/>
          </w:tbl>
          <w:p w14:paraId="1CC3BAE1">
            <w:pPr>
              <w:pStyle w:val="66"/>
              <w:ind w:firstLine="482"/>
              <w:rPr>
                <w:b/>
                <w:bCs/>
                <w:kern w:val="2"/>
                <w:sz w:val="24"/>
                <w:szCs w:val="24"/>
              </w:rPr>
            </w:pPr>
            <w:bookmarkStart w:id="54" w:name="_Toc29578_WPSOffice_Level3"/>
            <w:r>
              <w:rPr>
                <w:rFonts w:hint="eastAsia"/>
                <w:b/>
                <w:bCs/>
                <w:kern w:val="2"/>
                <w:sz w:val="24"/>
                <w:szCs w:val="24"/>
              </w:rPr>
              <w:t>2</w:t>
            </w:r>
            <w:r>
              <w:rPr>
                <w:b/>
                <w:bCs/>
                <w:kern w:val="2"/>
                <w:sz w:val="24"/>
                <w:szCs w:val="24"/>
              </w:rPr>
              <w:t>、</w:t>
            </w:r>
            <w:r>
              <w:rPr>
                <w:rFonts w:hint="eastAsia"/>
                <w:b/>
                <w:bCs/>
                <w:kern w:val="2"/>
                <w:sz w:val="24"/>
                <w:szCs w:val="24"/>
              </w:rPr>
              <w:t>固体废物环境管理要求</w:t>
            </w:r>
          </w:p>
          <w:p w14:paraId="5369A984">
            <w:pPr>
              <w:pStyle w:val="66"/>
              <w:ind w:firstLine="480"/>
              <w:rPr>
                <w:kern w:val="2"/>
                <w:sz w:val="24"/>
                <w:szCs w:val="24"/>
              </w:rPr>
            </w:pPr>
            <w:r>
              <w:rPr>
                <w:rFonts w:hint="eastAsia"/>
                <w:kern w:val="2"/>
                <w:sz w:val="24"/>
                <w:szCs w:val="24"/>
              </w:rPr>
              <w:t>(1)生活垃圾</w:t>
            </w:r>
          </w:p>
          <w:p w14:paraId="00B3B628">
            <w:pPr>
              <w:pStyle w:val="66"/>
              <w:ind w:firstLine="480"/>
              <w:rPr>
                <w:kern w:val="2"/>
                <w:sz w:val="24"/>
                <w:szCs w:val="24"/>
              </w:rPr>
            </w:pPr>
            <w:r>
              <w:rPr>
                <w:rFonts w:hint="eastAsia"/>
                <w:kern w:val="2"/>
                <w:sz w:val="24"/>
                <w:szCs w:val="24"/>
              </w:rPr>
              <w:t>生活垃圾经分类收集后，每天由环卫部门上门清运，堆放点定期消毒、灭蝇、灭虫，避免对工作人员造成影响。</w:t>
            </w:r>
          </w:p>
          <w:p w14:paraId="0A705702">
            <w:pPr>
              <w:pStyle w:val="66"/>
              <w:ind w:firstLine="480"/>
              <w:rPr>
                <w:kern w:val="2"/>
                <w:sz w:val="24"/>
                <w:szCs w:val="24"/>
              </w:rPr>
            </w:pPr>
            <w:r>
              <w:rPr>
                <w:rFonts w:hint="eastAsia"/>
                <w:kern w:val="2"/>
                <w:sz w:val="24"/>
                <w:szCs w:val="24"/>
              </w:rPr>
              <w:t>(2)一般工业固体废物</w:t>
            </w:r>
          </w:p>
          <w:p w14:paraId="6775AD3C">
            <w:pPr>
              <w:pStyle w:val="66"/>
              <w:ind w:firstLine="480"/>
              <w:rPr>
                <w:kern w:val="2"/>
                <w:sz w:val="24"/>
                <w:szCs w:val="24"/>
              </w:rPr>
            </w:pPr>
            <w:r>
              <w:rPr>
                <w:rFonts w:hint="eastAsia"/>
                <w:kern w:val="2"/>
                <w:sz w:val="24"/>
                <w:szCs w:val="24"/>
              </w:rPr>
              <w:t>生产过程产生的钢筋边角料、焊渣为一般工业固废，临时贮存于一般固废的暂存场所，定期交由专业回收公司处置。暂存场应有明显的标志，要有防雨、防渗漏、防风设施，堆放周期不宜过长，并做好运输途中防泄漏、防洒落措施。</w:t>
            </w:r>
          </w:p>
          <w:bookmarkEnd w:id="54"/>
          <w:p w14:paraId="65438685">
            <w:pPr>
              <w:pStyle w:val="66"/>
              <w:spacing w:before="120"/>
              <w:ind w:firstLine="0" w:firstLineChars="0"/>
              <w:rPr>
                <w:b/>
                <w:bCs/>
                <w:kern w:val="2"/>
                <w:sz w:val="24"/>
                <w:szCs w:val="24"/>
              </w:rPr>
            </w:pPr>
            <w:bookmarkStart w:id="55" w:name="_Toc10293"/>
            <w:r>
              <w:rPr>
                <w:b/>
                <w:bCs/>
                <w:kern w:val="2"/>
                <w:sz w:val="24"/>
                <w:szCs w:val="24"/>
              </w:rPr>
              <w:t>4.</w:t>
            </w:r>
            <w:r>
              <w:rPr>
                <w:rFonts w:hint="eastAsia"/>
                <w:b/>
                <w:bCs/>
                <w:kern w:val="2"/>
                <w:sz w:val="24"/>
                <w:szCs w:val="24"/>
              </w:rPr>
              <w:t>6</w:t>
            </w:r>
            <w:r>
              <w:rPr>
                <w:b/>
                <w:bCs/>
                <w:kern w:val="2"/>
                <w:sz w:val="24"/>
                <w:szCs w:val="24"/>
              </w:rPr>
              <w:t>土壤环境影响分析</w:t>
            </w:r>
            <w:bookmarkEnd w:id="55"/>
          </w:p>
          <w:p w14:paraId="6355A373">
            <w:pPr>
              <w:pStyle w:val="126"/>
              <w:widowControl/>
            </w:pPr>
            <w:r>
              <w:t>根据《环境影响评价技术导则 土壤环境（试行）》（HJ964-2018）附录A，本项目属于“金属冶炼和压延加工及非金属矿物制品中的“其他”类，土壤环境影响评价项目为</w:t>
            </w:r>
            <w:r>
              <w:fldChar w:fldCharType="begin"/>
            </w:r>
            <w:r>
              <w:instrText xml:space="preserve"> = 4 \* ROMAN \* MERGEFORMAT </w:instrText>
            </w:r>
            <w:r>
              <w:fldChar w:fldCharType="separate"/>
            </w:r>
            <w:r>
              <w:fldChar w:fldCharType="begin"/>
            </w:r>
            <w:r>
              <w:instrText xml:space="preserve"> = 3 \* ROMAN \* MERGEFORMAT </w:instrText>
            </w:r>
            <w:r>
              <w:fldChar w:fldCharType="separate"/>
            </w:r>
            <w:r>
              <w:t>III</w:t>
            </w:r>
            <w:r>
              <w:fldChar w:fldCharType="end"/>
            </w:r>
            <w:r>
              <w:fldChar w:fldCharType="end"/>
            </w:r>
            <w:r>
              <w:t>类。项目占地面积</w:t>
            </w:r>
            <w:r>
              <w:rPr>
                <w:rFonts w:hint="eastAsia"/>
              </w:rPr>
              <w:t>40000</w:t>
            </w:r>
            <w:r>
              <w:t>m</w:t>
            </w:r>
            <w:r>
              <w:rPr>
                <w:vertAlign w:val="superscript"/>
              </w:rPr>
              <w:t>2</w:t>
            </w:r>
            <w:r>
              <w:t>（≤5hm</w:t>
            </w:r>
            <w:r>
              <w:rPr>
                <w:vertAlign w:val="superscript"/>
              </w:rPr>
              <w:t>2</w:t>
            </w:r>
            <w:r>
              <w:t>），占地规模属于小型（≤5hm</w:t>
            </w:r>
            <w:r>
              <w:rPr>
                <w:vertAlign w:val="superscript"/>
              </w:rPr>
              <w:t>2</w:t>
            </w:r>
            <w:r>
              <w:t>）。根据《环境影响评价技术导则 土壤环境（试行）》(HJ964-2018)表3污染影响型敏感程度分级表，项目属于表中“其他情况”，敏感程度为“不敏感”。综上，项目评价工作等级属于“Ⅲ类小型不敏感区”，故项目可不开展土壤环境影响评价工作</w:t>
            </w:r>
            <w:r>
              <w:rPr>
                <w:rFonts w:hint="eastAsia"/>
              </w:rPr>
              <w:t>。</w:t>
            </w:r>
          </w:p>
          <w:p w14:paraId="5D6963A2">
            <w:pPr>
              <w:spacing w:line="360" w:lineRule="auto"/>
              <w:ind w:firstLine="480" w:firstLineChars="200"/>
              <w:rPr>
                <w:sz w:val="24"/>
              </w:rPr>
            </w:pPr>
            <w:r>
              <w:rPr>
                <w:sz w:val="24"/>
              </w:rPr>
              <w:t>根据</w:t>
            </w:r>
            <w:r>
              <w:rPr>
                <w:bCs/>
                <w:sz w:val="24"/>
              </w:rPr>
              <w:t>《环境影响评价技术导则</w:t>
            </w:r>
            <w:r>
              <w:rPr>
                <w:rFonts w:hint="eastAsia"/>
                <w:bCs/>
                <w:sz w:val="24"/>
              </w:rPr>
              <w:t xml:space="preserve"> </w:t>
            </w:r>
            <w:r>
              <w:rPr>
                <w:bCs/>
                <w:sz w:val="24"/>
              </w:rPr>
              <w:t>土壤环境（试行）》（HJ964-2018）</w:t>
            </w:r>
            <w:r>
              <w:rPr>
                <w:sz w:val="24"/>
              </w:rPr>
              <w:t>，污染影响类项目涉及大气沉降影响的，占地范围内应采取绿化措施，以种植具有较强吸附能力的植物为主；涉及地面漫流影响，应根据建设项目所在地的地形特点优化地面布局，必要时设置地面硬化、围堰或围墙，以防止土壤环境污染；涉及入渗途径影响的，应根据相关标准规范要求，对设备设施采取相应的防渗措施，以防止土壤环境污染。本项目</w:t>
            </w:r>
            <w:r>
              <w:rPr>
                <w:rFonts w:hint="eastAsia"/>
                <w:sz w:val="24"/>
              </w:rPr>
              <w:t>废气污染物主要为颗粒物，项目周边均为工业企业，且建成后厂区地面硬化，项目对土壤环境影响较小，本评价不对项目土壤环境进行跟踪监测。</w:t>
            </w:r>
          </w:p>
          <w:p w14:paraId="12384975">
            <w:pPr>
              <w:pStyle w:val="66"/>
              <w:spacing w:before="120"/>
              <w:ind w:firstLine="0" w:firstLineChars="0"/>
              <w:rPr>
                <w:b/>
                <w:bCs/>
                <w:kern w:val="2"/>
                <w:sz w:val="24"/>
                <w:szCs w:val="24"/>
              </w:rPr>
            </w:pPr>
            <w:bookmarkStart w:id="56" w:name="_Toc20673"/>
            <w:r>
              <w:rPr>
                <w:b/>
                <w:bCs/>
                <w:kern w:val="2"/>
                <w:sz w:val="24"/>
                <w:szCs w:val="24"/>
              </w:rPr>
              <w:t>4.</w:t>
            </w:r>
            <w:r>
              <w:rPr>
                <w:rFonts w:hint="eastAsia"/>
                <w:b/>
                <w:bCs/>
                <w:kern w:val="2"/>
                <w:sz w:val="24"/>
                <w:szCs w:val="24"/>
              </w:rPr>
              <w:t>7</w:t>
            </w:r>
            <w:r>
              <w:rPr>
                <w:b/>
                <w:bCs/>
                <w:kern w:val="2"/>
                <w:sz w:val="24"/>
                <w:szCs w:val="24"/>
              </w:rPr>
              <w:t>地下水防渗措施分析</w:t>
            </w:r>
            <w:bookmarkEnd w:id="56"/>
          </w:p>
          <w:p w14:paraId="1B784CBC">
            <w:pPr>
              <w:pStyle w:val="66"/>
              <w:ind w:firstLine="0" w:firstLineChars="0"/>
              <w:rPr>
                <w:sz w:val="24"/>
              </w:rPr>
            </w:pPr>
            <w:r>
              <w:rPr>
                <w:sz w:val="24"/>
              </w:rPr>
              <w:t>根据《环境影响评价技术导则 地下水环境》（HJ610-2016）中附录A“地下水环境影响评价行业分类表”中相关规定，项目属于“</w:t>
            </w:r>
            <w:r>
              <w:rPr>
                <w:rFonts w:hint="eastAsia"/>
                <w:sz w:val="24"/>
              </w:rPr>
              <w:t>J非</w:t>
            </w:r>
            <w:r>
              <w:rPr>
                <w:sz w:val="24"/>
              </w:rPr>
              <w:t>金属</w:t>
            </w:r>
            <w:r>
              <w:rPr>
                <w:rFonts w:hint="eastAsia"/>
                <w:sz w:val="24"/>
              </w:rPr>
              <w:t>矿采选及制品制造</w:t>
            </w:r>
            <w:r>
              <w:rPr>
                <w:sz w:val="24"/>
              </w:rPr>
              <w:t>：</w:t>
            </w:r>
            <w:r>
              <w:rPr>
                <w:rFonts w:hint="eastAsia"/>
                <w:sz w:val="24"/>
              </w:rPr>
              <w:t>60</w:t>
            </w:r>
            <w:r>
              <w:rPr>
                <w:sz w:val="24"/>
              </w:rPr>
              <w:t>、</w:t>
            </w:r>
            <w:r>
              <w:rPr>
                <w:rFonts w:hint="eastAsia"/>
                <w:sz w:val="24"/>
              </w:rPr>
              <w:t>砼结构构件制造、商品混凝土加工</w:t>
            </w:r>
            <w:r>
              <w:rPr>
                <w:sz w:val="24"/>
              </w:rPr>
              <w:t>中编制报告表的，项目地下水环境影响评价项目类别为IV类，无需开展地下水评价</w:t>
            </w:r>
            <w:r>
              <w:rPr>
                <w:rFonts w:hint="eastAsia"/>
                <w:sz w:val="24"/>
              </w:rPr>
              <w:t>。</w:t>
            </w:r>
            <w:bookmarkStart w:id="57" w:name="_Toc30199_WPSOffice_Level1"/>
            <w:bookmarkStart w:id="58" w:name="_Toc11882_WPSOffice_Level2"/>
            <w:bookmarkStart w:id="59" w:name="_Toc6973"/>
          </w:p>
          <w:p w14:paraId="0A6CD88D">
            <w:pPr>
              <w:pStyle w:val="66"/>
              <w:ind w:firstLine="0" w:firstLineChars="0"/>
              <w:rPr>
                <w:b/>
                <w:bCs/>
                <w:kern w:val="2"/>
                <w:sz w:val="24"/>
                <w:szCs w:val="24"/>
              </w:rPr>
            </w:pPr>
            <w:r>
              <w:rPr>
                <w:b/>
                <w:bCs/>
                <w:kern w:val="2"/>
                <w:sz w:val="24"/>
                <w:szCs w:val="24"/>
              </w:rPr>
              <w:t>4.</w:t>
            </w:r>
            <w:r>
              <w:rPr>
                <w:rFonts w:hint="eastAsia"/>
                <w:b/>
                <w:bCs/>
                <w:kern w:val="2"/>
                <w:sz w:val="24"/>
                <w:szCs w:val="24"/>
              </w:rPr>
              <w:t>8</w:t>
            </w:r>
            <w:r>
              <w:rPr>
                <w:b/>
                <w:bCs/>
                <w:kern w:val="2"/>
                <w:sz w:val="24"/>
                <w:szCs w:val="24"/>
              </w:rPr>
              <w:t>环境风险分析</w:t>
            </w:r>
            <w:bookmarkEnd w:id="57"/>
            <w:bookmarkEnd w:id="58"/>
            <w:bookmarkEnd w:id="59"/>
          </w:p>
          <w:p w14:paraId="3054635A">
            <w:pPr>
              <w:pStyle w:val="113"/>
              <w:ind w:firstLine="480"/>
            </w:pPr>
            <w:r>
              <w:t>1</w:t>
            </w:r>
            <w:r>
              <w:rPr>
                <w:rFonts w:hint="eastAsia"/>
              </w:rPr>
              <w:t>、风险调查</w:t>
            </w:r>
          </w:p>
          <w:p w14:paraId="5014AB39">
            <w:pPr>
              <w:pStyle w:val="105"/>
              <w:ind w:firstLine="480"/>
            </w:pPr>
            <w:r>
              <w:rPr>
                <w:rFonts w:hint="eastAsia"/>
              </w:rPr>
              <w:t>对照《危险化学品重大危险源辨识》（GB18218-2018）、《建设项目环境风险评价技术导则》（</w:t>
            </w:r>
            <w:r>
              <w:t>HJ/T169-2018</w:t>
            </w:r>
            <w:r>
              <w:rPr>
                <w:rFonts w:hint="eastAsia"/>
              </w:rPr>
              <w:t>）和《关于防范环境风险加强环境影响评价管理的通知》（环发</w:t>
            </w:r>
            <w:r>
              <w:t>2005[152]</w:t>
            </w:r>
            <w:r>
              <w:rPr>
                <w:rFonts w:hint="eastAsia"/>
              </w:rPr>
              <w:t>号），对环境风险源进行了识别，本项目未涉及危险化学品，环境风险潜势为</w:t>
            </w:r>
            <w:r>
              <w:t>I</w:t>
            </w:r>
            <w:r>
              <w:rPr>
                <w:rFonts w:hint="eastAsia"/>
              </w:rPr>
              <w:t>，简单分析。</w:t>
            </w:r>
          </w:p>
          <w:p w14:paraId="1FC545A1">
            <w:pPr>
              <w:pStyle w:val="113"/>
              <w:ind w:firstLine="480"/>
            </w:pPr>
            <w:r>
              <w:t>2</w:t>
            </w:r>
            <w:r>
              <w:rPr>
                <w:rFonts w:hint="eastAsia"/>
              </w:rPr>
              <w:t>、</w:t>
            </w:r>
            <w:r>
              <w:t>环境风险分析</w:t>
            </w:r>
          </w:p>
          <w:p w14:paraId="2881F5DD">
            <w:pPr>
              <w:pStyle w:val="105"/>
              <w:ind w:firstLine="480"/>
            </w:pPr>
            <w:r>
              <w:rPr>
                <w:rFonts w:hint="eastAsia"/>
              </w:rPr>
              <w:t>(1)次生环境污染分析</w:t>
            </w:r>
          </w:p>
          <w:p w14:paraId="2FFDF32A">
            <w:pPr>
              <w:pStyle w:val="105"/>
              <w:ind w:firstLine="480"/>
            </w:pPr>
            <w:r>
              <w:rPr>
                <w:rFonts w:hint="eastAsia"/>
              </w:rPr>
              <w:t>发生火灾事故处理过程中引发的污染主要包括燃烧时产生的烟气（主要污染物为烟尘、CO等）、扑灭火灾产生的消防水，对周边环境和人群健康产生明显的影响。</w:t>
            </w:r>
          </w:p>
          <w:p w14:paraId="75016D88">
            <w:pPr>
              <w:pStyle w:val="105"/>
              <w:ind w:firstLine="480"/>
            </w:pPr>
            <w:r>
              <w:rPr>
                <w:rFonts w:hint="eastAsia"/>
              </w:rPr>
              <w:t>(2)废气处理系统事故对周边环境空气的影响分析</w:t>
            </w:r>
          </w:p>
          <w:p w14:paraId="064F534A">
            <w:pPr>
              <w:pStyle w:val="105"/>
              <w:ind w:firstLine="480"/>
            </w:pPr>
            <w:r>
              <w:rPr>
                <w:rFonts w:hint="eastAsia"/>
              </w:rPr>
              <w:t>一旦各种工序废气防治措施出现事故，项目在生产过程中产生各种废气，可由呼吸或皮肤进入到人体内，与人体发生化学作用或物理作用，对人体健康产生危害。本项目在生产过程中产生的非甲烷总烃和烟尘（颗粒物），若不通过机械通排风收集、处理，会弥漫在厂房及周围大气中，对周边环境空气及居民造成一定的影响。</w:t>
            </w:r>
          </w:p>
          <w:p w14:paraId="7BE44E1D">
            <w:pPr>
              <w:pStyle w:val="113"/>
              <w:ind w:firstLine="480"/>
            </w:pPr>
            <w:r>
              <w:t>3</w:t>
            </w:r>
            <w:r>
              <w:rPr>
                <w:rFonts w:hint="eastAsia"/>
              </w:rPr>
              <w:t>、</w:t>
            </w:r>
            <w:r>
              <w:t>环境风险防范措施</w:t>
            </w:r>
          </w:p>
          <w:p w14:paraId="7C81EC9F">
            <w:pPr>
              <w:pStyle w:val="105"/>
              <w:ind w:firstLine="480"/>
            </w:pPr>
            <w:r>
              <w:t>针对本项目有可能发生环境风险事故，本环评提出如下措施：</w:t>
            </w:r>
          </w:p>
          <w:p w14:paraId="3472BF55">
            <w:pPr>
              <w:pStyle w:val="105"/>
              <w:ind w:firstLine="436" w:firstLineChars="182"/>
            </w:pPr>
            <w:r>
              <w:rPr>
                <w:rFonts w:hint="eastAsia"/>
              </w:rPr>
              <w:t>(1)火灾、爆炸风险防范措施</w:t>
            </w:r>
          </w:p>
          <w:p w14:paraId="3A2DF62C">
            <w:pPr>
              <w:pStyle w:val="105"/>
              <w:ind w:firstLine="480"/>
            </w:pPr>
            <w:r>
              <w:rPr>
                <w:rFonts w:hint="eastAsia"/>
              </w:rPr>
              <w:t>要求员工严格遵守国家相关管理规定，对工作本着认真负责的态度，在发生事故后能正确采取相应的安全措施和及时启动事故应急预案。</w:t>
            </w:r>
          </w:p>
          <w:p w14:paraId="0C1D0F75">
            <w:pPr>
              <w:pStyle w:val="105"/>
              <w:ind w:firstLine="480"/>
            </w:pPr>
            <w:r>
              <w:t>(</w:t>
            </w:r>
            <w:r>
              <w:rPr>
                <w:rFonts w:hint="eastAsia"/>
              </w:rPr>
              <w:t>2</w:t>
            </w:r>
            <w:r>
              <w:t>)</w:t>
            </w:r>
            <w:r>
              <w:rPr>
                <w:rFonts w:hint="eastAsia"/>
              </w:rPr>
              <w:t>其他</w:t>
            </w:r>
          </w:p>
          <w:p w14:paraId="28D19C9A">
            <w:pPr>
              <w:pStyle w:val="105"/>
              <w:ind w:firstLine="480"/>
            </w:pPr>
            <w:r>
              <w:rPr>
                <w:rFonts w:hint="eastAsia" w:ascii="宋体" w:hAnsi="宋体"/>
              </w:rPr>
              <w:t>①</w:t>
            </w:r>
            <w:r>
              <w:t>定期组织安全隐患排查及整改工作。</w:t>
            </w:r>
          </w:p>
          <w:p w14:paraId="0C8B2F10">
            <w:pPr>
              <w:pStyle w:val="105"/>
              <w:ind w:firstLine="480"/>
            </w:pPr>
            <w:r>
              <w:rPr>
                <w:rFonts w:hint="eastAsia" w:ascii="宋体" w:hAnsi="宋体"/>
              </w:rPr>
              <w:t>②</w:t>
            </w:r>
            <w:r>
              <w:t>严格执行三级安全教育制度，员工上岗前或转岗必须经过安全教育培训后，经考核合格后才可以上岗。操作人员在上岗前应接受有关的安全生产教育，未经培训的新工人，实习人员和临时工不得单独操作，制定有关安全操作规章制度；新员工的安全培训制度：新员工应接受安全教育和培训，在有安全工作经验的职工带领下工作，考核合格后，方可独立工作。</w:t>
            </w:r>
          </w:p>
          <w:p w14:paraId="1D0BDF01">
            <w:pPr>
              <w:pStyle w:val="105"/>
              <w:ind w:firstLine="480"/>
            </w:pPr>
            <w:r>
              <w:t>全体职工安全教育制度：所有生产作业人员，每年要接受在职安全教育培训1-2次。公司一年组织2-4次应急演练。</w:t>
            </w:r>
          </w:p>
          <w:p w14:paraId="7CFDB52A">
            <w:pPr>
              <w:pStyle w:val="105"/>
              <w:ind w:firstLine="480"/>
            </w:pPr>
            <w:r>
              <w:rPr>
                <w:rFonts w:hint="eastAsia" w:ascii="宋体" w:hAnsi="宋体"/>
              </w:rPr>
              <w:t>③</w:t>
            </w:r>
            <w:r>
              <w:t>对消防器材定期巡查，保证处于完好状态，消防设施和消防设备要定期测试。</w:t>
            </w:r>
          </w:p>
          <w:p w14:paraId="3E347055">
            <w:pPr>
              <w:pStyle w:val="105"/>
              <w:ind w:firstLine="480"/>
            </w:pPr>
            <w:r>
              <w:rPr>
                <w:rFonts w:hint="eastAsia" w:ascii="宋体" w:hAnsi="宋体"/>
              </w:rPr>
              <w:t>④</w:t>
            </w:r>
            <w:r>
              <w:t>在厂区内设置醒目的安全标志、禁令、警语和告示牌，杜绝明火火源，严禁超速。厂区内严禁吸烟。</w:t>
            </w:r>
          </w:p>
          <w:p w14:paraId="1CF3637E">
            <w:pPr>
              <w:spacing w:line="360" w:lineRule="auto"/>
              <w:jc w:val="left"/>
              <w:rPr>
                <w:b/>
                <w:bCs/>
                <w:sz w:val="24"/>
              </w:rPr>
            </w:pPr>
            <w:r>
              <w:rPr>
                <w:rFonts w:hint="eastAsia"/>
                <w:b/>
                <w:bCs/>
                <w:sz w:val="24"/>
              </w:rPr>
              <w:t>4.9运营期生态影响和污染治理措施</w:t>
            </w:r>
          </w:p>
          <w:p w14:paraId="0F07824A">
            <w:pPr>
              <w:pStyle w:val="21"/>
              <w:spacing w:line="360" w:lineRule="auto"/>
              <w:ind w:left="0" w:right="0" w:firstLine="480"/>
              <w:jc w:val="left"/>
              <w:rPr>
                <w:rFonts w:ascii="Times New Roman" w:eastAsia="宋体"/>
                <w:sz w:val="24"/>
              </w:rPr>
            </w:pPr>
            <w:r>
              <w:rPr>
                <w:rFonts w:hint="eastAsia" w:ascii="Times New Roman" w:eastAsia="宋体"/>
                <w:sz w:val="24"/>
              </w:rPr>
              <w:t>项目不涉及。</w:t>
            </w:r>
          </w:p>
          <w:p w14:paraId="3458AE40">
            <w:pPr>
              <w:spacing w:line="360" w:lineRule="auto"/>
              <w:jc w:val="left"/>
              <w:rPr>
                <w:b/>
                <w:bCs/>
                <w:sz w:val="24"/>
              </w:rPr>
            </w:pPr>
            <w:r>
              <w:rPr>
                <w:rFonts w:hint="eastAsia"/>
                <w:b/>
                <w:bCs/>
                <w:sz w:val="24"/>
              </w:rPr>
              <w:t>4.10运营期电磁辐射影响和污染治理措施</w:t>
            </w:r>
          </w:p>
          <w:p w14:paraId="42354E29">
            <w:pPr>
              <w:pStyle w:val="21"/>
              <w:spacing w:line="360" w:lineRule="auto"/>
              <w:ind w:left="0" w:right="0" w:firstLine="480"/>
              <w:jc w:val="left"/>
              <w:rPr>
                <w:rFonts w:ascii="Times New Roman" w:eastAsia="宋体"/>
                <w:sz w:val="24"/>
              </w:rPr>
            </w:pPr>
            <w:r>
              <w:rPr>
                <w:rFonts w:hint="eastAsia" w:ascii="Times New Roman" w:eastAsia="宋体"/>
                <w:sz w:val="24"/>
              </w:rPr>
              <w:t>项目不涉及。</w:t>
            </w:r>
          </w:p>
          <w:p w14:paraId="6256AAF2">
            <w:pPr>
              <w:spacing w:line="360" w:lineRule="auto"/>
              <w:jc w:val="left"/>
              <w:rPr>
                <w:b/>
                <w:bCs/>
                <w:sz w:val="24"/>
              </w:rPr>
            </w:pPr>
            <w:r>
              <w:rPr>
                <w:rFonts w:hint="eastAsia"/>
                <w:b/>
                <w:bCs/>
                <w:sz w:val="24"/>
              </w:rPr>
              <w:t>4.11</w:t>
            </w:r>
            <w:r>
              <w:rPr>
                <w:b/>
                <w:bCs/>
                <w:sz w:val="24"/>
              </w:rPr>
              <w:t>排污许可管理</w:t>
            </w:r>
          </w:p>
          <w:p w14:paraId="285B5106">
            <w:pPr>
              <w:spacing w:line="360" w:lineRule="auto"/>
              <w:ind w:firstLine="480" w:firstLineChars="200"/>
              <w:rPr>
                <w:sz w:val="24"/>
              </w:rPr>
            </w:pPr>
            <w:r>
              <w:rPr>
                <w:sz w:val="24"/>
              </w:rPr>
              <w:t>根据《固定污染源排污许可分类管理名录(2019年版)》(生态环境部第11号)</w:t>
            </w:r>
            <w:r>
              <w:rPr>
                <w:rFonts w:hint="eastAsia"/>
                <w:sz w:val="24"/>
              </w:rPr>
              <w:t>(摘录)，表4.11-1</w:t>
            </w:r>
            <w:r>
              <w:rPr>
                <w:sz w:val="24"/>
              </w:rPr>
              <w:t>可知，</w:t>
            </w:r>
            <w:r>
              <w:rPr>
                <w:rFonts w:hint="eastAsia"/>
                <w:sz w:val="24"/>
              </w:rPr>
              <w:t>本</w:t>
            </w:r>
            <w:r>
              <w:rPr>
                <w:sz w:val="24"/>
              </w:rPr>
              <w:t>项目属于“二十五、非金属矿物制品业-水泥制品制造3021”类别，属于登记管理。建设单位应当在在启动生产设施或者发生实际排污之前</w:t>
            </w:r>
            <w:r>
              <w:rPr>
                <w:rFonts w:hint="eastAsia"/>
                <w:sz w:val="24"/>
              </w:rPr>
              <w:t>需进行排污登记</w:t>
            </w:r>
            <w:r>
              <w:rPr>
                <w:sz w:val="24"/>
              </w:rPr>
              <w:t>。</w:t>
            </w:r>
          </w:p>
          <w:p w14:paraId="5A3C0749">
            <w:pPr>
              <w:spacing w:beforeLines="50"/>
              <w:jc w:val="center"/>
              <w:rPr>
                <w:b/>
                <w:bCs/>
                <w:sz w:val="24"/>
              </w:rPr>
            </w:pPr>
            <w:r>
              <w:rPr>
                <w:b/>
                <w:bCs/>
                <w:sz w:val="24"/>
              </w:rPr>
              <w:t>表4.11-1  固定污染源排污许可分类管理名录(2019年版)(摘录)</w:t>
            </w:r>
          </w:p>
          <w:tbl>
            <w:tblPr>
              <w:tblStyle w:val="34"/>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779"/>
              <w:gridCol w:w="2074"/>
              <w:gridCol w:w="2076"/>
              <w:gridCol w:w="1777"/>
            </w:tblGrid>
            <w:tr w14:paraId="47A0F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shd w:val="clear" w:color="auto" w:fill="auto"/>
                  <w:vAlign w:val="center"/>
                </w:tcPr>
                <w:p w14:paraId="6985EFB9">
                  <w:pPr>
                    <w:spacing w:line="340" w:lineRule="exact"/>
                    <w:jc w:val="center"/>
                    <w:rPr>
                      <w:rFonts w:eastAsia="Times New Roman"/>
                    </w:rPr>
                  </w:pPr>
                  <w:r>
                    <w:t>序号</w:t>
                  </w:r>
                </w:p>
              </w:tc>
              <w:tc>
                <w:tcPr>
                  <w:tcW w:w="1779" w:type="dxa"/>
                  <w:shd w:val="clear" w:color="auto" w:fill="auto"/>
                  <w:vAlign w:val="center"/>
                </w:tcPr>
                <w:p w14:paraId="0339A330">
                  <w:pPr>
                    <w:spacing w:line="340" w:lineRule="exact"/>
                    <w:jc w:val="center"/>
                    <w:rPr>
                      <w:rFonts w:eastAsia="Times New Roman"/>
                    </w:rPr>
                  </w:pPr>
                  <w:r>
                    <w:t>行业类别</w:t>
                  </w:r>
                </w:p>
              </w:tc>
              <w:tc>
                <w:tcPr>
                  <w:tcW w:w="2074" w:type="dxa"/>
                  <w:shd w:val="clear" w:color="auto" w:fill="auto"/>
                  <w:vAlign w:val="center"/>
                </w:tcPr>
                <w:p w14:paraId="297F5803">
                  <w:pPr>
                    <w:spacing w:line="340" w:lineRule="exact"/>
                    <w:jc w:val="center"/>
                    <w:textAlignment w:val="baseline"/>
                    <w:rPr>
                      <w:rFonts w:eastAsia="Times New Roman"/>
                    </w:rPr>
                  </w:pPr>
                  <w:r>
                    <w:t>重点管理</w:t>
                  </w:r>
                </w:p>
              </w:tc>
              <w:tc>
                <w:tcPr>
                  <w:tcW w:w="2076" w:type="dxa"/>
                  <w:tcBorders>
                    <w:top w:val="single" w:color="auto" w:sz="12" w:space="0"/>
                    <w:bottom w:val="single" w:color="auto" w:sz="4" w:space="0"/>
                  </w:tcBorders>
                  <w:shd w:val="clear" w:color="auto" w:fill="auto"/>
                  <w:vAlign w:val="center"/>
                </w:tcPr>
                <w:p w14:paraId="57467F9D">
                  <w:pPr>
                    <w:spacing w:line="340" w:lineRule="exact"/>
                    <w:jc w:val="center"/>
                    <w:textAlignment w:val="baseline"/>
                    <w:rPr>
                      <w:rFonts w:eastAsia="Times New Roman"/>
                    </w:rPr>
                  </w:pPr>
                  <w:r>
                    <w:t>简化管理</w:t>
                  </w:r>
                </w:p>
              </w:tc>
              <w:tc>
                <w:tcPr>
                  <w:tcW w:w="1777" w:type="dxa"/>
                  <w:tcBorders>
                    <w:top w:val="single" w:color="auto" w:sz="12" w:space="0"/>
                    <w:bottom w:val="single" w:color="auto" w:sz="4" w:space="0"/>
                  </w:tcBorders>
                  <w:shd w:val="clear" w:color="auto" w:fill="BEBEBE" w:themeFill="background1" w:themeFillShade="BF"/>
                  <w:vAlign w:val="center"/>
                </w:tcPr>
                <w:p w14:paraId="053615DF">
                  <w:pPr>
                    <w:spacing w:line="340" w:lineRule="exact"/>
                    <w:jc w:val="center"/>
                    <w:textAlignment w:val="baseline"/>
                    <w:rPr>
                      <w:rFonts w:eastAsia="Times New Roman"/>
                    </w:rPr>
                  </w:pPr>
                  <w:r>
                    <w:t>登记管理</w:t>
                  </w:r>
                </w:p>
              </w:tc>
            </w:tr>
            <w:tr w14:paraId="24613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5"/>
                  <w:tcBorders>
                    <w:top w:val="single" w:color="auto" w:sz="4" w:space="0"/>
                    <w:bottom w:val="single" w:color="auto" w:sz="4" w:space="0"/>
                  </w:tcBorders>
                  <w:shd w:val="clear" w:color="auto" w:fill="BEBEBE" w:themeFill="background1" w:themeFillShade="BF"/>
                  <w:vAlign w:val="center"/>
                </w:tcPr>
                <w:p w14:paraId="5B5A5DCB">
                  <w:pPr>
                    <w:spacing w:line="340" w:lineRule="exact"/>
                    <w:textAlignment w:val="baseline"/>
                    <w:rPr>
                      <w:rFonts w:eastAsia="黑体"/>
                    </w:rPr>
                  </w:pPr>
                  <w:r>
                    <w:t>二十五、非金属矿物制品业30</w:t>
                  </w:r>
                </w:p>
              </w:tc>
            </w:tr>
            <w:tr w14:paraId="34231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8" w:type="dxa"/>
                  <w:tcBorders>
                    <w:bottom w:val="single" w:color="auto" w:sz="12" w:space="0"/>
                  </w:tcBorders>
                  <w:shd w:val="clear" w:color="auto" w:fill="auto"/>
                  <w:vAlign w:val="center"/>
                </w:tcPr>
                <w:p w14:paraId="2C3D6241">
                  <w:pPr>
                    <w:spacing w:line="340" w:lineRule="exact"/>
                    <w:jc w:val="center"/>
                  </w:pPr>
                  <w:r>
                    <w:rPr>
                      <w:rFonts w:hint="eastAsia"/>
                    </w:rPr>
                    <w:t>63</w:t>
                  </w:r>
                </w:p>
              </w:tc>
              <w:tc>
                <w:tcPr>
                  <w:tcW w:w="1779" w:type="dxa"/>
                  <w:tcBorders>
                    <w:bottom w:val="single" w:color="auto" w:sz="12" w:space="0"/>
                  </w:tcBorders>
                  <w:shd w:val="clear" w:color="auto" w:fill="auto"/>
                  <w:vAlign w:val="center"/>
                </w:tcPr>
                <w:p w14:paraId="3E16E2C1">
                  <w:pPr>
                    <w:spacing w:line="340" w:lineRule="exact"/>
                    <w:jc w:val="center"/>
                  </w:pPr>
                  <w:r>
                    <w:rPr>
                      <w:rFonts w:hint="eastAsia"/>
                    </w:rPr>
                    <w:t>水泥、石灰和石膏制造301，石膏、水泥制品及类似制品制造302</w:t>
                  </w:r>
                </w:p>
              </w:tc>
              <w:tc>
                <w:tcPr>
                  <w:tcW w:w="2074" w:type="dxa"/>
                  <w:tcBorders>
                    <w:bottom w:val="single" w:color="auto" w:sz="12" w:space="0"/>
                  </w:tcBorders>
                  <w:shd w:val="clear" w:color="auto" w:fill="auto"/>
                  <w:vAlign w:val="center"/>
                </w:tcPr>
                <w:p w14:paraId="43667E0F">
                  <w:pPr>
                    <w:spacing w:line="340" w:lineRule="exact"/>
                    <w:jc w:val="center"/>
                    <w:textAlignment w:val="baseline"/>
                  </w:pPr>
                  <w:r>
                    <w:rPr>
                      <w:rFonts w:hint="eastAsia"/>
                    </w:rPr>
                    <w:t>水泥（熟料）制造</w:t>
                  </w:r>
                </w:p>
              </w:tc>
              <w:tc>
                <w:tcPr>
                  <w:tcW w:w="2076" w:type="dxa"/>
                  <w:tcBorders>
                    <w:top w:val="single" w:color="auto" w:sz="4" w:space="0"/>
                    <w:bottom w:val="single" w:color="auto" w:sz="12" w:space="0"/>
                  </w:tcBorders>
                  <w:shd w:val="clear" w:color="auto" w:fill="auto"/>
                  <w:vAlign w:val="center"/>
                </w:tcPr>
                <w:p w14:paraId="5ADAAAAB">
                  <w:pPr>
                    <w:spacing w:line="340" w:lineRule="exact"/>
                    <w:jc w:val="center"/>
                    <w:textAlignment w:val="baseline"/>
                    <w:rPr>
                      <w:rFonts w:eastAsia="Times New Roman"/>
                    </w:rPr>
                  </w:pPr>
                  <w:r>
                    <w:rPr>
                      <w:rFonts w:hint="eastAsia"/>
                    </w:rPr>
                    <w:t>水泥粉磨站、石灰和石膏制造302</w:t>
                  </w:r>
                </w:p>
              </w:tc>
              <w:tc>
                <w:tcPr>
                  <w:tcW w:w="1777" w:type="dxa"/>
                  <w:tcBorders>
                    <w:top w:val="single" w:color="auto" w:sz="4" w:space="0"/>
                    <w:bottom w:val="single" w:color="auto" w:sz="12" w:space="0"/>
                  </w:tcBorders>
                  <w:shd w:val="clear" w:color="auto" w:fill="BEBEBE" w:themeFill="background1" w:themeFillShade="BF"/>
                  <w:vAlign w:val="center"/>
                </w:tcPr>
                <w:p w14:paraId="10D5DF4E">
                  <w:pPr>
                    <w:spacing w:line="340" w:lineRule="exact"/>
                    <w:jc w:val="center"/>
                    <w:textAlignment w:val="baseline"/>
                  </w:pPr>
                  <w:r>
                    <w:t>水泥制品制造3021，砼结构构件制造3022，石棉水泥制品制造3023，轻质建筑材料制造3024，其他水泥类似制品制造3029</w:t>
                  </w:r>
                </w:p>
              </w:tc>
            </w:tr>
          </w:tbl>
          <w:p w14:paraId="3A9B6A3E">
            <w:pPr>
              <w:pStyle w:val="21"/>
              <w:spacing w:line="360" w:lineRule="auto"/>
              <w:ind w:left="0" w:right="0" w:firstLine="0"/>
              <w:jc w:val="center"/>
              <w:rPr>
                <w:rFonts w:ascii="Times New Roman" w:eastAsia="宋体"/>
                <w:color w:val="FF0000"/>
                <w:sz w:val="24"/>
              </w:rPr>
            </w:pPr>
          </w:p>
        </w:tc>
      </w:tr>
    </w:tbl>
    <w:p w14:paraId="6086177B">
      <w:pPr>
        <w:spacing w:line="360" w:lineRule="auto"/>
        <w:rPr>
          <w:rFonts w:ascii="宋体" w:cs="宋体"/>
          <w:b/>
          <w:color w:val="FF0000"/>
          <w:kern w:val="21"/>
          <w:sz w:val="28"/>
          <w:szCs w:val="28"/>
        </w:rPr>
        <w:sectPr>
          <w:pgSz w:w="11907" w:h="16840"/>
          <w:pgMar w:top="1701" w:right="1531" w:bottom="2127" w:left="1531" w:header="851" w:footer="851" w:gutter="0"/>
          <w:cols w:space="720" w:num="1"/>
          <w:docGrid w:linePitch="312" w:charSpace="0"/>
        </w:sectPr>
      </w:pPr>
    </w:p>
    <w:p w14:paraId="37BFCE00">
      <w:pPr>
        <w:pStyle w:val="29"/>
        <w:jc w:val="center"/>
        <w:outlineLvl w:val="0"/>
        <w:rPr>
          <w:rFonts w:ascii="黑体" w:hAnsi="黑体" w:eastAsia="黑体"/>
          <w:snapToGrid w:val="0"/>
          <w:kern w:val="21"/>
          <w:sz w:val="30"/>
          <w:szCs w:val="30"/>
        </w:rPr>
      </w:pPr>
      <w:r>
        <w:rPr>
          <w:rFonts w:hint="eastAsia" w:ascii="黑体" w:hAnsi="黑体" w:eastAsia="黑体"/>
          <w:snapToGrid w:val="0"/>
          <w:kern w:val="21"/>
          <w:sz w:val="30"/>
          <w:szCs w:val="30"/>
        </w:rPr>
        <w:t>五、</w:t>
      </w:r>
      <w:bookmarkStart w:id="60" w:name="_Hlk54167917"/>
      <w:r>
        <w:rPr>
          <w:rFonts w:hint="eastAsia" w:ascii="黑体" w:hAnsi="黑体" w:eastAsia="黑体"/>
          <w:snapToGrid w:val="0"/>
          <w:kern w:val="21"/>
          <w:sz w:val="30"/>
          <w:szCs w:val="30"/>
        </w:rPr>
        <w:t>环境保护措施监督检查清单</w:t>
      </w:r>
      <w:bookmarkEnd w:id="60"/>
    </w:p>
    <w:tbl>
      <w:tblPr>
        <w:tblStyle w:val="34"/>
        <w:tblW w:w="90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38"/>
        <w:gridCol w:w="1027"/>
        <w:gridCol w:w="1921"/>
        <w:gridCol w:w="2804"/>
      </w:tblGrid>
      <w:tr w14:paraId="62E7F0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tcBorders>
              <w:tl2br w:val="single" w:color="auto" w:sz="4" w:space="0"/>
            </w:tcBorders>
          </w:tcPr>
          <w:p w14:paraId="6702BDD2">
            <w:pPr>
              <w:ind w:firstLine="480" w:firstLineChars="200"/>
              <w:rPr>
                <w:kern w:val="21"/>
                <w:sz w:val="24"/>
              </w:rPr>
            </w:pPr>
            <w:r>
              <w:rPr>
                <w:kern w:val="21"/>
                <w:sz w:val="24"/>
              </w:rPr>
              <w:t>内容</w:t>
            </w:r>
          </w:p>
          <w:p w14:paraId="7DD391A3">
            <w:pPr>
              <w:rPr>
                <w:kern w:val="21"/>
                <w:sz w:val="24"/>
              </w:rPr>
            </w:pPr>
            <w:r>
              <w:rPr>
                <w:kern w:val="21"/>
                <w:sz w:val="24"/>
              </w:rPr>
              <w:t>要素</w:t>
            </w:r>
          </w:p>
        </w:tc>
        <w:tc>
          <w:tcPr>
            <w:tcW w:w="1838" w:type="dxa"/>
            <w:vAlign w:val="center"/>
          </w:tcPr>
          <w:p w14:paraId="27AB98FB">
            <w:pPr>
              <w:jc w:val="center"/>
              <w:rPr>
                <w:kern w:val="21"/>
                <w:sz w:val="24"/>
              </w:rPr>
            </w:pPr>
            <w:r>
              <w:rPr>
                <w:kern w:val="21"/>
                <w:sz w:val="24"/>
              </w:rPr>
              <w:t>排放口(编号、</w:t>
            </w:r>
          </w:p>
          <w:p w14:paraId="72EFF5F7">
            <w:pPr>
              <w:jc w:val="center"/>
              <w:rPr>
                <w:kern w:val="21"/>
                <w:sz w:val="24"/>
              </w:rPr>
            </w:pPr>
            <w:r>
              <w:rPr>
                <w:kern w:val="21"/>
                <w:sz w:val="24"/>
              </w:rPr>
              <w:t>名称)/污染源</w:t>
            </w:r>
          </w:p>
        </w:tc>
        <w:tc>
          <w:tcPr>
            <w:tcW w:w="1027" w:type="dxa"/>
            <w:vAlign w:val="center"/>
          </w:tcPr>
          <w:p w14:paraId="19BD51AF">
            <w:pPr>
              <w:jc w:val="center"/>
              <w:rPr>
                <w:kern w:val="21"/>
                <w:sz w:val="24"/>
              </w:rPr>
            </w:pPr>
            <w:r>
              <w:rPr>
                <w:kern w:val="21"/>
                <w:sz w:val="24"/>
              </w:rPr>
              <w:t>污染物</w:t>
            </w:r>
          </w:p>
          <w:p w14:paraId="18D346ED">
            <w:pPr>
              <w:jc w:val="center"/>
              <w:rPr>
                <w:kern w:val="21"/>
                <w:sz w:val="24"/>
              </w:rPr>
            </w:pPr>
            <w:r>
              <w:rPr>
                <w:kern w:val="21"/>
                <w:sz w:val="24"/>
              </w:rPr>
              <w:t>项目</w:t>
            </w:r>
          </w:p>
        </w:tc>
        <w:tc>
          <w:tcPr>
            <w:tcW w:w="1921" w:type="dxa"/>
            <w:vAlign w:val="center"/>
          </w:tcPr>
          <w:p w14:paraId="7B728BD8">
            <w:pPr>
              <w:jc w:val="center"/>
              <w:rPr>
                <w:kern w:val="21"/>
                <w:sz w:val="24"/>
              </w:rPr>
            </w:pPr>
            <w:r>
              <w:rPr>
                <w:kern w:val="21"/>
                <w:sz w:val="24"/>
              </w:rPr>
              <w:t>环境保护</w:t>
            </w:r>
          </w:p>
          <w:p w14:paraId="2CAD523D">
            <w:pPr>
              <w:jc w:val="center"/>
              <w:rPr>
                <w:kern w:val="21"/>
                <w:sz w:val="24"/>
              </w:rPr>
            </w:pPr>
            <w:r>
              <w:rPr>
                <w:kern w:val="21"/>
                <w:sz w:val="24"/>
              </w:rPr>
              <w:t>措施</w:t>
            </w:r>
          </w:p>
        </w:tc>
        <w:tc>
          <w:tcPr>
            <w:tcW w:w="2804" w:type="dxa"/>
            <w:vAlign w:val="center"/>
          </w:tcPr>
          <w:p w14:paraId="48779F76">
            <w:pPr>
              <w:jc w:val="center"/>
              <w:rPr>
                <w:kern w:val="21"/>
                <w:sz w:val="24"/>
              </w:rPr>
            </w:pPr>
            <w:r>
              <w:rPr>
                <w:kern w:val="21"/>
                <w:sz w:val="24"/>
              </w:rPr>
              <w:t>执行标准</w:t>
            </w:r>
          </w:p>
        </w:tc>
      </w:tr>
      <w:tr w14:paraId="77B83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Merge w:val="restart"/>
            <w:vAlign w:val="center"/>
          </w:tcPr>
          <w:p w14:paraId="7A46824F">
            <w:pPr>
              <w:jc w:val="center"/>
              <w:rPr>
                <w:sz w:val="24"/>
              </w:rPr>
            </w:pPr>
            <w:r>
              <w:rPr>
                <w:sz w:val="24"/>
              </w:rPr>
              <w:t>大气环境</w:t>
            </w:r>
          </w:p>
          <w:p w14:paraId="324A9294">
            <w:pPr>
              <w:jc w:val="center"/>
              <w:rPr>
                <w:sz w:val="24"/>
              </w:rPr>
            </w:pPr>
            <w:r>
              <w:rPr>
                <w:sz w:val="24"/>
              </w:rPr>
              <w:t>（运营期）</w:t>
            </w:r>
          </w:p>
        </w:tc>
        <w:tc>
          <w:tcPr>
            <w:tcW w:w="1838" w:type="dxa"/>
            <w:shd w:val="clear" w:color="auto" w:fill="auto"/>
            <w:vAlign w:val="center"/>
          </w:tcPr>
          <w:p w14:paraId="510209D4">
            <w:pPr>
              <w:jc w:val="center"/>
              <w:rPr>
                <w:kern w:val="21"/>
                <w:sz w:val="24"/>
              </w:rPr>
            </w:pPr>
            <w:r>
              <w:rPr>
                <w:rFonts w:hint="eastAsia"/>
                <w:kern w:val="21"/>
                <w:sz w:val="24"/>
              </w:rPr>
              <w:t>原料装卸</w:t>
            </w:r>
          </w:p>
        </w:tc>
        <w:tc>
          <w:tcPr>
            <w:tcW w:w="1027" w:type="dxa"/>
            <w:shd w:val="clear" w:color="auto" w:fill="auto"/>
            <w:vAlign w:val="center"/>
          </w:tcPr>
          <w:p w14:paraId="35535D8E">
            <w:pPr>
              <w:jc w:val="center"/>
              <w:rPr>
                <w:kern w:val="21"/>
                <w:sz w:val="24"/>
              </w:rPr>
            </w:pPr>
            <w:r>
              <w:rPr>
                <w:rFonts w:hint="eastAsia"/>
                <w:kern w:val="21"/>
                <w:sz w:val="24"/>
              </w:rPr>
              <w:t>颗粒物</w:t>
            </w:r>
          </w:p>
        </w:tc>
        <w:tc>
          <w:tcPr>
            <w:tcW w:w="1921" w:type="dxa"/>
            <w:vAlign w:val="center"/>
          </w:tcPr>
          <w:p w14:paraId="157A00F5">
            <w:pPr>
              <w:jc w:val="center"/>
              <w:rPr>
                <w:kern w:val="21"/>
                <w:sz w:val="24"/>
              </w:rPr>
            </w:pPr>
            <w:r>
              <w:rPr>
                <w:rFonts w:hint="eastAsia"/>
                <w:kern w:val="21"/>
                <w:sz w:val="24"/>
              </w:rPr>
              <w:t>洒水降尘</w:t>
            </w:r>
          </w:p>
        </w:tc>
        <w:tc>
          <w:tcPr>
            <w:tcW w:w="2804" w:type="dxa"/>
            <w:vMerge w:val="restart"/>
            <w:vAlign w:val="center"/>
          </w:tcPr>
          <w:p w14:paraId="104DA64E">
            <w:pPr>
              <w:jc w:val="center"/>
              <w:rPr>
                <w:sz w:val="24"/>
              </w:rPr>
            </w:pPr>
            <w:r>
              <w:rPr>
                <w:sz w:val="24"/>
              </w:rPr>
              <w:t>《水泥工业大气污染物排放标准》（GB4915-2013）表3 无组织排放限值</w:t>
            </w:r>
          </w:p>
        </w:tc>
      </w:tr>
      <w:tr w14:paraId="05B747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Merge w:val="continue"/>
            <w:vAlign w:val="center"/>
          </w:tcPr>
          <w:p w14:paraId="148671C2">
            <w:pPr>
              <w:jc w:val="center"/>
              <w:rPr>
                <w:sz w:val="24"/>
              </w:rPr>
            </w:pPr>
          </w:p>
        </w:tc>
        <w:tc>
          <w:tcPr>
            <w:tcW w:w="1838" w:type="dxa"/>
            <w:shd w:val="clear" w:color="auto" w:fill="auto"/>
            <w:vAlign w:val="center"/>
          </w:tcPr>
          <w:p w14:paraId="5D2D1966">
            <w:pPr>
              <w:jc w:val="center"/>
              <w:rPr>
                <w:kern w:val="21"/>
                <w:sz w:val="24"/>
              </w:rPr>
            </w:pPr>
            <w:r>
              <w:rPr>
                <w:rFonts w:hint="eastAsia"/>
                <w:kern w:val="21"/>
                <w:sz w:val="24"/>
              </w:rPr>
              <w:t>石子、砂子输送</w:t>
            </w:r>
          </w:p>
        </w:tc>
        <w:tc>
          <w:tcPr>
            <w:tcW w:w="1027" w:type="dxa"/>
            <w:shd w:val="clear" w:color="auto" w:fill="auto"/>
            <w:vAlign w:val="center"/>
          </w:tcPr>
          <w:p w14:paraId="5A2E47BC">
            <w:pPr>
              <w:jc w:val="center"/>
              <w:rPr>
                <w:kern w:val="21"/>
                <w:sz w:val="24"/>
              </w:rPr>
            </w:pPr>
            <w:r>
              <w:rPr>
                <w:rFonts w:hint="eastAsia"/>
                <w:kern w:val="21"/>
                <w:sz w:val="24"/>
              </w:rPr>
              <w:t>颗粒物</w:t>
            </w:r>
          </w:p>
        </w:tc>
        <w:tc>
          <w:tcPr>
            <w:tcW w:w="1921" w:type="dxa"/>
            <w:vAlign w:val="center"/>
          </w:tcPr>
          <w:p w14:paraId="422C1350">
            <w:pPr>
              <w:jc w:val="center"/>
              <w:rPr>
                <w:kern w:val="21"/>
                <w:sz w:val="24"/>
              </w:rPr>
            </w:pPr>
            <w:r>
              <w:rPr>
                <w:rFonts w:hint="eastAsia"/>
                <w:kern w:val="21"/>
                <w:sz w:val="24"/>
              </w:rPr>
              <w:t>皮带输送系统，进料、下料和转运的上方加装半密闭的防尘罩</w:t>
            </w:r>
          </w:p>
        </w:tc>
        <w:tc>
          <w:tcPr>
            <w:tcW w:w="2804" w:type="dxa"/>
            <w:vMerge w:val="continue"/>
            <w:vAlign w:val="center"/>
          </w:tcPr>
          <w:p w14:paraId="5B713A2C">
            <w:pPr>
              <w:jc w:val="center"/>
              <w:rPr>
                <w:sz w:val="24"/>
              </w:rPr>
            </w:pPr>
          </w:p>
        </w:tc>
      </w:tr>
      <w:tr w14:paraId="21902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Merge w:val="continue"/>
            <w:vAlign w:val="center"/>
          </w:tcPr>
          <w:p w14:paraId="228DA423">
            <w:pPr>
              <w:jc w:val="center"/>
              <w:rPr>
                <w:sz w:val="24"/>
              </w:rPr>
            </w:pPr>
          </w:p>
        </w:tc>
        <w:tc>
          <w:tcPr>
            <w:tcW w:w="1838" w:type="dxa"/>
            <w:shd w:val="clear" w:color="auto" w:fill="auto"/>
            <w:vAlign w:val="center"/>
          </w:tcPr>
          <w:p w14:paraId="296B5180">
            <w:pPr>
              <w:jc w:val="center"/>
              <w:rPr>
                <w:kern w:val="21"/>
                <w:sz w:val="24"/>
              </w:rPr>
            </w:pPr>
            <w:r>
              <w:rPr>
                <w:rFonts w:hint="eastAsia"/>
                <w:kern w:val="21"/>
                <w:sz w:val="24"/>
              </w:rPr>
              <w:t>水泥罐呼吸</w:t>
            </w:r>
          </w:p>
        </w:tc>
        <w:tc>
          <w:tcPr>
            <w:tcW w:w="1027" w:type="dxa"/>
            <w:shd w:val="clear" w:color="auto" w:fill="auto"/>
            <w:vAlign w:val="center"/>
          </w:tcPr>
          <w:p w14:paraId="3478FBCF">
            <w:pPr>
              <w:jc w:val="center"/>
              <w:rPr>
                <w:kern w:val="21"/>
                <w:sz w:val="24"/>
              </w:rPr>
            </w:pPr>
            <w:r>
              <w:rPr>
                <w:rFonts w:hint="eastAsia"/>
                <w:kern w:val="21"/>
                <w:sz w:val="24"/>
              </w:rPr>
              <w:t>颗粒物</w:t>
            </w:r>
          </w:p>
        </w:tc>
        <w:tc>
          <w:tcPr>
            <w:tcW w:w="1921" w:type="dxa"/>
            <w:vAlign w:val="center"/>
          </w:tcPr>
          <w:p w14:paraId="5276D4A9">
            <w:pPr>
              <w:jc w:val="center"/>
              <w:rPr>
                <w:kern w:val="21"/>
                <w:sz w:val="24"/>
              </w:rPr>
            </w:pPr>
            <w:r>
              <w:rPr>
                <w:rFonts w:hint="eastAsia"/>
                <w:kern w:val="21"/>
                <w:sz w:val="24"/>
              </w:rPr>
              <w:t>罐顶滤筒式袋式除尘器</w:t>
            </w:r>
          </w:p>
        </w:tc>
        <w:tc>
          <w:tcPr>
            <w:tcW w:w="2804" w:type="dxa"/>
            <w:vMerge w:val="continue"/>
            <w:vAlign w:val="center"/>
          </w:tcPr>
          <w:p w14:paraId="43184794">
            <w:pPr>
              <w:jc w:val="center"/>
              <w:rPr>
                <w:sz w:val="24"/>
              </w:rPr>
            </w:pPr>
          </w:p>
        </w:tc>
      </w:tr>
      <w:tr w14:paraId="0B3E5A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Merge w:val="continue"/>
            <w:vAlign w:val="center"/>
          </w:tcPr>
          <w:p w14:paraId="6C06A176">
            <w:pPr>
              <w:jc w:val="center"/>
              <w:rPr>
                <w:sz w:val="24"/>
              </w:rPr>
            </w:pPr>
          </w:p>
        </w:tc>
        <w:tc>
          <w:tcPr>
            <w:tcW w:w="1838" w:type="dxa"/>
            <w:shd w:val="clear" w:color="auto" w:fill="auto"/>
            <w:vAlign w:val="center"/>
          </w:tcPr>
          <w:p w14:paraId="1FB2D03C">
            <w:pPr>
              <w:jc w:val="center"/>
              <w:rPr>
                <w:kern w:val="21"/>
                <w:sz w:val="24"/>
              </w:rPr>
            </w:pPr>
            <w:r>
              <w:rPr>
                <w:rFonts w:hint="eastAsia"/>
                <w:kern w:val="21"/>
                <w:sz w:val="24"/>
              </w:rPr>
              <w:t>搅拌工序</w:t>
            </w:r>
          </w:p>
        </w:tc>
        <w:tc>
          <w:tcPr>
            <w:tcW w:w="1027" w:type="dxa"/>
            <w:shd w:val="clear" w:color="auto" w:fill="auto"/>
            <w:vAlign w:val="center"/>
          </w:tcPr>
          <w:p w14:paraId="73E546DB">
            <w:pPr>
              <w:jc w:val="center"/>
              <w:rPr>
                <w:kern w:val="21"/>
                <w:sz w:val="24"/>
              </w:rPr>
            </w:pPr>
            <w:r>
              <w:rPr>
                <w:rFonts w:hint="eastAsia"/>
                <w:kern w:val="21"/>
                <w:sz w:val="24"/>
              </w:rPr>
              <w:t>颗粒物</w:t>
            </w:r>
          </w:p>
        </w:tc>
        <w:tc>
          <w:tcPr>
            <w:tcW w:w="1921" w:type="dxa"/>
            <w:vAlign w:val="center"/>
          </w:tcPr>
          <w:p w14:paraId="61482EF0">
            <w:pPr>
              <w:jc w:val="center"/>
              <w:rPr>
                <w:kern w:val="21"/>
                <w:sz w:val="24"/>
              </w:rPr>
            </w:pPr>
            <w:r>
              <w:rPr>
                <w:rFonts w:hint="eastAsia"/>
                <w:kern w:val="21"/>
                <w:sz w:val="24"/>
              </w:rPr>
              <w:t>密闭湿法搅拌、水喷淋</w:t>
            </w:r>
          </w:p>
        </w:tc>
        <w:tc>
          <w:tcPr>
            <w:tcW w:w="2804" w:type="dxa"/>
            <w:vMerge w:val="continue"/>
            <w:vAlign w:val="center"/>
          </w:tcPr>
          <w:p w14:paraId="00A53ABC">
            <w:pPr>
              <w:jc w:val="center"/>
              <w:rPr>
                <w:sz w:val="24"/>
              </w:rPr>
            </w:pPr>
          </w:p>
        </w:tc>
      </w:tr>
      <w:tr w14:paraId="071064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Merge w:val="continue"/>
            <w:vAlign w:val="center"/>
          </w:tcPr>
          <w:p w14:paraId="4D298DCE">
            <w:pPr>
              <w:jc w:val="center"/>
              <w:rPr>
                <w:sz w:val="24"/>
              </w:rPr>
            </w:pPr>
          </w:p>
        </w:tc>
        <w:tc>
          <w:tcPr>
            <w:tcW w:w="1838" w:type="dxa"/>
            <w:shd w:val="clear" w:color="auto" w:fill="auto"/>
            <w:vAlign w:val="center"/>
          </w:tcPr>
          <w:p w14:paraId="4C560CFF">
            <w:pPr>
              <w:jc w:val="center"/>
              <w:rPr>
                <w:kern w:val="21"/>
                <w:sz w:val="24"/>
              </w:rPr>
            </w:pPr>
            <w:r>
              <w:rPr>
                <w:rFonts w:hint="eastAsia"/>
                <w:kern w:val="21"/>
                <w:sz w:val="24"/>
              </w:rPr>
              <w:t>焊接</w:t>
            </w:r>
          </w:p>
        </w:tc>
        <w:tc>
          <w:tcPr>
            <w:tcW w:w="1027" w:type="dxa"/>
            <w:shd w:val="clear" w:color="auto" w:fill="auto"/>
            <w:vAlign w:val="center"/>
          </w:tcPr>
          <w:p w14:paraId="6AA51E7D">
            <w:pPr>
              <w:jc w:val="center"/>
              <w:rPr>
                <w:kern w:val="21"/>
                <w:sz w:val="24"/>
              </w:rPr>
            </w:pPr>
            <w:r>
              <w:rPr>
                <w:rFonts w:hint="eastAsia"/>
                <w:kern w:val="21"/>
                <w:sz w:val="24"/>
              </w:rPr>
              <w:t>颗粒物</w:t>
            </w:r>
          </w:p>
        </w:tc>
        <w:tc>
          <w:tcPr>
            <w:tcW w:w="1921" w:type="dxa"/>
            <w:vAlign w:val="center"/>
          </w:tcPr>
          <w:p w14:paraId="30EB439E">
            <w:pPr>
              <w:jc w:val="center"/>
              <w:rPr>
                <w:kern w:val="21"/>
                <w:sz w:val="24"/>
              </w:rPr>
            </w:pPr>
            <w:r>
              <w:rPr>
                <w:rFonts w:hint="eastAsia"/>
                <w:kern w:val="21"/>
                <w:sz w:val="24"/>
              </w:rPr>
              <w:t>移动焊烟净化器</w:t>
            </w:r>
          </w:p>
        </w:tc>
        <w:tc>
          <w:tcPr>
            <w:tcW w:w="2804" w:type="dxa"/>
            <w:vMerge w:val="continue"/>
            <w:vAlign w:val="center"/>
          </w:tcPr>
          <w:p w14:paraId="0CABAEC4">
            <w:pPr>
              <w:jc w:val="center"/>
              <w:rPr>
                <w:sz w:val="24"/>
              </w:rPr>
            </w:pPr>
          </w:p>
        </w:tc>
      </w:tr>
      <w:tr w14:paraId="30E51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Merge w:val="continue"/>
            <w:vAlign w:val="center"/>
          </w:tcPr>
          <w:p w14:paraId="3E9BEDD8">
            <w:pPr>
              <w:jc w:val="center"/>
              <w:rPr>
                <w:sz w:val="24"/>
              </w:rPr>
            </w:pPr>
          </w:p>
        </w:tc>
        <w:tc>
          <w:tcPr>
            <w:tcW w:w="1838" w:type="dxa"/>
            <w:shd w:val="clear" w:color="auto" w:fill="auto"/>
            <w:vAlign w:val="center"/>
          </w:tcPr>
          <w:p w14:paraId="64737027">
            <w:pPr>
              <w:jc w:val="center"/>
              <w:rPr>
                <w:kern w:val="21"/>
                <w:sz w:val="24"/>
              </w:rPr>
            </w:pPr>
            <w:r>
              <w:rPr>
                <w:rFonts w:hint="eastAsia"/>
                <w:kern w:val="21"/>
                <w:sz w:val="24"/>
              </w:rPr>
              <w:t>厨房油烟</w:t>
            </w:r>
          </w:p>
        </w:tc>
        <w:tc>
          <w:tcPr>
            <w:tcW w:w="1027" w:type="dxa"/>
            <w:shd w:val="clear" w:color="auto" w:fill="auto"/>
            <w:vAlign w:val="center"/>
          </w:tcPr>
          <w:p w14:paraId="09CA27DA">
            <w:pPr>
              <w:jc w:val="center"/>
              <w:rPr>
                <w:kern w:val="21"/>
                <w:sz w:val="24"/>
              </w:rPr>
            </w:pPr>
            <w:r>
              <w:rPr>
                <w:rFonts w:hint="eastAsia"/>
                <w:kern w:val="21"/>
                <w:sz w:val="24"/>
              </w:rPr>
              <w:t>油烟</w:t>
            </w:r>
          </w:p>
        </w:tc>
        <w:tc>
          <w:tcPr>
            <w:tcW w:w="1921" w:type="dxa"/>
            <w:vAlign w:val="center"/>
          </w:tcPr>
          <w:p w14:paraId="48C3B35C">
            <w:pPr>
              <w:jc w:val="center"/>
              <w:rPr>
                <w:kern w:val="21"/>
                <w:sz w:val="24"/>
              </w:rPr>
            </w:pPr>
            <w:r>
              <w:rPr>
                <w:rFonts w:hint="eastAsia"/>
                <w:kern w:val="21"/>
                <w:sz w:val="24"/>
              </w:rPr>
              <w:t>油烟净化器</w:t>
            </w:r>
          </w:p>
        </w:tc>
        <w:tc>
          <w:tcPr>
            <w:tcW w:w="2804" w:type="dxa"/>
            <w:vAlign w:val="center"/>
          </w:tcPr>
          <w:p w14:paraId="03C4C722">
            <w:pPr>
              <w:jc w:val="center"/>
              <w:rPr>
                <w:sz w:val="24"/>
              </w:rPr>
            </w:pPr>
            <w:r>
              <w:rPr>
                <w:sz w:val="24"/>
              </w:rPr>
              <w:t>《饮食业油烟排放标准（试行）》（GB18483-2001）表2中的小型规模标准排放限值</w:t>
            </w:r>
          </w:p>
        </w:tc>
      </w:tr>
      <w:tr w14:paraId="3D7F61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Merge w:val="restart"/>
            <w:vAlign w:val="center"/>
          </w:tcPr>
          <w:p w14:paraId="4D6AC667">
            <w:pPr>
              <w:jc w:val="center"/>
              <w:rPr>
                <w:kern w:val="21"/>
                <w:sz w:val="24"/>
              </w:rPr>
            </w:pPr>
            <w:r>
              <w:rPr>
                <w:kern w:val="21"/>
                <w:sz w:val="24"/>
              </w:rPr>
              <w:t>地表水环境</w:t>
            </w:r>
          </w:p>
          <w:p w14:paraId="064951C1">
            <w:pPr>
              <w:jc w:val="center"/>
              <w:rPr>
                <w:kern w:val="21"/>
                <w:sz w:val="24"/>
              </w:rPr>
            </w:pPr>
            <w:r>
              <w:rPr>
                <w:rFonts w:hint="eastAsia"/>
                <w:sz w:val="24"/>
              </w:rPr>
              <w:t>（运营期）</w:t>
            </w:r>
          </w:p>
        </w:tc>
        <w:tc>
          <w:tcPr>
            <w:tcW w:w="1838" w:type="dxa"/>
            <w:vAlign w:val="center"/>
          </w:tcPr>
          <w:p w14:paraId="61BD479B">
            <w:pPr>
              <w:jc w:val="center"/>
              <w:rPr>
                <w:kern w:val="21"/>
                <w:sz w:val="24"/>
              </w:rPr>
            </w:pPr>
            <w:r>
              <w:rPr>
                <w:rFonts w:hint="eastAsia"/>
                <w:kern w:val="21"/>
                <w:sz w:val="24"/>
              </w:rPr>
              <w:t>生活废水</w:t>
            </w:r>
          </w:p>
          <w:p w14:paraId="78E1DC2B">
            <w:pPr>
              <w:jc w:val="center"/>
              <w:rPr>
                <w:kern w:val="21"/>
                <w:sz w:val="24"/>
              </w:rPr>
            </w:pPr>
            <w:r>
              <w:rPr>
                <w:rFonts w:hint="eastAsia"/>
                <w:kern w:val="21"/>
                <w:sz w:val="24"/>
              </w:rPr>
              <w:t>排放口</w:t>
            </w:r>
          </w:p>
        </w:tc>
        <w:tc>
          <w:tcPr>
            <w:tcW w:w="1027" w:type="dxa"/>
            <w:vAlign w:val="center"/>
          </w:tcPr>
          <w:p w14:paraId="2C7028C2">
            <w:pPr>
              <w:jc w:val="center"/>
              <w:rPr>
                <w:kern w:val="21"/>
                <w:sz w:val="24"/>
              </w:rPr>
            </w:pPr>
            <w:r>
              <w:rPr>
                <w:rFonts w:hint="eastAsia"/>
                <w:sz w:val="24"/>
              </w:rPr>
              <w:t>pH、</w:t>
            </w:r>
            <w:r>
              <w:rPr>
                <w:sz w:val="24"/>
              </w:rPr>
              <w:t>COD、BOD</w:t>
            </w:r>
            <w:r>
              <w:rPr>
                <w:sz w:val="24"/>
                <w:vertAlign w:val="subscript"/>
              </w:rPr>
              <w:t>5</w:t>
            </w:r>
            <w:r>
              <w:rPr>
                <w:sz w:val="24"/>
              </w:rPr>
              <w:t>、NH</w:t>
            </w:r>
            <w:r>
              <w:rPr>
                <w:sz w:val="24"/>
                <w:vertAlign w:val="subscript"/>
              </w:rPr>
              <w:t>3</w:t>
            </w:r>
            <w:r>
              <w:rPr>
                <w:sz w:val="24"/>
              </w:rPr>
              <w:t>-N、SS</w:t>
            </w:r>
          </w:p>
        </w:tc>
        <w:tc>
          <w:tcPr>
            <w:tcW w:w="1921" w:type="dxa"/>
            <w:vAlign w:val="center"/>
          </w:tcPr>
          <w:p w14:paraId="54F972A5">
            <w:pPr>
              <w:jc w:val="center"/>
              <w:rPr>
                <w:kern w:val="21"/>
                <w:sz w:val="24"/>
              </w:rPr>
            </w:pPr>
            <w:r>
              <w:rPr>
                <w:rFonts w:hint="eastAsia"/>
                <w:sz w:val="24"/>
              </w:rPr>
              <w:t>厂区内化粪池处理后接市政污水管网进入江阴污水处理厂</w:t>
            </w:r>
          </w:p>
        </w:tc>
        <w:tc>
          <w:tcPr>
            <w:tcW w:w="2804" w:type="dxa"/>
            <w:vAlign w:val="center"/>
          </w:tcPr>
          <w:p w14:paraId="6B6984E2">
            <w:pPr>
              <w:jc w:val="center"/>
              <w:rPr>
                <w:sz w:val="24"/>
              </w:rPr>
            </w:pPr>
            <w:r>
              <w:rPr>
                <w:rFonts w:hint="eastAsia"/>
                <w:sz w:val="24"/>
              </w:rPr>
              <w:t>《污水综合排放标准》(GB8978-1996)</w:t>
            </w:r>
          </w:p>
          <w:p w14:paraId="0F85ABD9">
            <w:pPr>
              <w:jc w:val="center"/>
              <w:rPr>
                <w:kern w:val="21"/>
                <w:sz w:val="24"/>
              </w:rPr>
            </w:pPr>
            <w:r>
              <w:rPr>
                <w:rFonts w:hint="eastAsia"/>
                <w:sz w:val="24"/>
              </w:rPr>
              <w:t>中表4三级标准，氨氮执行《</w:t>
            </w:r>
            <w:r>
              <w:rPr>
                <w:sz w:val="24"/>
              </w:rPr>
              <w:t>污水排入城镇下水道水质标准</w:t>
            </w:r>
            <w:r>
              <w:rPr>
                <w:rFonts w:hint="eastAsia"/>
                <w:sz w:val="24"/>
              </w:rPr>
              <w:t>》</w:t>
            </w:r>
            <w:r>
              <w:rPr>
                <w:sz w:val="24"/>
              </w:rPr>
              <w:t>(GB/T 31962-2015)表1中B级标准(即pH6~9(无量纲)、COD</w:t>
            </w:r>
            <w:r>
              <w:rPr>
                <w:rFonts w:hint="eastAsia"/>
                <w:sz w:val="24"/>
              </w:rPr>
              <w:t>cr</w:t>
            </w:r>
            <w:r>
              <w:rPr>
                <w:sz w:val="24"/>
              </w:rPr>
              <w:t>≤500mg/L、BOD</w:t>
            </w:r>
            <w:r>
              <w:rPr>
                <w:sz w:val="24"/>
                <w:vertAlign w:val="subscript"/>
              </w:rPr>
              <w:t>5</w:t>
            </w:r>
            <w:r>
              <w:rPr>
                <w:sz w:val="24"/>
              </w:rPr>
              <w:t>≤300mg/L、SS≤400mg/L、NH</w:t>
            </w:r>
            <w:r>
              <w:rPr>
                <w:sz w:val="24"/>
                <w:vertAlign w:val="subscript"/>
              </w:rPr>
              <w:t>3</w:t>
            </w:r>
            <w:r>
              <w:rPr>
                <w:sz w:val="24"/>
              </w:rPr>
              <w:t>-N≤45mg/L)</w:t>
            </w:r>
          </w:p>
        </w:tc>
      </w:tr>
      <w:tr w14:paraId="73CF7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Merge w:val="continue"/>
            <w:vAlign w:val="center"/>
          </w:tcPr>
          <w:p w14:paraId="1C93F439">
            <w:pPr>
              <w:jc w:val="center"/>
              <w:rPr>
                <w:sz w:val="24"/>
              </w:rPr>
            </w:pPr>
          </w:p>
        </w:tc>
        <w:tc>
          <w:tcPr>
            <w:tcW w:w="1838" w:type="dxa"/>
            <w:vAlign w:val="center"/>
          </w:tcPr>
          <w:p w14:paraId="7B6E2772">
            <w:pPr>
              <w:jc w:val="center"/>
              <w:rPr>
                <w:kern w:val="21"/>
                <w:sz w:val="24"/>
              </w:rPr>
            </w:pPr>
            <w:r>
              <w:rPr>
                <w:rFonts w:hint="eastAsia"/>
                <w:kern w:val="21"/>
                <w:sz w:val="24"/>
              </w:rPr>
              <w:t>无废水排放口（初期雨水、搅拌机清洗废水、道路清洗废水）</w:t>
            </w:r>
          </w:p>
        </w:tc>
        <w:tc>
          <w:tcPr>
            <w:tcW w:w="1027" w:type="dxa"/>
            <w:vAlign w:val="center"/>
          </w:tcPr>
          <w:p w14:paraId="42937B04">
            <w:pPr>
              <w:jc w:val="center"/>
              <w:rPr>
                <w:sz w:val="24"/>
              </w:rPr>
            </w:pPr>
            <w:r>
              <w:rPr>
                <w:sz w:val="24"/>
              </w:rPr>
              <w:t>SS</w:t>
            </w:r>
          </w:p>
        </w:tc>
        <w:tc>
          <w:tcPr>
            <w:tcW w:w="1921" w:type="dxa"/>
            <w:vAlign w:val="center"/>
          </w:tcPr>
          <w:p w14:paraId="649B0388">
            <w:pPr>
              <w:jc w:val="center"/>
              <w:rPr>
                <w:sz w:val="24"/>
              </w:rPr>
            </w:pPr>
            <w:r>
              <w:rPr>
                <w:rFonts w:hint="eastAsia"/>
                <w:sz w:val="24"/>
              </w:rPr>
              <w:t>三级沉淀池处理后回用于生产，不外排</w:t>
            </w:r>
          </w:p>
        </w:tc>
        <w:tc>
          <w:tcPr>
            <w:tcW w:w="2804" w:type="dxa"/>
            <w:vAlign w:val="center"/>
          </w:tcPr>
          <w:p w14:paraId="0AC6C67E">
            <w:pPr>
              <w:jc w:val="center"/>
              <w:rPr>
                <w:sz w:val="24"/>
              </w:rPr>
            </w:pPr>
            <w:r>
              <w:rPr>
                <w:rStyle w:val="111"/>
                <w:rFonts w:hint="eastAsia"/>
                <w:sz w:val="24"/>
              </w:rPr>
              <w:t>验收措施落实情况</w:t>
            </w:r>
          </w:p>
        </w:tc>
      </w:tr>
      <w:tr w14:paraId="043976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Align w:val="center"/>
          </w:tcPr>
          <w:p w14:paraId="625E25CD">
            <w:pPr>
              <w:jc w:val="center"/>
              <w:rPr>
                <w:kern w:val="21"/>
                <w:sz w:val="24"/>
              </w:rPr>
            </w:pPr>
            <w:r>
              <w:rPr>
                <w:kern w:val="21"/>
                <w:sz w:val="24"/>
              </w:rPr>
              <w:t>声环境</w:t>
            </w:r>
          </w:p>
          <w:p w14:paraId="316B02E1">
            <w:pPr>
              <w:jc w:val="center"/>
              <w:rPr>
                <w:kern w:val="21"/>
                <w:sz w:val="24"/>
              </w:rPr>
            </w:pPr>
            <w:r>
              <w:rPr>
                <w:rFonts w:hint="eastAsia"/>
                <w:sz w:val="24"/>
              </w:rPr>
              <w:t>（运营期）</w:t>
            </w:r>
          </w:p>
        </w:tc>
        <w:tc>
          <w:tcPr>
            <w:tcW w:w="1838" w:type="dxa"/>
            <w:vAlign w:val="center"/>
          </w:tcPr>
          <w:p w14:paraId="4EA24C26">
            <w:pPr>
              <w:jc w:val="center"/>
              <w:rPr>
                <w:kern w:val="21"/>
                <w:sz w:val="24"/>
              </w:rPr>
            </w:pPr>
            <w:r>
              <w:rPr>
                <w:kern w:val="21"/>
                <w:sz w:val="24"/>
              </w:rPr>
              <w:t>生产噪声</w:t>
            </w:r>
          </w:p>
        </w:tc>
        <w:tc>
          <w:tcPr>
            <w:tcW w:w="1027" w:type="dxa"/>
            <w:vAlign w:val="center"/>
          </w:tcPr>
          <w:p w14:paraId="53083A60">
            <w:pPr>
              <w:jc w:val="center"/>
              <w:rPr>
                <w:kern w:val="21"/>
                <w:sz w:val="24"/>
              </w:rPr>
            </w:pPr>
            <w:r>
              <w:rPr>
                <w:kern w:val="21"/>
                <w:sz w:val="24"/>
              </w:rPr>
              <w:t>噪声</w:t>
            </w:r>
          </w:p>
        </w:tc>
        <w:tc>
          <w:tcPr>
            <w:tcW w:w="1921" w:type="dxa"/>
            <w:vAlign w:val="center"/>
          </w:tcPr>
          <w:p w14:paraId="425E915A">
            <w:pPr>
              <w:jc w:val="center"/>
              <w:rPr>
                <w:kern w:val="21"/>
                <w:sz w:val="24"/>
              </w:rPr>
            </w:pPr>
            <w:r>
              <w:rPr>
                <w:rFonts w:hint="eastAsia"/>
                <w:kern w:val="21"/>
                <w:sz w:val="24"/>
              </w:rPr>
              <w:t>高噪声设备</w:t>
            </w:r>
            <w:r>
              <w:rPr>
                <w:kern w:val="21"/>
                <w:sz w:val="24"/>
              </w:rPr>
              <w:t>基础</w:t>
            </w:r>
            <w:r>
              <w:rPr>
                <w:rFonts w:hint="eastAsia"/>
                <w:kern w:val="21"/>
                <w:sz w:val="24"/>
              </w:rPr>
              <w:t>减振、厂房墙体隔声、选取低噪声设备</w:t>
            </w:r>
            <w:r>
              <w:rPr>
                <w:kern w:val="21"/>
                <w:sz w:val="24"/>
              </w:rPr>
              <w:t>等综合降噪措施</w:t>
            </w:r>
          </w:p>
        </w:tc>
        <w:tc>
          <w:tcPr>
            <w:tcW w:w="2804" w:type="dxa"/>
            <w:vAlign w:val="center"/>
          </w:tcPr>
          <w:p w14:paraId="6D03BF9E">
            <w:pPr>
              <w:jc w:val="center"/>
              <w:rPr>
                <w:kern w:val="21"/>
                <w:sz w:val="24"/>
              </w:rPr>
            </w:pPr>
            <w:r>
              <w:rPr>
                <w:sz w:val="24"/>
              </w:rPr>
              <w:t>《工业企业厂界环境噪声排放标准》（GB12348-2008）</w:t>
            </w:r>
            <w:r>
              <w:rPr>
                <w:rFonts w:hint="eastAsia"/>
                <w:sz w:val="24"/>
              </w:rPr>
              <w:t>3</w:t>
            </w:r>
            <w:r>
              <w:rPr>
                <w:sz w:val="24"/>
              </w:rPr>
              <w:t>类标准</w:t>
            </w:r>
            <w:r>
              <w:rPr>
                <w:spacing w:val="-2"/>
                <w:sz w:val="24"/>
              </w:rPr>
              <w:t>(昼间≤65dB(A))</w:t>
            </w:r>
          </w:p>
        </w:tc>
      </w:tr>
      <w:tr w14:paraId="140D2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shd w:val="clear" w:color="auto" w:fill="auto"/>
            <w:vAlign w:val="center"/>
          </w:tcPr>
          <w:p w14:paraId="53EF55B2">
            <w:pPr>
              <w:jc w:val="center"/>
              <w:rPr>
                <w:sz w:val="24"/>
              </w:rPr>
            </w:pPr>
            <w:r>
              <w:rPr>
                <w:rFonts w:hint="eastAsia"/>
                <w:sz w:val="24"/>
              </w:rPr>
              <w:t>电磁辐射</w:t>
            </w:r>
          </w:p>
        </w:tc>
        <w:tc>
          <w:tcPr>
            <w:tcW w:w="7590" w:type="dxa"/>
            <w:gridSpan w:val="4"/>
            <w:shd w:val="clear" w:color="auto" w:fill="auto"/>
            <w:vAlign w:val="center"/>
          </w:tcPr>
          <w:p w14:paraId="420ACF12">
            <w:pPr>
              <w:jc w:val="center"/>
              <w:rPr>
                <w:sz w:val="24"/>
              </w:rPr>
            </w:pPr>
            <w:r>
              <w:rPr>
                <w:sz w:val="24"/>
              </w:rPr>
              <w:t>无</w:t>
            </w:r>
          </w:p>
        </w:tc>
      </w:tr>
      <w:tr w14:paraId="0CF56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Align w:val="center"/>
          </w:tcPr>
          <w:p w14:paraId="09EE0FDD">
            <w:pPr>
              <w:jc w:val="center"/>
              <w:rPr>
                <w:kern w:val="21"/>
                <w:sz w:val="24"/>
              </w:rPr>
            </w:pPr>
            <w:r>
              <w:rPr>
                <w:kern w:val="21"/>
                <w:sz w:val="24"/>
              </w:rPr>
              <w:t>固体废物</w:t>
            </w:r>
          </w:p>
          <w:p w14:paraId="0532A026">
            <w:pPr>
              <w:jc w:val="center"/>
              <w:rPr>
                <w:kern w:val="21"/>
                <w:sz w:val="24"/>
              </w:rPr>
            </w:pPr>
            <w:r>
              <w:rPr>
                <w:rFonts w:hint="eastAsia"/>
                <w:sz w:val="24"/>
              </w:rPr>
              <w:t>（运营期）</w:t>
            </w:r>
          </w:p>
        </w:tc>
        <w:tc>
          <w:tcPr>
            <w:tcW w:w="7590" w:type="dxa"/>
            <w:gridSpan w:val="4"/>
            <w:vAlign w:val="center"/>
          </w:tcPr>
          <w:p w14:paraId="36DECB25">
            <w:pPr>
              <w:jc w:val="center"/>
              <w:rPr>
                <w:sz w:val="24"/>
              </w:rPr>
            </w:pPr>
            <w:r>
              <w:rPr>
                <w:rFonts w:hint="eastAsia"/>
                <w:sz w:val="24"/>
              </w:rPr>
              <w:t>一般工业固废（沉淀池沉渣、钢筋边角料、焊渣）：沉淀池沉渣妥善收集后回用于生产，钢筋边角料、焊渣收集暂存于一般固废暂存区，外售物资回收单位回收利用。</w:t>
            </w:r>
          </w:p>
        </w:tc>
      </w:tr>
      <w:tr w14:paraId="75747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Align w:val="center"/>
          </w:tcPr>
          <w:p w14:paraId="52201F03">
            <w:pPr>
              <w:jc w:val="center"/>
              <w:rPr>
                <w:kern w:val="21"/>
                <w:sz w:val="24"/>
              </w:rPr>
            </w:pPr>
            <w:r>
              <w:rPr>
                <w:sz w:val="24"/>
              </w:rPr>
              <w:t>土壤及地下水污染防治措施</w:t>
            </w:r>
          </w:p>
        </w:tc>
        <w:tc>
          <w:tcPr>
            <w:tcW w:w="7590" w:type="dxa"/>
            <w:gridSpan w:val="4"/>
            <w:vAlign w:val="center"/>
          </w:tcPr>
          <w:p w14:paraId="394766AB">
            <w:pPr>
              <w:jc w:val="center"/>
              <w:rPr>
                <w:sz w:val="24"/>
              </w:rPr>
            </w:pPr>
            <w:r>
              <w:rPr>
                <w:rFonts w:hint="eastAsia"/>
                <w:sz w:val="24"/>
              </w:rPr>
              <w:t>一般工业固废间、项目生产车间等按一般污染区防渗要求进行建设，且具有防雨、防渗、防风、防日晒等功能</w:t>
            </w:r>
          </w:p>
        </w:tc>
      </w:tr>
      <w:tr w14:paraId="5E4F23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457" w:type="dxa"/>
            <w:vAlign w:val="center"/>
          </w:tcPr>
          <w:p w14:paraId="5728FBC8">
            <w:pPr>
              <w:jc w:val="center"/>
              <w:rPr>
                <w:sz w:val="24"/>
              </w:rPr>
            </w:pPr>
            <w:r>
              <w:rPr>
                <w:sz w:val="24"/>
              </w:rPr>
              <w:t>生态保护</w:t>
            </w:r>
          </w:p>
          <w:p w14:paraId="6A3A93A0">
            <w:pPr>
              <w:jc w:val="center"/>
              <w:rPr>
                <w:sz w:val="24"/>
              </w:rPr>
            </w:pPr>
            <w:r>
              <w:rPr>
                <w:sz w:val="24"/>
              </w:rPr>
              <w:t>措施</w:t>
            </w:r>
          </w:p>
        </w:tc>
        <w:tc>
          <w:tcPr>
            <w:tcW w:w="7590" w:type="dxa"/>
            <w:gridSpan w:val="4"/>
            <w:vAlign w:val="center"/>
          </w:tcPr>
          <w:p w14:paraId="11CA2525">
            <w:pPr>
              <w:jc w:val="center"/>
              <w:rPr>
                <w:kern w:val="0"/>
                <w:sz w:val="24"/>
              </w:rPr>
            </w:pPr>
            <w:r>
              <w:rPr>
                <w:sz w:val="24"/>
              </w:rPr>
              <w:t>无</w:t>
            </w:r>
          </w:p>
        </w:tc>
      </w:tr>
      <w:tr w14:paraId="3A74E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457" w:type="dxa"/>
            <w:vAlign w:val="center"/>
          </w:tcPr>
          <w:p w14:paraId="266D5538">
            <w:pPr>
              <w:jc w:val="center"/>
              <w:rPr>
                <w:sz w:val="24"/>
              </w:rPr>
            </w:pPr>
            <w:r>
              <w:rPr>
                <w:sz w:val="24"/>
              </w:rPr>
              <w:t>环境风险</w:t>
            </w:r>
          </w:p>
          <w:p w14:paraId="7D460C89">
            <w:pPr>
              <w:jc w:val="center"/>
              <w:rPr>
                <w:sz w:val="24"/>
              </w:rPr>
            </w:pPr>
            <w:r>
              <w:rPr>
                <w:sz w:val="24"/>
              </w:rPr>
              <w:t>防范措施</w:t>
            </w:r>
          </w:p>
        </w:tc>
        <w:tc>
          <w:tcPr>
            <w:tcW w:w="7590" w:type="dxa"/>
            <w:gridSpan w:val="4"/>
            <w:vAlign w:val="center"/>
          </w:tcPr>
          <w:p w14:paraId="712833DC">
            <w:pPr>
              <w:jc w:val="center"/>
              <w:rPr>
                <w:sz w:val="24"/>
              </w:rPr>
            </w:pPr>
            <w:r>
              <w:rPr>
                <w:rStyle w:val="111"/>
                <w:rFonts w:hint="eastAsia"/>
                <w:sz w:val="24"/>
              </w:rPr>
              <w:t>做好火灾等炸风险防范措施</w:t>
            </w:r>
          </w:p>
        </w:tc>
      </w:tr>
      <w:tr w14:paraId="351099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7" w:type="dxa"/>
            <w:vAlign w:val="center"/>
          </w:tcPr>
          <w:p w14:paraId="08E2FF95">
            <w:pPr>
              <w:jc w:val="center"/>
              <w:rPr>
                <w:kern w:val="21"/>
                <w:sz w:val="24"/>
              </w:rPr>
            </w:pPr>
            <w:r>
              <w:rPr>
                <w:kern w:val="21"/>
                <w:sz w:val="24"/>
              </w:rPr>
              <w:t>其他环境</w:t>
            </w:r>
          </w:p>
          <w:p w14:paraId="5D73107A">
            <w:pPr>
              <w:jc w:val="center"/>
              <w:rPr>
                <w:color w:val="FF0000"/>
                <w:kern w:val="21"/>
                <w:sz w:val="24"/>
              </w:rPr>
            </w:pPr>
            <w:r>
              <w:rPr>
                <w:kern w:val="21"/>
                <w:sz w:val="24"/>
              </w:rPr>
              <w:t>管理要求</w:t>
            </w:r>
          </w:p>
        </w:tc>
        <w:tc>
          <w:tcPr>
            <w:tcW w:w="7590" w:type="dxa"/>
            <w:gridSpan w:val="4"/>
            <w:vAlign w:val="center"/>
          </w:tcPr>
          <w:p w14:paraId="532153BB">
            <w:pPr>
              <w:adjustRightInd/>
              <w:snapToGrid/>
              <w:spacing w:line="360" w:lineRule="auto"/>
              <w:ind w:firstLine="480" w:firstLineChars="200"/>
              <w:rPr>
                <w:sz w:val="24"/>
              </w:rPr>
            </w:pPr>
            <w:r>
              <w:rPr>
                <w:sz w:val="24"/>
              </w:rPr>
              <w:t>①竣工环境保护验收</w:t>
            </w:r>
          </w:p>
          <w:p w14:paraId="103EA325">
            <w:pPr>
              <w:spacing w:line="360" w:lineRule="auto"/>
              <w:ind w:firstLine="480" w:firstLineChars="200"/>
              <w:jc w:val="left"/>
              <w:rPr>
                <w:sz w:val="24"/>
              </w:rPr>
            </w:pPr>
            <w:r>
              <w:rPr>
                <w:sz w:val="24"/>
              </w:rPr>
              <w:t>根据《国务院关于修改〈建设项目环境保护管理条例〉的决定》（中华人民共和国国务院令第682号，以下简称《条例》，自2017年10月1日起施行），《建设项目环境保护管理条例》第十七条修改为“编制环境影响报告书、环境影响报告表的建设项目竣工后，建设单位应当按照国务院环境保护行政主管部门规定的标准和程序，对配套建设的环境保护设施进行验收，编制验收报告”，因此至2017年10月1日起取消“建设项目竣工环境保护验收”行政审批事项，环保设施竣工验收主体由环保部门转为建设单位，建设单位需自行验收，在验收过程中与环评单位、环保施工单位、环保设计单位、监测单位、专家等共同组成验收组对项目进行竣工环保验收，进一步强化了建设单位的环境保护“三同时”主体责任。</w:t>
            </w:r>
          </w:p>
          <w:p w14:paraId="539F4BC5">
            <w:pPr>
              <w:spacing w:line="360" w:lineRule="auto"/>
              <w:ind w:firstLine="480" w:firstLineChars="200"/>
              <w:jc w:val="left"/>
              <w:rPr>
                <w:sz w:val="24"/>
              </w:rPr>
            </w:pPr>
            <w:r>
              <w:rPr>
                <w:sz w:val="24"/>
              </w:rPr>
              <w:t>根据《关于发布〈建设项目竣工环境保护验收暂行办法〉的公告》（国环规环评[2017]4号，自2017年11月22日起施行），建设项目需要配套建设水、噪声或者固体废物污染防治设施的，新修改的《中华人民共和国水污染防治法》生效实施前或者《中华人民共和国固体废物污染环境防治法》《中华人民共和国环境噪声污染防治法》修改完成前，应依法由环境保护部门对建设项目水、噪声或者固体废物污染防治设施进行验收。编制环境影响报告书、环境影响报告表的建设项目，其配套建设的环境保护设施经验收合格，方可投入生产或者使用；未经验收或者验收不合格的，不得投入生产或者使用。</w:t>
            </w:r>
          </w:p>
          <w:p w14:paraId="41B64145">
            <w:pPr>
              <w:adjustRightInd/>
              <w:snapToGrid/>
              <w:spacing w:line="360" w:lineRule="auto"/>
              <w:ind w:firstLine="480" w:firstLineChars="200"/>
              <w:rPr>
                <w:sz w:val="24"/>
              </w:rPr>
            </w:pPr>
            <w:r>
              <w:rPr>
                <w:sz w:val="24"/>
              </w:rPr>
              <w:t>②排污许可管理要求</w:t>
            </w:r>
          </w:p>
          <w:p w14:paraId="5D4E5237">
            <w:pPr>
              <w:adjustRightInd/>
              <w:snapToGrid/>
              <w:spacing w:line="360" w:lineRule="auto"/>
              <w:ind w:firstLine="480" w:firstLineChars="200"/>
              <w:rPr>
                <w:sz w:val="24"/>
              </w:rPr>
            </w:pPr>
            <w:r>
              <w:rPr>
                <w:sz w:val="24"/>
              </w:rPr>
              <w:t>根据《固定污染源排污许可分类管理名录（2019年版）》（生态环境部 第11号）可知，本项目为</w:t>
            </w:r>
            <w:r>
              <w:rPr>
                <w:rFonts w:hint="eastAsia"/>
                <w:sz w:val="24"/>
              </w:rPr>
              <w:t>本</w:t>
            </w:r>
            <w:r>
              <w:rPr>
                <w:sz w:val="24"/>
              </w:rPr>
              <w:t>项目属于“二十五、非金属矿物制品业-水泥制品制造3021”类别，属于登记管理</w:t>
            </w:r>
            <w:r>
              <w:rPr>
                <w:rFonts w:hint="eastAsia"/>
                <w:sz w:val="24"/>
              </w:rPr>
              <w:t>。</w:t>
            </w:r>
            <w:r>
              <w:rPr>
                <w:sz w:val="24"/>
              </w:rPr>
              <w:t>因此，建设单位应当在启动生产设施或者发生实际排污之前在全国排污许可证管理信息平台进行排污</w:t>
            </w:r>
            <w:r>
              <w:rPr>
                <w:rFonts w:hint="eastAsia"/>
                <w:sz w:val="24"/>
              </w:rPr>
              <w:t>登记</w:t>
            </w:r>
            <w:r>
              <w:rPr>
                <w:sz w:val="24"/>
                <w:lang w:val="en-GB"/>
              </w:rPr>
              <w:t>。</w:t>
            </w:r>
          </w:p>
          <w:p w14:paraId="0F0B9EF5">
            <w:pPr>
              <w:adjustRightInd/>
              <w:snapToGrid/>
              <w:spacing w:line="360" w:lineRule="auto"/>
              <w:ind w:firstLine="480" w:firstLineChars="200"/>
              <w:rPr>
                <w:sz w:val="24"/>
              </w:rPr>
            </w:pPr>
            <w:r>
              <w:rPr>
                <w:sz w:val="24"/>
              </w:rPr>
              <w:t>③建立环境管理制度</w:t>
            </w:r>
          </w:p>
          <w:p w14:paraId="0813D145">
            <w:pPr>
              <w:spacing w:line="360" w:lineRule="auto"/>
              <w:ind w:firstLine="480" w:firstLineChars="200"/>
              <w:rPr>
                <w:sz w:val="24"/>
              </w:rPr>
            </w:pPr>
            <w:r>
              <w:rPr>
                <w:sz w:val="24"/>
              </w:rPr>
              <w:t>根据《企业事业单位环境信息公开办法》(环境保护部令第31号)，企业事业单位应当按照强制公开和自愿公开相结合的原则，及时、如实地公开其环境信息。企业事业单位应当建立健全本单位环境信息公开制度，指定机构负责本单位环境信息公开日常工作，排污单位应当公开以下信息：</w:t>
            </w:r>
          </w:p>
          <w:p w14:paraId="2EED6838">
            <w:pPr>
              <w:spacing w:line="360" w:lineRule="auto"/>
              <w:ind w:firstLine="480" w:firstLineChars="200"/>
              <w:rPr>
                <w:sz w:val="24"/>
              </w:rPr>
            </w:pPr>
            <w:r>
              <w:rPr>
                <w:sz w:val="24"/>
              </w:rPr>
              <w:t>(一)基础信息，包括单位名称、组织机构代码、法定代表人、生产地址、联系方式，以及生产经营和管理服务的主要内容、产品及规模；</w:t>
            </w:r>
          </w:p>
          <w:p w14:paraId="5C489FFD">
            <w:pPr>
              <w:spacing w:line="360" w:lineRule="auto"/>
              <w:ind w:firstLine="480" w:firstLineChars="200"/>
              <w:rPr>
                <w:sz w:val="24"/>
              </w:rPr>
            </w:pPr>
            <w:r>
              <w:rPr>
                <w:sz w:val="24"/>
              </w:rPr>
              <w:t>(二)排污信息，包括主要污染物及其他污染物的名称、排放方式、排放口数量和分布情况、排放浓度和总量、超标情况，以及执行的污染物排放标准、核定的排放总量；</w:t>
            </w:r>
          </w:p>
          <w:p w14:paraId="5ACCACB2">
            <w:pPr>
              <w:spacing w:line="360" w:lineRule="auto"/>
              <w:ind w:firstLine="480" w:firstLineChars="200"/>
              <w:rPr>
                <w:sz w:val="24"/>
              </w:rPr>
            </w:pPr>
            <w:r>
              <w:rPr>
                <w:sz w:val="24"/>
              </w:rPr>
              <w:t>(三)防治污染设施的建设和运行情况；</w:t>
            </w:r>
          </w:p>
          <w:p w14:paraId="154B8508">
            <w:pPr>
              <w:spacing w:line="360" w:lineRule="auto"/>
              <w:ind w:firstLine="480" w:firstLineChars="200"/>
              <w:rPr>
                <w:sz w:val="24"/>
              </w:rPr>
            </w:pPr>
            <w:r>
              <w:rPr>
                <w:sz w:val="24"/>
              </w:rPr>
              <w:t>(四)建设项目环境影响评价及其他环境保护行政许可情况；</w:t>
            </w:r>
          </w:p>
          <w:p w14:paraId="45E993D3">
            <w:pPr>
              <w:spacing w:line="360" w:lineRule="auto"/>
              <w:ind w:firstLine="480" w:firstLineChars="200"/>
              <w:rPr>
                <w:sz w:val="24"/>
              </w:rPr>
            </w:pPr>
            <w:r>
              <w:rPr>
                <w:sz w:val="24"/>
              </w:rPr>
              <w:t>(五)其他应当公开的环境信息；</w:t>
            </w:r>
          </w:p>
          <w:p w14:paraId="1616DA84">
            <w:pPr>
              <w:spacing w:line="360" w:lineRule="auto"/>
              <w:ind w:firstLine="480" w:firstLineChars="200"/>
              <w:rPr>
                <w:sz w:val="24"/>
              </w:rPr>
            </w:pPr>
            <w:r>
              <w:rPr>
                <w:sz w:val="24"/>
              </w:rPr>
              <w:t>列入国家重点监控企业名单的重点排污单位应当公开其环境自行监测方案。</w:t>
            </w:r>
          </w:p>
          <w:p w14:paraId="221C6E59">
            <w:pPr>
              <w:pStyle w:val="29"/>
              <w:widowControl w:val="0"/>
              <w:spacing w:before="0" w:beforeAutospacing="0" w:after="0" w:afterAutospacing="0" w:line="360" w:lineRule="auto"/>
              <w:jc w:val="both"/>
              <w:rPr>
                <w:rFonts w:ascii="Times New Roman" w:hAnsi="Times New Roman"/>
                <w:szCs w:val="24"/>
              </w:rPr>
            </w:pPr>
            <w:r>
              <w:rPr>
                <w:rFonts w:ascii="Times New Roman" w:hAnsi="Times New Roman"/>
                <w:kern w:val="2"/>
                <w:szCs w:val="24"/>
              </w:rPr>
              <w:t>建设单位应按照上述要求公开建设项目的相关信息，采取的信息公开途径可包括：</w:t>
            </w:r>
            <w:r>
              <w:rPr>
                <w:rFonts w:hint="eastAsia" w:ascii="Times New Roman" w:hAnsi="Times New Roman"/>
                <w:kern w:val="2"/>
                <w:szCs w:val="24"/>
              </w:rPr>
              <w:t>A.</w:t>
            </w:r>
            <w:r>
              <w:rPr>
                <w:rFonts w:ascii="Times New Roman" w:hAnsi="Times New Roman"/>
                <w:kern w:val="2"/>
                <w:szCs w:val="24"/>
              </w:rPr>
              <w:t>公告或者公开发行的信息专刊；</w:t>
            </w:r>
            <w:r>
              <w:rPr>
                <w:rFonts w:hint="eastAsia" w:ascii="Times New Roman" w:hAnsi="Times New Roman"/>
                <w:kern w:val="2"/>
                <w:szCs w:val="24"/>
              </w:rPr>
              <w:t>B.</w:t>
            </w:r>
            <w:r>
              <w:rPr>
                <w:rFonts w:ascii="Times New Roman" w:hAnsi="Times New Roman"/>
                <w:kern w:val="2"/>
                <w:szCs w:val="24"/>
              </w:rPr>
              <w:t>广播、电视等新闻媒体；</w:t>
            </w:r>
            <w:r>
              <w:rPr>
                <w:rFonts w:hint="eastAsia" w:ascii="Times New Roman" w:hAnsi="Times New Roman"/>
                <w:kern w:val="2"/>
                <w:szCs w:val="24"/>
              </w:rPr>
              <w:t>C.</w:t>
            </w:r>
            <w:r>
              <w:rPr>
                <w:rFonts w:ascii="Times New Roman" w:hAnsi="Times New Roman"/>
                <w:kern w:val="2"/>
                <w:szCs w:val="24"/>
              </w:rPr>
              <w:t>信息公开服务、监督热线电话；</w:t>
            </w:r>
            <w:r>
              <w:rPr>
                <w:rFonts w:hint="eastAsia" w:ascii="Times New Roman" w:hAnsi="Times New Roman"/>
                <w:kern w:val="2"/>
                <w:szCs w:val="24"/>
              </w:rPr>
              <w:t>D.</w:t>
            </w:r>
            <w:r>
              <w:rPr>
                <w:rFonts w:ascii="Times New Roman" w:hAnsi="Times New Roman"/>
                <w:kern w:val="2"/>
                <w:szCs w:val="24"/>
              </w:rPr>
              <w:t>本单位的资料索取点、信息公开栏、信息亭、电子屏幕、电子触摸屏等场所或者设施；</w:t>
            </w:r>
            <w:r>
              <w:rPr>
                <w:rFonts w:hint="eastAsia" w:ascii="Times New Roman" w:hAnsi="Times New Roman"/>
                <w:kern w:val="2"/>
                <w:szCs w:val="24"/>
              </w:rPr>
              <w:t>E.</w:t>
            </w:r>
            <w:r>
              <w:rPr>
                <w:rFonts w:ascii="Times New Roman" w:hAnsi="Times New Roman"/>
                <w:kern w:val="2"/>
                <w:szCs w:val="24"/>
              </w:rPr>
              <w:t>其他便于公众及时、准确获得信息的方式。</w:t>
            </w:r>
          </w:p>
          <w:p w14:paraId="2DAF9C62">
            <w:pPr>
              <w:spacing w:line="360" w:lineRule="auto"/>
              <w:ind w:firstLine="480" w:firstLineChars="200"/>
              <w:rPr>
                <w:sz w:val="24"/>
              </w:rPr>
            </w:pPr>
            <w:r>
              <w:rPr>
                <w:sz w:val="24"/>
              </w:rPr>
              <w:t>④</w:t>
            </w:r>
            <w:r>
              <w:rPr>
                <w:rFonts w:hint="eastAsia"/>
                <w:sz w:val="24"/>
              </w:rPr>
              <w:t>退役期环境管理</w:t>
            </w:r>
          </w:p>
          <w:p w14:paraId="4A045417">
            <w:pPr>
              <w:spacing w:line="360" w:lineRule="auto"/>
              <w:ind w:firstLine="480" w:firstLineChars="200"/>
              <w:rPr>
                <w:sz w:val="24"/>
              </w:rPr>
            </w:pPr>
            <w:r>
              <w:rPr>
                <w:sz w:val="24"/>
              </w:rPr>
              <w:t>项目所使用的原料可返回原厂家或出售给其它企业，对周围环境无影响。原材料在暂保存期应设专门地点存放，专人看管。</w:t>
            </w:r>
          </w:p>
          <w:p w14:paraId="35FA6BCD">
            <w:pPr>
              <w:spacing w:line="360" w:lineRule="auto"/>
              <w:ind w:firstLine="480" w:firstLineChars="200"/>
              <w:rPr>
                <w:sz w:val="24"/>
              </w:rPr>
            </w:pPr>
            <w:r>
              <w:rPr>
                <w:sz w:val="24"/>
              </w:rPr>
              <w:t>项目退役后，其设备处置应遵循以下两方面原则：</w:t>
            </w:r>
          </w:p>
          <w:p w14:paraId="78BD34FB">
            <w:pPr>
              <w:spacing w:line="360" w:lineRule="auto"/>
              <w:ind w:firstLine="480" w:firstLineChars="200"/>
              <w:rPr>
                <w:sz w:val="24"/>
              </w:rPr>
            </w:pPr>
            <w:r>
              <w:rPr>
                <w:rFonts w:hint="eastAsia"/>
                <w:sz w:val="24"/>
              </w:rPr>
              <w:t>A.</w:t>
            </w:r>
            <w:r>
              <w:rPr>
                <w:sz w:val="24"/>
              </w:rPr>
              <w:t>在退役时，尚不属于行业淘汰范围的，且尚符合当时国家产业政策和地方政策的设备，可出售给相应企业。</w:t>
            </w:r>
          </w:p>
          <w:p w14:paraId="20C464BB">
            <w:pPr>
              <w:spacing w:line="360" w:lineRule="auto"/>
              <w:ind w:firstLine="480" w:firstLineChars="200"/>
              <w:rPr>
                <w:sz w:val="24"/>
              </w:rPr>
            </w:pPr>
            <w:r>
              <w:rPr>
                <w:rFonts w:hint="eastAsia"/>
                <w:sz w:val="24"/>
              </w:rPr>
              <w:t>B.</w:t>
            </w:r>
            <w:r>
              <w:rPr>
                <w:sz w:val="24"/>
              </w:rPr>
              <w:t>在退役时，属于行业淘汰范围、不符合当时国家产业政策和地方政策中的一种，即应予以报废，设备可按废品出售给物质回收单位。本项目所使用的设备在退役后应根据上述两个原则将生产设备售给相应的企业或予以报废，出售给物质回收单位。</w:t>
            </w:r>
          </w:p>
          <w:p w14:paraId="08DEF1D5">
            <w:pPr>
              <w:adjustRightInd/>
              <w:snapToGrid/>
              <w:spacing w:line="360" w:lineRule="auto"/>
              <w:ind w:firstLine="480" w:firstLineChars="200"/>
              <w:rPr>
                <w:sz w:val="24"/>
              </w:rPr>
            </w:pPr>
            <w:r>
              <w:rPr>
                <w:sz w:val="24"/>
              </w:rPr>
              <w:fldChar w:fldCharType="begin"/>
            </w:r>
            <w:r>
              <w:rPr>
                <w:sz w:val="24"/>
              </w:rPr>
              <w:instrText xml:space="preserve"> = 5 \* GB3 \* MERGEFORMAT </w:instrText>
            </w:r>
            <w:r>
              <w:rPr>
                <w:sz w:val="24"/>
              </w:rPr>
              <w:fldChar w:fldCharType="separate"/>
            </w:r>
            <w:r>
              <w:rPr>
                <w:sz w:val="24"/>
              </w:rPr>
              <w:t>⑤</w:t>
            </w:r>
            <w:r>
              <w:rPr>
                <w:sz w:val="24"/>
              </w:rPr>
              <w:fldChar w:fldCharType="end"/>
            </w:r>
            <w:r>
              <w:rPr>
                <w:sz w:val="24"/>
              </w:rPr>
              <w:t>排污口规范管理</w:t>
            </w:r>
          </w:p>
          <w:p w14:paraId="127E3F67">
            <w:pPr>
              <w:pStyle w:val="66"/>
              <w:ind w:firstLine="480"/>
              <w:rPr>
                <w:color w:val="FF0000"/>
                <w:sz w:val="24"/>
                <w:szCs w:val="24"/>
              </w:rPr>
            </w:pPr>
            <w:r>
              <w:rPr>
                <w:sz w:val="24"/>
                <w:szCs w:val="24"/>
              </w:rPr>
              <w:t>一切排污单位的污染物排放口(源)必须实行规范化整治，按照(GB15562.2-1995)《环境保护图形标志》的规定，设置与之相适应的环境保护图形标志牌</w:t>
            </w:r>
            <w:r>
              <w:rPr>
                <w:rFonts w:hint="eastAsia"/>
                <w:sz w:val="24"/>
                <w:szCs w:val="24"/>
              </w:rPr>
              <w:t>。</w:t>
            </w:r>
          </w:p>
          <w:p w14:paraId="00C3A875">
            <w:pPr>
              <w:pStyle w:val="66"/>
              <w:ind w:firstLine="480"/>
              <w:rPr>
                <w:color w:val="FF0000"/>
                <w:sz w:val="24"/>
                <w:szCs w:val="24"/>
              </w:rPr>
            </w:pPr>
            <w:r>
              <w:rPr>
                <w:sz w:val="24"/>
                <w:szCs w:val="24"/>
              </w:rPr>
              <w:t>一般性污染物排放口(源)可设置提示性环境保护图形标志牌，排污口可根据情况分别选择设置立式或平面固定式标志牌。要求各排污口（源）提示标志形状采用正方形边框，背景颜色用绿色，图形颜色用白色。标志牌应设在与之功能相应的醒目处，并保持清晰、完整。</w:t>
            </w:r>
          </w:p>
        </w:tc>
      </w:tr>
    </w:tbl>
    <w:p w14:paraId="0C157079">
      <w:pPr>
        <w:pStyle w:val="29"/>
        <w:jc w:val="center"/>
        <w:outlineLvl w:val="0"/>
        <w:rPr>
          <w:snapToGrid w:val="0"/>
          <w:color w:val="FF0000"/>
          <w:kern w:val="21"/>
        </w:rPr>
        <w:sectPr>
          <w:pgSz w:w="11906" w:h="16838"/>
          <w:pgMar w:top="1701" w:right="1531" w:bottom="1701" w:left="1531" w:header="851" w:footer="851" w:gutter="0"/>
          <w:cols w:space="720" w:num="1"/>
          <w:docGrid w:linePitch="312" w:charSpace="0"/>
        </w:sectPr>
      </w:pPr>
      <w:r>
        <w:rPr>
          <w:snapToGrid w:val="0"/>
          <w:color w:val="FF0000"/>
          <w:kern w:val="21"/>
        </w:rPr>
        <w:br w:type="page"/>
      </w:r>
    </w:p>
    <w:p w14:paraId="0B3EB42E">
      <w:pPr>
        <w:pStyle w:val="29"/>
        <w:jc w:val="center"/>
        <w:outlineLvl w:val="0"/>
        <w:rPr>
          <w:snapToGrid w:val="0"/>
          <w:color w:val="FF0000"/>
          <w:kern w:val="21"/>
        </w:rPr>
        <w:sectPr>
          <w:pgSz w:w="11906" w:h="16838"/>
          <w:pgMar w:top="1701" w:right="1531" w:bottom="1701" w:left="1531" w:header="851" w:footer="851" w:gutter="0"/>
          <w:cols w:space="720" w:num="1"/>
          <w:docGrid w:linePitch="312" w:charSpace="0"/>
        </w:sectPr>
      </w:pPr>
      <w:r>
        <w:rPr>
          <w:rFonts w:hint="eastAsia"/>
          <w:snapToGrid w:val="0"/>
          <w:color w:val="FF0000"/>
          <w:kern w:val="21"/>
        </w:rPr>
        <w:drawing>
          <wp:inline distT="0" distB="0" distL="114300" distR="114300">
            <wp:extent cx="5606415" cy="7932420"/>
            <wp:effectExtent l="0" t="0" r="13335" b="11430"/>
            <wp:docPr id="61" name="图片 61" descr="结论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结论页"/>
                    <pic:cNvPicPr>
                      <a:picLocks noChangeAspect="1"/>
                    </pic:cNvPicPr>
                  </pic:nvPicPr>
                  <pic:blipFill>
                    <a:blip r:embed="rId26" cstate="print"/>
                    <a:stretch>
                      <a:fillRect/>
                    </a:stretch>
                  </pic:blipFill>
                  <pic:spPr>
                    <a:xfrm>
                      <a:off x="0" y="0"/>
                      <a:ext cx="5606415" cy="7932420"/>
                    </a:xfrm>
                    <a:prstGeom prst="rect">
                      <a:avLst/>
                    </a:prstGeom>
                  </pic:spPr>
                </pic:pic>
              </a:graphicData>
            </a:graphic>
          </wp:inline>
        </w:drawing>
      </w:r>
    </w:p>
    <w:p w14:paraId="1A4D5FD3">
      <w:pPr>
        <w:pStyle w:val="29"/>
        <w:spacing w:before="0" w:beforeAutospacing="0" w:after="0" w:afterAutospacing="0"/>
        <w:outlineLvl w:val="0"/>
        <w:rPr>
          <w:rFonts w:ascii="黑体" w:hAnsi="黑体" w:eastAsia="黑体"/>
          <w:snapToGrid w:val="0"/>
          <w:kern w:val="21"/>
          <w:sz w:val="21"/>
          <w:szCs w:val="21"/>
        </w:rPr>
      </w:pPr>
      <w:r>
        <w:rPr>
          <w:rFonts w:hint="eastAsia" w:ascii="黑体" w:hAnsi="黑体" w:eastAsia="黑体"/>
          <w:snapToGrid w:val="0"/>
          <w:kern w:val="21"/>
          <w:sz w:val="32"/>
          <w:szCs w:val="32"/>
        </w:rPr>
        <w:t>附表</w:t>
      </w:r>
    </w:p>
    <w:p w14:paraId="6FE3D62D">
      <w:pPr>
        <w:pStyle w:val="29"/>
        <w:spacing w:before="0" w:beforeAutospacing="0" w:after="0" w:afterAutospacing="0"/>
        <w:jc w:val="center"/>
        <w:outlineLvl w:val="0"/>
        <w:rPr>
          <w:rFonts w:ascii="方正小标宋_GBK" w:hAnsi="黑体" w:eastAsia="方正小标宋_GBK"/>
          <w:snapToGrid w:val="0"/>
          <w:kern w:val="21"/>
          <w:sz w:val="38"/>
          <w:szCs w:val="38"/>
        </w:rPr>
      </w:pPr>
      <w:r>
        <w:rPr>
          <w:rFonts w:hint="eastAsia" w:ascii="方正小标宋_GBK" w:hAnsi="黑体" w:eastAsia="方正小标宋_GBK"/>
          <w:snapToGrid w:val="0"/>
          <w:kern w:val="21"/>
          <w:sz w:val="38"/>
          <w:szCs w:val="38"/>
        </w:rPr>
        <w:t>建设项目污染物排放量汇总表</w:t>
      </w:r>
    </w:p>
    <w:tbl>
      <w:tblPr>
        <w:tblStyle w:val="3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41"/>
        <w:gridCol w:w="1719"/>
        <w:gridCol w:w="1286"/>
      </w:tblGrid>
      <w:tr w14:paraId="5D4695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l2br w:val="single" w:color="auto" w:sz="4" w:space="0"/>
            </w:tcBorders>
            <w:tcMar>
              <w:left w:w="28" w:type="dxa"/>
              <w:right w:w="28" w:type="dxa"/>
            </w:tcMar>
            <w:vAlign w:val="center"/>
          </w:tcPr>
          <w:p w14:paraId="413681AF">
            <w:pPr>
              <w:pStyle w:val="68"/>
              <w:spacing w:beforeLines="0" w:afterLines="0" w:line="240" w:lineRule="auto"/>
              <w:jc w:val="right"/>
              <w:rPr>
                <w:rFonts w:ascii="Times New Roman" w:eastAsia="黑体"/>
                <w:snapToGrid w:val="0"/>
                <w:kern w:val="21"/>
                <w:szCs w:val="21"/>
              </w:rPr>
            </w:pPr>
            <w:r>
              <w:rPr>
                <w:rFonts w:ascii="Times New Roman" w:eastAsia="黑体"/>
                <w:snapToGrid w:val="0"/>
                <w:kern w:val="21"/>
                <w:szCs w:val="21"/>
              </w:rPr>
              <w:t>项目</w:t>
            </w:r>
          </w:p>
          <w:p w14:paraId="0DC3334C">
            <w:pPr>
              <w:pStyle w:val="68"/>
              <w:spacing w:beforeLines="0" w:afterLines="0" w:line="240" w:lineRule="auto"/>
              <w:jc w:val="left"/>
              <w:rPr>
                <w:rFonts w:ascii="Times New Roman" w:eastAsia="黑体"/>
                <w:snapToGrid w:val="0"/>
                <w:kern w:val="21"/>
                <w:szCs w:val="21"/>
              </w:rPr>
            </w:pPr>
            <w:r>
              <w:rPr>
                <w:rFonts w:ascii="Times New Roman" w:eastAsia="黑体"/>
                <w:snapToGrid w:val="0"/>
                <w:kern w:val="21"/>
                <w:szCs w:val="21"/>
              </w:rPr>
              <w:t>分类</w:t>
            </w:r>
          </w:p>
        </w:tc>
        <w:tc>
          <w:tcPr>
            <w:tcW w:w="1417" w:type="dxa"/>
            <w:tcMar>
              <w:left w:w="28" w:type="dxa"/>
              <w:right w:w="28" w:type="dxa"/>
            </w:tcMar>
            <w:vAlign w:val="center"/>
          </w:tcPr>
          <w:p w14:paraId="06DD3EE3">
            <w:pPr>
              <w:pStyle w:val="68"/>
              <w:spacing w:beforeLines="0" w:afterLines="0" w:line="240" w:lineRule="auto"/>
              <w:rPr>
                <w:rFonts w:ascii="Times New Roman" w:eastAsia="黑体"/>
                <w:snapToGrid w:val="0"/>
                <w:kern w:val="21"/>
                <w:szCs w:val="21"/>
              </w:rPr>
            </w:pPr>
            <w:r>
              <w:rPr>
                <w:rFonts w:ascii="Times New Roman" w:eastAsia="黑体"/>
                <w:snapToGrid w:val="0"/>
                <w:kern w:val="21"/>
                <w:szCs w:val="21"/>
              </w:rPr>
              <w:t>污染物名称</w:t>
            </w:r>
          </w:p>
        </w:tc>
        <w:tc>
          <w:tcPr>
            <w:tcW w:w="1701" w:type="dxa"/>
            <w:tcMar>
              <w:left w:w="28" w:type="dxa"/>
              <w:right w:w="28" w:type="dxa"/>
            </w:tcMar>
            <w:vAlign w:val="center"/>
          </w:tcPr>
          <w:p w14:paraId="0DB8C437">
            <w:pPr>
              <w:pStyle w:val="68"/>
              <w:spacing w:beforeLines="0" w:afterLines="0" w:line="240" w:lineRule="auto"/>
              <w:rPr>
                <w:rFonts w:ascii="Times New Roman" w:eastAsia="黑体"/>
                <w:snapToGrid w:val="0"/>
                <w:kern w:val="21"/>
                <w:szCs w:val="21"/>
              </w:rPr>
            </w:pPr>
            <w:r>
              <w:rPr>
                <w:rFonts w:ascii="Times New Roman" w:eastAsia="黑体"/>
                <w:snapToGrid w:val="0"/>
                <w:kern w:val="21"/>
                <w:szCs w:val="21"/>
              </w:rPr>
              <w:t>现有工程</w:t>
            </w:r>
          </w:p>
          <w:p w14:paraId="6F4DCD65">
            <w:pPr>
              <w:pStyle w:val="68"/>
              <w:spacing w:beforeLines="0" w:afterLines="0" w:line="240" w:lineRule="auto"/>
              <w:rPr>
                <w:rFonts w:ascii="Times New Roman" w:eastAsia="黑体"/>
                <w:snapToGrid w:val="0"/>
                <w:kern w:val="21"/>
                <w:szCs w:val="21"/>
              </w:rPr>
            </w:pPr>
            <w:r>
              <w:rPr>
                <w:rFonts w:ascii="Times New Roman" w:eastAsia="黑体"/>
                <w:snapToGrid w:val="0"/>
                <w:kern w:val="21"/>
                <w:szCs w:val="21"/>
              </w:rPr>
              <w:t>排放量（固体废物产生量）</w:t>
            </w:r>
            <w:r>
              <w:rPr>
                <w:rFonts w:ascii="Times New Roman" w:eastAsia="黑体"/>
                <w:snapToGrid w:val="0"/>
                <w:kern w:val="21"/>
                <w:szCs w:val="21"/>
              </w:rPr>
              <w:fldChar w:fldCharType="begin"/>
            </w:r>
            <w:r>
              <w:rPr>
                <w:rFonts w:ascii="Times New Roman" w:eastAsia="黑体"/>
                <w:snapToGrid w:val="0"/>
                <w:kern w:val="21"/>
                <w:szCs w:val="21"/>
              </w:rPr>
              <w:instrText xml:space="preserve"> = 1 \* GB3 \* MERGEFORMAT </w:instrText>
            </w:r>
            <w:r>
              <w:rPr>
                <w:rFonts w:ascii="Times New Roman" w:eastAsia="黑体"/>
                <w:snapToGrid w:val="0"/>
                <w:kern w:val="21"/>
                <w:szCs w:val="21"/>
              </w:rPr>
              <w:fldChar w:fldCharType="separate"/>
            </w:r>
            <w:r>
              <w:rPr>
                <w:rFonts w:ascii="Times New Roman" w:eastAsia="黑体"/>
                <w:kern w:val="21"/>
                <w:szCs w:val="21"/>
              </w:rPr>
              <w:t>①</w:t>
            </w:r>
            <w:r>
              <w:rPr>
                <w:rFonts w:ascii="Times New Roman" w:eastAsia="黑体"/>
                <w:snapToGrid w:val="0"/>
                <w:kern w:val="21"/>
                <w:szCs w:val="21"/>
              </w:rPr>
              <w:fldChar w:fldCharType="end"/>
            </w:r>
          </w:p>
        </w:tc>
        <w:tc>
          <w:tcPr>
            <w:tcW w:w="1276" w:type="dxa"/>
            <w:tcMar>
              <w:left w:w="28" w:type="dxa"/>
              <w:right w:w="28" w:type="dxa"/>
            </w:tcMar>
            <w:vAlign w:val="center"/>
          </w:tcPr>
          <w:p w14:paraId="577854DB">
            <w:pPr>
              <w:pStyle w:val="68"/>
              <w:spacing w:beforeLines="0" w:afterLines="0" w:line="240" w:lineRule="auto"/>
              <w:rPr>
                <w:rFonts w:ascii="Times New Roman" w:eastAsia="黑体"/>
                <w:snapToGrid w:val="0"/>
                <w:kern w:val="21"/>
                <w:szCs w:val="21"/>
              </w:rPr>
            </w:pPr>
            <w:r>
              <w:rPr>
                <w:rFonts w:ascii="Times New Roman" w:eastAsia="黑体"/>
                <w:snapToGrid w:val="0"/>
                <w:kern w:val="21"/>
                <w:szCs w:val="21"/>
              </w:rPr>
              <w:t>现有工程</w:t>
            </w:r>
          </w:p>
          <w:p w14:paraId="282F4072">
            <w:pPr>
              <w:pStyle w:val="68"/>
              <w:spacing w:beforeLines="0" w:afterLines="0" w:line="240" w:lineRule="auto"/>
              <w:rPr>
                <w:rFonts w:ascii="Times New Roman" w:eastAsia="黑体"/>
                <w:snapToGrid w:val="0"/>
                <w:kern w:val="21"/>
                <w:szCs w:val="21"/>
              </w:rPr>
            </w:pPr>
            <w:r>
              <w:rPr>
                <w:rFonts w:ascii="Times New Roman" w:eastAsia="黑体"/>
                <w:snapToGrid w:val="0"/>
                <w:kern w:val="21"/>
                <w:szCs w:val="21"/>
              </w:rPr>
              <w:t>许可排放量</w:t>
            </w:r>
          </w:p>
          <w:p w14:paraId="31E3BCFF">
            <w:pPr>
              <w:pStyle w:val="68"/>
              <w:spacing w:beforeLines="0" w:afterLines="0"/>
              <w:rPr>
                <w:rFonts w:ascii="Times New Roman" w:eastAsia="黑体"/>
                <w:snapToGrid w:val="0"/>
                <w:kern w:val="21"/>
                <w:szCs w:val="21"/>
              </w:rPr>
            </w:pPr>
            <w:r>
              <w:rPr>
                <w:rFonts w:ascii="Times New Roman" w:eastAsia="黑体"/>
                <w:snapToGrid w:val="0"/>
                <w:kern w:val="21"/>
                <w:szCs w:val="21"/>
              </w:rPr>
              <w:fldChar w:fldCharType="begin"/>
            </w:r>
            <w:r>
              <w:rPr>
                <w:rFonts w:ascii="Times New Roman" w:eastAsia="黑体"/>
                <w:snapToGrid w:val="0"/>
                <w:kern w:val="21"/>
                <w:szCs w:val="21"/>
              </w:rPr>
              <w:instrText xml:space="preserve"> = 2 \* GB3 \* MERGEFORMAT </w:instrText>
            </w:r>
            <w:r>
              <w:rPr>
                <w:rFonts w:ascii="Times New Roman" w:eastAsia="黑体"/>
                <w:snapToGrid w:val="0"/>
                <w:kern w:val="21"/>
                <w:szCs w:val="21"/>
              </w:rPr>
              <w:fldChar w:fldCharType="separate"/>
            </w:r>
            <w:r>
              <w:rPr>
                <w:rFonts w:ascii="Times New Roman" w:eastAsia="黑体"/>
                <w:snapToGrid w:val="0"/>
                <w:kern w:val="21"/>
                <w:szCs w:val="21"/>
              </w:rPr>
              <w:t>②</w:t>
            </w:r>
            <w:r>
              <w:rPr>
                <w:rFonts w:ascii="Times New Roman" w:eastAsia="黑体"/>
                <w:snapToGrid w:val="0"/>
                <w:kern w:val="21"/>
                <w:szCs w:val="21"/>
              </w:rPr>
              <w:fldChar w:fldCharType="end"/>
            </w:r>
          </w:p>
        </w:tc>
        <w:tc>
          <w:tcPr>
            <w:tcW w:w="1701" w:type="dxa"/>
            <w:tcMar>
              <w:left w:w="28" w:type="dxa"/>
              <w:right w:w="28" w:type="dxa"/>
            </w:tcMar>
            <w:vAlign w:val="center"/>
          </w:tcPr>
          <w:p w14:paraId="183C7B4B">
            <w:pPr>
              <w:pStyle w:val="68"/>
              <w:spacing w:beforeLines="0" w:afterLines="0" w:line="240" w:lineRule="auto"/>
              <w:rPr>
                <w:rFonts w:ascii="Times New Roman" w:eastAsia="黑体"/>
                <w:snapToGrid w:val="0"/>
                <w:kern w:val="21"/>
                <w:szCs w:val="21"/>
              </w:rPr>
            </w:pPr>
            <w:r>
              <w:rPr>
                <w:rFonts w:ascii="Times New Roman" w:eastAsia="黑体"/>
                <w:snapToGrid w:val="0"/>
                <w:kern w:val="21"/>
                <w:szCs w:val="21"/>
              </w:rPr>
              <w:t>在建工程</w:t>
            </w:r>
          </w:p>
          <w:p w14:paraId="2DAC5432">
            <w:pPr>
              <w:pStyle w:val="68"/>
              <w:spacing w:beforeLines="0" w:afterLines="0" w:line="240" w:lineRule="auto"/>
              <w:rPr>
                <w:rFonts w:ascii="Times New Roman" w:eastAsia="黑体"/>
                <w:snapToGrid w:val="0"/>
                <w:kern w:val="21"/>
                <w:szCs w:val="21"/>
              </w:rPr>
            </w:pPr>
            <w:r>
              <w:rPr>
                <w:rFonts w:ascii="Times New Roman" w:eastAsia="黑体"/>
                <w:snapToGrid w:val="0"/>
                <w:kern w:val="21"/>
                <w:szCs w:val="21"/>
              </w:rPr>
              <w:t>排放量（固体废物产生量）</w:t>
            </w:r>
            <w:r>
              <w:rPr>
                <w:rFonts w:ascii="Times New Roman" w:eastAsia="黑体"/>
                <w:snapToGrid w:val="0"/>
                <w:kern w:val="21"/>
                <w:szCs w:val="21"/>
              </w:rPr>
              <w:fldChar w:fldCharType="begin"/>
            </w:r>
            <w:r>
              <w:rPr>
                <w:rFonts w:ascii="Times New Roman" w:eastAsia="黑体"/>
                <w:snapToGrid w:val="0"/>
                <w:kern w:val="21"/>
                <w:szCs w:val="21"/>
              </w:rPr>
              <w:instrText xml:space="preserve"> = 3 \* GB3 \* MERGEFORMAT </w:instrText>
            </w:r>
            <w:r>
              <w:rPr>
                <w:rFonts w:ascii="Times New Roman" w:eastAsia="黑体"/>
                <w:snapToGrid w:val="0"/>
                <w:kern w:val="21"/>
                <w:szCs w:val="21"/>
              </w:rPr>
              <w:fldChar w:fldCharType="separate"/>
            </w:r>
            <w:r>
              <w:rPr>
                <w:rFonts w:ascii="Times New Roman" w:eastAsia="黑体"/>
                <w:kern w:val="21"/>
                <w:szCs w:val="21"/>
              </w:rPr>
              <w:t>③</w:t>
            </w:r>
            <w:r>
              <w:rPr>
                <w:rFonts w:ascii="Times New Roman" w:eastAsia="黑体"/>
                <w:snapToGrid w:val="0"/>
                <w:kern w:val="21"/>
                <w:szCs w:val="21"/>
              </w:rPr>
              <w:fldChar w:fldCharType="end"/>
            </w:r>
          </w:p>
        </w:tc>
        <w:tc>
          <w:tcPr>
            <w:tcW w:w="1559" w:type="dxa"/>
            <w:tcMar>
              <w:left w:w="28" w:type="dxa"/>
              <w:right w:w="28" w:type="dxa"/>
            </w:tcMar>
            <w:vAlign w:val="center"/>
          </w:tcPr>
          <w:p w14:paraId="7C911F20">
            <w:pPr>
              <w:pStyle w:val="68"/>
              <w:spacing w:beforeLines="0" w:afterLines="0" w:line="240" w:lineRule="auto"/>
              <w:rPr>
                <w:rFonts w:ascii="Times New Roman" w:eastAsia="黑体"/>
                <w:snapToGrid w:val="0"/>
                <w:kern w:val="21"/>
                <w:szCs w:val="21"/>
              </w:rPr>
            </w:pPr>
            <w:r>
              <w:rPr>
                <w:rFonts w:ascii="Times New Roman" w:eastAsia="黑体"/>
                <w:snapToGrid w:val="0"/>
                <w:kern w:val="21"/>
                <w:szCs w:val="21"/>
              </w:rPr>
              <w:t>本项目</w:t>
            </w:r>
          </w:p>
          <w:p w14:paraId="456C19BE">
            <w:pPr>
              <w:pStyle w:val="68"/>
              <w:spacing w:beforeLines="0" w:afterLines="0" w:line="240" w:lineRule="auto"/>
              <w:rPr>
                <w:rFonts w:ascii="Times New Roman" w:eastAsia="黑体"/>
                <w:snapToGrid w:val="0"/>
                <w:kern w:val="21"/>
                <w:szCs w:val="21"/>
              </w:rPr>
            </w:pPr>
            <w:r>
              <w:rPr>
                <w:rFonts w:ascii="Times New Roman" w:eastAsia="黑体"/>
                <w:snapToGrid w:val="0"/>
                <w:kern w:val="21"/>
                <w:szCs w:val="21"/>
              </w:rPr>
              <w:t>排放量（固体废物产生量）</w:t>
            </w:r>
            <w:r>
              <w:rPr>
                <w:rFonts w:ascii="Times New Roman" w:eastAsia="黑体"/>
                <w:snapToGrid w:val="0"/>
                <w:kern w:val="21"/>
                <w:szCs w:val="21"/>
              </w:rPr>
              <w:fldChar w:fldCharType="begin"/>
            </w:r>
            <w:r>
              <w:rPr>
                <w:rFonts w:ascii="Times New Roman" w:eastAsia="黑体"/>
                <w:snapToGrid w:val="0"/>
                <w:kern w:val="21"/>
                <w:szCs w:val="21"/>
              </w:rPr>
              <w:instrText xml:space="preserve"> = 4 \* GB3 \* MERGEFORMAT </w:instrText>
            </w:r>
            <w:r>
              <w:rPr>
                <w:rFonts w:ascii="Times New Roman" w:eastAsia="黑体"/>
                <w:snapToGrid w:val="0"/>
                <w:kern w:val="21"/>
                <w:szCs w:val="21"/>
              </w:rPr>
              <w:fldChar w:fldCharType="separate"/>
            </w:r>
            <w:r>
              <w:rPr>
                <w:rFonts w:ascii="Times New Roman" w:eastAsia="黑体"/>
                <w:kern w:val="21"/>
                <w:szCs w:val="21"/>
              </w:rPr>
              <w:t>④</w:t>
            </w:r>
            <w:r>
              <w:rPr>
                <w:rFonts w:ascii="Times New Roman" w:eastAsia="黑体"/>
                <w:snapToGrid w:val="0"/>
                <w:kern w:val="21"/>
                <w:szCs w:val="21"/>
              </w:rPr>
              <w:fldChar w:fldCharType="end"/>
            </w:r>
          </w:p>
        </w:tc>
        <w:tc>
          <w:tcPr>
            <w:tcW w:w="1541" w:type="dxa"/>
            <w:tcMar>
              <w:left w:w="28" w:type="dxa"/>
              <w:right w:w="28" w:type="dxa"/>
            </w:tcMar>
            <w:vAlign w:val="center"/>
          </w:tcPr>
          <w:p w14:paraId="29E9EA8C">
            <w:pPr>
              <w:pStyle w:val="68"/>
              <w:spacing w:beforeLines="0" w:afterLines="0" w:line="240" w:lineRule="auto"/>
              <w:rPr>
                <w:rFonts w:ascii="Times New Roman" w:eastAsia="黑体"/>
                <w:snapToGrid w:val="0"/>
                <w:kern w:val="21"/>
                <w:szCs w:val="21"/>
              </w:rPr>
            </w:pPr>
            <w:r>
              <w:rPr>
                <w:rFonts w:ascii="Times New Roman" w:eastAsia="黑体"/>
                <w:snapToGrid w:val="0"/>
                <w:kern w:val="21"/>
                <w:szCs w:val="21"/>
              </w:rPr>
              <w:t>以新带老削减量</w:t>
            </w:r>
          </w:p>
          <w:p w14:paraId="3CFA940B">
            <w:pPr>
              <w:pStyle w:val="68"/>
              <w:spacing w:beforeLines="0" w:afterLines="0" w:line="240" w:lineRule="auto"/>
              <w:rPr>
                <w:rFonts w:ascii="Times New Roman" w:eastAsia="黑体"/>
                <w:snapToGrid w:val="0"/>
                <w:kern w:val="21"/>
                <w:szCs w:val="21"/>
              </w:rPr>
            </w:pPr>
            <w:r>
              <w:rPr>
                <w:rFonts w:ascii="Times New Roman" w:eastAsia="黑体"/>
                <w:snapToGrid w:val="0"/>
                <w:kern w:val="21"/>
                <w:szCs w:val="21"/>
              </w:rPr>
              <w:t>（新建项目不填）</w:t>
            </w:r>
            <w:r>
              <w:rPr>
                <w:rFonts w:ascii="Times New Roman" w:eastAsia="黑体"/>
                <w:snapToGrid w:val="0"/>
                <w:kern w:val="21"/>
                <w:szCs w:val="21"/>
              </w:rPr>
              <w:fldChar w:fldCharType="begin"/>
            </w:r>
            <w:r>
              <w:rPr>
                <w:rFonts w:ascii="Times New Roman" w:eastAsia="黑体"/>
                <w:snapToGrid w:val="0"/>
                <w:kern w:val="21"/>
                <w:szCs w:val="21"/>
              </w:rPr>
              <w:instrText xml:space="preserve"> = 5 \* GB3 \* MERGEFORMAT </w:instrText>
            </w:r>
            <w:r>
              <w:rPr>
                <w:rFonts w:ascii="Times New Roman" w:eastAsia="黑体"/>
                <w:snapToGrid w:val="0"/>
                <w:kern w:val="21"/>
                <w:szCs w:val="21"/>
              </w:rPr>
              <w:fldChar w:fldCharType="separate"/>
            </w:r>
            <w:r>
              <w:rPr>
                <w:rFonts w:ascii="Times New Roman" w:eastAsia="黑体"/>
                <w:kern w:val="21"/>
                <w:szCs w:val="21"/>
              </w:rPr>
              <w:t>⑤</w:t>
            </w:r>
            <w:r>
              <w:rPr>
                <w:rFonts w:ascii="Times New Roman" w:eastAsia="黑体"/>
                <w:snapToGrid w:val="0"/>
                <w:kern w:val="21"/>
                <w:szCs w:val="21"/>
              </w:rPr>
              <w:fldChar w:fldCharType="end"/>
            </w:r>
          </w:p>
        </w:tc>
        <w:tc>
          <w:tcPr>
            <w:tcW w:w="1719" w:type="dxa"/>
            <w:tcMar>
              <w:left w:w="28" w:type="dxa"/>
              <w:right w:w="28" w:type="dxa"/>
            </w:tcMar>
            <w:vAlign w:val="center"/>
          </w:tcPr>
          <w:p w14:paraId="7AD00433">
            <w:pPr>
              <w:pStyle w:val="68"/>
              <w:spacing w:beforeLines="0" w:afterLines="0" w:line="240" w:lineRule="auto"/>
              <w:rPr>
                <w:rFonts w:ascii="Times New Roman" w:eastAsia="黑体"/>
                <w:snapToGrid w:val="0"/>
                <w:kern w:val="21"/>
                <w:szCs w:val="21"/>
              </w:rPr>
            </w:pPr>
            <w:r>
              <w:rPr>
                <w:rFonts w:ascii="Times New Roman" w:eastAsia="黑体"/>
                <w:snapToGrid w:val="0"/>
                <w:kern w:val="21"/>
                <w:szCs w:val="21"/>
              </w:rPr>
              <w:t>本项目建成后</w:t>
            </w:r>
          </w:p>
          <w:p w14:paraId="3D0F1EBC">
            <w:pPr>
              <w:pStyle w:val="68"/>
              <w:spacing w:beforeLines="0" w:afterLines="0" w:line="240" w:lineRule="auto"/>
              <w:rPr>
                <w:rFonts w:ascii="Times New Roman" w:eastAsia="黑体"/>
                <w:snapToGrid w:val="0"/>
                <w:kern w:val="21"/>
                <w:szCs w:val="21"/>
              </w:rPr>
            </w:pPr>
            <w:r>
              <w:rPr>
                <w:rFonts w:ascii="Times New Roman" w:eastAsia="黑体"/>
                <w:snapToGrid w:val="0"/>
                <w:kern w:val="21"/>
                <w:szCs w:val="21"/>
              </w:rPr>
              <w:t>全厂排放量（固体废物产生量）</w:t>
            </w:r>
            <w:r>
              <w:rPr>
                <w:rFonts w:ascii="Times New Roman" w:eastAsia="黑体"/>
                <w:snapToGrid w:val="0"/>
                <w:kern w:val="21"/>
                <w:szCs w:val="21"/>
              </w:rPr>
              <w:fldChar w:fldCharType="begin"/>
            </w:r>
            <w:r>
              <w:rPr>
                <w:rFonts w:ascii="Times New Roman" w:eastAsia="黑体"/>
                <w:snapToGrid w:val="0"/>
                <w:kern w:val="21"/>
                <w:szCs w:val="21"/>
              </w:rPr>
              <w:instrText xml:space="preserve"> = 6 \* GB3 \* MERGEFORMAT </w:instrText>
            </w:r>
            <w:r>
              <w:rPr>
                <w:rFonts w:ascii="Times New Roman" w:eastAsia="黑体"/>
                <w:snapToGrid w:val="0"/>
                <w:kern w:val="21"/>
                <w:szCs w:val="21"/>
              </w:rPr>
              <w:fldChar w:fldCharType="separate"/>
            </w:r>
            <w:r>
              <w:rPr>
                <w:rFonts w:ascii="Times New Roman" w:eastAsia="黑体"/>
                <w:kern w:val="21"/>
                <w:szCs w:val="21"/>
              </w:rPr>
              <w:t>⑥</w:t>
            </w:r>
            <w:r>
              <w:rPr>
                <w:rFonts w:ascii="Times New Roman" w:eastAsia="黑体"/>
                <w:snapToGrid w:val="0"/>
                <w:kern w:val="21"/>
                <w:szCs w:val="21"/>
              </w:rPr>
              <w:fldChar w:fldCharType="end"/>
            </w:r>
          </w:p>
        </w:tc>
        <w:tc>
          <w:tcPr>
            <w:tcW w:w="1286" w:type="dxa"/>
            <w:tcMar>
              <w:left w:w="28" w:type="dxa"/>
              <w:right w:w="28" w:type="dxa"/>
            </w:tcMar>
            <w:vAlign w:val="center"/>
          </w:tcPr>
          <w:p w14:paraId="5DF92DF2">
            <w:pPr>
              <w:pStyle w:val="68"/>
              <w:spacing w:beforeLines="0" w:afterLines="0" w:line="240" w:lineRule="auto"/>
              <w:rPr>
                <w:rFonts w:ascii="Times New Roman" w:eastAsia="黑体"/>
                <w:snapToGrid w:val="0"/>
                <w:kern w:val="21"/>
                <w:szCs w:val="21"/>
              </w:rPr>
            </w:pPr>
            <w:r>
              <w:rPr>
                <w:rFonts w:ascii="Times New Roman" w:eastAsia="黑体"/>
                <w:snapToGrid w:val="0"/>
                <w:kern w:val="21"/>
                <w:szCs w:val="21"/>
              </w:rPr>
              <w:t>变化量</w:t>
            </w:r>
          </w:p>
          <w:p w14:paraId="250E2DF9">
            <w:pPr>
              <w:pStyle w:val="68"/>
              <w:spacing w:beforeLines="0" w:afterLines="0" w:line="240" w:lineRule="auto"/>
              <w:rPr>
                <w:rFonts w:ascii="Times New Roman" w:eastAsia="黑体"/>
                <w:snapToGrid w:val="0"/>
                <w:kern w:val="21"/>
                <w:szCs w:val="21"/>
              </w:rPr>
            </w:pPr>
            <w:r>
              <w:rPr>
                <w:rFonts w:ascii="Times New Roman" w:eastAsia="黑体"/>
                <w:snapToGrid w:val="0"/>
                <w:kern w:val="21"/>
                <w:szCs w:val="21"/>
              </w:rPr>
              <w:fldChar w:fldCharType="begin"/>
            </w:r>
            <w:r>
              <w:rPr>
                <w:rFonts w:ascii="Times New Roman" w:eastAsia="黑体"/>
                <w:snapToGrid w:val="0"/>
                <w:kern w:val="21"/>
                <w:szCs w:val="21"/>
              </w:rPr>
              <w:instrText xml:space="preserve"> = 7 \* GB3 \* MERGEFORMAT </w:instrText>
            </w:r>
            <w:r>
              <w:rPr>
                <w:rFonts w:ascii="Times New Roman" w:eastAsia="黑体"/>
                <w:snapToGrid w:val="0"/>
                <w:kern w:val="21"/>
                <w:szCs w:val="21"/>
              </w:rPr>
              <w:fldChar w:fldCharType="separate"/>
            </w:r>
            <w:r>
              <w:rPr>
                <w:rFonts w:ascii="Times New Roman" w:eastAsia="黑体"/>
                <w:kern w:val="21"/>
                <w:szCs w:val="21"/>
              </w:rPr>
              <w:t>⑦</w:t>
            </w:r>
            <w:r>
              <w:rPr>
                <w:rFonts w:ascii="Times New Roman" w:eastAsia="黑体"/>
                <w:snapToGrid w:val="0"/>
                <w:kern w:val="21"/>
                <w:szCs w:val="21"/>
              </w:rPr>
              <w:fldChar w:fldCharType="end"/>
            </w:r>
          </w:p>
        </w:tc>
      </w:tr>
      <w:tr w14:paraId="1F209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54CA5C62">
            <w:pPr>
              <w:pStyle w:val="68"/>
              <w:spacing w:beforeLines="0" w:afterLines="0" w:line="240" w:lineRule="auto"/>
              <w:rPr>
                <w:rFonts w:ascii="Times New Roman"/>
                <w:snapToGrid w:val="0"/>
                <w:kern w:val="21"/>
                <w:szCs w:val="21"/>
              </w:rPr>
            </w:pPr>
            <w:r>
              <w:rPr>
                <w:rFonts w:ascii="Times New Roman"/>
                <w:snapToGrid w:val="0"/>
                <w:kern w:val="21"/>
                <w:szCs w:val="21"/>
              </w:rPr>
              <w:t>废气</w:t>
            </w:r>
          </w:p>
        </w:tc>
        <w:tc>
          <w:tcPr>
            <w:tcW w:w="1417" w:type="dxa"/>
            <w:vAlign w:val="center"/>
          </w:tcPr>
          <w:p w14:paraId="67398DF2">
            <w:pPr>
              <w:pStyle w:val="68"/>
              <w:spacing w:beforeLines="0" w:afterLines="0" w:line="240" w:lineRule="auto"/>
              <w:rPr>
                <w:rFonts w:ascii="Times New Roman"/>
                <w:snapToGrid w:val="0"/>
                <w:kern w:val="21"/>
                <w:szCs w:val="21"/>
              </w:rPr>
            </w:pPr>
            <w:r>
              <w:rPr>
                <w:rFonts w:hint="eastAsia" w:ascii="Times New Roman"/>
                <w:snapToGrid w:val="0"/>
                <w:kern w:val="21"/>
                <w:szCs w:val="21"/>
              </w:rPr>
              <w:t>颗粒物</w:t>
            </w:r>
          </w:p>
        </w:tc>
        <w:tc>
          <w:tcPr>
            <w:tcW w:w="1701" w:type="dxa"/>
            <w:vAlign w:val="center"/>
          </w:tcPr>
          <w:p w14:paraId="5422D87A">
            <w:pPr>
              <w:pStyle w:val="68"/>
              <w:spacing w:beforeLines="0" w:afterLines="0" w:line="240" w:lineRule="auto"/>
              <w:rPr>
                <w:rFonts w:ascii="Times New Roman"/>
                <w:snapToGrid w:val="0"/>
                <w:kern w:val="21"/>
                <w:szCs w:val="21"/>
              </w:rPr>
            </w:pPr>
          </w:p>
        </w:tc>
        <w:tc>
          <w:tcPr>
            <w:tcW w:w="1276" w:type="dxa"/>
            <w:vAlign w:val="center"/>
          </w:tcPr>
          <w:p w14:paraId="1431C18C">
            <w:pPr>
              <w:pStyle w:val="68"/>
              <w:spacing w:beforeLines="0" w:afterLines="0" w:line="240" w:lineRule="auto"/>
              <w:rPr>
                <w:rFonts w:ascii="Times New Roman"/>
                <w:snapToGrid w:val="0"/>
                <w:kern w:val="21"/>
                <w:szCs w:val="21"/>
              </w:rPr>
            </w:pPr>
          </w:p>
        </w:tc>
        <w:tc>
          <w:tcPr>
            <w:tcW w:w="1701" w:type="dxa"/>
            <w:vAlign w:val="center"/>
          </w:tcPr>
          <w:p w14:paraId="0CA33487">
            <w:pPr>
              <w:pStyle w:val="68"/>
              <w:spacing w:beforeLines="0" w:afterLines="0" w:line="240" w:lineRule="auto"/>
              <w:rPr>
                <w:rFonts w:ascii="Times New Roman"/>
                <w:snapToGrid w:val="0"/>
                <w:kern w:val="21"/>
                <w:szCs w:val="21"/>
              </w:rPr>
            </w:pPr>
          </w:p>
        </w:tc>
        <w:tc>
          <w:tcPr>
            <w:tcW w:w="1559" w:type="dxa"/>
            <w:vAlign w:val="center"/>
          </w:tcPr>
          <w:p w14:paraId="01C7E904">
            <w:pPr>
              <w:jc w:val="center"/>
              <w:rPr>
                <w:kern w:val="0"/>
                <w:szCs w:val="21"/>
              </w:rPr>
            </w:pPr>
            <w:r>
              <w:rPr>
                <w:rFonts w:hint="eastAsia"/>
                <w:kern w:val="0"/>
                <w:szCs w:val="21"/>
              </w:rPr>
              <w:t>2.301t/a</w:t>
            </w:r>
          </w:p>
        </w:tc>
        <w:tc>
          <w:tcPr>
            <w:tcW w:w="1541" w:type="dxa"/>
            <w:vAlign w:val="center"/>
          </w:tcPr>
          <w:p w14:paraId="1035B054">
            <w:pPr>
              <w:pStyle w:val="68"/>
              <w:spacing w:beforeLines="0" w:afterLines="0" w:line="240" w:lineRule="auto"/>
              <w:rPr>
                <w:rFonts w:ascii="Times New Roman"/>
                <w:szCs w:val="21"/>
              </w:rPr>
            </w:pPr>
          </w:p>
        </w:tc>
        <w:tc>
          <w:tcPr>
            <w:tcW w:w="1719" w:type="dxa"/>
            <w:vAlign w:val="center"/>
          </w:tcPr>
          <w:p w14:paraId="5BCE9A11">
            <w:pPr>
              <w:jc w:val="center"/>
              <w:rPr>
                <w:kern w:val="0"/>
                <w:szCs w:val="21"/>
              </w:rPr>
            </w:pPr>
            <w:r>
              <w:rPr>
                <w:rFonts w:hint="eastAsia"/>
                <w:kern w:val="0"/>
                <w:szCs w:val="21"/>
              </w:rPr>
              <w:t>2.301t/a</w:t>
            </w:r>
          </w:p>
        </w:tc>
        <w:tc>
          <w:tcPr>
            <w:tcW w:w="1286" w:type="dxa"/>
            <w:vAlign w:val="center"/>
          </w:tcPr>
          <w:p w14:paraId="3B95AE48">
            <w:pPr>
              <w:jc w:val="center"/>
              <w:rPr>
                <w:kern w:val="0"/>
                <w:szCs w:val="21"/>
              </w:rPr>
            </w:pPr>
            <w:r>
              <w:rPr>
                <w:rFonts w:hint="eastAsia"/>
                <w:kern w:val="0"/>
                <w:szCs w:val="21"/>
              </w:rPr>
              <w:t>+2.301t/a</w:t>
            </w:r>
          </w:p>
        </w:tc>
      </w:tr>
      <w:tr w14:paraId="39216B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040F9E53">
            <w:pPr>
              <w:pStyle w:val="68"/>
              <w:spacing w:beforeLines="0" w:afterLines="0" w:line="240" w:lineRule="auto"/>
              <w:rPr>
                <w:rFonts w:ascii="Times New Roman"/>
                <w:snapToGrid w:val="0"/>
                <w:kern w:val="21"/>
                <w:szCs w:val="21"/>
              </w:rPr>
            </w:pPr>
          </w:p>
        </w:tc>
        <w:tc>
          <w:tcPr>
            <w:tcW w:w="1417" w:type="dxa"/>
            <w:vAlign w:val="center"/>
          </w:tcPr>
          <w:p w14:paraId="5EAAB162">
            <w:pPr>
              <w:pStyle w:val="68"/>
              <w:spacing w:beforeLines="0" w:afterLines="0" w:line="240" w:lineRule="auto"/>
              <w:rPr>
                <w:rFonts w:ascii="Times New Roman"/>
                <w:snapToGrid w:val="0"/>
                <w:kern w:val="21"/>
                <w:szCs w:val="21"/>
              </w:rPr>
            </w:pPr>
            <w:r>
              <w:rPr>
                <w:rFonts w:hint="eastAsia" w:ascii="Times New Roman"/>
                <w:snapToGrid w:val="0"/>
                <w:kern w:val="21"/>
                <w:szCs w:val="21"/>
              </w:rPr>
              <w:t>油烟</w:t>
            </w:r>
          </w:p>
        </w:tc>
        <w:tc>
          <w:tcPr>
            <w:tcW w:w="1701" w:type="dxa"/>
            <w:vAlign w:val="center"/>
          </w:tcPr>
          <w:p w14:paraId="2463AA21">
            <w:pPr>
              <w:pStyle w:val="68"/>
              <w:spacing w:beforeLines="0" w:afterLines="0" w:line="240" w:lineRule="auto"/>
              <w:rPr>
                <w:rFonts w:ascii="Times New Roman"/>
                <w:snapToGrid w:val="0"/>
                <w:kern w:val="21"/>
                <w:szCs w:val="21"/>
              </w:rPr>
            </w:pPr>
          </w:p>
        </w:tc>
        <w:tc>
          <w:tcPr>
            <w:tcW w:w="1276" w:type="dxa"/>
            <w:vAlign w:val="center"/>
          </w:tcPr>
          <w:p w14:paraId="21216BB0">
            <w:pPr>
              <w:pStyle w:val="68"/>
              <w:spacing w:beforeLines="0" w:afterLines="0" w:line="240" w:lineRule="auto"/>
              <w:rPr>
                <w:rFonts w:ascii="Times New Roman"/>
                <w:snapToGrid w:val="0"/>
                <w:kern w:val="21"/>
                <w:szCs w:val="21"/>
              </w:rPr>
            </w:pPr>
          </w:p>
        </w:tc>
        <w:tc>
          <w:tcPr>
            <w:tcW w:w="1701" w:type="dxa"/>
            <w:vAlign w:val="center"/>
          </w:tcPr>
          <w:p w14:paraId="05927EA6">
            <w:pPr>
              <w:pStyle w:val="68"/>
              <w:spacing w:beforeLines="0" w:afterLines="0" w:line="240" w:lineRule="auto"/>
              <w:rPr>
                <w:rFonts w:ascii="Times New Roman"/>
                <w:snapToGrid w:val="0"/>
                <w:kern w:val="21"/>
                <w:szCs w:val="21"/>
              </w:rPr>
            </w:pPr>
          </w:p>
        </w:tc>
        <w:tc>
          <w:tcPr>
            <w:tcW w:w="1559" w:type="dxa"/>
            <w:vAlign w:val="center"/>
          </w:tcPr>
          <w:p w14:paraId="46DD7538">
            <w:pPr>
              <w:jc w:val="center"/>
              <w:rPr>
                <w:kern w:val="0"/>
                <w:szCs w:val="21"/>
              </w:rPr>
            </w:pPr>
            <w:r>
              <w:rPr>
                <w:rFonts w:hint="eastAsia"/>
                <w:kern w:val="0"/>
                <w:szCs w:val="21"/>
              </w:rPr>
              <w:t>0.004t/a</w:t>
            </w:r>
          </w:p>
        </w:tc>
        <w:tc>
          <w:tcPr>
            <w:tcW w:w="1541" w:type="dxa"/>
            <w:vAlign w:val="center"/>
          </w:tcPr>
          <w:p w14:paraId="57E907E4">
            <w:pPr>
              <w:pStyle w:val="68"/>
              <w:spacing w:beforeLines="0" w:afterLines="0" w:line="240" w:lineRule="auto"/>
              <w:rPr>
                <w:rFonts w:ascii="Times New Roman"/>
                <w:szCs w:val="21"/>
              </w:rPr>
            </w:pPr>
          </w:p>
        </w:tc>
        <w:tc>
          <w:tcPr>
            <w:tcW w:w="1719" w:type="dxa"/>
            <w:vAlign w:val="center"/>
          </w:tcPr>
          <w:p w14:paraId="4FB9960E">
            <w:pPr>
              <w:jc w:val="center"/>
              <w:rPr>
                <w:kern w:val="0"/>
                <w:szCs w:val="21"/>
              </w:rPr>
            </w:pPr>
            <w:r>
              <w:rPr>
                <w:rFonts w:hint="eastAsia"/>
                <w:kern w:val="0"/>
                <w:szCs w:val="21"/>
              </w:rPr>
              <w:t>0.004t/a</w:t>
            </w:r>
          </w:p>
        </w:tc>
        <w:tc>
          <w:tcPr>
            <w:tcW w:w="1286" w:type="dxa"/>
            <w:vAlign w:val="center"/>
          </w:tcPr>
          <w:p w14:paraId="4FA3BACC">
            <w:pPr>
              <w:jc w:val="center"/>
              <w:rPr>
                <w:kern w:val="0"/>
                <w:szCs w:val="21"/>
              </w:rPr>
            </w:pPr>
            <w:r>
              <w:rPr>
                <w:rFonts w:hint="eastAsia"/>
                <w:kern w:val="0"/>
                <w:szCs w:val="21"/>
              </w:rPr>
              <w:t>+0.004t/a</w:t>
            </w:r>
          </w:p>
        </w:tc>
      </w:tr>
      <w:tr w14:paraId="0D55C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60BD4253">
            <w:pPr>
              <w:pStyle w:val="68"/>
              <w:spacing w:beforeLines="0" w:afterLines="0" w:line="240" w:lineRule="auto"/>
              <w:rPr>
                <w:rFonts w:ascii="Times New Roman"/>
                <w:snapToGrid w:val="0"/>
                <w:kern w:val="21"/>
                <w:szCs w:val="21"/>
              </w:rPr>
            </w:pPr>
            <w:r>
              <w:rPr>
                <w:rFonts w:ascii="Times New Roman"/>
                <w:snapToGrid w:val="0"/>
                <w:kern w:val="21"/>
                <w:szCs w:val="21"/>
              </w:rPr>
              <w:t>废水</w:t>
            </w:r>
          </w:p>
        </w:tc>
        <w:tc>
          <w:tcPr>
            <w:tcW w:w="1417" w:type="dxa"/>
            <w:vAlign w:val="center"/>
          </w:tcPr>
          <w:p w14:paraId="21CC6F96">
            <w:pPr>
              <w:pStyle w:val="68"/>
              <w:spacing w:beforeLines="0" w:afterLines="0" w:line="240" w:lineRule="auto"/>
              <w:rPr>
                <w:rFonts w:ascii="Times New Roman"/>
                <w:snapToGrid w:val="0"/>
                <w:kern w:val="21"/>
                <w:szCs w:val="21"/>
              </w:rPr>
            </w:pPr>
            <w:r>
              <w:rPr>
                <w:rFonts w:ascii="Times New Roman"/>
                <w:snapToGrid w:val="0"/>
                <w:kern w:val="21"/>
                <w:szCs w:val="21"/>
              </w:rPr>
              <w:t>COD</w:t>
            </w:r>
            <w:r>
              <w:rPr>
                <w:rFonts w:hint="eastAsia" w:ascii="Times New Roman"/>
                <w:snapToGrid w:val="0"/>
                <w:kern w:val="21"/>
                <w:szCs w:val="21"/>
              </w:rPr>
              <w:t>cr</w:t>
            </w:r>
          </w:p>
        </w:tc>
        <w:tc>
          <w:tcPr>
            <w:tcW w:w="1701" w:type="dxa"/>
            <w:vAlign w:val="center"/>
          </w:tcPr>
          <w:p w14:paraId="4D038E41">
            <w:pPr>
              <w:pStyle w:val="68"/>
              <w:spacing w:beforeLines="0" w:afterLines="0" w:line="240" w:lineRule="auto"/>
              <w:rPr>
                <w:rFonts w:ascii="Times New Roman"/>
                <w:snapToGrid w:val="0"/>
                <w:kern w:val="21"/>
                <w:szCs w:val="21"/>
              </w:rPr>
            </w:pPr>
          </w:p>
        </w:tc>
        <w:tc>
          <w:tcPr>
            <w:tcW w:w="1276" w:type="dxa"/>
            <w:vAlign w:val="center"/>
          </w:tcPr>
          <w:p w14:paraId="1C171F5A">
            <w:pPr>
              <w:pStyle w:val="68"/>
              <w:spacing w:beforeLines="0" w:afterLines="0" w:line="240" w:lineRule="auto"/>
              <w:rPr>
                <w:rFonts w:ascii="Times New Roman"/>
                <w:snapToGrid w:val="0"/>
                <w:kern w:val="21"/>
                <w:szCs w:val="21"/>
              </w:rPr>
            </w:pPr>
          </w:p>
        </w:tc>
        <w:tc>
          <w:tcPr>
            <w:tcW w:w="1701" w:type="dxa"/>
            <w:vAlign w:val="center"/>
          </w:tcPr>
          <w:p w14:paraId="1421011B">
            <w:pPr>
              <w:pStyle w:val="68"/>
              <w:spacing w:beforeLines="0" w:afterLines="0" w:line="240" w:lineRule="auto"/>
              <w:rPr>
                <w:rFonts w:ascii="Times New Roman"/>
                <w:snapToGrid w:val="0"/>
                <w:kern w:val="21"/>
                <w:szCs w:val="21"/>
              </w:rPr>
            </w:pPr>
          </w:p>
        </w:tc>
        <w:tc>
          <w:tcPr>
            <w:tcW w:w="1559" w:type="dxa"/>
            <w:vAlign w:val="center"/>
          </w:tcPr>
          <w:p w14:paraId="6CF6C371">
            <w:pPr>
              <w:widowControl/>
              <w:adjustRightInd/>
              <w:snapToGrid/>
              <w:jc w:val="center"/>
              <w:rPr>
                <w:snapToGrid w:val="0"/>
                <w:kern w:val="21"/>
                <w:szCs w:val="21"/>
              </w:rPr>
            </w:pPr>
            <w:r>
              <w:rPr>
                <w:rFonts w:hint="eastAsia"/>
                <w:snapToGrid w:val="0"/>
                <w:kern w:val="21"/>
              </w:rPr>
              <w:t>0.538t/a</w:t>
            </w:r>
          </w:p>
        </w:tc>
        <w:tc>
          <w:tcPr>
            <w:tcW w:w="1541" w:type="dxa"/>
            <w:vAlign w:val="center"/>
          </w:tcPr>
          <w:p w14:paraId="17869E7D">
            <w:pPr>
              <w:pStyle w:val="68"/>
              <w:spacing w:beforeLines="0" w:afterLines="0" w:line="240" w:lineRule="auto"/>
              <w:rPr>
                <w:rFonts w:ascii="Times New Roman"/>
                <w:snapToGrid w:val="0"/>
                <w:kern w:val="21"/>
                <w:szCs w:val="21"/>
              </w:rPr>
            </w:pPr>
          </w:p>
        </w:tc>
        <w:tc>
          <w:tcPr>
            <w:tcW w:w="1719" w:type="dxa"/>
            <w:vAlign w:val="center"/>
          </w:tcPr>
          <w:p w14:paraId="31C27AAE">
            <w:pPr>
              <w:widowControl/>
              <w:adjustRightInd/>
              <w:snapToGrid/>
              <w:jc w:val="center"/>
              <w:rPr>
                <w:snapToGrid w:val="0"/>
                <w:kern w:val="21"/>
                <w:szCs w:val="21"/>
              </w:rPr>
            </w:pPr>
            <w:r>
              <w:rPr>
                <w:rFonts w:hint="eastAsia"/>
                <w:snapToGrid w:val="0"/>
                <w:kern w:val="21"/>
              </w:rPr>
              <w:t>0.538t/a</w:t>
            </w:r>
          </w:p>
        </w:tc>
        <w:tc>
          <w:tcPr>
            <w:tcW w:w="1286" w:type="dxa"/>
            <w:vAlign w:val="center"/>
          </w:tcPr>
          <w:p w14:paraId="746C8500">
            <w:pPr>
              <w:widowControl/>
              <w:adjustRightInd/>
              <w:snapToGrid/>
              <w:jc w:val="center"/>
            </w:pPr>
            <w:r>
              <w:rPr>
                <w:rFonts w:hint="eastAsia"/>
                <w:snapToGrid w:val="0"/>
                <w:kern w:val="21"/>
              </w:rPr>
              <w:t>+0.538t/a</w:t>
            </w:r>
          </w:p>
        </w:tc>
      </w:tr>
      <w:tr w14:paraId="7052EB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38FC2987">
            <w:pPr>
              <w:pStyle w:val="68"/>
              <w:spacing w:beforeLines="0" w:afterLines="0" w:line="240" w:lineRule="auto"/>
              <w:rPr>
                <w:rFonts w:ascii="Times New Roman"/>
                <w:snapToGrid w:val="0"/>
                <w:kern w:val="21"/>
                <w:szCs w:val="21"/>
              </w:rPr>
            </w:pPr>
          </w:p>
        </w:tc>
        <w:tc>
          <w:tcPr>
            <w:tcW w:w="1417" w:type="dxa"/>
            <w:vAlign w:val="center"/>
          </w:tcPr>
          <w:p w14:paraId="04C0ECF7">
            <w:pPr>
              <w:pStyle w:val="68"/>
              <w:spacing w:beforeLines="0" w:afterLines="0" w:line="240" w:lineRule="auto"/>
              <w:rPr>
                <w:rFonts w:ascii="Times New Roman"/>
                <w:snapToGrid w:val="0"/>
                <w:kern w:val="21"/>
                <w:szCs w:val="21"/>
              </w:rPr>
            </w:pPr>
            <w:r>
              <w:rPr>
                <w:rFonts w:ascii="Times New Roman"/>
                <w:snapToGrid w:val="0"/>
                <w:kern w:val="21"/>
                <w:szCs w:val="21"/>
              </w:rPr>
              <w:t>BOD</w:t>
            </w:r>
            <w:r>
              <w:rPr>
                <w:rFonts w:ascii="Times New Roman"/>
                <w:snapToGrid w:val="0"/>
                <w:kern w:val="21"/>
                <w:szCs w:val="21"/>
                <w:vertAlign w:val="subscript"/>
              </w:rPr>
              <w:t>5</w:t>
            </w:r>
          </w:p>
        </w:tc>
        <w:tc>
          <w:tcPr>
            <w:tcW w:w="1701" w:type="dxa"/>
            <w:vAlign w:val="center"/>
          </w:tcPr>
          <w:p w14:paraId="0DD551B2">
            <w:pPr>
              <w:pStyle w:val="68"/>
              <w:spacing w:beforeLines="0" w:afterLines="0" w:line="240" w:lineRule="auto"/>
              <w:rPr>
                <w:rFonts w:ascii="Times New Roman"/>
                <w:snapToGrid w:val="0"/>
                <w:kern w:val="21"/>
                <w:szCs w:val="21"/>
              </w:rPr>
            </w:pPr>
          </w:p>
        </w:tc>
        <w:tc>
          <w:tcPr>
            <w:tcW w:w="1276" w:type="dxa"/>
            <w:vAlign w:val="center"/>
          </w:tcPr>
          <w:p w14:paraId="28EEAAB0">
            <w:pPr>
              <w:pStyle w:val="68"/>
              <w:spacing w:beforeLines="0" w:afterLines="0" w:line="240" w:lineRule="auto"/>
              <w:rPr>
                <w:rFonts w:ascii="Times New Roman"/>
                <w:snapToGrid w:val="0"/>
                <w:kern w:val="21"/>
                <w:szCs w:val="21"/>
              </w:rPr>
            </w:pPr>
          </w:p>
        </w:tc>
        <w:tc>
          <w:tcPr>
            <w:tcW w:w="1701" w:type="dxa"/>
            <w:vAlign w:val="center"/>
          </w:tcPr>
          <w:p w14:paraId="5AF8F016">
            <w:pPr>
              <w:pStyle w:val="68"/>
              <w:spacing w:beforeLines="0" w:afterLines="0" w:line="240" w:lineRule="auto"/>
              <w:rPr>
                <w:rFonts w:ascii="Times New Roman"/>
                <w:snapToGrid w:val="0"/>
                <w:kern w:val="21"/>
                <w:szCs w:val="21"/>
              </w:rPr>
            </w:pPr>
          </w:p>
        </w:tc>
        <w:tc>
          <w:tcPr>
            <w:tcW w:w="1559" w:type="dxa"/>
            <w:vAlign w:val="center"/>
          </w:tcPr>
          <w:p w14:paraId="5D1250C8">
            <w:pPr>
              <w:widowControl/>
              <w:adjustRightInd/>
              <w:snapToGrid/>
              <w:jc w:val="center"/>
              <w:rPr>
                <w:snapToGrid w:val="0"/>
                <w:kern w:val="21"/>
                <w:szCs w:val="21"/>
              </w:rPr>
            </w:pPr>
            <w:r>
              <w:rPr>
                <w:rFonts w:hint="eastAsia"/>
              </w:rPr>
              <w:t>0.286</w:t>
            </w:r>
            <w:r>
              <w:rPr>
                <w:rFonts w:hint="eastAsia"/>
                <w:snapToGrid w:val="0"/>
                <w:kern w:val="21"/>
              </w:rPr>
              <w:t>t/a</w:t>
            </w:r>
          </w:p>
        </w:tc>
        <w:tc>
          <w:tcPr>
            <w:tcW w:w="1541" w:type="dxa"/>
            <w:vAlign w:val="center"/>
          </w:tcPr>
          <w:p w14:paraId="538BA137">
            <w:pPr>
              <w:pStyle w:val="68"/>
              <w:spacing w:beforeLines="0" w:afterLines="0" w:line="240" w:lineRule="auto"/>
              <w:rPr>
                <w:rFonts w:ascii="Times New Roman"/>
                <w:snapToGrid w:val="0"/>
                <w:kern w:val="21"/>
                <w:szCs w:val="21"/>
              </w:rPr>
            </w:pPr>
          </w:p>
        </w:tc>
        <w:tc>
          <w:tcPr>
            <w:tcW w:w="1719" w:type="dxa"/>
            <w:vAlign w:val="center"/>
          </w:tcPr>
          <w:p w14:paraId="0ECB031B">
            <w:pPr>
              <w:widowControl/>
              <w:adjustRightInd/>
              <w:snapToGrid/>
              <w:jc w:val="center"/>
              <w:rPr>
                <w:snapToGrid w:val="0"/>
                <w:kern w:val="21"/>
                <w:szCs w:val="21"/>
              </w:rPr>
            </w:pPr>
            <w:r>
              <w:rPr>
                <w:rFonts w:hint="eastAsia"/>
              </w:rPr>
              <w:t>0.286</w:t>
            </w:r>
            <w:r>
              <w:rPr>
                <w:rFonts w:hint="eastAsia"/>
                <w:snapToGrid w:val="0"/>
                <w:kern w:val="21"/>
              </w:rPr>
              <w:t>t/a</w:t>
            </w:r>
          </w:p>
        </w:tc>
        <w:tc>
          <w:tcPr>
            <w:tcW w:w="1286" w:type="dxa"/>
            <w:vAlign w:val="center"/>
          </w:tcPr>
          <w:p w14:paraId="778980D6">
            <w:pPr>
              <w:widowControl/>
              <w:adjustRightInd/>
              <w:snapToGrid/>
              <w:jc w:val="center"/>
            </w:pPr>
            <w:r>
              <w:rPr>
                <w:rFonts w:hint="eastAsia"/>
              </w:rPr>
              <w:t>+0.286</w:t>
            </w:r>
            <w:r>
              <w:rPr>
                <w:rFonts w:hint="eastAsia"/>
                <w:snapToGrid w:val="0"/>
                <w:kern w:val="21"/>
              </w:rPr>
              <w:t>t/a</w:t>
            </w:r>
          </w:p>
        </w:tc>
      </w:tr>
      <w:tr w14:paraId="3DE9C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0D7BFCBD">
            <w:pPr>
              <w:pStyle w:val="68"/>
              <w:spacing w:beforeLines="0" w:afterLines="0" w:line="240" w:lineRule="auto"/>
              <w:rPr>
                <w:rFonts w:ascii="Times New Roman"/>
                <w:snapToGrid w:val="0"/>
                <w:kern w:val="21"/>
                <w:szCs w:val="21"/>
              </w:rPr>
            </w:pPr>
          </w:p>
        </w:tc>
        <w:tc>
          <w:tcPr>
            <w:tcW w:w="1417" w:type="dxa"/>
            <w:vAlign w:val="center"/>
          </w:tcPr>
          <w:p w14:paraId="4C301837">
            <w:pPr>
              <w:pStyle w:val="68"/>
              <w:spacing w:beforeLines="0" w:afterLines="0" w:line="240" w:lineRule="auto"/>
              <w:rPr>
                <w:rFonts w:ascii="Times New Roman"/>
                <w:snapToGrid w:val="0"/>
                <w:kern w:val="21"/>
                <w:szCs w:val="21"/>
              </w:rPr>
            </w:pPr>
            <w:r>
              <w:rPr>
                <w:rFonts w:ascii="Times New Roman"/>
                <w:snapToGrid w:val="0"/>
                <w:kern w:val="21"/>
                <w:szCs w:val="21"/>
              </w:rPr>
              <w:t>SS</w:t>
            </w:r>
          </w:p>
        </w:tc>
        <w:tc>
          <w:tcPr>
            <w:tcW w:w="1701" w:type="dxa"/>
            <w:vAlign w:val="center"/>
          </w:tcPr>
          <w:p w14:paraId="361DDEFD">
            <w:pPr>
              <w:pStyle w:val="68"/>
              <w:spacing w:beforeLines="0" w:afterLines="0" w:line="240" w:lineRule="auto"/>
              <w:rPr>
                <w:rFonts w:ascii="Times New Roman"/>
                <w:snapToGrid w:val="0"/>
                <w:kern w:val="21"/>
                <w:szCs w:val="21"/>
              </w:rPr>
            </w:pPr>
          </w:p>
        </w:tc>
        <w:tc>
          <w:tcPr>
            <w:tcW w:w="1276" w:type="dxa"/>
            <w:vAlign w:val="center"/>
          </w:tcPr>
          <w:p w14:paraId="1A04330E">
            <w:pPr>
              <w:pStyle w:val="68"/>
              <w:spacing w:beforeLines="0" w:afterLines="0" w:line="240" w:lineRule="auto"/>
              <w:rPr>
                <w:rFonts w:ascii="Times New Roman"/>
                <w:snapToGrid w:val="0"/>
                <w:kern w:val="21"/>
                <w:szCs w:val="21"/>
              </w:rPr>
            </w:pPr>
          </w:p>
        </w:tc>
        <w:tc>
          <w:tcPr>
            <w:tcW w:w="1701" w:type="dxa"/>
            <w:vAlign w:val="center"/>
          </w:tcPr>
          <w:p w14:paraId="0E1E675B">
            <w:pPr>
              <w:pStyle w:val="68"/>
              <w:spacing w:beforeLines="0" w:afterLines="0" w:line="240" w:lineRule="auto"/>
              <w:rPr>
                <w:rFonts w:ascii="Times New Roman"/>
                <w:snapToGrid w:val="0"/>
                <w:kern w:val="21"/>
                <w:szCs w:val="21"/>
              </w:rPr>
            </w:pPr>
          </w:p>
        </w:tc>
        <w:tc>
          <w:tcPr>
            <w:tcW w:w="1559" w:type="dxa"/>
            <w:vAlign w:val="center"/>
          </w:tcPr>
          <w:p w14:paraId="15FDDCB9">
            <w:pPr>
              <w:widowControl/>
              <w:adjustRightInd/>
              <w:snapToGrid/>
              <w:jc w:val="center"/>
              <w:rPr>
                <w:snapToGrid w:val="0"/>
                <w:kern w:val="21"/>
                <w:szCs w:val="21"/>
              </w:rPr>
            </w:pPr>
            <w:r>
              <w:rPr>
                <w:rFonts w:hint="eastAsia"/>
                <w:snapToGrid w:val="0"/>
                <w:kern w:val="21"/>
              </w:rPr>
              <w:t>0.259t/a</w:t>
            </w:r>
          </w:p>
        </w:tc>
        <w:tc>
          <w:tcPr>
            <w:tcW w:w="1541" w:type="dxa"/>
            <w:vAlign w:val="center"/>
          </w:tcPr>
          <w:p w14:paraId="2D1E7EB9">
            <w:pPr>
              <w:pStyle w:val="68"/>
              <w:spacing w:beforeLines="0" w:afterLines="0" w:line="240" w:lineRule="auto"/>
              <w:rPr>
                <w:rFonts w:ascii="Times New Roman"/>
                <w:snapToGrid w:val="0"/>
                <w:kern w:val="21"/>
                <w:szCs w:val="21"/>
              </w:rPr>
            </w:pPr>
          </w:p>
        </w:tc>
        <w:tc>
          <w:tcPr>
            <w:tcW w:w="1719" w:type="dxa"/>
            <w:vAlign w:val="center"/>
          </w:tcPr>
          <w:p w14:paraId="51E4E130">
            <w:pPr>
              <w:widowControl/>
              <w:adjustRightInd/>
              <w:snapToGrid/>
              <w:jc w:val="center"/>
              <w:rPr>
                <w:snapToGrid w:val="0"/>
                <w:kern w:val="21"/>
                <w:szCs w:val="21"/>
              </w:rPr>
            </w:pPr>
            <w:r>
              <w:rPr>
                <w:rFonts w:hint="eastAsia"/>
                <w:snapToGrid w:val="0"/>
                <w:kern w:val="21"/>
              </w:rPr>
              <w:t>0.259t/a</w:t>
            </w:r>
          </w:p>
        </w:tc>
        <w:tc>
          <w:tcPr>
            <w:tcW w:w="1286" w:type="dxa"/>
            <w:vAlign w:val="center"/>
          </w:tcPr>
          <w:p w14:paraId="27FA9BEB">
            <w:pPr>
              <w:widowControl/>
              <w:adjustRightInd/>
              <w:snapToGrid/>
              <w:jc w:val="center"/>
            </w:pPr>
            <w:r>
              <w:rPr>
                <w:rFonts w:hint="eastAsia"/>
                <w:snapToGrid w:val="0"/>
                <w:kern w:val="21"/>
              </w:rPr>
              <w:t>+0.259t/a</w:t>
            </w:r>
          </w:p>
        </w:tc>
      </w:tr>
      <w:tr w14:paraId="77AB8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595E2880">
            <w:pPr>
              <w:pStyle w:val="68"/>
              <w:spacing w:beforeLines="0" w:afterLines="0" w:line="240" w:lineRule="auto"/>
              <w:rPr>
                <w:rFonts w:ascii="Times New Roman"/>
                <w:snapToGrid w:val="0"/>
                <w:kern w:val="21"/>
                <w:szCs w:val="21"/>
              </w:rPr>
            </w:pPr>
          </w:p>
        </w:tc>
        <w:tc>
          <w:tcPr>
            <w:tcW w:w="1417" w:type="dxa"/>
            <w:vAlign w:val="center"/>
          </w:tcPr>
          <w:p w14:paraId="13AC29CD">
            <w:pPr>
              <w:pStyle w:val="68"/>
              <w:spacing w:beforeLines="0" w:afterLines="0" w:line="240" w:lineRule="auto"/>
              <w:rPr>
                <w:rFonts w:ascii="Times New Roman"/>
                <w:snapToGrid w:val="0"/>
                <w:kern w:val="21"/>
                <w:szCs w:val="21"/>
              </w:rPr>
            </w:pPr>
            <w:r>
              <w:rPr>
                <w:rFonts w:ascii="Times New Roman"/>
                <w:snapToGrid w:val="0"/>
                <w:kern w:val="21"/>
                <w:szCs w:val="21"/>
              </w:rPr>
              <w:t>NH</w:t>
            </w:r>
            <w:r>
              <w:rPr>
                <w:rFonts w:ascii="Times New Roman"/>
                <w:snapToGrid w:val="0"/>
                <w:kern w:val="21"/>
                <w:szCs w:val="21"/>
                <w:vertAlign w:val="subscript"/>
              </w:rPr>
              <w:t>3</w:t>
            </w:r>
            <w:r>
              <w:rPr>
                <w:rFonts w:ascii="Times New Roman"/>
                <w:snapToGrid w:val="0"/>
                <w:kern w:val="21"/>
                <w:szCs w:val="21"/>
              </w:rPr>
              <w:t>-N</w:t>
            </w:r>
          </w:p>
        </w:tc>
        <w:tc>
          <w:tcPr>
            <w:tcW w:w="1701" w:type="dxa"/>
            <w:vAlign w:val="center"/>
          </w:tcPr>
          <w:p w14:paraId="42E70D0E">
            <w:pPr>
              <w:pStyle w:val="68"/>
              <w:spacing w:beforeLines="0" w:afterLines="0" w:line="240" w:lineRule="auto"/>
              <w:rPr>
                <w:rFonts w:ascii="Times New Roman"/>
                <w:snapToGrid w:val="0"/>
                <w:kern w:val="21"/>
                <w:szCs w:val="21"/>
              </w:rPr>
            </w:pPr>
          </w:p>
        </w:tc>
        <w:tc>
          <w:tcPr>
            <w:tcW w:w="1276" w:type="dxa"/>
            <w:vAlign w:val="center"/>
          </w:tcPr>
          <w:p w14:paraId="625E532C">
            <w:pPr>
              <w:pStyle w:val="68"/>
              <w:spacing w:beforeLines="0" w:afterLines="0" w:line="240" w:lineRule="auto"/>
              <w:rPr>
                <w:rFonts w:ascii="Times New Roman"/>
                <w:snapToGrid w:val="0"/>
                <w:kern w:val="21"/>
                <w:szCs w:val="21"/>
              </w:rPr>
            </w:pPr>
          </w:p>
        </w:tc>
        <w:tc>
          <w:tcPr>
            <w:tcW w:w="1701" w:type="dxa"/>
            <w:vAlign w:val="center"/>
          </w:tcPr>
          <w:p w14:paraId="2B237405">
            <w:pPr>
              <w:pStyle w:val="68"/>
              <w:spacing w:beforeLines="0" w:afterLines="0" w:line="240" w:lineRule="auto"/>
              <w:rPr>
                <w:rFonts w:ascii="Times New Roman"/>
                <w:snapToGrid w:val="0"/>
                <w:kern w:val="21"/>
                <w:szCs w:val="21"/>
              </w:rPr>
            </w:pPr>
          </w:p>
        </w:tc>
        <w:tc>
          <w:tcPr>
            <w:tcW w:w="1559" w:type="dxa"/>
            <w:vAlign w:val="center"/>
          </w:tcPr>
          <w:p w14:paraId="0C8A9264">
            <w:pPr>
              <w:widowControl/>
              <w:adjustRightInd/>
              <w:snapToGrid/>
              <w:jc w:val="center"/>
              <w:rPr>
                <w:snapToGrid w:val="0"/>
                <w:kern w:val="21"/>
                <w:szCs w:val="21"/>
              </w:rPr>
            </w:pPr>
            <w:r>
              <w:rPr>
                <w:rFonts w:hint="eastAsia"/>
              </w:rPr>
              <w:t>0.059</w:t>
            </w:r>
            <w:r>
              <w:rPr>
                <w:rFonts w:hint="eastAsia"/>
                <w:snapToGrid w:val="0"/>
                <w:kern w:val="21"/>
              </w:rPr>
              <w:t>t/a</w:t>
            </w:r>
          </w:p>
        </w:tc>
        <w:tc>
          <w:tcPr>
            <w:tcW w:w="1541" w:type="dxa"/>
            <w:vAlign w:val="center"/>
          </w:tcPr>
          <w:p w14:paraId="2C31978F">
            <w:pPr>
              <w:pStyle w:val="68"/>
              <w:spacing w:beforeLines="0" w:afterLines="0" w:line="240" w:lineRule="auto"/>
              <w:rPr>
                <w:rFonts w:ascii="Times New Roman"/>
                <w:snapToGrid w:val="0"/>
                <w:kern w:val="21"/>
                <w:szCs w:val="21"/>
              </w:rPr>
            </w:pPr>
          </w:p>
        </w:tc>
        <w:tc>
          <w:tcPr>
            <w:tcW w:w="1719" w:type="dxa"/>
            <w:vAlign w:val="center"/>
          </w:tcPr>
          <w:p w14:paraId="1C4E4AFD">
            <w:pPr>
              <w:widowControl/>
              <w:adjustRightInd/>
              <w:snapToGrid/>
              <w:jc w:val="center"/>
              <w:rPr>
                <w:snapToGrid w:val="0"/>
                <w:kern w:val="21"/>
                <w:szCs w:val="21"/>
              </w:rPr>
            </w:pPr>
            <w:r>
              <w:rPr>
                <w:rFonts w:hint="eastAsia"/>
              </w:rPr>
              <w:t>0.059</w:t>
            </w:r>
            <w:r>
              <w:rPr>
                <w:rFonts w:hint="eastAsia"/>
                <w:snapToGrid w:val="0"/>
                <w:kern w:val="21"/>
              </w:rPr>
              <w:t>t/a</w:t>
            </w:r>
          </w:p>
        </w:tc>
        <w:tc>
          <w:tcPr>
            <w:tcW w:w="1286" w:type="dxa"/>
            <w:vAlign w:val="center"/>
          </w:tcPr>
          <w:p w14:paraId="2E173677">
            <w:pPr>
              <w:widowControl/>
              <w:adjustRightInd/>
              <w:snapToGrid/>
              <w:jc w:val="center"/>
            </w:pPr>
            <w:r>
              <w:rPr>
                <w:rFonts w:hint="eastAsia"/>
              </w:rPr>
              <w:t>+0.059</w:t>
            </w:r>
            <w:r>
              <w:rPr>
                <w:rFonts w:hint="eastAsia"/>
                <w:snapToGrid w:val="0"/>
                <w:kern w:val="21"/>
              </w:rPr>
              <w:t>t/a</w:t>
            </w:r>
          </w:p>
        </w:tc>
      </w:tr>
      <w:tr w14:paraId="7B88F4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76735748">
            <w:pPr>
              <w:pStyle w:val="68"/>
              <w:spacing w:beforeLines="0" w:afterLines="0" w:line="240" w:lineRule="auto"/>
              <w:rPr>
                <w:rFonts w:ascii="Times New Roman"/>
                <w:snapToGrid w:val="0"/>
                <w:kern w:val="21"/>
                <w:szCs w:val="21"/>
              </w:rPr>
            </w:pPr>
            <w:r>
              <w:rPr>
                <w:rFonts w:ascii="Times New Roman"/>
                <w:snapToGrid w:val="0"/>
                <w:kern w:val="21"/>
                <w:szCs w:val="21"/>
              </w:rPr>
              <w:t>一般工业</w:t>
            </w:r>
          </w:p>
          <w:p w14:paraId="00C60C27">
            <w:pPr>
              <w:pStyle w:val="68"/>
              <w:spacing w:beforeLines="0" w:afterLines="0" w:line="240" w:lineRule="auto"/>
              <w:rPr>
                <w:rFonts w:ascii="Times New Roman"/>
                <w:snapToGrid w:val="0"/>
                <w:kern w:val="21"/>
                <w:szCs w:val="21"/>
              </w:rPr>
            </w:pPr>
            <w:r>
              <w:rPr>
                <w:rFonts w:ascii="Times New Roman"/>
                <w:snapToGrid w:val="0"/>
                <w:kern w:val="21"/>
                <w:szCs w:val="21"/>
              </w:rPr>
              <w:t>固体废物</w:t>
            </w:r>
          </w:p>
        </w:tc>
        <w:tc>
          <w:tcPr>
            <w:tcW w:w="1417" w:type="dxa"/>
            <w:vAlign w:val="center"/>
          </w:tcPr>
          <w:p w14:paraId="204EC255">
            <w:pPr>
              <w:pStyle w:val="69"/>
              <w:rPr>
                <w:snapToGrid w:val="0"/>
                <w:kern w:val="21"/>
              </w:rPr>
            </w:pPr>
            <w:r>
              <w:rPr>
                <w:rFonts w:hint="eastAsia"/>
                <w:snapToGrid w:val="0"/>
                <w:kern w:val="21"/>
              </w:rPr>
              <w:t>沉淀池沉渣</w:t>
            </w:r>
          </w:p>
        </w:tc>
        <w:tc>
          <w:tcPr>
            <w:tcW w:w="1701" w:type="dxa"/>
            <w:vAlign w:val="center"/>
          </w:tcPr>
          <w:p w14:paraId="56B2C65B">
            <w:pPr>
              <w:pStyle w:val="68"/>
              <w:spacing w:beforeLines="0" w:afterLines="0" w:line="240" w:lineRule="auto"/>
              <w:rPr>
                <w:rFonts w:ascii="Times New Roman"/>
                <w:snapToGrid w:val="0"/>
                <w:kern w:val="21"/>
                <w:szCs w:val="21"/>
              </w:rPr>
            </w:pPr>
          </w:p>
        </w:tc>
        <w:tc>
          <w:tcPr>
            <w:tcW w:w="1276" w:type="dxa"/>
            <w:vAlign w:val="center"/>
          </w:tcPr>
          <w:p w14:paraId="2DE93F95">
            <w:pPr>
              <w:pStyle w:val="68"/>
              <w:spacing w:beforeLines="0" w:afterLines="0" w:line="240" w:lineRule="auto"/>
              <w:rPr>
                <w:rFonts w:ascii="Times New Roman"/>
                <w:snapToGrid w:val="0"/>
                <w:kern w:val="21"/>
                <w:szCs w:val="21"/>
              </w:rPr>
            </w:pPr>
          </w:p>
        </w:tc>
        <w:tc>
          <w:tcPr>
            <w:tcW w:w="1701" w:type="dxa"/>
            <w:vAlign w:val="center"/>
          </w:tcPr>
          <w:p w14:paraId="6A93BDCF">
            <w:pPr>
              <w:pStyle w:val="68"/>
              <w:spacing w:beforeLines="0" w:afterLines="0" w:line="240" w:lineRule="auto"/>
              <w:rPr>
                <w:rFonts w:ascii="Times New Roman"/>
                <w:snapToGrid w:val="0"/>
                <w:kern w:val="21"/>
                <w:szCs w:val="21"/>
              </w:rPr>
            </w:pPr>
          </w:p>
        </w:tc>
        <w:tc>
          <w:tcPr>
            <w:tcW w:w="1559" w:type="dxa"/>
            <w:shd w:val="clear" w:color="auto" w:fill="auto"/>
            <w:vAlign w:val="center"/>
          </w:tcPr>
          <w:p w14:paraId="60F8C8A4">
            <w:pPr>
              <w:pStyle w:val="69"/>
            </w:pPr>
            <w:r>
              <w:rPr>
                <w:rFonts w:hint="eastAsia"/>
              </w:rPr>
              <w:t>15t/a</w:t>
            </w:r>
          </w:p>
        </w:tc>
        <w:tc>
          <w:tcPr>
            <w:tcW w:w="1541" w:type="dxa"/>
            <w:shd w:val="clear" w:color="auto" w:fill="auto"/>
            <w:vAlign w:val="center"/>
          </w:tcPr>
          <w:p w14:paraId="44BC72A8">
            <w:pPr>
              <w:pStyle w:val="68"/>
              <w:spacing w:beforeLines="0" w:afterLines="0" w:line="240" w:lineRule="auto"/>
              <w:rPr>
                <w:rFonts w:ascii="Times New Roman"/>
                <w:snapToGrid w:val="0"/>
                <w:kern w:val="21"/>
                <w:szCs w:val="21"/>
              </w:rPr>
            </w:pPr>
          </w:p>
        </w:tc>
        <w:tc>
          <w:tcPr>
            <w:tcW w:w="1719" w:type="dxa"/>
            <w:shd w:val="clear" w:color="auto" w:fill="auto"/>
            <w:vAlign w:val="center"/>
          </w:tcPr>
          <w:p w14:paraId="6D6A9102">
            <w:pPr>
              <w:pStyle w:val="69"/>
              <w:rPr>
                <w:snapToGrid w:val="0"/>
                <w:kern w:val="21"/>
              </w:rPr>
            </w:pPr>
            <w:r>
              <w:rPr>
                <w:rFonts w:hint="eastAsia"/>
              </w:rPr>
              <w:t>15t/a</w:t>
            </w:r>
          </w:p>
        </w:tc>
        <w:tc>
          <w:tcPr>
            <w:tcW w:w="1286" w:type="dxa"/>
            <w:shd w:val="clear" w:color="auto" w:fill="auto"/>
            <w:vAlign w:val="center"/>
          </w:tcPr>
          <w:p w14:paraId="43D7D8B5">
            <w:pPr>
              <w:pStyle w:val="69"/>
            </w:pPr>
            <w:r>
              <w:rPr>
                <w:rFonts w:hint="eastAsia"/>
              </w:rPr>
              <w:t>+15t/a</w:t>
            </w:r>
          </w:p>
        </w:tc>
      </w:tr>
      <w:tr w14:paraId="161A13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190535F8">
            <w:pPr>
              <w:pStyle w:val="68"/>
              <w:spacing w:beforeLines="0" w:afterLines="0" w:line="240" w:lineRule="auto"/>
              <w:rPr>
                <w:rFonts w:ascii="Times New Roman"/>
                <w:snapToGrid w:val="0"/>
                <w:kern w:val="21"/>
                <w:szCs w:val="21"/>
              </w:rPr>
            </w:pPr>
          </w:p>
        </w:tc>
        <w:tc>
          <w:tcPr>
            <w:tcW w:w="1417" w:type="dxa"/>
            <w:vAlign w:val="center"/>
          </w:tcPr>
          <w:p w14:paraId="6AE3A6BE">
            <w:pPr>
              <w:pStyle w:val="69"/>
            </w:pPr>
            <w:r>
              <w:rPr>
                <w:rFonts w:hint="eastAsia"/>
              </w:rPr>
              <w:t>钢筋边角料</w:t>
            </w:r>
          </w:p>
        </w:tc>
        <w:tc>
          <w:tcPr>
            <w:tcW w:w="1701" w:type="dxa"/>
            <w:vAlign w:val="center"/>
          </w:tcPr>
          <w:p w14:paraId="14A9C43C">
            <w:pPr>
              <w:pStyle w:val="68"/>
              <w:spacing w:beforeLines="0" w:afterLines="0" w:line="240" w:lineRule="auto"/>
              <w:rPr>
                <w:rFonts w:ascii="Times New Roman"/>
                <w:snapToGrid w:val="0"/>
                <w:kern w:val="21"/>
                <w:szCs w:val="21"/>
              </w:rPr>
            </w:pPr>
          </w:p>
        </w:tc>
        <w:tc>
          <w:tcPr>
            <w:tcW w:w="1276" w:type="dxa"/>
            <w:vAlign w:val="center"/>
          </w:tcPr>
          <w:p w14:paraId="60C0E79B">
            <w:pPr>
              <w:pStyle w:val="68"/>
              <w:spacing w:beforeLines="0" w:afterLines="0" w:line="240" w:lineRule="auto"/>
              <w:rPr>
                <w:rFonts w:ascii="Times New Roman"/>
                <w:snapToGrid w:val="0"/>
                <w:kern w:val="21"/>
                <w:szCs w:val="21"/>
              </w:rPr>
            </w:pPr>
          </w:p>
        </w:tc>
        <w:tc>
          <w:tcPr>
            <w:tcW w:w="1701" w:type="dxa"/>
            <w:vAlign w:val="center"/>
          </w:tcPr>
          <w:p w14:paraId="2655A4A3">
            <w:pPr>
              <w:pStyle w:val="68"/>
              <w:spacing w:beforeLines="0" w:afterLines="0" w:line="240" w:lineRule="auto"/>
              <w:rPr>
                <w:rFonts w:ascii="Times New Roman"/>
                <w:snapToGrid w:val="0"/>
                <w:kern w:val="21"/>
                <w:szCs w:val="21"/>
              </w:rPr>
            </w:pPr>
          </w:p>
        </w:tc>
        <w:tc>
          <w:tcPr>
            <w:tcW w:w="1559" w:type="dxa"/>
            <w:shd w:val="clear" w:color="auto" w:fill="auto"/>
            <w:vAlign w:val="center"/>
          </w:tcPr>
          <w:p w14:paraId="2F07305E">
            <w:pPr>
              <w:pStyle w:val="69"/>
            </w:pPr>
            <w:r>
              <w:rPr>
                <w:rFonts w:hint="eastAsia"/>
              </w:rPr>
              <w:t>11t/a</w:t>
            </w:r>
          </w:p>
        </w:tc>
        <w:tc>
          <w:tcPr>
            <w:tcW w:w="1541" w:type="dxa"/>
            <w:shd w:val="clear" w:color="auto" w:fill="auto"/>
            <w:vAlign w:val="center"/>
          </w:tcPr>
          <w:p w14:paraId="3BF94C26">
            <w:pPr>
              <w:pStyle w:val="68"/>
              <w:spacing w:beforeLines="0" w:afterLines="0" w:line="240" w:lineRule="auto"/>
              <w:rPr>
                <w:rFonts w:ascii="Times New Roman"/>
                <w:snapToGrid w:val="0"/>
                <w:kern w:val="21"/>
                <w:szCs w:val="21"/>
              </w:rPr>
            </w:pPr>
          </w:p>
        </w:tc>
        <w:tc>
          <w:tcPr>
            <w:tcW w:w="1719" w:type="dxa"/>
            <w:shd w:val="clear" w:color="auto" w:fill="auto"/>
            <w:vAlign w:val="center"/>
          </w:tcPr>
          <w:p w14:paraId="0B2DE104">
            <w:pPr>
              <w:pStyle w:val="69"/>
            </w:pPr>
            <w:r>
              <w:rPr>
                <w:rFonts w:hint="eastAsia"/>
              </w:rPr>
              <w:t>11t/a</w:t>
            </w:r>
          </w:p>
        </w:tc>
        <w:tc>
          <w:tcPr>
            <w:tcW w:w="1286" w:type="dxa"/>
            <w:shd w:val="clear" w:color="auto" w:fill="auto"/>
            <w:vAlign w:val="center"/>
          </w:tcPr>
          <w:p w14:paraId="071E07A9">
            <w:pPr>
              <w:pStyle w:val="69"/>
            </w:pPr>
            <w:r>
              <w:rPr>
                <w:rFonts w:hint="eastAsia"/>
              </w:rPr>
              <w:t>+11t/a</w:t>
            </w:r>
          </w:p>
        </w:tc>
      </w:tr>
      <w:tr w14:paraId="1209B1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69E19E5B">
            <w:pPr>
              <w:pStyle w:val="68"/>
              <w:spacing w:beforeLines="0" w:afterLines="0" w:line="240" w:lineRule="auto"/>
              <w:rPr>
                <w:rFonts w:ascii="Times New Roman"/>
                <w:snapToGrid w:val="0"/>
                <w:kern w:val="21"/>
                <w:szCs w:val="21"/>
              </w:rPr>
            </w:pPr>
          </w:p>
        </w:tc>
        <w:tc>
          <w:tcPr>
            <w:tcW w:w="1417" w:type="dxa"/>
            <w:vAlign w:val="center"/>
          </w:tcPr>
          <w:p w14:paraId="5D3098A2">
            <w:pPr>
              <w:pStyle w:val="69"/>
            </w:pPr>
            <w:r>
              <w:rPr>
                <w:rFonts w:hint="eastAsia"/>
              </w:rPr>
              <w:t>焊渣</w:t>
            </w:r>
          </w:p>
        </w:tc>
        <w:tc>
          <w:tcPr>
            <w:tcW w:w="1701" w:type="dxa"/>
            <w:vAlign w:val="center"/>
          </w:tcPr>
          <w:p w14:paraId="52E6B8A1">
            <w:pPr>
              <w:pStyle w:val="68"/>
              <w:spacing w:beforeLines="0" w:afterLines="0" w:line="240" w:lineRule="auto"/>
              <w:rPr>
                <w:rFonts w:ascii="Times New Roman"/>
                <w:snapToGrid w:val="0"/>
                <w:kern w:val="21"/>
                <w:szCs w:val="21"/>
              </w:rPr>
            </w:pPr>
          </w:p>
        </w:tc>
        <w:tc>
          <w:tcPr>
            <w:tcW w:w="1276" w:type="dxa"/>
            <w:vAlign w:val="center"/>
          </w:tcPr>
          <w:p w14:paraId="3900E822">
            <w:pPr>
              <w:pStyle w:val="68"/>
              <w:spacing w:beforeLines="0" w:afterLines="0" w:line="240" w:lineRule="auto"/>
              <w:rPr>
                <w:rFonts w:ascii="Times New Roman"/>
                <w:snapToGrid w:val="0"/>
                <w:kern w:val="21"/>
                <w:szCs w:val="21"/>
              </w:rPr>
            </w:pPr>
          </w:p>
        </w:tc>
        <w:tc>
          <w:tcPr>
            <w:tcW w:w="1701" w:type="dxa"/>
            <w:vAlign w:val="center"/>
          </w:tcPr>
          <w:p w14:paraId="165F7EB1">
            <w:pPr>
              <w:pStyle w:val="68"/>
              <w:spacing w:beforeLines="0" w:afterLines="0" w:line="240" w:lineRule="auto"/>
              <w:rPr>
                <w:rFonts w:ascii="Times New Roman"/>
                <w:snapToGrid w:val="0"/>
                <w:kern w:val="21"/>
                <w:szCs w:val="21"/>
              </w:rPr>
            </w:pPr>
          </w:p>
        </w:tc>
        <w:tc>
          <w:tcPr>
            <w:tcW w:w="1559" w:type="dxa"/>
            <w:vAlign w:val="center"/>
          </w:tcPr>
          <w:p w14:paraId="349F748B">
            <w:pPr>
              <w:pStyle w:val="69"/>
            </w:pPr>
            <w:r>
              <w:rPr>
                <w:rFonts w:hint="eastAsia"/>
              </w:rPr>
              <w:t>0.04t/a</w:t>
            </w:r>
          </w:p>
        </w:tc>
        <w:tc>
          <w:tcPr>
            <w:tcW w:w="1541" w:type="dxa"/>
            <w:vAlign w:val="center"/>
          </w:tcPr>
          <w:p w14:paraId="1151B5D6">
            <w:pPr>
              <w:pStyle w:val="68"/>
              <w:spacing w:beforeLines="0" w:afterLines="0" w:line="240" w:lineRule="auto"/>
              <w:rPr>
                <w:rFonts w:ascii="Times New Roman"/>
                <w:snapToGrid w:val="0"/>
                <w:kern w:val="21"/>
                <w:szCs w:val="21"/>
              </w:rPr>
            </w:pPr>
          </w:p>
        </w:tc>
        <w:tc>
          <w:tcPr>
            <w:tcW w:w="1719" w:type="dxa"/>
            <w:vAlign w:val="center"/>
          </w:tcPr>
          <w:p w14:paraId="613B7ECC">
            <w:pPr>
              <w:pStyle w:val="69"/>
            </w:pPr>
            <w:r>
              <w:rPr>
                <w:rFonts w:hint="eastAsia"/>
              </w:rPr>
              <w:t>0.04t/a</w:t>
            </w:r>
          </w:p>
        </w:tc>
        <w:tc>
          <w:tcPr>
            <w:tcW w:w="1286" w:type="dxa"/>
            <w:vAlign w:val="center"/>
          </w:tcPr>
          <w:p w14:paraId="269838E8">
            <w:pPr>
              <w:pStyle w:val="69"/>
            </w:pPr>
            <w:r>
              <w:rPr>
                <w:rFonts w:hint="eastAsia"/>
              </w:rPr>
              <w:t>+0.04t/a</w:t>
            </w:r>
          </w:p>
        </w:tc>
      </w:tr>
      <w:tr w14:paraId="289315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Align w:val="center"/>
          </w:tcPr>
          <w:p w14:paraId="66EB83A4">
            <w:pPr>
              <w:pStyle w:val="68"/>
              <w:spacing w:beforeLines="0" w:afterLines="0" w:line="240" w:lineRule="auto"/>
              <w:rPr>
                <w:rFonts w:ascii="Times New Roman"/>
                <w:snapToGrid w:val="0"/>
                <w:kern w:val="21"/>
                <w:szCs w:val="21"/>
              </w:rPr>
            </w:pPr>
            <w:r>
              <w:rPr>
                <w:rFonts w:hint="eastAsia" w:ascii="Times New Roman"/>
                <w:snapToGrid w:val="0"/>
                <w:kern w:val="21"/>
                <w:szCs w:val="21"/>
              </w:rPr>
              <w:t>生活垃圾</w:t>
            </w:r>
          </w:p>
        </w:tc>
        <w:tc>
          <w:tcPr>
            <w:tcW w:w="1417" w:type="dxa"/>
            <w:vAlign w:val="center"/>
          </w:tcPr>
          <w:p w14:paraId="42B811FE">
            <w:pPr>
              <w:pStyle w:val="69"/>
            </w:pPr>
            <w:r>
              <w:rPr>
                <w:rFonts w:hint="eastAsia"/>
                <w:snapToGrid w:val="0"/>
                <w:kern w:val="21"/>
              </w:rPr>
              <w:t>生活垃圾</w:t>
            </w:r>
          </w:p>
        </w:tc>
        <w:tc>
          <w:tcPr>
            <w:tcW w:w="1701" w:type="dxa"/>
            <w:vAlign w:val="center"/>
          </w:tcPr>
          <w:p w14:paraId="09A8CB10">
            <w:pPr>
              <w:pStyle w:val="68"/>
              <w:spacing w:beforeLines="0" w:afterLines="0" w:line="240" w:lineRule="auto"/>
              <w:rPr>
                <w:rFonts w:ascii="Times New Roman"/>
                <w:snapToGrid w:val="0"/>
                <w:kern w:val="21"/>
                <w:szCs w:val="21"/>
              </w:rPr>
            </w:pPr>
          </w:p>
        </w:tc>
        <w:tc>
          <w:tcPr>
            <w:tcW w:w="1276" w:type="dxa"/>
            <w:vAlign w:val="center"/>
          </w:tcPr>
          <w:p w14:paraId="3CCF9EE8">
            <w:pPr>
              <w:pStyle w:val="68"/>
              <w:spacing w:beforeLines="0" w:afterLines="0" w:line="240" w:lineRule="auto"/>
              <w:rPr>
                <w:rFonts w:ascii="Times New Roman"/>
                <w:snapToGrid w:val="0"/>
                <w:kern w:val="21"/>
                <w:szCs w:val="21"/>
              </w:rPr>
            </w:pPr>
          </w:p>
        </w:tc>
        <w:tc>
          <w:tcPr>
            <w:tcW w:w="1701" w:type="dxa"/>
            <w:vAlign w:val="center"/>
          </w:tcPr>
          <w:p w14:paraId="18FA9D61">
            <w:pPr>
              <w:pStyle w:val="68"/>
              <w:spacing w:beforeLines="0" w:afterLines="0" w:line="240" w:lineRule="auto"/>
              <w:rPr>
                <w:rFonts w:ascii="Times New Roman"/>
                <w:snapToGrid w:val="0"/>
                <w:kern w:val="21"/>
                <w:szCs w:val="21"/>
              </w:rPr>
            </w:pPr>
          </w:p>
        </w:tc>
        <w:tc>
          <w:tcPr>
            <w:tcW w:w="1559" w:type="dxa"/>
            <w:vAlign w:val="center"/>
          </w:tcPr>
          <w:p w14:paraId="18560F23">
            <w:pPr>
              <w:pStyle w:val="69"/>
              <w:rPr>
                <w:snapToGrid w:val="0"/>
                <w:kern w:val="18"/>
              </w:rPr>
            </w:pPr>
            <w:r>
              <w:rPr>
                <w:rFonts w:hint="eastAsia"/>
                <w:snapToGrid w:val="0"/>
                <w:kern w:val="18"/>
              </w:rPr>
              <w:t>16.5t/a</w:t>
            </w:r>
          </w:p>
        </w:tc>
        <w:tc>
          <w:tcPr>
            <w:tcW w:w="1541" w:type="dxa"/>
            <w:vAlign w:val="center"/>
          </w:tcPr>
          <w:p w14:paraId="74803C14">
            <w:pPr>
              <w:pStyle w:val="68"/>
              <w:spacing w:beforeLines="0" w:afterLines="0" w:line="240" w:lineRule="auto"/>
              <w:rPr>
                <w:rFonts w:ascii="Times New Roman"/>
                <w:snapToGrid w:val="0"/>
                <w:kern w:val="21"/>
                <w:szCs w:val="21"/>
              </w:rPr>
            </w:pPr>
          </w:p>
        </w:tc>
        <w:tc>
          <w:tcPr>
            <w:tcW w:w="1719" w:type="dxa"/>
            <w:vAlign w:val="center"/>
          </w:tcPr>
          <w:p w14:paraId="064C6A10">
            <w:pPr>
              <w:pStyle w:val="69"/>
              <w:rPr>
                <w:snapToGrid w:val="0"/>
                <w:kern w:val="21"/>
              </w:rPr>
            </w:pPr>
            <w:r>
              <w:rPr>
                <w:rFonts w:hint="eastAsia"/>
                <w:snapToGrid w:val="0"/>
                <w:kern w:val="18"/>
              </w:rPr>
              <w:t>16.5t/a</w:t>
            </w:r>
          </w:p>
        </w:tc>
        <w:tc>
          <w:tcPr>
            <w:tcW w:w="1286" w:type="dxa"/>
            <w:vAlign w:val="center"/>
          </w:tcPr>
          <w:p w14:paraId="091B89C9">
            <w:pPr>
              <w:pStyle w:val="69"/>
              <w:rPr>
                <w:snapToGrid w:val="0"/>
                <w:kern w:val="21"/>
              </w:rPr>
            </w:pPr>
            <w:r>
              <w:rPr>
                <w:rFonts w:hint="eastAsia"/>
                <w:snapToGrid w:val="0"/>
                <w:kern w:val="18"/>
              </w:rPr>
              <w:t>+16.5t/a</w:t>
            </w:r>
          </w:p>
        </w:tc>
      </w:tr>
    </w:tbl>
    <w:p w14:paraId="32627880">
      <w:pPr>
        <w:pStyle w:val="68"/>
        <w:spacing w:beforeLines="80" w:after="24"/>
        <w:jc w:val="left"/>
        <w:rPr>
          <w:rFonts w:hAnsi="宋体"/>
          <w:snapToGrid w:val="0"/>
          <w:kern w:val="21"/>
          <w:szCs w:val="21"/>
        </w:rPr>
      </w:pPr>
      <w:r>
        <w:rPr>
          <w:rFonts w:hAnsi="宋体"/>
          <w:snapToGrid w:val="0"/>
          <w:kern w:val="21"/>
          <w:szCs w:val="21"/>
        </w:rPr>
        <w:t>注：</w:t>
      </w:r>
      <w:r>
        <w:rPr>
          <w:rFonts w:hAnsi="宋体"/>
          <w:snapToGrid w:val="0"/>
          <w:kern w:val="21"/>
          <w:szCs w:val="21"/>
        </w:rPr>
        <w:fldChar w:fldCharType="begin"/>
      </w:r>
      <w:r>
        <w:rPr>
          <w:rFonts w:hAnsi="宋体"/>
          <w:snapToGrid w:val="0"/>
          <w:kern w:val="21"/>
          <w:szCs w:val="21"/>
        </w:rPr>
        <w:instrText xml:space="preserve"> = 6 \* GB3 \* MERGEFORMAT </w:instrText>
      </w:r>
      <w:r>
        <w:rPr>
          <w:rFonts w:hAnsi="宋体"/>
          <w:snapToGrid w:val="0"/>
          <w:kern w:val="21"/>
          <w:szCs w:val="21"/>
        </w:rPr>
        <w:fldChar w:fldCharType="separate"/>
      </w:r>
      <w:r>
        <w:rPr>
          <w:rFonts w:hint="eastAsia" w:hAnsi="宋体"/>
          <w:kern w:val="21"/>
          <w:szCs w:val="21"/>
        </w:rPr>
        <w:t>⑥</w:t>
      </w:r>
      <w:r>
        <w:rPr>
          <w:rFonts w:hAnsi="宋体"/>
          <w:snapToGrid w:val="0"/>
          <w:kern w:val="21"/>
          <w:szCs w:val="21"/>
        </w:rPr>
        <w:fldChar w:fldCharType="end"/>
      </w:r>
      <w:r>
        <w:rPr>
          <w:rFonts w:hAnsi="宋体"/>
          <w:snapToGrid w:val="0"/>
          <w:kern w:val="21"/>
          <w:szCs w:val="21"/>
        </w:rPr>
        <w:t>=</w:t>
      </w:r>
      <w:r>
        <w:rPr>
          <w:rFonts w:hAnsi="宋体"/>
          <w:snapToGrid w:val="0"/>
          <w:kern w:val="21"/>
          <w:szCs w:val="21"/>
        </w:rPr>
        <w:fldChar w:fldCharType="begin"/>
      </w:r>
      <w:r>
        <w:rPr>
          <w:rFonts w:hAnsi="宋体"/>
          <w:snapToGrid w:val="0"/>
          <w:kern w:val="21"/>
          <w:szCs w:val="21"/>
        </w:rPr>
        <w:instrText xml:space="preserve"> = 1 \* GB3 \* MERGEFORMAT </w:instrText>
      </w:r>
      <w:r>
        <w:rPr>
          <w:rFonts w:hAnsi="宋体"/>
          <w:snapToGrid w:val="0"/>
          <w:kern w:val="21"/>
          <w:szCs w:val="21"/>
        </w:rPr>
        <w:fldChar w:fldCharType="separate"/>
      </w:r>
      <w:r>
        <w:rPr>
          <w:rFonts w:hint="eastAsia" w:hAnsi="宋体"/>
          <w:kern w:val="21"/>
          <w:szCs w:val="21"/>
        </w:rPr>
        <w:t>①</w:t>
      </w:r>
      <w:r>
        <w:rPr>
          <w:rFonts w:hAnsi="宋体"/>
          <w:snapToGrid w:val="0"/>
          <w:kern w:val="21"/>
          <w:szCs w:val="21"/>
        </w:rPr>
        <w:fldChar w:fldCharType="end"/>
      </w:r>
      <w:r>
        <w:rPr>
          <w:rFonts w:hAnsi="宋体"/>
          <w:snapToGrid w:val="0"/>
          <w:kern w:val="21"/>
          <w:szCs w:val="21"/>
        </w:rPr>
        <w:t>+</w:t>
      </w:r>
      <w:r>
        <w:rPr>
          <w:rFonts w:hAnsi="宋体"/>
          <w:snapToGrid w:val="0"/>
          <w:kern w:val="21"/>
          <w:szCs w:val="21"/>
        </w:rPr>
        <w:fldChar w:fldCharType="begin"/>
      </w:r>
      <w:r>
        <w:rPr>
          <w:rFonts w:hAnsi="宋体"/>
          <w:snapToGrid w:val="0"/>
          <w:kern w:val="21"/>
          <w:szCs w:val="21"/>
        </w:rPr>
        <w:instrText xml:space="preserve"> = 3 \* GB3 \* MERGEFORMAT </w:instrText>
      </w:r>
      <w:r>
        <w:rPr>
          <w:rFonts w:hAnsi="宋体"/>
          <w:snapToGrid w:val="0"/>
          <w:kern w:val="21"/>
          <w:szCs w:val="21"/>
        </w:rPr>
        <w:fldChar w:fldCharType="separate"/>
      </w:r>
      <w:r>
        <w:rPr>
          <w:rFonts w:hint="eastAsia" w:hAnsi="宋体"/>
          <w:kern w:val="21"/>
          <w:szCs w:val="21"/>
        </w:rPr>
        <w:t>③</w:t>
      </w:r>
      <w:r>
        <w:rPr>
          <w:rFonts w:hAnsi="宋体"/>
          <w:snapToGrid w:val="0"/>
          <w:kern w:val="21"/>
          <w:szCs w:val="21"/>
        </w:rPr>
        <w:fldChar w:fldCharType="end"/>
      </w:r>
      <w:r>
        <w:rPr>
          <w:rFonts w:hAnsi="宋体"/>
          <w:snapToGrid w:val="0"/>
          <w:kern w:val="21"/>
          <w:szCs w:val="21"/>
        </w:rPr>
        <w:t>+</w:t>
      </w:r>
      <w:r>
        <w:rPr>
          <w:rFonts w:hAnsi="宋体"/>
          <w:snapToGrid w:val="0"/>
          <w:kern w:val="21"/>
          <w:szCs w:val="21"/>
        </w:rPr>
        <w:fldChar w:fldCharType="begin"/>
      </w:r>
      <w:r>
        <w:rPr>
          <w:rFonts w:hAnsi="宋体"/>
          <w:snapToGrid w:val="0"/>
          <w:kern w:val="21"/>
          <w:szCs w:val="21"/>
        </w:rPr>
        <w:instrText xml:space="preserve"> = 4 \* GB3 \* MERGEFORMAT </w:instrText>
      </w:r>
      <w:r>
        <w:rPr>
          <w:rFonts w:hAnsi="宋体"/>
          <w:snapToGrid w:val="0"/>
          <w:kern w:val="21"/>
          <w:szCs w:val="21"/>
        </w:rPr>
        <w:fldChar w:fldCharType="separate"/>
      </w:r>
      <w:r>
        <w:rPr>
          <w:rFonts w:hint="eastAsia" w:hAnsi="宋体"/>
          <w:kern w:val="21"/>
          <w:szCs w:val="21"/>
        </w:rPr>
        <w:t>④</w:t>
      </w:r>
      <w:r>
        <w:rPr>
          <w:rFonts w:hAnsi="宋体"/>
          <w:snapToGrid w:val="0"/>
          <w:kern w:val="21"/>
          <w:szCs w:val="21"/>
        </w:rPr>
        <w:fldChar w:fldCharType="end"/>
      </w:r>
      <w:r>
        <w:rPr>
          <w:rFonts w:hAnsi="宋体"/>
          <w:snapToGrid w:val="0"/>
          <w:kern w:val="21"/>
          <w:szCs w:val="21"/>
        </w:rPr>
        <w:t>-</w:t>
      </w:r>
      <w:r>
        <w:rPr>
          <w:rFonts w:hAnsi="宋体"/>
          <w:snapToGrid w:val="0"/>
          <w:kern w:val="21"/>
          <w:szCs w:val="21"/>
        </w:rPr>
        <w:fldChar w:fldCharType="begin"/>
      </w:r>
      <w:r>
        <w:rPr>
          <w:rFonts w:hAnsi="宋体"/>
          <w:snapToGrid w:val="0"/>
          <w:kern w:val="21"/>
          <w:szCs w:val="21"/>
        </w:rPr>
        <w:instrText xml:space="preserve"> = 5 \* GB3 \* MERGEFORMAT </w:instrText>
      </w:r>
      <w:r>
        <w:rPr>
          <w:rFonts w:hAnsi="宋体"/>
          <w:snapToGrid w:val="0"/>
          <w:kern w:val="21"/>
          <w:szCs w:val="21"/>
        </w:rPr>
        <w:fldChar w:fldCharType="separate"/>
      </w:r>
      <w:r>
        <w:rPr>
          <w:rFonts w:hint="eastAsia" w:hAnsi="宋体"/>
          <w:kern w:val="21"/>
          <w:szCs w:val="21"/>
        </w:rPr>
        <w:t>⑤</w:t>
      </w:r>
      <w:r>
        <w:rPr>
          <w:rFonts w:hAnsi="宋体"/>
          <w:snapToGrid w:val="0"/>
          <w:kern w:val="21"/>
          <w:szCs w:val="21"/>
        </w:rPr>
        <w:fldChar w:fldCharType="end"/>
      </w:r>
      <w:r>
        <w:rPr>
          <w:rFonts w:hAnsi="宋体"/>
          <w:snapToGrid w:val="0"/>
          <w:kern w:val="21"/>
          <w:szCs w:val="21"/>
        </w:rPr>
        <w:t>；</w:t>
      </w:r>
      <w:r>
        <w:rPr>
          <w:rFonts w:hAnsi="宋体"/>
          <w:snapToGrid w:val="0"/>
          <w:kern w:val="21"/>
          <w:szCs w:val="21"/>
        </w:rPr>
        <w:fldChar w:fldCharType="begin"/>
      </w:r>
      <w:r>
        <w:rPr>
          <w:rFonts w:hAnsi="宋体"/>
          <w:snapToGrid w:val="0"/>
          <w:kern w:val="21"/>
          <w:szCs w:val="21"/>
        </w:rPr>
        <w:instrText xml:space="preserve"> = 7 \* GB3 \* MERGEFORMAT </w:instrText>
      </w:r>
      <w:r>
        <w:rPr>
          <w:rFonts w:hAnsi="宋体"/>
          <w:snapToGrid w:val="0"/>
          <w:kern w:val="21"/>
          <w:szCs w:val="21"/>
        </w:rPr>
        <w:fldChar w:fldCharType="separate"/>
      </w:r>
      <w:r>
        <w:rPr>
          <w:rFonts w:hint="eastAsia" w:hAnsi="宋体"/>
          <w:kern w:val="21"/>
          <w:szCs w:val="21"/>
        </w:rPr>
        <w:t>⑦</w:t>
      </w:r>
      <w:r>
        <w:rPr>
          <w:rFonts w:hAnsi="宋体"/>
          <w:snapToGrid w:val="0"/>
          <w:kern w:val="21"/>
          <w:szCs w:val="21"/>
        </w:rPr>
        <w:fldChar w:fldCharType="end"/>
      </w:r>
      <w:r>
        <w:rPr>
          <w:rFonts w:hAnsi="宋体"/>
          <w:snapToGrid w:val="0"/>
          <w:kern w:val="21"/>
          <w:szCs w:val="21"/>
        </w:rPr>
        <w:t>=</w:t>
      </w:r>
      <w:r>
        <w:rPr>
          <w:rFonts w:hAnsi="宋体"/>
          <w:snapToGrid w:val="0"/>
          <w:kern w:val="21"/>
          <w:szCs w:val="21"/>
        </w:rPr>
        <w:fldChar w:fldCharType="begin"/>
      </w:r>
      <w:r>
        <w:rPr>
          <w:rFonts w:hAnsi="宋体"/>
          <w:snapToGrid w:val="0"/>
          <w:kern w:val="21"/>
          <w:szCs w:val="21"/>
        </w:rPr>
        <w:instrText xml:space="preserve"> = 6 \* GB3 \* MERGEFORMAT </w:instrText>
      </w:r>
      <w:r>
        <w:rPr>
          <w:rFonts w:hAnsi="宋体"/>
          <w:snapToGrid w:val="0"/>
          <w:kern w:val="21"/>
          <w:szCs w:val="21"/>
        </w:rPr>
        <w:fldChar w:fldCharType="separate"/>
      </w:r>
      <w:r>
        <w:rPr>
          <w:rFonts w:hint="eastAsia" w:hAnsi="宋体"/>
          <w:kern w:val="21"/>
          <w:szCs w:val="21"/>
        </w:rPr>
        <w:t>⑥</w:t>
      </w:r>
      <w:r>
        <w:rPr>
          <w:rFonts w:hAnsi="宋体"/>
          <w:snapToGrid w:val="0"/>
          <w:kern w:val="21"/>
          <w:szCs w:val="21"/>
        </w:rPr>
        <w:fldChar w:fldCharType="end"/>
      </w:r>
      <w:r>
        <w:rPr>
          <w:rFonts w:hAnsi="宋体"/>
          <w:snapToGrid w:val="0"/>
          <w:kern w:val="21"/>
          <w:szCs w:val="21"/>
        </w:rPr>
        <w:t>-</w:t>
      </w:r>
      <w:r>
        <w:rPr>
          <w:rFonts w:hAnsi="宋体"/>
          <w:snapToGrid w:val="0"/>
          <w:kern w:val="21"/>
          <w:szCs w:val="21"/>
        </w:rPr>
        <w:fldChar w:fldCharType="begin"/>
      </w:r>
      <w:r>
        <w:rPr>
          <w:rFonts w:hAnsi="宋体"/>
          <w:snapToGrid w:val="0"/>
          <w:kern w:val="21"/>
          <w:szCs w:val="21"/>
        </w:rPr>
        <w:instrText xml:space="preserve"> = 1 \* GB3 \* MERGEFORMAT </w:instrText>
      </w:r>
      <w:r>
        <w:rPr>
          <w:rFonts w:hAnsi="宋体"/>
          <w:snapToGrid w:val="0"/>
          <w:kern w:val="21"/>
          <w:szCs w:val="21"/>
        </w:rPr>
        <w:fldChar w:fldCharType="separate"/>
      </w:r>
      <w:r>
        <w:rPr>
          <w:rFonts w:hint="eastAsia" w:hAnsi="宋体"/>
          <w:kern w:val="21"/>
          <w:szCs w:val="21"/>
        </w:rPr>
        <w:t>①</w:t>
      </w:r>
      <w:r>
        <w:rPr>
          <w:rFonts w:hAnsi="宋体"/>
          <w:snapToGrid w:val="0"/>
          <w:kern w:val="21"/>
          <w:szCs w:val="21"/>
        </w:rPr>
        <w:fldChar w:fldCharType="end"/>
      </w:r>
    </w:p>
    <w:p w14:paraId="05FA8DE5">
      <w:pPr>
        <w:rPr>
          <w:color w:val="FF0000"/>
          <w:kern w:val="21"/>
          <w:highlight w:val="yellow"/>
        </w:rPr>
        <w:sectPr>
          <w:footerReference r:id="rId5" w:type="default"/>
          <w:pgSz w:w="16838" w:h="11906" w:orient="landscape"/>
          <w:pgMar w:top="1701" w:right="1531" w:bottom="1701" w:left="1531" w:header="851" w:footer="851" w:gutter="0"/>
          <w:cols w:space="720" w:num="1"/>
          <w:docGrid w:linePitch="312" w:charSpace="0"/>
        </w:sectPr>
      </w:pPr>
    </w:p>
    <w:p w14:paraId="0AF63311">
      <w:pPr>
        <w:pStyle w:val="2"/>
        <w:ind w:left="12" w:hanging="12"/>
        <w:rPr>
          <w:color w:val="auto"/>
        </w:rPr>
      </w:pPr>
      <w:r>
        <w:rPr>
          <w:rFonts w:hint="eastAsia"/>
          <w:color w:val="auto"/>
        </w:rPr>
        <w:t>附图1</w:t>
      </w:r>
      <w:r>
        <w:rPr>
          <w:color w:val="auto"/>
        </w:rPr>
        <w:t xml:space="preserve"> </w:t>
      </w:r>
      <w:r>
        <w:rPr>
          <w:rFonts w:hint="eastAsia"/>
          <w:color w:val="auto"/>
        </w:rPr>
        <w:t>项目地理位置图（涉及商业秘密、予以删除）</w:t>
      </w:r>
    </w:p>
    <w:p w14:paraId="67112994">
      <w:pPr>
        <w:jc w:val="center"/>
        <w:rPr>
          <w:color w:val="FF0000"/>
        </w:rPr>
      </w:pPr>
    </w:p>
    <w:p w14:paraId="693F5921">
      <w:pPr>
        <w:pStyle w:val="22"/>
        <w:rPr>
          <w:color w:val="FF0000"/>
        </w:rPr>
        <w:sectPr>
          <w:headerReference r:id="rId6" w:type="default"/>
          <w:pgSz w:w="11906" w:h="16838"/>
          <w:pgMar w:top="1440" w:right="1800" w:bottom="1440" w:left="1800" w:header="851" w:footer="992" w:gutter="0"/>
          <w:cols w:space="720" w:num="1"/>
          <w:docGrid w:type="lines" w:linePitch="312" w:charSpace="0"/>
        </w:sectPr>
      </w:pPr>
    </w:p>
    <w:p w14:paraId="3DD5109A">
      <w:pPr>
        <w:pStyle w:val="2"/>
        <w:tabs>
          <w:tab w:val="left" w:pos="0"/>
        </w:tabs>
        <w:ind w:left="12" w:hanging="12"/>
        <w:rPr>
          <w:color w:val="auto"/>
        </w:rPr>
      </w:pPr>
      <w:r>
        <w:rPr>
          <w:rFonts w:hint="eastAsia"/>
          <w:color w:val="auto"/>
        </w:rPr>
        <w:t>附图</w:t>
      </w:r>
      <w:r>
        <w:rPr>
          <w:color w:val="auto"/>
        </w:rPr>
        <w:t xml:space="preserve">2 </w:t>
      </w:r>
      <w:r>
        <w:rPr>
          <w:rFonts w:hint="eastAsia"/>
          <w:color w:val="auto"/>
        </w:rPr>
        <w:t>项目周边环境示意图（涉及商业秘密、予以删除）</w:t>
      </w:r>
    </w:p>
    <w:p w14:paraId="355FAD6E">
      <w:pPr>
        <w:pStyle w:val="81"/>
        <w:spacing w:line="240" w:lineRule="auto"/>
        <w:ind w:left="0" w:leftChars="0" w:firstLine="0"/>
        <w:jc w:val="center"/>
        <w:rPr>
          <w:color w:val="FF0000"/>
        </w:rPr>
      </w:pPr>
    </w:p>
    <w:p w14:paraId="643EB13F">
      <w:pPr>
        <w:pStyle w:val="81"/>
        <w:rPr>
          <w:color w:val="FF0000"/>
        </w:rPr>
        <w:sectPr>
          <w:pgSz w:w="16838" w:h="11906" w:orient="landscape"/>
          <w:pgMar w:top="1800" w:right="1440" w:bottom="1800" w:left="1440" w:header="851" w:footer="992" w:gutter="0"/>
          <w:cols w:space="720" w:num="1"/>
          <w:docGrid w:type="lines" w:linePitch="312" w:charSpace="0"/>
        </w:sectPr>
      </w:pPr>
    </w:p>
    <w:p w14:paraId="657C85F3">
      <w:pPr>
        <w:pStyle w:val="2"/>
        <w:tabs>
          <w:tab w:val="left" w:pos="0"/>
        </w:tabs>
        <w:ind w:left="12" w:hanging="12"/>
        <w:rPr>
          <w:color w:val="auto"/>
        </w:rPr>
      </w:pPr>
      <w:r>
        <w:rPr>
          <w:rFonts w:hint="eastAsia"/>
          <w:color w:val="auto"/>
        </w:rPr>
        <w:t>附图3</w:t>
      </w:r>
      <w:r>
        <w:rPr>
          <w:color w:val="auto"/>
        </w:rPr>
        <w:t xml:space="preserve"> </w:t>
      </w:r>
      <w:r>
        <w:rPr>
          <w:rFonts w:hint="eastAsia"/>
          <w:color w:val="auto"/>
        </w:rPr>
        <w:t>搬迁前的项目所在地现状图、本项目现状图及周边环境示意图（涉及商业秘密、予以删除）</w:t>
      </w:r>
    </w:p>
    <w:p w14:paraId="719AF04D">
      <w:pPr>
        <w:pStyle w:val="81"/>
        <w:spacing w:line="240" w:lineRule="auto"/>
        <w:ind w:left="0" w:leftChars="0" w:firstLine="0"/>
        <w:jc w:val="center"/>
        <w:rPr>
          <w:b/>
          <w:bCs/>
          <w:color w:val="FF0000"/>
        </w:rPr>
        <w:sectPr>
          <w:pgSz w:w="11906" w:h="16838"/>
          <w:pgMar w:top="1440" w:right="1800" w:bottom="1440" w:left="1800" w:header="851" w:footer="992" w:gutter="0"/>
          <w:cols w:space="720" w:num="1"/>
          <w:docGrid w:type="lines" w:linePitch="312" w:charSpace="0"/>
        </w:sectPr>
      </w:pPr>
    </w:p>
    <w:p w14:paraId="1429B601">
      <w:pPr>
        <w:pStyle w:val="2"/>
        <w:jc w:val="left"/>
        <w:rPr>
          <w:color w:val="FF0000"/>
        </w:rPr>
        <w:sectPr>
          <w:pgSz w:w="16838" w:h="11906" w:orient="landscape"/>
          <w:pgMar w:top="1800" w:right="1440" w:bottom="1800" w:left="1440" w:header="851" w:footer="992" w:gutter="0"/>
          <w:cols w:space="720" w:num="1"/>
          <w:docGrid w:type="lines" w:linePitch="312" w:charSpace="0"/>
        </w:sectPr>
      </w:pPr>
      <w:r>
        <w:rPr>
          <w:rFonts w:hint="eastAsia"/>
          <w:color w:val="auto"/>
        </w:rPr>
        <w:t>附图4</w:t>
      </w:r>
      <w:r>
        <w:rPr>
          <w:color w:val="auto"/>
        </w:rPr>
        <w:t xml:space="preserve"> </w:t>
      </w:r>
      <w:r>
        <w:rPr>
          <w:rFonts w:hint="eastAsia"/>
          <w:color w:val="auto"/>
        </w:rPr>
        <w:t>项目平面布置图（涉及商业秘密、予以删除）</w:t>
      </w:r>
    </w:p>
    <w:p w14:paraId="15D0BE07">
      <w:pPr>
        <w:pStyle w:val="81"/>
        <w:spacing w:line="240" w:lineRule="auto"/>
        <w:ind w:left="0" w:leftChars="0" w:firstLine="0"/>
        <w:jc w:val="center"/>
      </w:pPr>
    </w:p>
    <w:p w14:paraId="2299DF27">
      <w:pPr>
        <w:pStyle w:val="2"/>
        <w:ind w:left="12" w:hanging="12"/>
        <w:rPr>
          <w:rFonts w:eastAsia="宋体"/>
        </w:rPr>
        <w:sectPr>
          <w:pgSz w:w="16838" w:h="23811"/>
          <w:pgMar w:top="1440" w:right="1800" w:bottom="1440" w:left="1800" w:header="851" w:footer="992" w:gutter="0"/>
          <w:cols w:space="720" w:num="1"/>
          <w:docGrid w:type="lines" w:linePitch="312" w:charSpace="0"/>
        </w:sectPr>
      </w:pPr>
      <w:r>
        <w:rPr>
          <w:rFonts w:hint="eastAsia"/>
          <w:color w:val="auto"/>
        </w:rPr>
        <w:t>附图5 江阴港城土地利用规划图（涉及商业秘密、予以删除）</w:t>
      </w:r>
    </w:p>
    <w:p w14:paraId="10D31CB6">
      <w:pPr>
        <w:pStyle w:val="2"/>
        <w:ind w:left="12" w:hanging="12"/>
        <w:rPr>
          <w:color w:val="auto"/>
        </w:rPr>
      </w:pPr>
      <w:r>
        <w:rPr>
          <w:rFonts w:hint="eastAsia"/>
          <w:color w:val="auto"/>
        </w:rPr>
        <w:t>附图6 江阴港城产业布局规划图（涉及商业秘密、予以删除）</w:t>
      </w:r>
    </w:p>
    <w:p w14:paraId="0BA56F57">
      <w:pPr>
        <w:rPr>
          <w:color w:val="000000"/>
        </w:rPr>
        <w:sectPr>
          <w:pgSz w:w="16838" w:h="23811"/>
          <w:pgMar w:top="1440" w:right="1800" w:bottom="1440" w:left="1800" w:header="851" w:footer="992" w:gutter="0"/>
          <w:cols w:space="720" w:num="1"/>
          <w:docGrid w:type="lines" w:linePitch="312" w:charSpace="0"/>
        </w:sectPr>
      </w:pPr>
    </w:p>
    <w:p w14:paraId="78647DB4">
      <w:pPr>
        <w:pStyle w:val="2"/>
        <w:ind w:left="12" w:hanging="12"/>
        <w:rPr>
          <w:color w:val="auto"/>
        </w:rPr>
      </w:pPr>
      <w:r>
        <w:rPr>
          <w:rFonts w:hint="eastAsia"/>
          <w:color w:val="auto"/>
        </w:rPr>
        <w:t>附图7 江阴港城经济区环保隔离带和环保控制带包络线图（涉及商业秘密、予以删除）</w:t>
      </w:r>
    </w:p>
    <w:p w14:paraId="32BC5B6E">
      <w:pPr>
        <w:rPr>
          <w:color w:val="000000"/>
        </w:rPr>
        <w:sectPr>
          <w:pgSz w:w="23811" w:h="16838" w:orient="landscape"/>
          <w:pgMar w:top="1800" w:right="1440" w:bottom="1800" w:left="1440" w:header="851" w:footer="992" w:gutter="0"/>
          <w:cols w:space="720" w:num="1"/>
          <w:docGrid w:type="lines" w:linePitch="312" w:charSpace="0"/>
        </w:sectPr>
      </w:pPr>
    </w:p>
    <w:p w14:paraId="5480D120">
      <w:pPr>
        <w:pStyle w:val="2"/>
        <w:ind w:left="12" w:hanging="12"/>
        <w:rPr>
          <w:color w:val="auto"/>
        </w:rPr>
      </w:pPr>
      <w:r>
        <w:rPr>
          <w:rFonts w:hint="eastAsia"/>
          <w:color w:val="auto"/>
        </w:rPr>
        <w:t>附图8 江阴港城经济区污水管网图（涉及商业秘密、予以删除）</w:t>
      </w:r>
    </w:p>
    <w:p w14:paraId="5D547E6B">
      <w:pPr>
        <w:rPr>
          <w:color w:val="000000"/>
        </w:rPr>
        <w:sectPr>
          <w:pgSz w:w="16838" w:h="23811"/>
          <w:pgMar w:top="1440" w:right="1800" w:bottom="1440" w:left="1800" w:header="851" w:footer="992" w:gutter="0"/>
          <w:cols w:space="720" w:num="1"/>
          <w:docGrid w:type="lines" w:linePitch="312" w:charSpace="0"/>
        </w:sectPr>
      </w:pPr>
    </w:p>
    <w:p w14:paraId="36054B03">
      <w:pPr>
        <w:pStyle w:val="2"/>
        <w:ind w:left="0" w:firstLine="0"/>
        <w:rPr>
          <w:color w:val="auto"/>
        </w:rPr>
      </w:pPr>
      <w:r>
        <w:rPr>
          <w:rFonts w:hint="eastAsia"/>
          <w:color w:val="auto"/>
        </w:rPr>
        <w:t>附件1 委托书（涉及商业秘密及隐私、予以删除）</w:t>
      </w:r>
    </w:p>
    <w:p w14:paraId="3EB9B17F">
      <w:pPr>
        <w:rPr>
          <w:color w:val="FF0000"/>
        </w:rPr>
        <w:sectPr>
          <w:pgSz w:w="11906" w:h="16838"/>
          <w:pgMar w:top="1440" w:right="1800" w:bottom="1440" w:left="1800" w:header="851" w:footer="992" w:gutter="0"/>
          <w:cols w:space="720" w:num="1"/>
          <w:docGrid w:type="lines" w:linePitch="312" w:charSpace="0"/>
        </w:sectPr>
      </w:pPr>
    </w:p>
    <w:p w14:paraId="7189ED8B">
      <w:pPr>
        <w:pStyle w:val="2"/>
        <w:ind w:left="12" w:hanging="12"/>
        <w:jc w:val="left"/>
        <w:rPr>
          <w:color w:val="auto"/>
        </w:rPr>
      </w:pPr>
      <w:r>
        <w:rPr>
          <w:rFonts w:hint="eastAsia"/>
          <w:color w:val="auto"/>
        </w:rPr>
        <w:t>附件2 营业执照（涉及商业秘密及隐私、予以删除）</w:t>
      </w:r>
    </w:p>
    <w:p w14:paraId="74E3E6CC">
      <w:pPr>
        <w:jc w:val="center"/>
        <w:rPr>
          <w:b/>
          <w:bCs/>
          <w:color w:val="FF0000"/>
        </w:rPr>
        <w:sectPr>
          <w:pgSz w:w="16838" w:h="11906" w:orient="landscape"/>
          <w:pgMar w:top="1800" w:right="1440" w:bottom="1800" w:left="1440" w:header="851" w:footer="992" w:gutter="0"/>
          <w:cols w:space="720" w:num="1"/>
          <w:docGrid w:type="lines" w:linePitch="312" w:charSpace="0"/>
        </w:sectPr>
      </w:pPr>
    </w:p>
    <w:p w14:paraId="6F80F75E">
      <w:pPr>
        <w:pStyle w:val="2"/>
        <w:jc w:val="left"/>
        <w:rPr>
          <w:color w:val="FF0000"/>
        </w:rPr>
        <w:sectPr>
          <w:pgSz w:w="11906" w:h="16838"/>
          <w:pgMar w:top="1440" w:right="1486" w:bottom="1440" w:left="1600" w:header="851" w:footer="992" w:gutter="0"/>
          <w:cols w:space="720" w:num="1"/>
          <w:docGrid w:type="lines" w:linePitch="312" w:charSpace="0"/>
        </w:sectPr>
      </w:pPr>
      <w:r>
        <w:rPr>
          <w:rFonts w:hint="eastAsia"/>
          <w:color w:val="auto"/>
        </w:rPr>
        <w:t>附件</w:t>
      </w:r>
      <w:r>
        <w:rPr>
          <w:color w:val="auto"/>
        </w:rPr>
        <w:t xml:space="preserve">3 </w:t>
      </w:r>
      <w:r>
        <w:rPr>
          <w:rFonts w:hint="eastAsia"/>
          <w:color w:val="auto"/>
        </w:rPr>
        <w:t>法人身份证（涉及商业秘密及隐私、予以删除）</w:t>
      </w:r>
    </w:p>
    <w:p w14:paraId="0D07DD76">
      <w:pPr>
        <w:pStyle w:val="2"/>
        <w:jc w:val="left"/>
        <w:rPr>
          <w:color w:val="auto"/>
        </w:rPr>
      </w:pPr>
      <w:r>
        <w:rPr>
          <w:color w:val="auto"/>
        </w:rPr>
        <w:pict>
          <v:shape id="_x0000_s1026" o:spid="_x0000_s1026" o:spt="202" type="#_x0000_t202" style="position:absolute;left:0pt;margin-left:126.75pt;margin-top:-540.1pt;height:39.35pt;width:58.55pt;z-index:251673600;mso-width-relative:page;mso-height-relative:page;" filled="f" stroked="f" coordsize="21600,21600" o:gfxdata="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AEpp/aAAAADwEAAA8AAAAAAAAAAQAgAAAAIgAAAGRycy9kb3ducmV2Lnht&#10;bFBLAQIUABQAAAAIAIdO4kAGgqyfvgEAAGwDAAAOAAAAAAAAAAEAIAAAACkBAABkcnMvZTJvRG9j&#10;LnhtbFBLBQYAAAAABgAGAFkBAABZBQAAAAA=&#10;">
            <v:path/>
            <v:fill on="f" focussize="0,0"/>
            <v:stroke on="f" joinstyle="miter"/>
            <v:imagedata o:title=""/>
            <o:lock v:ext="edit"/>
            <v:textbox>
              <w:txbxContent>
                <w:p w14:paraId="7A244A53">
                  <w:pPr>
                    <w:rPr>
                      <w:color w:val="FF0000"/>
                    </w:rPr>
                  </w:pPr>
                  <w:r>
                    <w:rPr>
                      <w:rFonts w:hint="eastAsia"/>
                      <w:color w:val="FF0000"/>
                    </w:rPr>
                    <w:t>本项目租赁区域</w:t>
                  </w:r>
                </w:p>
              </w:txbxContent>
            </v:textbox>
          </v:shape>
        </w:pict>
      </w:r>
      <w:r>
        <w:rPr>
          <w:color w:val="auto"/>
        </w:rPr>
        <w:pict>
          <v:rect id="_x0000_s1040" o:spid="_x0000_s1040" o:spt="1" style="position:absolute;left:0pt;margin-left:116.55pt;margin-top:-546.5pt;height:44.4pt;width:73pt;rotation:-487687f;z-index:251672576;mso-width-relative:page;mso-height-relative:page;" filled="f" stroked="t" coordsize="21600,21600" o:gfxdata="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Lkkm3AAAAA8BAAAP&#10;AAAAAAAAAAEAIAAAACIAAABkcnMvZG93bnJldi54bWxQSwECFAAUAAAACACHTuJAO4euhxQCAAAh&#10;BAAADgAAAAAAAAABACAAAAArAQAAZHJzL2Uyb0RvYy54bWxQSwUGAAAAAAYABgBZAQAAsQUAAAAA&#10;">
            <v:path/>
            <v:fill on="f" focussize="0,0"/>
            <v:stroke color="#FF0000"/>
            <v:imagedata o:title=""/>
            <o:lock v:ext="edit"/>
          </v:rect>
        </w:pict>
      </w:r>
      <w:r>
        <w:rPr>
          <w:color w:val="auto"/>
        </w:rPr>
        <w:pict>
          <v:shape id="_x0000_s1039" o:spid="_x0000_s1039" o:spt="202" type="#_x0000_t202" style="position:absolute;left:0pt;margin-left:242.7pt;margin-top:-518.8pt;height:63.75pt;width:91.65pt;z-index:251671552;mso-width-relative:page;mso-height-relative:page;" filled="f" stroked="f" coordsize="21600,21600" o:gfxdata="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B+Pi2wAAAA4BAAAPAAAAAAAAAAEAIAAAACIAAABkcnMvZG93bnJldi54&#10;bWxQSwECFAAUAAAACACHTuJALeP6fL4BAABtAwAADgAAAAAAAAABACAAAAAqAQAAZHJzL2Uyb0Rv&#10;Yy54bWxQSwUGAAAAAAYABgBZAQAAWgUAAAAA&#10;">
            <v:path/>
            <v:fill on="f" focussize="0,0"/>
            <v:stroke on="f" joinstyle="miter"/>
            <v:imagedata o:title=""/>
            <o:lock v:ext="edit"/>
            <v:textbox>
              <w:txbxContent>
                <w:p w14:paraId="4192B965">
                  <w:pPr>
                    <w:rPr>
                      <w:color w:val="FF0000"/>
                    </w:rPr>
                  </w:pPr>
                  <w:r>
                    <w:rPr>
                      <w:rFonts w:hint="eastAsia"/>
                      <w:color w:val="FF0000"/>
                    </w:rPr>
                    <w:t>本项</w:t>
                  </w:r>
                </w:p>
                <w:p w14:paraId="1FDC2131">
                  <w:pPr>
                    <w:rPr>
                      <w:color w:val="FF0000"/>
                    </w:rPr>
                  </w:pPr>
                  <w:r>
                    <w:rPr>
                      <w:rFonts w:hint="eastAsia"/>
                      <w:color w:val="FF0000"/>
                    </w:rPr>
                    <w:t>目租</w:t>
                  </w:r>
                </w:p>
                <w:p w14:paraId="21E7FC4C">
                  <w:pPr>
                    <w:rPr>
                      <w:color w:val="FF0000"/>
                    </w:rPr>
                  </w:pPr>
                  <w:r>
                    <w:rPr>
                      <w:rFonts w:hint="eastAsia"/>
                      <w:color w:val="FF0000"/>
                    </w:rPr>
                    <w:t>赁区</w:t>
                  </w:r>
                </w:p>
                <w:p w14:paraId="1EA39621">
                  <w:pPr>
                    <w:rPr>
                      <w:color w:val="FF0000"/>
                    </w:rPr>
                  </w:pPr>
                  <w:r>
                    <w:rPr>
                      <w:rFonts w:hint="eastAsia"/>
                      <w:color w:val="FF0000"/>
                    </w:rPr>
                    <w:t>域</w:t>
                  </w:r>
                </w:p>
              </w:txbxContent>
            </v:textbox>
          </v:shape>
        </w:pict>
      </w:r>
      <w:r>
        <w:rPr>
          <w:rFonts w:hint="eastAsia"/>
          <w:color w:val="auto"/>
        </w:rPr>
        <w:t xml:space="preserve">附件4 </w:t>
      </w:r>
      <w:r>
        <w:rPr>
          <w:color w:val="auto"/>
        </w:rPr>
        <w:pict>
          <v:shape id="_x0000_s1038" o:spid="_x0000_s1038" o:spt="202" type="#_x0000_t202" style="position:absolute;left:0pt;margin-left:126.75pt;margin-top:-540.1pt;height:39.35pt;width:58.55pt;z-index:251670528;mso-width-relative:page;mso-height-relative:page;" filled="f" stroked="f" coordsize="21600,21600" o:gfxdata="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QBKaf2gAAAA8BAAAPAAAAAAAAAAEAIAAAACIAAABkcnMvZG93bnJldi54&#10;bWxQSwECFAAUAAAACACHTuJAltDPmr8BAABsAwAADgAAAAAAAAABACAAAAApAQAAZHJzL2Uyb0Rv&#10;Yy54bWxQSwUGAAAAAAYABgBZAQAAWgUAAAAA&#10;">
            <v:path/>
            <v:fill on="f" focussize="0,0"/>
            <v:stroke on="f" joinstyle="miter"/>
            <v:imagedata o:title=""/>
            <o:lock v:ext="edit"/>
            <v:textbox>
              <w:txbxContent>
                <w:p w14:paraId="77C7BC55">
                  <w:pPr>
                    <w:rPr>
                      <w:color w:val="FF0000"/>
                    </w:rPr>
                  </w:pPr>
                  <w:r>
                    <w:rPr>
                      <w:rFonts w:hint="eastAsia"/>
                      <w:color w:val="FF0000"/>
                    </w:rPr>
                    <w:t>本项目租赁区域</w:t>
                  </w:r>
                </w:p>
              </w:txbxContent>
            </v:textbox>
          </v:shape>
        </w:pict>
      </w:r>
      <w:r>
        <w:rPr>
          <w:color w:val="auto"/>
        </w:rPr>
        <w:pict>
          <v:rect id="_x0000_s1037" o:spid="_x0000_s1037" o:spt="1" style="position:absolute;left:0pt;margin-left:116.55pt;margin-top:-546.5pt;height:44.4pt;width:73pt;rotation:-487687f;z-index:251669504;mso-width-relative:page;mso-height-relative:page;" filled="f" stroked="t" coordsize="21600,21600" o:gfxdata="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Lkkm3AAAAA8BAAAP&#10;AAAAAAAAAAEAIAAAACIAAABkcnMvZG93bnJldi54bWxQSwECFAAUAAAACACHTuJA5n1eAhQCAAAh&#10;BAAADgAAAAAAAAABACAAAAArAQAAZHJzL2Uyb0RvYy54bWxQSwUGAAAAAAYABgBZAQAAsQUAAAAA&#10;">
            <v:path/>
            <v:fill on="f" focussize="0,0"/>
            <v:stroke color="#FF0000"/>
            <v:imagedata o:title=""/>
            <o:lock v:ext="edit"/>
          </v:rect>
        </w:pict>
      </w:r>
      <w:r>
        <w:rPr>
          <w:color w:val="auto"/>
        </w:rPr>
        <w:pict>
          <v:shape id="_x0000_s1036" o:spid="_x0000_s1036" o:spt="202" type="#_x0000_t202" style="position:absolute;left:0pt;margin-left:242.7pt;margin-top:-518.8pt;height:63.75pt;width:91.65pt;z-index:251668480;mso-width-relative:page;mso-height-relative:page;" filled="f" stroked="f" coordsize="21600,21600" o:gfxdata="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5gfj4tsAAAAOAQAADwAAAAAAAAABACAAAAAiAAAAZHJzL2Rvd25yZXYu&#10;eG1sUEsBAhQAFAAAAAgAh07iQHvKkJ6/AQAAbQMAAA4AAAAAAAAAAQAgAAAAKgEAAGRycy9lMm9E&#10;b2MueG1sUEsFBgAAAAAGAAYAWQEAAFsFAAAAAA==&#10;">
            <v:path/>
            <v:fill on="f" focussize="0,0"/>
            <v:stroke on="f" joinstyle="miter"/>
            <v:imagedata o:title=""/>
            <o:lock v:ext="edit"/>
            <v:textbox>
              <w:txbxContent>
                <w:p w14:paraId="5C7410DE">
                  <w:pPr>
                    <w:rPr>
                      <w:color w:val="FF0000"/>
                    </w:rPr>
                  </w:pPr>
                  <w:r>
                    <w:rPr>
                      <w:rFonts w:hint="eastAsia"/>
                      <w:color w:val="FF0000"/>
                    </w:rPr>
                    <w:t>本项</w:t>
                  </w:r>
                </w:p>
                <w:p w14:paraId="6F21088E">
                  <w:pPr>
                    <w:rPr>
                      <w:color w:val="FF0000"/>
                    </w:rPr>
                  </w:pPr>
                  <w:r>
                    <w:rPr>
                      <w:rFonts w:hint="eastAsia"/>
                      <w:color w:val="FF0000"/>
                    </w:rPr>
                    <w:t>目租</w:t>
                  </w:r>
                </w:p>
                <w:p w14:paraId="43FF250D">
                  <w:pPr>
                    <w:rPr>
                      <w:color w:val="FF0000"/>
                    </w:rPr>
                  </w:pPr>
                  <w:r>
                    <w:rPr>
                      <w:rFonts w:hint="eastAsia"/>
                      <w:color w:val="FF0000"/>
                    </w:rPr>
                    <w:t>赁区</w:t>
                  </w:r>
                </w:p>
                <w:p w14:paraId="30127BFD">
                  <w:pPr>
                    <w:rPr>
                      <w:color w:val="FF0000"/>
                    </w:rPr>
                  </w:pPr>
                  <w:r>
                    <w:rPr>
                      <w:rFonts w:hint="eastAsia"/>
                      <w:color w:val="FF0000"/>
                    </w:rPr>
                    <w:t>域</w:t>
                  </w:r>
                </w:p>
              </w:txbxContent>
            </v:textbox>
          </v:shape>
        </w:pict>
      </w:r>
      <w:r>
        <w:rPr>
          <w:rFonts w:hint="eastAsia"/>
          <w:color w:val="auto"/>
        </w:rPr>
        <w:t>项目备案表（涉及商业秘密及隐私、予以删除）</w:t>
      </w:r>
    </w:p>
    <w:p w14:paraId="343C04AF">
      <w:pPr>
        <w:rPr>
          <w:color w:val="FF0000"/>
        </w:rPr>
        <w:sectPr>
          <w:pgSz w:w="16838" w:h="11906" w:orient="landscape"/>
          <w:pgMar w:top="1800" w:right="1440" w:bottom="1486" w:left="1440" w:header="851" w:footer="992" w:gutter="0"/>
          <w:cols w:space="720" w:num="1"/>
          <w:docGrid w:type="lines" w:linePitch="312" w:charSpace="0"/>
        </w:sectPr>
      </w:pPr>
    </w:p>
    <w:p w14:paraId="3284D692">
      <w:pPr>
        <w:pStyle w:val="2"/>
        <w:jc w:val="left"/>
        <w:rPr>
          <w:color w:val="auto"/>
        </w:rPr>
      </w:pPr>
      <w:r>
        <w:rPr>
          <w:rFonts w:hint="eastAsia"/>
          <w:color w:val="auto"/>
        </w:rPr>
        <w:t>附件5 国有建设用地使用权出让合同（涉及商业秘密及隐私、予以删除）</w:t>
      </w:r>
    </w:p>
    <w:p w14:paraId="7DF0F7E9">
      <w:pPr>
        <w:sectPr>
          <w:pgSz w:w="11906" w:h="16838"/>
          <w:pgMar w:top="1440" w:right="1486" w:bottom="1440" w:left="1600" w:header="851" w:footer="992" w:gutter="0"/>
          <w:cols w:space="720" w:num="1"/>
          <w:docGrid w:type="lines" w:linePitch="312" w:charSpace="0"/>
        </w:sectPr>
      </w:pPr>
    </w:p>
    <w:p w14:paraId="767EF935">
      <w:pPr>
        <w:pStyle w:val="2"/>
        <w:ind w:left="0" w:firstLine="0"/>
        <w:rPr>
          <w:color w:val="auto"/>
        </w:rPr>
      </w:pPr>
      <w:r>
        <w:rPr>
          <w:rFonts w:hint="eastAsia"/>
          <w:color w:val="auto"/>
        </w:rPr>
        <w:t>附件6 不动产权证（涉及商业秘密及隐私、予以删除）</w:t>
      </w:r>
    </w:p>
    <w:p w14:paraId="58D50B73">
      <w:pPr>
        <w:jc w:val="left"/>
        <w:rPr>
          <w:color w:val="FF0000"/>
        </w:rPr>
        <w:sectPr>
          <w:pgSz w:w="16838" w:h="11906" w:orient="landscape"/>
          <w:pgMar w:top="1600" w:right="1440" w:bottom="1486" w:left="1440" w:header="851" w:footer="992" w:gutter="0"/>
          <w:cols w:space="720" w:num="1"/>
          <w:docGrid w:type="lines" w:linePitch="312" w:charSpace="0"/>
        </w:sectPr>
      </w:pPr>
    </w:p>
    <w:p w14:paraId="6CABF827">
      <w:pPr>
        <w:jc w:val="left"/>
        <w:outlineLvl w:val="0"/>
        <w:sectPr>
          <w:pgSz w:w="11906" w:h="16838"/>
          <w:pgMar w:top="1440" w:right="1486" w:bottom="1440" w:left="1600" w:header="851" w:footer="992" w:gutter="0"/>
          <w:cols w:space="720" w:num="1"/>
          <w:docGrid w:type="lines" w:linePitch="312" w:charSpace="0"/>
        </w:sectPr>
      </w:pPr>
      <w:r>
        <w:rPr>
          <w:rFonts w:hint="eastAsia" w:eastAsia="黑体"/>
          <w:b/>
          <w:bCs/>
          <w:kern w:val="44"/>
          <w:sz w:val="30"/>
          <w:szCs w:val="30"/>
        </w:rPr>
        <w:t>附件7 福清市建设项目规划条件函（涉及商业秘密及隐私、予以删除）</w:t>
      </w:r>
    </w:p>
    <w:p w14:paraId="4D702238">
      <w:pPr>
        <w:pStyle w:val="2"/>
        <w:jc w:val="left"/>
        <w:rPr>
          <w:color w:val="FF0000"/>
        </w:rPr>
      </w:pPr>
      <w:r>
        <w:rPr>
          <w:color w:val="auto"/>
        </w:rPr>
        <w:pict>
          <v:shape id="_x0000_s1035" o:spid="_x0000_s1035" o:spt="202" type="#_x0000_t202" style="position:absolute;left:0pt;margin-left:126.75pt;margin-top:-540.1pt;height:39.35pt;width:58.55pt;z-index:251667456;mso-width-relative:page;mso-height-relative:page;" filled="f" stroked="f" coordsize="21600,21600" o:gfxdata="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QBKaf2gAAAA8BAAAPAAAAAAAAAAEAIAAAACIAAABkcnMvZG93bnJldi54&#10;bWxQSwECFAAUAAAACACHTuJATsQ3ar8BAABtAwAADgAAAAAAAAABACAAAAApAQAAZHJzL2Uyb0Rv&#10;Yy54bWxQSwUGAAAAAAYABgBZAQAAWgUAAAAA&#10;">
            <v:path/>
            <v:fill on="f" focussize="0,0"/>
            <v:stroke on="f" joinstyle="miter"/>
            <v:imagedata o:title=""/>
            <o:lock v:ext="edit"/>
            <v:textbox>
              <w:txbxContent>
                <w:p w14:paraId="4CEC722A">
                  <w:pPr>
                    <w:rPr>
                      <w:color w:val="FF0000"/>
                    </w:rPr>
                  </w:pPr>
                  <w:r>
                    <w:rPr>
                      <w:rFonts w:hint="eastAsia"/>
                      <w:color w:val="FF0000"/>
                    </w:rPr>
                    <w:t>本项目租赁区域</w:t>
                  </w:r>
                </w:p>
              </w:txbxContent>
            </v:textbox>
          </v:shape>
        </w:pict>
      </w:r>
      <w:r>
        <w:rPr>
          <w:color w:val="auto"/>
        </w:rPr>
        <w:pict>
          <v:rect id="_x0000_s1034" o:spid="_x0000_s1034" o:spt="1" style="position:absolute;left:0pt;margin-left:116.55pt;margin-top:-546.5pt;height:44.4pt;width:73pt;rotation:-487687f;z-index:251666432;mso-width-relative:page;mso-height-relative:page;" filled="f" stroked="t" coordsize="21600,21600" o:gfxdata="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Lkkm3AAAAA8BAAAP&#10;AAAAAAAAAAEAIAAAACIAAABkcnMvZG93bnJldi54bWxQSwECFAAUAAAACACHTuJA6r+4+BQCAAAi&#10;BAAADgAAAAAAAAABACAAAAArAQAAZHJzL2Uyb0RvYy54bWxQSwUGAAAAAAYABgBZAQAAsQUAAAAA&#10;">
            <v:path/>
            <v:fill on="f" focussize="0,0"/>
            <v:stroke color="#FF0000"/>
            <v:imagedata o:title=""/>
            <o:lock v:ext="edit"/>
          </v:rect>
        </w:pict>
      </w:r>
      <w:r>
        <w:rPr>
          <w:color w:val="auto"/>
        </w:rPr>
        <w:pict>
          <v:shape id="_x0000_s1033" o:spid="_x0000_s1033" o:spt="202" type="#_x0000_t202" style="position:absolute;left:0pt;margin-left:242.7pt;margin-top:-518.8pt;height:63.75pt;width:91.65pt;z-index:251665408;mso-width-relative:page;mso-height-relative:page;" filled="f" stroked="f" coordsize="21600,21600" o:gfxdata="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B+Pi2wAAAA4BAAAPAAAAAAAAAAEAIAAAACIAAABkcnMvZG93bnJldi54&#10;bWxQSwECFAAUAAAACACHTuJAybEIBL4BAABuAwAADgAAAAAAAAABACAAAAAqAQAAZHJzL2Uyb0Rv&#10;Yy54bWxQSwUGAAAAAAYABgBZAQAAWgUAAAAA&#10;">
            <v:path/>
            <v:fill on="f" focussize="0,0"/>
            <v:stroke on="f" joinstyle="miter"/>
            <v:imagedata o:title=""/>
            <o:lock v:ext="edit"/>
            <v:textbox>
              <w:txbxContent>
                <w:p w14:paraId="0A3718AB">
                  <w:pPr>
                    <w:rPr>
                      <w:color w:val="FF0000"/>
                    </w:rPr>
                  </w:pPr>
                  <w:r>
                    <w:rPr>
                      <w:rFonts w:hint="eastAsia"/>
                      <w:color w:val="FF0000"/>
                    </w:rPr>
                    <w:t>本项</w:t>
                  </w:r>
                </w:p>
                <w:p w14:paraId="783697D8">
                  <w:pPr>
                    <w:rPr>
                      <w:color w:val="FF0000"/>
                    </w:rPr>
                  </w:pPr>
                  <w:r>
                    <w:rPr>
                      <w:rFonts w:hint="eastAsia"/>
                      <w:color w:val="FF0000"/>
                    </w:rPr>
                    <w:t>目租</w:t>
                  </w:r>
                </w:p>
                <w:p w14:paraId="6539AE4F">
                  <w:pPr>
                    <w:rPr>
                      <w:color w:val="FF0000"/>
                    </w:rPr>
                  </w:pPr>
                  <w:r>
                    <w:rPr>
                      <w:rFonts w:hint="eastAsia"/>
                      <w:color w:val="FF0000"/>
                    </w:rPr>
                    <w:t>赁区</w:t>
                  </w:r>
                </w:p>
                <w:p w14:paraId="66471B26">
                  <w:pPr>
                    <w:rPr>
                      <w:color w:val="FF0000"/>
                    </w:rPr>
                  </w:pPr>
                  <w:r>
                    <w:rPr>
                      <w:rFonts w:hint="eastAsia"/>
                      <w:color w:val="FF0000"/>
                    </w:rPr>
                    <w:t>域</w:t>
                  </w:r>
                </w:p>
              </w:txbxContent>
            </v:textbox>
          </v:shape>
        </w:pict>
      </w:r>
      <w:r>
        <w:rPr>
          <w:rFonts w:hint="eastAsia"/>
          <w:color w:val="auto"/>
        </w:rPr>
        <w:t xml:space="preserve">附件8 </w:t>
      </w:r>
      <w:r>
        <w:rPr>
          <w:color w:val="auto"/>
        </w:rPr>
        <w:pict>
          <v:shape id="_x0000_s1032" o:spid="_x0000_s1032" o:spt="202" type="#_x0000_t202" style="position:absolute;left:0pt;margin-left:126.75pt;margin-top:-540.1pt;height:39.35pt;width:58.55pt;z-index:251664384;mso-width-relative:page;mso-height-relative:page;" filled="f" stroked="f" coordsize="21600,21600" o:gfxdata="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AEpp/aAAAADwEAAA8AAAAAAAAAAQAgAAAAIgAAAGRycy9kb3ducmV2Lnht&#10;bFBLAQIUABQAAAAIAIdO4kBa58pkvgEAAG0DAAAOAAAAAAAAAAEAIAAAACkBAABkcnMvZTJvRG9j&#10;LnhtbFBLBQYAAAAABgAGAFkBAABZBQAAAAA=&#10;">
            <v:path/>
            <v:fill on="f" focussize="0,0"/>
            <v:stroke on="f" joinstyle="miter"/>
            <v:imagedata o:title=""/>
            <o:lock v:ext="edit"/>
            <v:textbox>
              <w:txbxContent>
                <w:p w14:paraId="1F627F94">
                  <w:pPr>
                    <w:rPr>
                      <w:color w:val="FF0000"/>
                    </w:rPr>
                  </w:pPr>
                  <w:r>
                    <w:rPr>
                      <w:rFonts w:hint="eastAsia"/>
                      <w:color w:val="FF0000"/>
                    </w:rPr>
                    <w:t>本项目租赁区域</w:t>
                  </w:r>
                </w:p>
              </w:txbxContent>
            </v:textbox>
          </v:shape>
        </w:pict>
      </w:r>
      <w:r>
        <w:rPr>
          <w:color w:val="auto"/>
        </w:rPr>
        <w:pict>
          <v:rect id="_x0000_s1031" o:spid="_x0000_s1031" o:spt="1" style="position:absolute;left:0pt;margin-left:116.55pt;margin-top:-546.5pt;height:44.4pt;width:73pt;rotation:-487687f;z-index:251663360;mso-width-relative:page;mso-height-relative:page;" filled="f" stroked="t" coordsize="21600,21600" o:gfxdata="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Lkkm3AAAAA8BAAAP&#10;AAAAAAAAAAEAIAAAACIAAABkcnMvZG93bnJldi54bWxQSwECFAAUAAAACACHTuJApTc4VRQCAAAi&#10;BAAADgAAAAAAAAABACAAAAArAQAAZHJzL2Uyb0RvYy54bWxQSwUGAAAAAAYABgBZAQAAsQUAAAAA&#10;">
            <v:path/>
            <v:fill on="f" focussize="0,0"/>
            <v:stroke color="#FF0000"/>
            <v:imagedata o:title=""/>
            <o:lock v:ext="edit"/>
          </v:rect>
        </w:pict>
      </w:r>
      <w:r>
        <w:rPr>
          <w:color w:val="auto"/>
        </w:rPr>
        <w:pict>
          <v:shape id="_x0000_s1030" o:spid="_x0000_s1030" o:spt="202" type="#_x0000_t202" style="position:absolute;left:0pt;margin-left:242.7pt;margin-top:-518.8pt;height:63.75pt;width:91.65pt;z-index:251662336;mso-width-relative:page;mso-height-relative:page;" filled="f" stroked="f" coordsize="21600,21600" o:gfxdata="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YH4+LbAAAADgEAAA8AAAAAAAAAAQAgAAAAIgAAAGRycy9kb3ducmV2Lnht&#10;bFBLAQIUABQAAAAIAIdO4kCJaGgWvQEAAG4DAAAOAAAAAAAAAAEAIAAAACoBAABkcnMvZTJvRG9j&#10;LnhtbFBLBQYAAAAABgAGAFkBAABZBQAAAAA=&#10;">
            <v:path/>
            <v:fill on="f" focussize="0,0"/>
            <v:stroke on="f" joinstyle="miter"/>
            <v:imagedata o:title=""/>
            <o:lock v:ext="edit"/>
            <v:textbox>
              <w:txbxContent>
                <w:p w14:paraId="5CB8F653">
                  <w:pPr>
                    <w:rPr>
                      <w:color w:val="FF0000"/>
                    </w:rPr>
                  </w:pPr>
                  <w:r>
                    <w:rPr>
                      <w:rFonts w:hint="eastAsia"/>
                      <w:color w:val="FF0000"/>
                    </w:rPr>
                    <w:t>本项</w:t>
                  </w:r>
                </w:p>
                <w:p w14:paraId="580C9607">
                  <w:pPr>
                    <w:rPr>
                      <w:color w:val="FF0000"/>
                    </w:rPr>
                  </w:pPr>
                  <w:r>
                    <w:rPr>
                      <w:rFonts w:hint="eastAsia"/>
                      <w:color w:val="FF0000"/>
                    </w:rPr>
                    <w:t>目租</w:t>
                  </w:r>
                </w:p>
                <w:p w14:paraId="6DEEC07E">
                  <w:pPr>
                    <w:rPr>
                      <w:color w:val="FF0000"/>
                    </w:rPr>
                  </w:pPr>
                  <w:r>
                    <w:rPr>
                      <w:rFonts w:hint="eastAsia"/>
                      <w:color w:val="FF0000"/>
                    </w:rPr>
                    <w:t>赁区</w:t>
                  </w:r>
                </w:p>
                <w:p w14:paraId="0939ECF3">
                  <w:pPr>
                    <w:rPr>
                      <w:color w:val="FF0000"/>
                    </w:rPr>
                  </w:pPr>
                  <w:r>
                    <w:rPr>
                      <w:rFonts w:hint="eastAsia"/>
                      <w:color w:val="FF0000"/>
                    </w:rPr>
                    <w:t>域</w:t>
                  </w:r>
                </w:p>
              </w:txbxContent>
            </v:textbox>
          </v:shape>
        </w:pict>
      </w:r>
      <w:r>
        <w:rPr>
          <w:rFonts w:hint="eastAsia"/>
          <w:color w:val="auto"/>
        </w:rPr>
        <w:t>建设工程施工许可证（涉及商业秘密及隐私、予以删除）</w:t>
      </w:r>
    </w:p>
    <w:p w14:paraId="6A31F207">
      <w:pPr>
        <w:sectPr>
          <w:pgSz w:w="16838" w:h="11906" w:orient="landscape"/>
          <w:pgMar w:top="1800" w:right="1440" w:bottom="1486" w:left="1440" w:header="851" w:footer="992" w:gutter="0"/>
          <w:cols w:space="720" w:num="1"/>
          <w:docGrid w:type="lines" w:linePitch="312" w:charSpace="0"/>
        </w:sectPr>
      </w:pPr>
    </w:p>
    <w:p w14:paraId="77D6821F">
      <w:pPr>
        <w:pStyle w:val="2"/>
        <w:ind w:left="0" w:firstLine="0"/>
        <w:jc w:val="left"/>
        <w:rPr>
          <w:color w:val="auto"/>
        </w:rPr>
      </w:pPr>
      <w:r>
        <w:rPr>
          <w:color w:val="auto"/>
        </w:rPr>
        <w:pict>
          <v:shape id="文本框 527" o:spid="_x0000_s1029" o:spt="202" type="#_x0000_t202" style="position:absolute;left:0pt;margin-left:126.75pt;margin-top:-540.1pt;height:39.35pt;width:58.55pt;z-index:251661312;mso-width-relative:page;mso-height-relative:page;" filled="f" stroked="f" coordsize="21600,21600" o:gfxdata="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ASmn9oAAAAPAQAADwAAAAAAAAABACAAAAAiAAAAZHJzL2Rvd25yZXYueG1s&#10;UEsBAhQAFAAAAAgAh07iQMWNu6S9AQAAawMAAA4AAAAAAAAAAQAgAAAAKQEAAGRycy9lMm9Eb2Mu&#10;eG1sUEsFBgAAAAAGAAYAWQEAAFgFAAAAAA==&#10;">
            <v:path/>
            <v:fill on="f" focussize="0,0"/>
            <v:stroke on="f" joinstyle="miter"/>
            <v:imagedata o:title=""/>
            <o:lock v:ext="edit"/>
            <v:textbox>
              <w:txbxContent>
                <w:p w14:paraId="61966E95">
                  <w:pPr>
                    <w:rPr>
                      <w:color w:val="FF0000"/>
                    </w:rPr>
                  </w:pPr>
                  <w:r>
                    <w:rPr>
                      <w:rFonts w:hint="eastAsia"/>
                      <w:color w:val="FF0000"/>
                    </w:rPr>
                    <w:t>本项目租赁区域</w:t>
                  </w:r>
                </w:p>
              </w:txbxContent>
            </v:textbox>
          </v:shape>
        </w:pict>
      </w:r>
      <w:r>
        <w:rPr>
          <w:color w:val="auto"/>
        </w:rPr>
        <w:pict>
          <v:rect id="矩形 526" o:spid="_x0000_s1028" o:spt="1" style="position:absolute;left:0pt;margin-left:116.55pt;margin-top:-546.5pt;height:44.4pt;width:73pt;rotation:-487687f;z-index:251660288;mso-width-relative:page;mso-height-relative:page;" filled="f" stroked="t" coordsize="21600,21600" o:gfxdata="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Lkkm3AAAAA8BAAAP&#10;AAAAAAAAAAEAIAAAACIAAABkcnMvZG93bnJldi54bWxQSwECFAAUAAAACACHTuJAlYnrXxQCAAAh&#10;BAAADgAAAAAAAAABACAAAAArAQAAZHJzL2Uyb0RvYy54bWxQSwUGAAAAAAYABgBZAQAAsQUAAAAA&#10;">
            <v:path/>
            <v:fill on="f" focussize="0,0"/>
            <v:stroke color="#FF0000"/>
            <v:imagedata o:title=""/>
            <o:lock v:ext="edit"/>
          </v:rect>
        </w:pict>
      </w:r>
      <w:r>
        <w:rPr>
          <w:color w:val="auto"/>
        </w:rPr>
        <w:pict>
          <v:shape id="文本框 508" o:spid="_x0000_s1027" o:spt="202" type="#_x0000_t202" style="position:absolute;left:0pt;margin-left:242.7pt;margin-top:-518.8pt;height:63.75pt;width:91.65pt;z-index:251659264;mso-width-relative:page;mso-height-relative:page;" filled="f" stroked="f" coordsize="21600,21600" o:gfxdata="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B+Pi2wAAAA4BAAAPAAAAAAAAAAEAIAAAACIAAABkcnMvZG93bnJldi54&#10;bWxQSwECFAAUAAAACACHTuJAkq3pM74BAABtAwAADgAAAAAAAAABACAAAAAqAQAAZHJzL2Uyb0Rv&#10;Yy54bWxQSwUGAAAAAAYABgBZAQAAWgUAAAAA&#10;">
            <v:path/>
            <v:fill on="f" focussize="0,0"/>
            <v:stroke on="f" joinstyle="miter"/>
            <v:imagedata o:title=""/>
            <o:lock v:ext="edit"/>
            <v:textbox>
              <w:txbxContent>
                <w:p w14:paraId="7983E7CB">
                  <w:pPr>
                    <w:rPr>
                      <w:color w:val="FF0000"/>
                    </w:rPr>
                  </w:pPr>
                  <w:r>
                    <w:rPr>
                      <w:rFonts w:hint="eastAsia"/>
                      <w:color w:val="FF0000"/>
                    </w:rPr>
                    <w:t>本项</w:t>
                  </w:r>
                </w:p>
                <w:p w14:paraId="2AFEB52A">
                  <w:pPr>
                    <w:rPr>
                      <w:color w:val="FF0000"/>
                    </w:rPr>
                  </w:pPr>
                  <w:r>
                    <w:rPr>
                      <w:rFonts w:hint="eastAsia"/>
                      <w:color w:val="FF0000"/>
                    </w:rPr>
                    <w:t>目租</w:t>
                  </w:r>
                </w:p>
                <w:p w14:paraId="5F793DF0">
                  <w:pPr>
                    <w:rPr>
                      <w:color w:val="FF0000"/>
                    </w:rPr>
                  </w:pPr>
                  <w:r>
                    <w:rPr>
                      <w:rFonts w:hint="eastAsia"/>
                      <w:color w:val="FF0000"/>
                    </w:rPr>
                    <w:t>赁区</w:t>
                  </w:r>
                </w:p>
                <w:p w14:paraId="02BBCA36">
                  <w:pPr>
                    <w:rPr>
                      <w:color w:val="FF0000"/>
                    </w:rPr>
                  </w:pPr>
                  <w:r>
                    <w:rPr>
                      <w:rFonts w:hint="eastAsia"/>
                      <w:color w:val="FF0000"/>
                    </w:rPr>
                    <w:t>域</w:t>
                  </w:r>
                </w:p>
              </w:txbxContent>
            </v:textbox>
          </v:shape>
        </w:pict>
      </w:r>
      <w:r>
        <w:rPr>
          <w:rFonts w:hint="eastAsia"/>
          <w:color w:val="auto"/>
        </w:rPr>
        <w:t>附件9 搬迁前项目环评批复（福清市融大水泥制品有限公司年产钢筋混凝土排水管1万立方项目环境影响报告表的批复意见）（涉及商业秘密及隐私、予以删除）</w:t>
      </w:r>
    </w:p>
    <w:p w14:paraId="6BD91DFA">
      <w:pPr>
        <w:sectPr>
          <w:pgSz w:w="11906" w:h="16838"/>
          <w:pgMar w:top="1440" w:right="1486" w:bottom="1440" w:left="1800" w:header="851" w:footer="992" w:gutter="0"/>
          <w:cols w:space="720" w:num="1"/>
          <w:docGrid w:type="lines" w:linePitch="312" w:charSpace="0"/>
        </w:sectPr>
      </w:pPr>
    </w:p>
    <w:p w14:paraId="7D88A3B4">
      <w:pPr>
        <w:pStyle w:val="2"/>
        <w:ind w:left="0" w:firstLine="0"/>
        <w:jc w:val="left"/>
        <w:rPr>
          <w:color w:val="auto"/>
        </w:rPr>
        <w:sectPr>
          <w:pgSz w:w="11906" w:h="16838"/>
          <w:pgMar w:top="1440" w:right="1486" w:bottom="1440" w:left="1800" w:header="851" w:footer="992" w:gutter="0"/>
          <w:cols w:space="720" w:num="1"/>
          <w:docGrid w:type="lines" w:linePitch="312" w:charSpace="0"/>
        </w:sectPr>
      </w:pPr>
      <w:r>
        <w:rPr>
          <w:rFonts w:hint="eastAsia"/>
          <w:color w:val="auto"/>
        </w:rPr>
        <w:t>附件10 搬迁前项目验收意见（福清市融大水泥制品有限公司年产钢筋混凝土排水管1万立方项目竣工环境保护验收意见）（涉及商业秘密及隐私、予以删除）</w:t>
      </w:r>
    </w:p>
    <w:p w14:paraId="7FB132F1">
      <w:pPr>
        <w:pStyle w:val="2"/>
        <w:ind w:left="0" w:firstLine="0"/>
        <w:rPr>
          <w:color w:val="auto"/>
        </w:rPr>
      </w:pPr>
      <w:r>
        <w:rPr>
          <w:rFonts w:hint="eastAsia"/>
          <w:color w:val="auto"/>
        </w:rPr>
        <w:t>附件11 福州市生态环境局关于印发《福州江阴港城经济区产业发展规划环境影响报告书》审查小组意见的通知（榕环评[2024]33号）（涉及商业秘密及隐私、予以删除）</w:t>
      </w:r>
    </w:p>
    <w:p w14:paraId="396622B9">
      <w:pPr>
        <w:pStyle w:val="27"/>
        <w:sectPr>
          <w:pgSz w:w="11906" w:h="16838"/>
          <w:pgMar w:top="1440" w:right="1486" w:bottom="1440" w:left="1800" w:header="851" w:footer="992" w:gutter="0"/>
          <w:cols w:space="720" w:num="1"/>
          <w:docGrid w:type="lines" w:linePitch="312" w:charSpace="0"/>
        </w:sectPr>
      </w:pPr>
    </w:p>
    <w:p w14:paraId="1E10E5F7">
      <w:pPr>
        <w:pStyle w:val="2"/>
        <w:rPr>
          <w:color w:val="auto"/>
        </w:rPr>
        <w:sectPr>
          <w:pgSz w:w="11906" w:h="16838"/>
          <w:pgMar w:top="1440" w:right="1800" w:bottom="1440" w:left="1800" w:header="851" w:footer="992" w:gutter="0"/>
          <w:cols w:space="720" w:num="1"/>
          <w:docGrid w:type="lines" w:linePitch="312" w:charSpace="0"/>
        </w:sectPr>
      </w:pPr>
      <w:r>
        <w:rPr>
          <w:rFonts w:hint="eastAsia"/>
          <w:color w:val="auto"/>
        </w:rPr>
        <w:t>附件12 关于公开建设项目环评文件等信息情况的说明（涉及商业秘密及隐私、予以删除）</w:t>
      </w:r>
    </w:p>
    <w:p w14:paraId="369BEC7D">
      <w:pPr>
        <w:pStyle w:val="2"/>
        <w:ind w:left="12" w:hanging="12"/>
        <w:jc w:val="left"/>
        <w:rPr>
          <w:color w:val="auto"/>
        </w:rPr>
      </w:pPr>
      <w:bookmarkStart w:id="61" w:name="_GoBack"/>
      <w:bookmarkEnd w:id="61"/>
      <w:r>
        <w:rPr>
          <w:rFonts w:hint="eastAsia"/>
          <w:color w:val="auto"/>
        </w:rPr>
        <w:t>附件13 关于环评文件公开文本删除的涉及国家机密、商业秘密等内容的删除依据和理由说明</w:t>
      </w:r>
    </w:p>
    <w:p w14:paraId="6D56AE92">
      <w:pPr>
        <w:pStyle w:val="2"/>
        <w:ind w:left="12" w:hanging="12"/>
        <w:jc w:val="left"/>
        <w:rPr>
          <w:color w:val="FF0000"/>
        </w:rPr>
      </w:pPr>
      <w:r>
        <w:rPr>
          <w:rFonts w:hint="eastAsia"/>
          <w:color w:val="FF0000"/>
        </w:rPr>
        <w:drawing>
          <wp:inline distT="0" distB="0" distL="114300" distR="114300">
            <wp:extent cx="5469255" cy="7758430"/>
            <wp:effectExtent l="0" t="0" r="17145" b="13970"/>
            <wp:docPr id="80" name="图片 80" descr="建设项目环境影响报告表(1)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建设项目环境影响报告表(1)_页面_7"/>
                    <pic:cNvPicPr>
                      <a:picLocks noChangeAspect="1"/>
                    </pic:cNvPicPr>
                  </pic:nvPicPr>
                  <pic:blipFill>
                    <a:blip r:embed="rId27" cstate="print"/>
                    <a:stretch>
                      <a:fillRect/>
                    </a:stretch>
                  </pic:blipFill>
                  <pic:spPr>
                    <a:xfrm>
                      <a:off x="0" y="0"/>
                      <a:ext cx="5469255" cy="7758430"/>
                    </a:xfrm>
                    <a:prstGeom prst="rect">
                      <a:avLst/>
                    </a:prstGeom>
                  </pic:spPr>
                </pic:pic>
              </a:graphicData>
            </a:graphic>
          </wp:inline>
        </w:drawing>
      </w:r>
      <w:r>
        <w:rPr>
          <w:rFonts w:hint="eastAsia"/>
          <w:color w:val="FF0000"/>
        </w:rPr>
        <w:drawing>
          <wp:inline distT="0" distB="0" distL="114300" distR="114300">
            <wp:extent cx="5469255" cy="7758430"/>
            <wp:effectExtent l="0" t="0" r="17145" b="13970"/>
            <wp:docPr id="83" name="图片 83" descr="建设项目环境影响报告表(1)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建设项目环境影响报告表(1)_页面_8"/>
                    <pic:cNvPicPr>
                      <a:picLocks noChangeAspect="1"/>
                    </pic:cNvPicPr>
                  </pic:nvPicPr>
                  <pic:blipFill>
                    <a:blip r:embed="rId28" cstate="print"/>
                    <a:stretch>
                      <a:fillRect/>
                    </a:stretch>
                  </pic:blipFill>
                  <pic:spPr>
                    <a:xfrm>
                      <a:off x="0" y="0"/>
                      <a:ext cx="5469255" cy="7758430"/>
                    </a:xfrm>
                    <a:prstGeom prst="rect">
                      <a:avLst/>
                    </a:prstGeom>
                  </pic:spPr>
                </pic:pic>
              </a:graphicData>
            </a:graphic>
          </wp:inline>
        </w:drawing>
      </w:r>
      <w:r>
        <w:drawing>
          <wp:inline distT="0" distB="0" distL="114300" distR="114300">
            <wp:extent cx="5274310" cy="6889115"/>
            <wp:effectExtent l="0" t="0" r="2540" b="698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9" cstate="print"/>
                    <a:stretch>
                      <a:fillRect/>
                    </a:stretch>
                  </pic:blipFill>
                  <pic:spPr>
                    <a:xfrm>
                      <a:off x="0" y="0"/>
                      <a:ext cx="5274310" cy="688911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等线">
    <w:altName w:val="微软雅黑"/>
    <w:panose1 w:val="02010600030101010101"/>
    <w:charset w:val="86"/>
    <w:family w:val="auto"/>
    <w:pitch w:val="default"/>
    <w:sig w:usb0="00000000" w:usb1="00000000" w:usb2="00000016" w:usb3="00000000" w:csb0="0004000F" w:csb1="00000000"/>
  </w:font>
  <w:font w:name="Plotter">
    <w:altName w:val="Lucida Console"/>
    <w:panose1 w:val="00000000000000000000"/>
    <w:charset w:val="00"/>
    <w:family w:val="roma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imesNewRoman">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_GBK">
    <w:altName w:val="微软雅黑"/>
    <w:panose1 w:val="00000000000000000000"/>
    <w:charset w:val="86"/>
    <w:family w:val="script"/>
    <w:pitch w:val="default"/>
    <w:sig w:usb0="00000000" w:usb1="00000000" w:usb2="00000000" w:usb3="00000000" w:csb0="00040000" w:csb1="00000000"/>
  </w:font>
  <w:font w:name="Arial Unicode MS">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E294B">
    <w:pPr>
      <w:pStyle w:val="25"/>
      <w:framePr w:wrap="around" w:vAnchor="text" w:hAnchor="margin" w:xAlign="outside" w:y="1"/>
      <w:jc w:val="center"/>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Fonts w:ascii="宋体" w:hAnsi="宋体"/>
        <w:sz w:val="26"/>
        <w:szCs w:val="26"/>
      </w:rPr>
      <w:fldChar w:fldCharType="begin"/>
    </w:r>
    <w:r>
      <w:rPr>
        <w:rStyle w:val="38"/>
        <w:rFonts w:ascii="宋体" w:hAnsi="宋体"/>
        <w:sz w:val="26"/>
        <w:szCs w:val="26"/>
      </w:rPr>
      <w:instrText xml:space="preserve">PAGE  </w:instrText>
    </w:r>
    <w:r>
      <w:rPr>
        <w:rFonts w:ascii="宋体" w:hAnsi="宋体"/>
        <w:sz w:val="26"/>
        <w:szCs w:val="26"/>
      </w:rPr>
      <w:fldChar w:fldCharType="separate"/>
    </w:r>
    <w:r>
      <w:rPr>
        <w:rStyle w:val="38"/>
        <w:rFonts w:ascii="宋体" w:hAnsi="宋体"/>
        <w:sz w:val="26"/>
        <w:szCs w:val="26"/>
      </w:rPr>
      <w:t>3</w:t>
    </w:r>
    <w:r>
      <w:rPr>
        <w:rFonts w:ascii="宋体" w:hAnsi="宋体"/>
        <w:sz w:val="26"/>
        <w:szCs w:val="26"/>
      </w:rPr>
      <w:fldChar w:fldCharType="end"/>
    </w:r>
    <w:r>
      <w:rPr>
        <w:rStyle w:val="38"/>
        <w:rFonts w:hint="eastAsia" w:ascii="宋体" w:hAnsi="宋体"/>
        <w:sz w:val="20"/>
      </w:rPr>
      <w:t xml:space="preserve">  </w:t>
    </w:r>
    <w:r>
      <w:rPr>
        <w:rStyle w:val="38"/>
        <w:rFonts w:hint="eastAsia" w:ascii="宋体" w:hAnsi="宋体"/>
        <w:sz w:val="28"/>
        <w:szCs w:val="28"/>
      </w:rPr>
      <w:t>—</w:t>
    </w:r>
  </w:p>
  <w:p w14:paraId="56168CC1">
    <w:pPr>
      <w:pStyle w:val="2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D3FF">
    <w:pPr>
      <w:pStyle w:val="25"/>
      <w:framePr w:wrap="around" w:vAnchor="text" w:hAnchor="margin" w:xAlign="outside" w:y="1"/>
      <w:jc w:val="center"/>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Fonts w:ascii="宋体" w:hAnsi="宋体"/>
        <w:sz w:val="26"/>
        <w:szCs w:val="26"/>
      </w:rPr>
      <w:fldChar w:fldCharType="begin"/>
    </w:r>
    <w:r>
      <w:rPr>
        <w:rStyle w:val="38"/>
        <w:rFonts w:ascii="宋体" w:hAnsi="宋体"/>
        <w:sz w:val="26"/>
        <w:szCs w:val="26"/>
      </w:rPr>
      <w:instrText xml:space="preserve">PAGE  </w:instrText>
    </w:r>
    <w:r>
      <w:rPr>
        <w:rFonts w:ascii="宋体" w:hAnsi="宋体"/>
        <w:sz w:val="26"/>
        <w:szCs w:val="26"/>
      </w:rPr>
      <w:fldChar w:fldCharType="separate"/>
    </w:r>
    <w:r>
      <w:rPr>
        <w:rStyle w:val="38"/>
        <w:rFonts w:ascii="宋体" w:hAnsi="宋体"/>
        <w:sz w:val="26"/>
        <w:szCs w:val="26"/>
      </w:rPr>
      <w:t>54</w:t>
    </w:r>
    <w:r>
      <w:rPr>
        <w:rFonts w:ascii="宋体" w:hAnsi="宋体"/>
        <w:sz w:val="26"/>
        <w:szCs w:val="26"/>
      </w:rPr>
      <w:fldChar w:fldCharType="end"/>
    </w:r>
    <w:r>
      <w:rPr>
        <w:rStyle w:val="38"/>
        <w:rFonts w:hint="eastAsia" w:ascii="宋体" w:hAnsi="宋体"/>
        <w:sz w:val="20"/>
      </w:rPr>
      <w:t xml:space="preserve">  </w:t>
    </w:r>
    <w:r>
      <w:rPr>
        <w:rStyle w:val="38"/>
        <w:rFonts w:hint="eastAsia" w:ascii="宋体" w:hAnsi="宋体"/>
        <w:sz w:val="28"/>
        <w:szCs w:val="28"/>
      </w:rPr>
      <w:t>—</w:t>
    </w:r>
  </w:p>
  <w:p w14:paraId="7C2F5CFA">
    <w:pPr>
      <w:pStyle w:val="2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DF722">
    <w:pPr>
      <w:pStyle w:val="25"/>
      <w:framePr w:wrap="around" w:vAnchor="text" w:hAnchor="margin" w:xAlign="center" w:y="1"/>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Fonts w:ascii="宋体" w:hAnsi="宋体"/>
        <w:sz w:val="26"/>
        <w:szCs w:val="26"/>
      </w:rPr>
      <w:fldChar w:fldCharType="begin"/>
    </w:r>
    <w:r>
      <w:rPr>
        <w:rStyle w:val="38"/>
        <w:rFonts w:ascii="宋体" w:hAnsi="宋体"/>
        <w:sz w:val="26"/>
        <w:szCs w:val="26"/>
      </w:rPr>
      <w:instrText xml:space="preserve">PAGE  </w:instrText>
    </w:r>
    <w:r>
      <w:rPr>
        <w:rFonts w:ascii="宋体" w:hAnsi="宋体"/>
        <w:sz w:val="26"/>
        <w:szCs w:val="26"/>
      </w:rPr>
      <w:fldChar w:fldCharType="separate"/>
    </w:r>
    <w:r>
      <w:rPr>
        <w:rStyle w:val="38"/>
        <w:rFonts w:ascii="宋体" w:hAnsi="宋体"/>
        <w:sz w:val="26"/>
        <w:szCs w:val="26"/>
      </w:rPr>
      <w:t>76</w:t>
    </w:r>
    <w:r>
      <w:rPr>
        <w:rFonts w:ascii="宋体" w:hAnsi="宋体"/>
        <w:sz w:val="26"/>
        <w:szCs w:val="26"/>
      </w:rPr>
      <w:fldChar w:fldCharType="end"/>
    </w:r>
    <w:r>
      <w:rPr>
        <w:rStyle w:val="38"/>
        <w:rFonts w:hint="eastAsia" w:ascii="宋体" w:hAnsi="宋体"/>
        <w:sz w:val="20"/>
      </w:rPr>
      <w:t xml:space="preserve">  </w:t>
    </w:r>
    <w:r>
      <w:rPr>
        <w:rStyle w:val="38"/>
        <w:rFonts w:hint="eastAsia" w:ascii="宋体" w:hAnsi="宋体"/>
        <w:sz w:val="28"/>
        <w:szCs w:val="28"/>
      </w:rPr>
      <w:t>—</w:t>
    </w:r>
  </w:p>
  <w:p w14:paraId="38A484A7">
    <w:pPr>
      <w:pStyle w:val="25"/>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77B0E">
    <w:pPr>
      <w:pStyle w:val="26"/>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ECF78"/>
    <w:multiLevelType w:val="singleLevel"/>
    <w:tmpl w:val="942ECF78"/>
    <w:lvl w:ilvl="0" w:tentative="0">
      <w:start w:val="1"/>
      <w:numFmt w:val="bullet"/>
      <w:pStyle w:val="13"/>
      <w:lvlText w:val=""/>
      <w:lvlJc w:val="left"/>
      <w:pPr>
        <w:tabs>
          <w:tab w:val="left" w:pos="780"/>
        </w:tabs>
        <w:ind w:left="780" w:hanging="360"/>
      </w:pPr>
      <w:rPr>
        <w:rFonts w:hint="default" w:ascii="Wingdings" w:hAnsi="Wingdings"/>
      </w:rPr>
    </w:lvl>
  </w:abstractNum>
  <w:abstractNum w:abstractNumId="1">
    <w:nsid w:val="B07FD5B5"/>
    <w:multiLevelType w:val="singleLevel"/>
    <w:tmpl w:val="B07FD5B5"/>
    <w:lvl w:ilvl="0" w:tentative="0">
      <w:start w:val="6"/>
      <w:numFmt w:val="upperLetter"/>
      <w:suff w:val="nothing"/>
      <w:lvlText w:val="%1-"/>
      <w:lvlJc w:val="left"/>
    </w:lvl>
  </w:abstractNum>
  <w:abstractNum w:abstractNumId="2">
    <w:nsid w:val="B824D282"/>
    <w:multiLevelType w:val="singleLevel"/>
    <w:tmpl w:val="B824D282"/>
    <w:lvl w:ilvl="0" w:tentative="0">
      <w:start w:val="2"/>
      <w:numFmt w:val="chineseCounting"/>
      <w:suff w:val="nothing"/>
      <w:lvlText w:val="%1、"/>
      <w:lvlJc w:val="left"/>
      <w:rPr>
        <w:rFonts w:hint="eastAsia"/>
      </w:rPr>
    </w:lvl>
  </w:abstractNum>
  <w:abstractNum w:abstractNumId="3">
    <w:nsid w:val="DBC67270"/>
    <w:multiLevelType w:val="singleLevel"/>
    <w:tmpl w:val="DBC67270"/>
    <w:lvl w:ilvl="0" w:tentative="0">
      <w:start w:val="1"/>
      <w:numFmt w:val="decimal"/>
      <w:suff w:val="nothing"/>
      <w:lvlText w:val="%1、"/>
      <w:lvlJc w:val="left"/>
    </w:lvl>
  </w:abstractNum>
  <w:abstractNum w:abstractNumId="4">
    <w:nsid w:val="22D266C7"/>
    <w:multiLevelType w:val="singleLevel"/>
    <w:tmpl w:val="22D266C7"/>
    <w:lvl w:ilvl="0" w:tentative="0">
      <w:start w:val="1"/>
      <w:numFmt w:val="decimal"/>
      <w:suff w:val="nothing"/>
      <w:lvlText w:val="%1、"/>
      <w:lvlJc w:val="left"/>
    </w:lvl>
  </w:abstractNum>
  <w:abstractNum w:abstractNumId="5">
    <w:nsid w:val="604689B5"/>
    <w:multiLevelType w:val="singleLevel"/>
    <w:tmpl w:val="604689B5"/>
    <w:lvl w:ilvl="0" w:tentative="0">
      <w:start w:val="1"/>
      <w:numFmt w:val="upperLetter"/>
      <w:lvlText w:val="%1."/>
      <w:lvlJc w:val="left"/>
      <w:pPr>
        <w:tabs>
          <w:tab w:val="left" w:pos="312"/>
        </w:tabs>
      </w:pPr>
    </w:lvl>
  </w:abstractNum>
  <w:abstractNum w:abstractNumId="6">
    <w:nsid w:val="69F0ABAB"/>
    <w:multiLevelType w:val="singleLevel"/>
    <w:tmpl w:val="69F0ABAB"/>
    <w:lvl w:ilvl="0" w:tentative="0">
      <w:start w:val="3"/>
      <w:numFmt w:val="decimal"/>
      <w:lvlText w:val="(%1)"/>
      <w:lvlJc w:val="left"/>
      <w:pPr>
        <w:tabs>
          <w:tab w:val="left" w:pos="312"/>
        </w:tabs>
      </w:pPr>
    </w:lvl>
  </w:abstractNum>
  <w:num w:numId="1">
    <w:abstractNumId w:val="0"/>
  </w:num>
  <w:num w:numId="2">
    <w:abstractNumId w:val="2"/>
  </w:num>
  <w:num w:numId="3">
    <w:abstractNumId w:val="4"/>
  </w:num>
  <w:num w:numId="4">
    <w:abstractNumId w:val="5"/>
  </w:num>
  <w:num w:numId="5">
    <w:abstractNumId w:val="1"/>
  </w:num>
  <w:num w:numId="6">
    <w:abstractNumId w:val="6"/>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u qiang">
    <w15:presenceInfo w15:providerId="None" w15:userId="fu q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dit="trackedChanges" w:enforcement="0"/>
  <w:defaultTabStop w:val="420"/>
  <w:doNotHyphenateCaps/>
  <w:drawingGridHorizontalSpacing w:val="105"/>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A4NzIyN2MxYTlmMzQ1NGE2MjU5NWRkMjhlOGMxYTAifQ=="/>
  </w:docVars>
  <w:rsids>
    <w:rsidRoot w:val="00172A27"/>
    <w:rsid w:val="00000233"/>
    <w:rsid w:val="000060B3"/>
    <w:rsid w:val="00006C96"/>
    <w:rsid w:val="00010574"/>
    <w:rsid w:val="0001393A"/>
    <w:rsid w:val="00014027"/>
    <w:rsid w:val="0001705A"/>
    <w:rsid w:val="00017079"/>
    <w:rsid w:val="000207BE"/>
    <w:rsid w:val="00021550"/>
    <w:rsid w:val="000238AE"/>
    <w:rsid w:val="00026023"/>
    <w:rsid w:val="000317F3"/>
    <w:rsid w:val="000320D1"/>
    <w:rsid w:val="000356CC"/>
    <w:rsid w:val="00035969"/>
    <w:rsid w:val="00036CCC"/>
    <w:rsid w:val="0004364B"/>
    <w:rsid w:val="00045339"/>
    <w:rsid w:val="000468B9"/>
    <w:rsid w:val="00052363"/>
    <w:rsid w:val="00061B1F"/>
    <w:rsid w:val="00061F72"/>
    <w:rsid w:val="00063091"/>
    <w:rsid w:val="00067117"/>
    <w:rsid w:val="000733C4"/>
    <w:rsid w:val="0007427A"/>
    <w:rsid w:val="000746E9"/>
    <w:rsid w:val="00074783"/>
    <w:rsid w:val="00077A50"/>
    <w:rsid w:val="0008070B"/>
    <w:rsid w:val="000810AC"/>
    <w:rsid w:val="00081A02"/>
    <w:rsid w:val="00082231"/>
    <w:rsid w:val="00086C70"/>
    <w:rsid w:val="00087300"/>
    <w:rsid w:val="00091EC4"/>
    <w:rsid w:val="00092861"/>
    <w:rsid w:val="00092A83"/>
    <w:rsid w:val="00092D38"/>
    <w:rsid w:val="0009377B"/>
    <w:rsid w:val="000946A2"/>
    <w:rsid w:val="00097B3A"/>
    <w:rsid w:val="000A133E"/>
    <w:rsid w:val="000A1741"/>
    <w:rsid w:val="000A1CEC"/>
    <w:rsid w:val="000A20C9"/>
    <w:rsid w:val="000B058F"/>
    <w:rsid w:val="000B1E8C"/>
    <w:rsid w:val="000B29C4"/>
    <w:rsid w:val="000B36CF"/>
    <w:rsid w:val="000B4467"/>
    <w:rsid w:val="000B4DB9"/>
    <w:rsid w:val="000B4FDA"/>
    <w:rsid w:val="000B5CD4"/>
    <w:rsid w:val="000C09AC"/>
    <w:rsid w:val="000C348A"/>
    <w:rsid w:val="000C767F"/>
    <w:rsid w:val="000D05A0"/>
    <w:rsid w:val="000D55BA"/>
    <w:rsid w:val="000D5A44"/>
    <w:rsid w:val="000D7113"/>
    <w:rsid w:val="000D7786"/>
    <w:rsid w:val="000E0B20"/>
    <w:rsid w:val="000E13B2"/>
    <w:rsid w:val="000E39D2"/>
    <w:rsid w:val="000E3CEE"/>
    <w:rsid w:val="000E3ED2"/>
    <w:rsid w:val="000E5B57"/>
    <w:rsid w:val="000F090A"/>
    <w:rsid w:val="001004A6"/>
    <w:rsid w:val="0010300A"/>
    <w:rsid w:val="0010377A"/>
    <w:rsid w:val="00104476"/>
    <w:rsid w:val="00104A47"/>
    <w:rsid w:val="001105F7"/>
    <w:rsid w:val="001114F7"/>
    <w:rsid w:val="00112405"/>
    <w:rsid w:val="00114178"/>
    <w:rsid w:val="00116A1B"/>
    <w:rsid w:val="001213C1"/>
    <w:rsid w:val="001228B5"/>
    <w:rsid w:val="0012338E"/>
    <w:rsid w:val="00123AEB"/>
    <w:rsid w:val="00124882"/>
    <w:rsid w:val="00126906"/>
    <w:rsid w:val="00126FBB"/>
    <w:rsid w:val="00131F42"/>
    <w:rsid w:val="00132328"/>
    <w:rsid w:val="00134E55"/>
    <w:rsid w:val="001357F1"/>
    <w:rsid w:val="00135866"/>
    <w:rsid w:val="00136743"/>
    <w:rsid w:val="00136E20"/>
    <w:rsid w:val="0014071F"/>
    <w:rsid w:val="00140FA8"/>
    <w:rsid w:val="00142368"/>
    <w:rsid w:val="00142FEB"/>
    <w:rsid w:val="00143A2D"/>
    <w:rsid w:val="00145A41"/>
    <w:rsid w:val="00151675"/>
    <w:rsid w:val="00151A3E"/>
    <w:rsid w:val="001541BD"/>
    <w:rsid w:val="00155453"/>
    <w:rsid w:val="001572EB"/>
    <w:rsid w:val="00157435"/>
    <w:rsid w:val="001606BA"/>
    <w:rsid w:val="00162E17"/>
    <w:rsid w:val="0016419D"/>
    <w:rsid w:val="00165E9B"/>
    <w:rsid w:val="00167FEE"/>
    <w:rsid w:val="00170859"/>
    <w:rsid w:val="00171E70"/>
    <w:rsid w:val="00172A27"/>
    <w:rsid w:val="001740F9"/>
    <w:rsid w:val="00174E68"/>
    <w:rsid w:val="0017504D"/>
    <w:rsid w:val="00175926"/>
    <w:rsid w:val="0017671A"/>
    <w:rsid w:val="00176BB1"/>
    <w:rsid w:val="00177422"/>
    <w:rsid w:val="00177A15"/>
    <w:rsid w:val="00180EA9"/>
    <w:rsid w:val="00184590"/>
    <w:rsid w:val="00184A1F"/>
    <w:rsid w:val="001858E0"/>
    <w:rsid w:val="001870D1"/>
    <w:rsid w:val="0018721B"/>
    <w:rsid w:val="00187476"/>
    <w:rsid w:val="0018781E"/>
    <w:rsid w:val="00192238"/>
    <w:rsid w:val="001923EF"/>
    <w:rsid w:val="0019262D"/>
    <w:rsid w:val="00194051"/>
    <w:rsid w:val="00194E43"/>
    <w:rsid w:val="001950C5"/>
    <w:rsid w:val="001A10B3"/>
    <w:rsid w:val="001A1B35"/>
    <w:rsid w:val="001A48A2"/>
    <w:rsid w:val="001A6F61"/>
    <w:rsid w:val="001A6F6E"/>
    <w:rsid w:val="001A7CF5"/>
    <w:rsid w:val="001B1621"/>
    <w:rsid w:val="001B2850"/>
    <w:rsid w:val="001B417B"/>
    <w:rsid w:val="001B72B8"/>
    <w:rsid w:val="001C0B05"/>
    <w:rsid w:val="001C16E0"/>
    <w:rsid w:val="001C3032"/>
    <w:rsid w:val="001C69B3"/>
    <w:rsid w:val="001D1F48"/>
    <w:rsid w:val="001D4914"/>
    <w:rsid w:val="001D514C"/>
    <w:rsid w:val="001D5595"/>
    <w:rsid w:val="001D6E11"/>
    <w:rsid w:val="001D7874"/>
    <w:rsid w:val="001D7F22"/>
    <w:rsid w:val="001E4062"/>
    <w:rsid w:val="001F03F0"/>
    <w:rsid w:val="001F0F17"/>
    <w:rsid w:val="001F3347"/>
    <w:rsid w:val="001F3FB8"/>
    <w:rsid w:val="001F51BB"/>
    <w:rsid w:val="001F562C"/>
    <w:rsid w:val="001F589E"/>
    <w:rsid w:val="001F69E4"/>
    <w:rsid w:val="001F7280"/>
    <w:rsid w:val="002017D4"/>
    <w:rsid w:val="002024DF"/>
    <w:rsid w:val="00203A8C"/>
    <w:rsid w:val="0021117F"/>
    <w:rsid w:val="00211C2D"/>
    <w:rsid w:val="002125B4"/>
    <w:rsid w:val="00212810"/>
    <w:rsid w:val="00212CEF"/>
    <w:rsid w:val="002155B8"/>
    <w:rsid w:val="00215FE9"/>
    <w:rsid w:val="00220FB7"/>
    <w:rsid w:val="0022170D"/>
    <w:rsid w:val="00224590"/>
    <w:rsid w:val="00224839"/>
    <w:rsid w:val="002249B2"/>
    <w:rsid w:val="002260AE"/>
    <w:rsid w:val="00226574"/>
    <w:rsid w:val="00227298"/>
    <w:rsid w:val="002278EC"/>
    <w:rsid w:val="0023280E"/>
    <w:rsid w:val="00234671"/>
    <w:rsid w:val="00234954"/>
    <w:rsid w:val="00235690"/>
    <w:rsid w:val="00235D2E"/>
    <w:rsid w:val="002377D1"/>
    <w:rsid w:val="002421A3"/>
    <w:rsid w:val="00245126"/>
    <w:rsid w:val="002506BC"/>
    <w:rsid w:val="0025383D"/>
    <w:rsid w:val="00254345"/>
    <w:rsid w:val="00255D65"/>
    <w:rsid w:val="00262B5B"/>
    <w:rsid w:val="002631D5"/>
    <w:rsid w:val="00264557"/>
    <w:rsid w:val="00265164"/>
    <w:rsid w:val="00265A9C"/>
    <w:rsid w:val="00272C92"/>
    <w:rsid w:val="00274081"/>
    <w:rsid w:val="002805AB"/>
    <w:rsid w:val="002835C0"/>
    <w:rsid w:val="00284204"/>
    <w:rsid w:val="00287AA0"/>
    <w:rsid w:val="00291773"/>
    <w:rsid w:val="00296B7E"/>
    <w:rsid w:val="0029721A"/>
    <w:rsid w:val="002A168C"/>
    <w:rsid w:val="002A255A"/>
    <w:rsid w:val="002A2D75"/>
    <w:rsid w:val="002A3DC7"/>
    <w:rsid w:val="002A3F0F"/>
    <w:rsid w:val="002A4E17"/>
    <w:rsid w:val="002A6AA3"/>
    <w:rsid w:val="002B3490"/>
    <w:rsid w:val="002B421B"/>
    <w:rsid w:val="002B49E2"/>
    <w:rsid w:val="002B5324"/>
    <w:rsid w:val="002B6326"/>
    <w:rsid w:val="002B6661"/>
    <w:rsid w:val="002B6C4E"/>
    <w:rsid w:val="002B7943"/>
    <w:rsid w:val="002B7B00"/>
    <w:rsid w:val="002B7C44"/>
    <w:rsid w:val="002C0909"/>
    <w:rsid w:val="002C13B4"/>
    <w:rsid w:val="002C2B17"/>
    <w:rsid w:val="002C5541"/>
    <w:rsid w:val="002D1897"/>
    <w:rsid w:val="002D3C4D"/>
    <w:rsid w:val="002D3DD0"/>
    <w:rsid w:val="002D7354"/>
    <w:rsid w:val="002D7E57"/>
    <w:rsid w:val="002E1F3A"/>
    <w:rsid w:val="002E298A"/>
    <w:rsid w:val="002E4E24"/>
    <w:rsid w:val="002F1A93"/>
    <w:rsid w:val="002F4439"/>
    <w:rsid w:val="002F50C5"/>
    <w:rsid w:val="002F5E6D"/>
    <w:rsid w:val="00301610"/>
    <w:rsid w:val="00301978"/>
    <w:rsid w:val="00302CFC"/>
    <w:rsid w:val="0030332C"/>
    <w:rsid w:val="00304F20"/>
    <w:rsid w:val="003051C2"/>
    <w:rsid w:val="00307251"/>
    <w:rsid w:val="00312164"/>
    <w:rsid w:val="00312296"/>
    <w:rsid w:val="00314F0E"/>
    <w:rsid w:val="0032139B"/>
    <w:rsid w:val="00321D8E"/>
    <w:rsid w:val="00325928"/>
    <w:rsid w:val="00327A07"/>
    <w:rsid w:val="00330FD8"/>
    <w:rsid w:val="00332863"/>
    <w:rsid w:val="0033684D"/>
    <w:rsid w:val="00337B42"/>
    <w:rsid w:val="00340321"/>
    <w:rsid w:val="00341210"/>
    <w:rsid w:val="00341B42"/>
    <w:rsid w:val="0034348F"/>
    <w:rsid w:val="0034578A"/>
    <w:rsid w:val="00346A65"/>
    <w:rsid w:val="00347C19"/>
    <w:rsid w:val="003514DA"/>
    <w:rsid w:val="00352E51"/>
    <w:rsid w:val="00355D90"/>
    <w:rsid w:val="00356032"/>
    <w:rsid w:val="00356653"/>
    <w:rsid w:val="0035743F"/>
    <w:rsid w:val="00357BE2"/>
    <w:rsid w:val="0036170C"/>
    <w:rsid w:val="00362B3F"/>
    <w:rsid w:val="00362E5D"/>
    <w:rsid w:val="0036669D"/>
    <w:rsid w:val="003669C5"/>
    <w:rsid w:val="00366E0F"/>
    <w:rsid w:val="00367CAB"/>
    <w:rsid w:val="00374C7B"/>
    <w:rsid w:val="00374CCE"/>
    <w:rsid w:val="00374E87"/>
    <w:rsid w:val="003757F6"/>
    <w:rsid w:val="003810D2"/>
    <w:rsid w:val="00381A72"/>
    <w:rsid w:val="00384676"/>
    <w:rsid w:val="003855A6"/>
    <w:rsid w:val="003879CD"/>
    <w:rsid w:val="00387CCD"/>
    <w:rsid w:val="00390857"/>
    <w:rsid w:val="003915DB"/>
    <w:rsid w:val="00394893"/>
    <w:rsid w:val="00397AAE"/>
    <w:rsid w:val="00397D0E"/>
    <w:rsid w:val="003A23AC"/>
    <w:rsid w:val="003A4BF3"/>
    <w:rsid w:val="003A527A"/>
    <w:rsid w:val="003A5FC5"/>
    <w:rsid w:val="003B1352"/>
    <w:rsid w:val="003B420D"/>
    <w:rsid w:val="003C0B9A"/>
    <w:rsid w:val="003C3F23"/>
    <w:rsid w:val="003C4660"/>
    <w:rsid w:val="003C51F8"/>
    <w:rsid w:val="003C6948"/>
    <w:rsid w:val="003C6C16"/>
    <w:rsid w:val="003C7A21"/>
    <w:rsid w:val="003D1D45"/>
    <w:rsid w:val="003D3C09"/>
    <w:rsid w:val="003D4C4A"/>
    <w:rsid w:val="003D794D"/>
    <w:rsid w:val="003D7DD9"/>
    <w:rsid w:val="003E12CD"/>
    <w:rsid w:val="003E14AD"/>
    <w:rsid w:val="003E3058"/>
    <w:rsid w:val="003E30A4"/>
    <w:rsid w:val="003E3F7A"/>
    <w:rsid w:val="003E4EBB"/>
    <w:rsid w:val="003E6994"/>
    <w:rsid w:val="003E76A9"/>
    <w:rsid w:val="003F0809"/>
    <w:rsid w:val="003F6A8C"/>
    <w:rsid w:val="003F755C"/>
    <w:rsid w:val="0040051C"/>
    <w:rsid w:val="0040168A"/>
    <w:rsid w:val="0040439B"/>
    <w:rsid w:val="00406F01"/>
    <w:rsid w:val="00406FC5"/>
    <w:rsid w:val="0041181A"/>
    <w:rsid w:val="00416D50"/>
    <w:rsid w:val="00416FD5"/>
    <w:rsid w:val="00417772"/>
    <w:rsid w:val="00417D2B"/>
    <w:rsid w:val="00420E6A"/>
    <w:rsid w:val="00425A9E"/>
    <w:rsid w:val="00426D6B"/>
    <w:rsid w:val="00431E6C"/>
    <w:rsid w:val="00433CE7"/>
    <w:rsid w:val="004349D0"/>
    <w:rsid w:val="00435923"/>
    <w:rsid w:val="00437CEB"/>
    <w:rsid w:val="00440588"/>
    <w:rsid w:val="004405E9"/>
    <w:rsid w:val="00441D98"/>
    <w:rsid w:val="00446FF7"/>
    <w:rsid w:val="00447AE0"/>
    <w:rsid w:val="00450019"/>
    <w:rsid w:val="00452118"/>
    <w:rsid w:val="00452738"/>
    <w:rsid w:val="004537D1"/>
    <w:rsid w:val="004549BD"/>
    <w:rsid w:val="00456091"/>
    <w:rsid w:val="00456E28"/>
    <w:rsid w:val="00457646"/>
    <w:rsid w:val="00457B94"/>
    <w:rsid w:val="00460522"/>
    <w:rsid w:val="004605A6"/>
    <w:rsid w:val="004608B1"/>
    <w:rsid w:val="0046091B"/>
    <w:rsid w:val="00462C08"/>
    <w:rsid w:val="004643CC"/>
    <w:rsid w:val="00464E19"/>
    <w:rsid w:val="00465086"/>
    <w:rsid w:val="00466321"/>
    <w:rsid w:val="00467595"/>
    <w:rsid w:val="00471E6A"/>
    <w:rsid w:val="0047264D"/>
    <w:rsid w:val="00473EC7"/>
    <w:rsid w:val="004757B4"/>
    <w:rsid w:val="004816AD"/>
    <w:rsid w:val="00484B9B"/>
    <w:rsid w:val="004855F6"/>
    <w:rsid w:val="00485B4A"/>
    <w:rsid w:val="0048661E"/>
    <w:rsid w:val="00493D6A"/>
    <w:rsid w:val="00494670"/>
    <w:rsid w:val="004A0DFE"/>
    <w:rsid w:val="004A0FD5"/>
    <w:rsid w:val="004A3823"/>
    <w:rsid w:val="004A3ACC"/>
    <w:rsid w:val="004A7C8A"/>
    <w:rsid w:val="004B2CC6"/>
    <w:rsid w:val="004B2EE1"/>
    <w:rsid w:val="004B45E7"/>
    <w:rsid w:val="004B602B"/>
    <w:rsid w:val="004B7964"/>
    <w:rsid w:val="004B7C05"/>
    <w:rsid w:val="004C3B44"/>
    <w:rsid w:val="004C3BD6"/>
    <w:rsid w:val="004C53EA"/>
    <w:rsid w:val="004C7BA9"/>
    <w:rsid w:val="004D06ED"/>
    <w:rsid w:val="004D1B13"/>
    <w:rsid w:val="004D22DB"/>
    <w:rsid w:val="004D52A6"/>
    <w:rsid w:val="004D7C80"/>
    <w:rsid w:val="004E24A2"/>
    <w:rsid w:val="004E2597"/>
    <w:rsid w:val="004E448C"/>
    <w:rsid w:val="004E6946"/>
    <w:rsid w:val="004F0803"/>
    <w:rsid w:val="004F13C0"/>
    <w:rsid w:val="004F1AD8"/>
    <w:rsid w:val="004F259E"/>
    <w:rsid w:val="004F2629"/>
    <w:rsid w:val="004F362B"/>
    <w:rsid w:val="004F6AE5"/>
    <w:rsid w:val="004F7496"/>
    <w:rsid w:val="005003B6"/>
    <w:rsid w:val="005039CB"/>
    <w:rsid w:val="00504EDE"/>
    <w:rsid w:val="005053C9"/>
    <w:rsid w:val="0050558F"/>
    <w:rsid w:val="00506286"/>
    <w:rsid w:val="00510813"/>
    <w:rsid w:val="005108DE"/>
    <w:rsid w:val="005117F1"/>
    <w:rsid w:val="00511990"/>
    <w:rsid w:val="00511DE0"/>
    <w:rsid w:val="005144F9"/>
    <w:rsid w:val="0051480B"/>
    <w:rsid w:val="00514870"/>
    <w:rsid w:val="00514B9B"/>
    <w:rsid w:val="00515864"/>
    <w:rsid w:val="00517F02"/>
    <w:rsid w:val="00521FCE"/>
    <w:rsid w:val="00524303"/>
    <w:rsid w:val="0052586B"/>
    <w:rsid w:val="005258A2"/>
    <w:rsid w:val="0053398D"/>
    <w:rsid w:val="005360ED"/>
    <w:rsid w:val="00537183"/>
    <w:rsid w:val="005401AE"/>
    <w:rsid w:val="00540395"/>
    <w:rsid w:val="00541D09"/>
    <w:rsid w:val="00542E07"/>
    <w:rsid w:val="00543C20"/>
    <w:rsid w:val="00545424"/>
    <w:rsid w:val="00546220"/>
    <w:rsid w:val="00554A7B"/>
    <w:rsid w:val="00554DDC"/>
    <w:rsid w:val="0055572C"/>
    <w:rsid w:val="005564FD"/>
    <w:rsid w:val="00556D47"/>
    <w:rsid w:val="0055743C"/>
    <w:rsid w:val="00560658"/>
    <w:rsid w:val="00560DB6"/>
    <w:rsid w:val="0056106A"/>
    <w:rsid w:val="005614C0"/>
    <w:rsid w:val="0056384B"/>
    <w:rsid w:val="00564992"/>
    <w:rsid w:val="00566ABD"/>
    <w:rsid w:val="005709EC"/>
    <w:rsid w:val="005720AE"/>
    <w:rsid w:val="00574761"/>
    <w:rsid w:val="00574A77"/>
    <w:rsid w:val="00575DAD"/>
    <w:rsid w:val="00576C85"/>
    <w:rsid w:val="00577203"/>
    <w:rsid w:val="005828EE"/>
    <w:rsid w:val="005833DE"/>
    <w:rsid w:val="005863A9"/>
    <w:rsid w:val="00587B24"/>
    <w:rsid w:val="00590C8F"/>
    <w:rsid w:val="00594B57"/>
    <w:rsid w:val="00594D77"/>
    <w:rsid w:val="00595CBF"/>
    <w:rsid w:val="00596595"/>
    <w:rsid w:val="005969E4"/>
    <w:rsid w:val="005A06B7"/>
    <w:rsid w:val="005A1759"/>
    <w:rsid w:val="005A2288"/>
    <w:rsid w:val="005A4A00"/>
    <w:rsid w:val="005A68A7"/>
    <w:rsid w:val="005B0524"/>
    <w:rsid w:val="005B1BE2"/>
    <w:rsid w:val="005B2445"/>
    <w:rsid w:val="005B2FA8"/>
    <w:rsid w:val="005B40F2"/>
    <w:rsid w:val="005B75B0"/>
    <w:rsid w:val="005C15A7"/>
    <w:rsid w:val="005C2788"/>
    <w:rsid w:val="005C2B3B"/>
    <w:rsid w:val="005C3732"/>
    <w:rsid w:val="005D2ED0"/>
    <w:rsid w:val="005D36AB"/>
    <w:rsid w:val="005D56A4"/>
    <w:rsid w:val="005D6605"/>
    <w:rsid w:val="005E23AE"/>
    <w:rsid w:val="005E2757"/>
    <w:rsid w:val="005F5277"/>
    <w:rsid w:val="005F6616"/>
    <w:rsid w:val="00605AFE"/>
    <w:rsid w:val="00615135"/>
    <w:rsid w:val="00616B3C"/>
    <w:rsid w:val="00616D25"/>
    <w:rsid w:val="0061704D"/>
    <w:rsid w:val="00617CC3"/>
    <w:rsid w:val="00621939"/>
    <w:rsid w:val="00622D68"/>
    <w:rsid w:val="00626D43"/>
    <w:rsid w:val="0063430F"/>
    <w:rsid w:val="006377A6"/>
    <w:rsid w:val="006379C0"/>
    <w:rsid w:val="00637A3D"/>
    <w:rsid w:val="006411EF"/>
    <w:rsid w:val="006417CF"/>
    <w:rsid w:val="00641E60"/>
    <w:rsid w:val="00641FCA"/>
    <w:rsid w:val="00642743"/>
    <w:rsid w:val="00644A8C"/>
    <w:rsid w:val="00644C98"/>
    <w:rsid w:val="00647B6C"/>
    <w:rsid w:val="006513C1"/>
    <w:rsid w:val="006514F8"/>
    <w:rsid w:val="00651B0D"/>
    <w:rsid w:val="0066210D"/>
    <w:rsid w:val="006629D8"/>
    <w:rsid w:val="00664285"/>
    <w:rsid w:val="00664E3A"/>
    <w:rsid w:val="00665907"/>
    <w:rsid w:val="00667278"/>
    <w:rsid w:val="00674844"/>
    <w:rsid w:val="006748B8"/>
    <w:rsid w:val="006775C3"/>
    <w:rsid w:val="00692079"/>
    <w:rsid w:val="0069290A"/>
    <w:rsid w:val="0069391E"/>
    <w:rsid w:val="0069549E"/>
    <w:rsid w:val="00696FF8"/>
    <w:rsid w:val="0069775A"/>
    <w:rsid w:val="00697813"/>
    <w:rsid w:val="006A0DC0"/>
    <w:rsid w:val="006A1CEF"/>
    <w:rsid w:val="006A3417"/>
    <w:rsid w:val="006A3EE8"/>
    <w:rsid w:val="006A72BF"/>
    <w:rsid w:val="006A7BBE"/>
    <w:rsid w:val="006B03F2"/>
    <w:rsid w:val="006B0AB4"/>
    <w:rsid w:val="006B37DC"/>
    <w:rsid w:val="006B4F68"/>
    <w:rsid w:val="006B51B6"/>
    <w:rsid w:val="006C0592"/>
    <w:rsid w:val="006C0FEB"/>
    <w:rsid w:val="006C13E0"/>
    <w:rsid w:val="006C272E"/>
    <w:rsid w:val="006C5479"/>
    <w:rsid w:val="006C7543"/>
    <w:rsid w:val="006D13B5"/>
    <w:rsid w:val="006D1859"/>
    <w:rsid w:val="006D2A84"/>
    <w:rsid w:val="006D3B98"/>
    <w:rsid w:val="006D7EA1"/>
    <w:rsid w:val="006E12FF"/>
    <w:rsid w:val="006E49B3"/>
    <w:rsid w:val="006E607E"/>
    <w:rsid w:val="006E68EB"/>
    <w:rsid w:val="006F0DEB"/>
    <w:rsid w:val="006F1B81"/>
    <w:rsid w:val="006F1E37"/>
    <w:rsid w:val="00701891"/>
    <w:rsid w:val="007030A5"/>
    <w:rsid w:val="007037C5"/>
    <w:rsid w:val="0070410E"/>
    <w:rsid w:val="007058D1"/>
    <w:rsid w:val="00706445"/>
    <w:rsid w:val="00706C5D"/>
    <w:rsid w:val="00707BED"/>
    <w:rsid w:val="00707CB0"/>
    <w:rsid w:val="00716A65"/>
    <w:rsid w:val="00720173"/>
    <w:rsid w:val="00720D50"/>
    <w:rsid w:val="0072246B"/>
    <w:rsid w:val="00723A1A"/>
    <w:rsid w:val="00723FA6"/>
    <w:rsid w:val="0072779E"/>
    <w:rsid w:val="007304A1"/>
    <w:rsid w:val="007304A7"/>
    <w:rsid w:val="00732540"/>
    <w:rsid w:val="00732922"/>
    <w:rsid w:val="007345AD"/>
    <w:rsid w:val="0074031F"/>
    <w:rsid w:val="00741B08"/>
    <w:rsid w:val="007432DF"/>
    <w:rsid w:val="007470FB"/>
    <w:rsid w:val="00750EC1"/>
    <w:rsid w:val="0075162E"/>
    <w:rsid w:val="00752966"/>
    <w:rsid w:val="00754034"/>
    <w:rsid w:val="007544A6"/>
    <w:rsid w:val="00756556"/>
    <w:rsid w:val="00757508"/>
    <w:rsid w:val="0075790B"/>
    <w:rsid w:val="00757C2F"/>
    <w:rsid w:val="00757C39"/>
    <w:rsid w:val="00760847"/>
    <w:rsid w:val="00760B1A"/>
    <w:rsid w:val="007618C4"/>
    <w:rsid w:val="0076665A"/>
    <w:rsid w:val="00767980"/>
    <w:rsid w:val="0077000F"/>
    <w:rsid w:val="00770891"/>
    <w:rsid w:val="00770B19"/>
    <w:rsid w:val="00770F10"/>
    <w:rsid w:val="00773DF2"/>
    <w:rsid w:val="0077463F"/>
    <w:rsid w:val="00780739"/>
    <w:rsid w:val="00780F69"/>
    <w:rsid w:val="007836EA"/>
    <w:rsid w:val="00784CDA"/>
    <w:rsid w:val="00786252"/>
    <w:rsid w:val="00786484"/>
    <w:rsid w:val="007906C4"/>
    <w:rsid w:val="00792B2F"/>
    <w:rsid w:val="007936A5"/>
    <w:rsid w:val="007940EA"/>
    <w:rsid w:val="00794921"/>
    <w:rsid w:val="00795EA0"/>
    <w:rsid w:val="007967E8"/>
    <w:rsid w:val="007A2170"/>
    <w:rsid w:val="007A22BF"/>
    <w:rsid w:val="007A26AB"/>
    <w:rsid w:val="007A3323"/>
    <w:rsid w:val="007A3E0A"/>
    <w:rsid w:val="007A65BC"/>
    <w:rsid w:val="007B0381"/>
    <w:rsid w:val="007B049F"/>
    <w:rsid w:val="007B216D"/>
    <w:rsid w:val="007B333E"/>
    <w:rsid w:val="007B4041"/>
    <w:rsid w:val="007B4F43"/>
    <w:rsid w:val="007B72B8"/>
    <w:rsid w:val="007B7A58"/>
    <w:rsid w:val="007C08E8"/>
    <w:rsid w:val="007C15DE"/>
    <w:rsid w:val="007C21B5"/>
    <w:rsid w:val="007D00E1"/>
    <w:rsid w:val="007D0379"/>
    <w:rsid w:val="007D0DC2"/>
    <w:rsid w:val="007D43D5"/>
    <w:rsid w:val="007D4A7D"/>
    <w:rsid w:val="007D6757"/>
    <w:rsid w:val="007D71CF"/>
    <w:rsid w:val="007E2A68"/>
    <w:rsid w:val="007E4BD2"/>
    <w:rsid w:val="007F2D1E"/>
    <w:rsid w:val="007F36B7"/>
    <w:rsid w:val="007F3896"/>
    <w:rsid w:val="007F5F94"/>
    <w:rsid w:val="007F7F72"/>
    <w:rsid w:val="00801393"/>
    <w:rsid w:val="00802F88"/>
    <w:rsid w:val="00804DA3"/>
    <w:rsid w:val="00806BFA"/>
    <w:rsid w:val="0081293E"/>
    <w:rsid w:val="00815465"/>
    <w:rsid w:val="008169BA"/>
    <w:rsid w:val="00817E9A"/>
    <w:rsid w:val="00821B34"/>
    <w:rsid w:val="0082257E"/>
    <w:rsid w:val="00822FE8"/>
    <w:rsid w:val="00824A18"/>
    <w:rsid w:val="008274DE"/>
    <w:rsid w:val="008306BD"/>
    <w:rsid w:val="00831A80"/>
    <w:rsid w:val="00833743"/>
    <w:rsid w:val="008340A4"/>
    <w:rsid w:val="00837A28"/>
    <w:rsid w:val="0084058F"/>
    <w:rsid w:val="00840915"/>
    <w:rsid w:val="00845B05"/>
    <w:rsid w:val="00845B6C"/>
    <w:rsid w:val="00851910"/>
    <w:rsid w:val="00860041"/>
    <w:rsid w:val="008613B5"/>
    <w:rsid w:val="008641E0"/>
    <w:rsid w:val="00864404"/>
    <w:rsid w:val="00864FD0"/>
    <w:rsid w:val="00866B4D"/>
    <w:rsid w:val="008707C2"/>
    <w:rsid w:val="0087135F"/>
    <w:rsid w:val="00871C5D"/>
    <w:rsid w:val="00872D94"/>
    <w:rsid w:val="00880364"/>
    <w:rsid w:val="00882D8D"/>
    <w:rsid w:val="00891592"/>
    <w:rsid w:val="00891E9E"/>
    <w:rsid w:val="008926BA"/>
    <w:rsid w:val="00892E93"/>
    <w:rsid w:val="00892F0D"/>
    <w:rsid w:val="008A0C79"/>
    <w:rsid w:val="008A1A33"/>
    <w:rsid w:val="008A2F68"/>
    <w:rsid w:val="008A5B7A"/>
    <w:rsid w:val="008B0EA3"/>
    <w:rsid w:val="008B4C3F"/>
    <w:rsid w:val="008B4FA6"/>
    <w:rsid w:val="008B5282"/>
    <w:rsid w:val="008B7C17"/>
    <w:rsid w:val="008C072F"/>
    <w:rsid w:val="008C2D01"/>
    <w:rsid w:val="008C3986"/>
    <w:rsid w:val="008C40E6"/>
    <w:rsid w:val="008C54D1"/>
    <w:rsid w:val="008C6277"/>
    <w:rsid w:val="008D0B16"/>
    <w:rsid w:val="008D0F7A"/>
    <w:rsid w:val="008D4A90"/>
    <w:rsid w:val="008D68E4"/>
    <w:rsid w:val="008E0506"/>
    <w:rsid w:val="008E0CFF"/>
    <w:rsid w:val="008E1035"/>
    <w:rsid w:val="008E2851"/>
    <w:rsid w:val="008E4E09"/>
    <w:rsid w:val="008E5D6B"/>
    <w:rsid w:val="008E76F0"/>
    <w:rsid w:val="008F0816"/>
    <w:rsid w:val="008F0854"/>
    <w:rsid w:val="008F15FE"/>
    <w:rsid w:val="008F245A"/>
    <w:rsid w:val="008F2B41"/>
    <w:rsid w:val="008F2D29"/>
    <w:rsid w:val="008F2ED0"/>
    <w:rsid w:val="008F4454"/>
    <w:rsid w:val="008F5187"/>
    <w:rsid w:val="008F52F5"/>
    <w:rsid w:val="008F60D8"/>
    <w:rsid w:val="008F7B97"/>
    <w:rsid w:val="009005F9"/>
    <w:rsid w:val="00902727"/>
    <w:rsid w:val="00902A20"/>
    <w:rsid w:val="00902E6D"/>
    <w:rsid w:val="0090312B"/>
    <w:rsid w:val="00910A3F"/>
    <w:rsid w:val="00915080"/>
    <w:rsid w:val="009167F1"/>
    <w:rsid w:val="0091736D"/>
    <w:rsid w:val="00917519"/>
    <w:rsid w:val="00922B9D"/>
    <w:rsid w:val="00924FD7"/>
    <w:rsid w:val="0093037A"/>
    <w:rsid w:val="00930421"/>
    <w:rsid w:val="00930AB5"/>
    <w:rsid w:val="00936218"/>
    <w:rsid w:val="00937970"/>
    <w:rsid w:val="0094154D"/>
    <w:rsid w:val="0094522B"/>
    <w:rsid w:val="00950A69"/>
    <w:rsid w:val="0095155F"/>
    <w:rsid w:val="009530D7"/>
    <w:rsid w:val="009541AB"/>
    <w:rsid w:val="00954429"/>
    <w:rsid w:val="009563CE"/>
    <w:rsid w:val="00956ABB"/>
    <w:rsid w:val="00960A5F"/>
    <w:rsid w:val="00964FB8"/>
    <w:rsid w:val="00966BBB"/>
    <w:rsid w:val="00967AD0"/>
    <w:rsid w:val="00970C4F"/>
    <w:rsid w:val="00970E38"/>
    <w:rsid w:val="00975AF0"/>
    <w:rsid w:val="00976328"/>
    <w:rsid w:val="0097680D"/>
    <w:rsid w:val="009802D3"/>
    <w:rsid w:val="00982438"/>
    <w:rsid w:val="0098404C"/>
    <w:rsid w:val="00985283"/>
    <w:rsid w:val="0098730C"/>
    <w:rsid w:val="009907C0"/>
    <w:rsid w:val="0099142C"/>
    <w:rsid w:val="00993168"/>
    <w:rsid w:val="00995992"/>
    <w:rsid w:val="009A029C"/>
    <w:rsid w:val="009A03C6"/>
    <w:rsid w:val="009A03E5"/>
    <w:rsid w:val="009A0F3B"/>
    <w:rsid w:val="009A1BB4"/>
    <w:rsid w:val="009A2628"/>
    <w:rsid w:val="009A3200"/>
    <w:rsid w:val="009A4ABA"/>
    <w:rsid w:val="009A4D14"/>
    <w:rsid w:val="009A4FF5"/>
    <w:rsid w:val="009A51F9"/>
    <w:rsid w:val="009A55EE"/>
    <w:rsid w:val="009A5790"/>
    <w:rsid w:val="009A585A"/>
    <w:rsid w:val="009B0897"/>
    <w:rsid w:val="009B2B80"/>
    <w:rsid w:val="009B2BAE"/>
    <w:rsid w:val="009B55BC"/>
    <w:rsid w:val="009B7BD9"/>
    <w:rsid w:val="009C0CA3"/>
    <w:rsid w:val="009C40BA"/>
    <w:rsid w:val="009C76E2"/>
    <w:rsid w:val="009C7DD5"/>
    <w:rsid w:val="009D040D"/>
    <w:rsid w:val="009D2AFA"/>
    <w:rsid w:val="009D2CE7"/>
    <w:rsid w:val="009D3885"/>
    <w:rsid w:val="009D4B9F"/>
    <w:rsid w:val="009D53E8"/>
    <w:rsid w:val="009D60D9"/>
    <w:rsid w:val="009D7894"/>
    <w:rsid w:val="009D7A7D"/>
    <w:rsid w:val="009E227D"/>
    <w:rsid w:val="009E5019"/>
    <w:rsid w:val="009E57A6"/>
    <w:rsid w:val="009E5CFB"/>
    <w:rsid w:val="009F44C8"/>
    <w:rsid w:val="00A0078F"/>
    <w:rsid w:val="00A049FC"/>
    <w:rsid w:val="00A04F1B"/>
    <w:rsid w:val="00A0501B"/>
    <w:rsid w:val="00A060E1"/>
    <w:rsid w:val="00A07580"/>
    <w:rsid w:val="00A14734"/>
    <w:rsid w:val="00A14947"/>
    <w:rsid w:val="00A15E01"/>
    <w:rsid w:val="00A179AC"/>
    <w:rsid w:val="00A20FD1"/>
    <w:rsid w:val="00A22BDD"/>
    <w:rsid w:val="00A254E2"/>
    <w:rsid w:val="00A3194D"/>
    <w:rsid w:val="00A31C5B"/>
    <w:rsid w:val="00A32A83"/>
    <w:rsid w:val="00A335DE"/>
    <w:rsid w:val="00A34A8E"/>
    <w:rsid w:val="00A353B8"/>
    <w:rsid w:val="00A368DB"/>
    <w:rsid w:val="00A423AA"/>
    <w:rsid w:val="00A42AA8"/>
    <w:rsid w:val="00A43245"/>
    <w:rsid w:val="00A433E9"/>
    <w:rsid w:val="00A467DE"/>
    <w:rsid w:val="00A50E99"/>
    <w:rsid w:val="00A5120C"/>
    <w:rsid w:val="00A533F3"/>
    <w:rsid w:val="00A53EC6"/>
    <w:rsid w:val="00A55C0F"/>
    <w:rsid w:val="00A57CAA"/>
    <w:rsid w:val="00A6796E"/>
    <w:rsid w:val="00A67F88"/>
    <w:rsid w:val="00A710EF"/>
    <w:rsid w:val="00A71311"/>
    <w:rsid w:val="00A76C8C"/>
    <w:rsid w:val="00A77893"/>
    <w:rsid w:val="00A800EC"/>
    <w:rsid w:val="00A8051E"/>
    <w:rsid w:val="00A823B4"/>
    <w:rsid w:val="00A8279D"/>
    <w:rsid w:val="00A840EB"/>
    <w:rsid w:val="00A8713F"/>
    <w:rsid w:val="00A90BA1"/>
    <w:rsid w:val="00A928FD"/>
    <w:rsid w:val="00A936D2"/>
    <w:rsid w:val="00A97A9A"/>
    <w:rsid w:val="00AA0500"/>
    <w:rsid w:val="00AA0671"/>
    <w:rsid w:val="00AA2531"/>
    <w:rsid w:val="00AA743C"/>
    <w:rsid w:val="00AB1E09"/>
    <w:rsid w:val="00AB5330"/>
    <w:rsid w:val="00AB7747"/>
    <w:rsid w:val="00AC14CE"/>
    <w:rsid w:val="00AC15FF"/>
    <w:rsid w:val="00AC2A56"/>
    <w:rsid w:val="00AC4EB8"/>
    <w:rsid w:val="00AC60AA"/>
    <w:rsid w:val="00AC7E61"/>
    <w:rsid w:val="00AD055E"/>
    <w:rsid w:val="00AD47A7"/>
    <w:rsid w:val="00AD580C"/>
    <w:rsid w:val="00AD7112"/>
    <w:rsid w:val="00AD7954"/>
    <w:rsid w:val="00AE3D1E"/>
    <w:rsid w:val="00AE3FD0"/>
    <w:rsid w:val="00AE4C30"/>
    <w:rsid w:val="00AE51DF"/>
    <w:rsid w:val="00AE6EEF"/>
    <w:rsid w:val="00AF0391"/>
    <w:rsid w:val="00AF0396"/>
    <w:rsid w:val="00AF0CBF"/>
    <w:rsid w:val="00AF257F"/>
    <w:rsid w:val="00AF33CF"/>
    <w:rsid w:val="00AF4D50"/>
    <w:rsid w:val="00AF53B8"/>
    <w:rsid w:val="00AF6179"/>
    <w:rsid w:val="00AF7F17"/>
    <w:rsid w:val="00B0062E"/>
    <w:rsid w:val="00B037E9"/>
    <w:rsid w:val="00B07E2F"/>
    <w:rsid w:val="00B10E19"/>
    <w:rsid w:val="00B1295A"/>
    <w:rsid w:val="00B20A45"/>
    <w:rsid w:val="00B22C5C"/>
    <w:rsid w:val="00B230A1"/>
    <w:rsid w:val="00B24F30"/>
    <w:rsid w:val="00B3053D"/>
    <w:rsid w:val="00B31978"/>
    <w:rsid w:val="00B31ABF"/>
    <w:rsid w:val="00B32946"/>
    <w:rsid w:val="00B33BE3"/>
    <w:rsid w:val="00B33C8D"/>
    <w:rsid w:val="00B40214"/>
    <w:rsid w:val="00B409CE"/>
    <w:rsid w:val="00B42C77"/>
    <w:rsid w:val="00B44E8A"/>
    <w:rsid w:val="00B46B0C"/>
    <w:rsid w:val="00B53B5D"/>
    <w:rsid w:val="00B54D90"/>
    <w:rsid w:val="00B5536A"/>
    <w:rsid w:val="00B55474"/>
    <w:rsid w:val="00B560BB"/>
    <w:rsid w:val="00B57D3E"/>
    <w:rsid w:val="00B6055E"/>
    <w:rsid w:val="00B605C9"/>
    <w:rsid w:val="00B62B02"/>
    <w:rsid w:val="00B62CCB"/>
    <w:rsid w:val="00B6317D"/>
    <w:rsid w:val="00B648E0"/>
    <w:rsid w:val="00B6507B"/>
    <w:rsid w:val="00B7095E"/>
    <w:rsid w:val="00B72210"/>
    <w:rsid w:val="00B72D31"/>
    <w:rsid w:val="00B73801"/>
    <w:rsid w:val="00B7723F"/>
    <w:rsid w:val="00B778CA"/>
    <w:rsid w:val="00B80534"/>
    <w:rsid w:val="00B81E71"/>
    <w:rsid w:val="00B832C2"/>
    <w:rsid w:val="00B8433C"/>
    <w:rsid w:val="00B84389"/>
    <w:rsid w:val="00B87491"/>
    <w:rsid w:val="00B93308"/>
    <w:rsid w:val="00B93566"/>
    <w:rsid w:val="00B93611"/>
    <w:rsid w:val="00B95124"/>
    <w:rsid w:val="00B96327"/>
    <w:rsid w:val="00B96C72"/>
    <w:rsid w:val="00B97AB4"/>
    <w:rsid w:val="00BA0F6E"/>
    <w:rsid w:val="00BA175F"/>
    <w:rsid w:val="00BA2962"/>
    <w:rsid w:val="00BA29E9"/>
    <w:rsid w:val="00BA6560"/>
    <w:rsid w:val="00BA6DC8"/>
    <w:rsid w:val="00BA7142"/>
    <w:rsid w:val="00BB237C"/>
    <w:rsid w:val="00BB34EA"/>
    <w:rsid w:val="00BB3A2D"/>
    <w:rsid w:val="00BB41A3"/>
    <w:rsid w:val="00BB4861"/>
    <w:rsid w:val="00BB49CB"/>
    <w:rsid w:val="00BC32DC"/>
    <w:rsid w:val="00BC35B6"/>
    <w:rsid w:val="00BC6E80"/>
    <w:rsid w:val="00BC750B"/>
    <w:rsid w:val="00BC7D6A"/>
    <w:rsid w:val="00BD12E8"/>
    <w:rsid w:val="00BD132B"/>
    <w:rsid w:val="00BD1B51"/>
    <w:rsid w:val="00BD4596"/>
    <w:rsid w:val="00BD4689"/>
    <w:rsid w:val="00BD48B9"/>
    <w:rsid w:val="00BD5894"/>
    <w:rsid w:val="00BE0B5C"/>
    <w:rsid w:val="00BE1405"/>
    <w:rsid w:val="00BE29B7"/>
    <w:rsid w:val="00BE312D"/>
    <w:rsid w:val="00BE68AE"/>
    <w:rsid w:val="00BF1C20"/>
    <w:rsid w:val="00BF23F2"/>
    <w:rsid w:val="00BF44E4"/>
    <w:rsid w:val="00C006FB"/>
    <w:rsid w:val="00C01551"/>
    <w:rsid w:val="00C019F7"/>
    <w:rsid w:val="00C063AE"/>
    <w:rsid w:val="00C06A6E"/>
    <w:rsid w:val="00C10578"/>
    <w:rsid w:val="00C12470"/>
    <w:rsid w:val="00C135BC"/>
    <w:rsid w:val="00C13C92"/>
    <w:rsid w:val="00C15C95"/>
    <w:rsid w:val="00C2228B"/>
    <w:rsid w:val="00C230F6"/>
    <w:rsid w:val="00C244B2"/>
    <w:rsid w:val="00C2596A"/>
    <w:rsid w:val="00C27397"/>
    <w:rsid w:val="00C27537"/>
    <w:rsid w:val="00C27F1B"/>
    <w:rsid w:val="00C31476"/>
    <w:rsid w:val="00C328FE"/>
    <w:rsid w:val="00C33507"/>
    <w:rsid w:val="00C34CB9"/>
    <w:rsid w:val="00C43AFD"/>
    <w:rsid w:val="00C4409D"/>
    <w:rsid w:val="00C44395"/>
    <w:rsid w:val="00C4497A"/>
    <w:rsid w:val="00C44E72"/>
    <w:rsid w:val="00C456CF"/>
    <w:rsid w:val="00C45A06"/>
    <w:rsid w:val="00C4777F"/>
    <w:rsid w:val="00C47E5B"/>
    <w:rsid w:val="00C60A25"/>
    <w:rsid w:val="00C61E4B"/>
    <w:rsid w:val="00C61FDB"/>
    <w:rsid w:val="00C64BFF"/>
    <w:rsid w:val="00C67FAF"/>
    <w:rsid w:val="00C704E9"/>
    <w:rsid w:val="00C71084"/>
    <w:rsid w:val="00C74EE5"/>
    <w:rsid w:val="00C7565D"/>
    <w:rsid w:val="00C763C9"/>
    <w:rsid w:val="00C80057"/>
    <w:rsid w:val="00C81443"/>
    <w:rsid w:val="00C81642"/>
    <w:rsid w:val="00C82034"/>
    <w:rsid w:val="00C82232"/>
    <w:rsid w:val="00C82913"/>
    <w:rsid w:val="00C85FC1"/>
    <w:rsid w:val="00C92B8F"/>
    <w:rsid w:val="00C9313E"/>
    <w:rsid w:val="00C972B1"/>
    <w:rsid w:val="00CA0DF7"/>
    <w:rsid w:val="00CA2AFD"/>
    <w:rsid w:val="00CA2CCE"/>
    <w:rsid w:val="00CA43FD"/>
    <w:rsid w:val="00CA4901"/>
    <w:rsid w:val="00CA7083"/>
    <w:rsid w:val="00CA7EF8"/>
    <w:rsid w:val="00CB391A"/>
    <w:rsid w:val="00CC2AD4"/>
    <w:rsid w:val="00CC2E0F"/>
    <w:rsid w:val="00CC489B"/>
    <w:rsid w:val="00CC7719"/>
    <w:rsid w:val="00CC7D0B"/>
    <w:rsid w:val="00CD2BCD"/>
    <w:rsid w:val="00CD3A4C"/>
    <w:rsid w:val="00CD3F6B"/>
    <w:rsid w:val="00CD62A5"/>
    <w:rsid w:val="00CD75C1"/>
    <w:rsid w:val="00CE10E9"/>
    <w:rsid w:val="00CE2910"/>
    <w:rsid w:val="00CE2EE0"/>
    <w:rsid w:val="00CE5393"/>
    <w:rsid w:val="00CE6B07"/>
    <w:rsid w:val="00CE71A4"/>
    <w:rsid w:val="00CF0338"/>
    <w:rsid w:val="00CF096F"/>
    <w:rsid w:val="00CF10B7"/>
    <w:rsid w:val="00CF27CB"/>
    <w:rsid w:val="00CF2D29"/>
    <w:rsid w:val="00CF36BE"/>
    <w:rsid w:val="00CF514D"/>
    <w:rsid w:val="00CF6000"/>
    <w:rsid w:val="00D003F3"/>
    <w:rsid w:val="00D0364F"/>
    <w:rsid w:val="00D04D9E"/>
    <w:rsid w:val="00D05F0D"/>
    <w:rsid w:val="00D06655"/>
    <w:rsid w:val="00D06834"/>
    <w:rsid w:val="00D07B9A"/>
    <w:rsid w:val="00D211D5"/>
    <w:rsid w:val="00D22A2F"/>
    <w:rsid w:val="00D239AB"/>
    <w:rsid w:val="00D278EB"/>
    <w:rsid w:val="00D308D7"/>
    <w:rsid w:val="00D308ED"/>
    <w:rsid w:val="00D311AF"/>
    <w:rsid w:val="00D36D86"/>
    <w:rsid w:val="00D375E9"/>
    <w:rsid w:val="00D4208E"/>
    <w:rsid w:val="00D428AA"/>
    <w:rsid w:val="00D43304"/>
    <w:rsid w:val="00D50A34"/>
    <w:rsid w:val="00D530DB"/>
    <w:rsid w:val="00D53EFA"/>
    <w:rsid w:val="00D563DE"/>
    <w:rsid w:val="00D6160D"/>
    <w:rsid w:val="00D638B3"/>
    <w:rsid w:val="00D63D6C"/>
    <w:rsid w:val="00D641CA"/>
    <w:rsid w:val="00D65816"/>
    <w:rsid w:val="00D71555"/>
    <w:rsid w:val="00D74B27"/>
    <w:rsid w:val="00D80856"/>
    <w:rsid w:val="00D84444"/>
    <w:rsid w:val="00D86DD9"/>
    <w:rsid w:val="00D87A6E"/>
    <w:rsid w:val="00D94A7C"/>
    <w:rsid w:val="00D95896"/>
    <w:rsid w:val="00DA506C"/>
    <w:rsid w:val="00DB01F4"/>
    <w:rsid w:val="00DB2983"/>
    <w:rsid w:val="00DB309E"/>
    <w:rsid w:val="00DB59B3"/>
    <w:rsid w:val="00DB634D"/>
    <w:rsid w:val="00DB6526"/>
    <w:rsid w:val="00DB674F"/>
    <w:rsid w:val="00DC1257"/>
    <w:rsid w:val="00DC2978"/>
    <w:rsid w:val="00DC3DC0"/>
    <w:rsid w:val="00DC3DFF"/>
    <w:rsid w:val="00DC5B2B"/>
    <w:rsid w:val="00DC5B36"/>
    <w:rsid w:val="00DC7F7A"/>
    <w:rsid w:val="00DD033A"/>
    <w:rsid w:val="00DD318D"/>
    <w:rsid w:val="00DD32D0"/>
    <w:rsid w:val="00DE02CA"/>
    <w:rsid w:val="00DE0EC1"/>
    <w:rsid w:val="00DE27D6"/>
    <w:rsid w:val="00DE4352"/>
    <w:rsid w:val="00DE6425"/>
    <w:rsid w:val="00DF282B"/>
    <w:rsid w:val="00DF2E12"/>
    <w:rsid w:val="00DF514A"/>
    <w:rsid w:val="00DF65D7"/>
    <w:rsid w:val="00DF6690"/>
    <w:rsid w:val="00DF6804"/>
    <w:rsid w:val="00E0037D"/>
    <w:rsid w:val="00E01EC8"/>
    <w:rsid w:val="00E020AE"/>
    <w:rsid w:val="00E021E0"/>
    <w:rsid w:val="00E02BAE"/>
    <w:rsid w:val="00E0358D"/>
    <w:rsid w:val="00E042E3"/>
    <w:rsid w:val="00E04323"/>
    <w:rsid w:val="00E04B7E"/>
    <w:rsid w:val="00E070A2"/>
    <w:rsid w:val="00E14BE3"/>
    <w:rsid w:val="00E151A9"/>
    <w:rsid w:val="00E22419"/>
    <w:rsid w:val="00E22D65"/>
    <w:rsid w:val="00E25AB0"/>
    <w:rsid w:val="00E2656A"/>
    <w:rsid w:val="00E412D0"/>
    <w:rsid w:val="00E42310"/>
    <w:rsid w:val="00E434D2"/>
    <w:rsid w:val="00E47A3E"/>
    <w:rsid w:val="00E47C47"/>
    <w:rsid w:val="00E51D3A"/>
    <w:rsid w:val="00E53EBD"/>
    <w:rsid w:val="00E53FCD"/>
    <w:rsid w:val="00E54964"/>
    <w:rsid w:val="00E56322"/>
    <w:rsid w:val="00E60982"/>
    <w:rsid w:val="00E62C62"/>
    <w:rsid w:val="00E654C1"/>
    <w:rsid w:val="00E65832"/>
    <w:rsid w:val="00E65D97"/>
    <w:rsid w:val="00E66E16"/>
    <w:rsid w:val="00E71D38"/>
    <w:rsid w:val="00E71DB3"/>
    <w:rsid w:val="00E72A5A"/>
    <w:rsid w:val="00E73354"/>
    <w:rsid w:val="00E73D1C"/>
    <w:rsid w:val="00E762E6"/>
    <w:rsid w:val="00E9242D"/>
    <w:rsid w:val="00E96E27"/>
    <w:rsid w:val="00EA297C"/>
    <w:rsid w:val="00EA2CE2"/>
    <w:rsid w:val="00EB28D4"/>
    <w:rsid w:val="00EB3125"/>
    <w:rsid w:val="00EB4844"/>
    <w:rsid w:val="00EB5255"/>
    <w:rsid w:val="00EB5C47"/>
    <w:rsid w:val="00EC1958"/>
    <w:rsid w:val="00EC20A5"/>
    <w:rsid w:val="00EC31B1"/>
    <w:rsid w:val="00EC4056"/>
    <w:rsid w:val="00EC493C"/>
    <w:rsid w:val="00ED0639"/>
    <w:rsid w:val="00ED12D3"/>
    <w:rsid w:val="00ED1CB8"/>
    <w:rsid w:val="00ED4D10"/>
    <w:rsid w:val="00ED5698"/>
    <w:rsid w:val="00ED6E45"/>
    <w:rsid w:val="00EE42D3"/>
    <w:rsid w:val="00EE5FD3"/>
    <w:rsid w:val="00EF055F"/>
    <w:rsid w:val="00EF2907"/>
    <w:rsid w:val="00EF3555"/>
    <w:rsid w:val="00EF4755"/>
    <w:rsid w:val="00EF54FE"/>
    <w:rsid w:val="00EF57D8"/>
    <w:rsid w:val="00EF7135"/>
    <w:rsid w:val="00EF71DB"/>
    <w:rsid w:val="00F027DB"/>
    <w:rsid w:val="00F10CF2"/>
    <w:rsid w:val="00F14261"/>
    <w:rsid w:val="00F14A7A"/>
    <w:rsid w:val="00F15731"/>
    <w:rsid w:val="00F15FC7"/>
    <w:rsid w:val="00F21A69"/>
    <w:rsid w:val="00F22985"/>
    <w:rsid w:val="00F24406"/>
    <w:rsid w:val="00F25F6C"/>
    <w:rsid w:val="00F26790"/>
    <w:rsid w:val="00F3083C"/>
    <w:rsid w:val="00F3383E"/>
    <w:rsid w:val="00F35DDA"/>
    <w:rsid w:val="00F36491"/>
    <w:rsid w:val="00F40708"/>
    <w:rsid w:val="00F465A7"/>
    <w:rsid w:val="00F50B7C"/>
    <w:rsid w:val="00F52ADF"/>
    <w:rsid w:val="00F54E6D"/>
    <w:rsid w:val="00F550E6"/>
    <w:rsid w:val="00F6303B"/>
    <w:rsid w:val="00F679FE"/>
    <w:rsid w:val="00F67E71"/>
    <w:rsid w:val="00F70A8E"/>
    <w:rsid w:val="00F730F1"/>
    <w:rsid w:val="00F7370E"/>
    <w:rsid w:val="00F74345"/>
    <w:rsid w:val="00F74C6F"/>
    <w:rsid w:val="00F7534E"/>
    <w:rsid w:val="00F75827"/>
    <w:rsid w:val="00F809CF"/>
    <w:rsid w:val="00F80A0A"/>
    <w:rsid w:val="00F82B19"/>
    <w:rsid w:val="00F82F01"/>
    <w:rsid w:val="00F8305F"/>
    <w:rsid w:val="00F8585A"/>
    <w:rsid w:val="00F870E4"/>
    <w:rsid w:val="00F9212D"/>
    <w:rsid w:val="00F9487B"/>
    <w:rsid w:val="00F9513F"/>
    <w:rsid w:val="00F95488"/>
    <w:rsid w:val="00F965DA"/>
    <w:rsid w:val="00F96786"/>
    <w:rsid w:val="00F96957"/>
    <w:rsid w:val="00F97E1B"/>
    <w:rsid w:val="00FA3A9D"/>
    <w:rsid w:val="00FA406A"/>
    <w:rsid w:val="00FA470E"/>
    <w:rsid w:val="00FA6869"/>
    <w:rsid w:val="00FA780A"/>
    <w:rsid w:val="00FB503A"/>
    <w:rsid w:val="00FB516C"/>
    <w:rsid w:val="00FB51ED"/>
    <w:rsid w:val="00FC1B9A"/>
    <w:rsid w:val="00FC2C3A"/>
    <w:rsid w:val="00FC3F6B"/>
    <w:rsid w:val="00FD0236"/>
    <w:rsid w:val="00FD18F4"/>
    <w:rsid w:val="00FD33BE"/>
    <w:rsid w:val="00FD492D"/>
    <w:rsid w:val="00FD5212"/>
    <w:rsid w:val="00FD54DB"/>
    <w:rsid w:val="00FD619F"/>
    <w:rsid w:val="00FE0382"/>
    <w:rsid w:val="00FE1B10"/>
    <w:rsid w:val="00FE1FA5"/>
    <w:rsid w:val="00FE2CA8"/>
    <w:rsid w:val="00FE2F09"/>
    <w:rsid w:val="00FE679C"/>
    <w:rsid w:val="00FE740C"/>
    <w:rsid w:val="00FF2FCA"/>
    <w:rsid w:val="00FF33A8"/>
    <w:rsid w:val="00FF39B7"/>
    <w:rsid w:val="00FF4068"/>
    <w:rsid w:val="00FF4DD5"/>
    <w:rsid w:val="01290F7E"/>
    <w:rsid w:val="012D2A2A"/>
    <w:rsid w:val="0150576A"/>
    <w:rsid w:val="015D1E09"/>
    <w:rsid w:val="01B32343"/>
    <w:rsid w:val="024E686E"/>
    <w:rsid w:val="02697903"/>
    <w:rsid w:val="02904770"/>
    <w:rsid w:val="02DA26BE"/>
    <w:rsid w:val="02F96569"/>
    <w:rsid w:val="03144F12"/>
    <w:rsid w:val="03EA7B21"/>
    <w:rsid w:val="03EB4B18"/>
    <w:rsid w:val="041673AC"/>
    <w:rsid w:val="04275CE4"/>
    <w:rsid w:val="044B5A13"/>
    <w:rsid w:val="04883E48"/>
    <w:rsid w:val="04A07544"/>
    <w:rsid w:val="04B62C72"/>
    <w:rsid w:val="04C3540B"/>
    <w:rsid w:val="04E616FC"/>
    <w:rsid w:val="050D5D21"/>
    <w:rsid w:val="05133111"/>
    <w:rsid w:val="059535D7"/>
    <w:rsid w:val="05F83EAE"/>
    <w:rsid w:val="060132A5"/>
    <w:rsid w:val="063E7D85"/>
    <w:rsid w:val="0708572D"/>
    <w:rsid w:val="07293586"/>
    <w:rsid w:val="07295285"/>
    <w:rsid w:val="076334A9"/>
    <w:rsid w:val="07636392"/>
    <w:rsid w:val="07770C56"/>
    <w:rsid w:val="078D2B6C"/>
    <w:rsid w:val="08125054"/>
    <w:rsid w:val="081A528B"/>
    <w:rsid w:val="08310E91"/>
    <w:rsid w:val="08580C08"/>
    <w:rsid w:val="092217DD"/>
    <w:rsid w:val="093A7294"/>
    <w:rsid w:val="09630A37"/>
    <w:rsid w:val="098510E9"/>
    <w:rsid w:val="09A007BA"/>
    <w:rsid w:val="09B91E5B"/>
    <w:rsid w:val="0A263993"/>
    <w:rsid w:val="0A2D3AC2"/>
    <w:rsid w:val="0A491FAC"/>
    <w:rsid w:val="0A5F357B"/>
    <w:rsid w:val="0AA755DF"/>
    <w:rsid w:val="0B120D44"/>
    <w:rsid w:val="0BB14DA8"/>
    <w:rsid w:val="0BD27BF6"/>
    <w:rsid w:val="0C3B3C7D"/>
    <w:rsid w:val="0C9A7529"/>
    <w:rsid w:val="0CAB2EAE"/>
    <w:rsid w:val="0CAD024B"/>
    <w:rsid w:val="0CE14EC2"/>
    <w:rsid w:val="0D000AE0"/>
    <w:rsid w:val="0D621C7D"/>
    <w:rsid w:val="0D752A99"/>
    <w:rsid w:val="0E5A1395"/>
    <w:rsid w:val="0E6321B2"/>
    <w:rsid w:val="0E73034D"/>
    <w:rsid w:val="0EA32032"/>
    <w:rsid w:val="0EFD76F2"/>
    <w:rsid w:val="0F13775A"/>
    <w:rsid w:val="0F225B97"/>
    <w:rsid w:val="0F573383"/>
    <w:rsid w:val="0F585CB3"/>
    <w:rsid w:val="0F5F45FE"/>
    <w:rsid w:val="0F6B5738"/>
    <w:rsid w:val="0F77299F"/>
    <w:rsid w:val="0F95746B"/>
    <w:rsid w:val="0F9A112B"/>
    <w:rsid w:val="0FE51C4F"/>
    <w:rsid w:val="10327341"/>
    <w:rsid w:val="106D2F64"/>
    <w:rsid w:val="10B63710"/>
    <w:rsid w:val="10C76BB2"/>
    <w:rsid w:val="10F10820"/>
    <w:rsid w:val="1109528C"/>
    <w:rsid w:val="111C2F7A"/>
    <w:rsid w:val="11665CA1"/>
    <w:rsid w:val="116B7817"/>
    <w:rsid w:val="11757502"/>
    <w:rsid w:val="13951726"/>
    <w:rsid w:val="13F34F01"/>
    <w:rsid w:val="14396509"/>
    <w:rsid w:val="145722C0"/>
    <w:rsid w:val="14BA600C"/>
    <w:rsid w:val="14DD2C3C"/>
    <w:rsid w:val="14FA73A9"/>
    <w:rsid w:val="16087E1D"/>
    <w:rsid w:val="16910069"/>
    <w:rsid w:val="16FA3301"/>
    <w:rsid w:val="170554EC"/>
    <w:rsid w:val="17654071"/>
    <w:rsid w:val="17701D14"/>
    <w:rsid w:val="17735226"/>
    <w:rsid w:val="18717F69"/>
    <w:rsid w:val="189F624C"/>
    <w:rsid w:val="18E226B4"/>
    <w:rsid w:val="1940748A"/>
    <w:rsid w:val="19AA6313"/>
    <w:rsid w:val="19B77BA2"/>
    <w:rsid w:val="19D41C1B"/>
    <w:rsid w:val="1A1C66C0"/>
    <w:rsid w:val="1A42393B"/>
    <w:rsid w:val="1AAD45DE"/>
    <w:rsid w:val="1B046F80"/>
    <w:rsid w:val="1B1825F6"/>
    <w:rsid w:val="1B1C0922"/>
    <w:rsid w:val="1B3267B5"/>
    <w:rsid w:val="1B40161D"/>
    <w:rsid w:val="1B441859"/>
    <w:rsid w:val="1B5C7143"/>
    <w:rsid w:val="1B6606B1"/>
    <w:rsid w:val="1B860E42"/>
    <w:rsid w:val="1BA84A19"/>
    <w:rsid w:val="1BAB5405"/>
    <w:rsid w:val="1BF20668"/>
    <w:rsid w:val="1C5E7925"/>
    <w:rsid w:val="1CFD070F"/>
    <w:rsid w:val="1D0F1DF3"/>
    <w:rsid w:val="1D5F6196"/>
    <w:rsid w:val="1D6132A5"/>
    <w:rsid w:val="1D8E56D5"/>
    <w:rsid w:val="1DAF6207"/>
    <w:rsid w:val="1DDD7D99"/>
    <w:rsid w:val="1E5E766A"/>
    <w:rsid w:val="1E7A43DA"/>
    <w:rsid w:val="1E7E36AB"/>
    <w:rsid w:val="1E900C2C"/>
    <w:rsid w:val="1FE16E37"/>
    <w:rsid w:val="1FE7539E"/>
    <w:rsid w:val="2001351B"/>
    <w:rsid w:val="200A063F"/>
    <w:rsid w:val="2046754D"/>
    <w:rsid w:val="20671BE0"/>
    <w:rsid w:val="20963CB8"/>
    <w:rsid w:val="209A66E1"/>
    <w:rsid w:val="20A4696D"/>
    <w:rsid w:val="20A81A1B"/>
    <w:rsid w:val="20B07FB6"/>
    <w:rsid w:val="20B646FB"/>
    <w:rsid w:val="20FF70FF"/>
    <w:rsid w:val="211F197D"/>
    <w:rsid w:val="213B74B1"/>
    <w:rsid w:val="215A2310"/>
    <w:rsid w:val="2161556B"/>
    <w:rsid w:val="21D27FE9"/>
    <w:rsid w:val="21DE318A"/>
    <w:rsid w:val="21EF5B80"/>
    <w:rsid w:val="220D5C32"/>
    <w:rsid w:val="22576990"/>
    <w:rsid w:val="22AC1FCB"/>
    <w:rsid w:val="22C96B94"/>
    <w:rsid w:val="22F47480"/>
    <w:rsid w:val="23BD5497"/>
    <w:rsid w:val="23C50D2A"/>
    <w:rsid w:val="23DE1C48"/>
    <w:rsid w:val="23E816BF"/>
    <w:rsid w:val="240210CD"/>
    <w:rsid w:val="24BF09F7"/>
    <w:rsid w:val="24D20223"/>
    <w:rsid w:val="252D53FE"/>
    <w:rsid w:val="25BC4129"/>
    <w:rsid w:val="25D010D8"/>
    <w:rsid w:val="25EC2D81"/>
    <w:rsid w:val="26406ACF"/>
    <w:rsid w:val="269B60B2"/>
    <w:rsid w:val="273C35D0"/>
    <w:rsid w:val="275D221F"/>
    <w:rsid w:val="277057A2"/>
    <w:rsid w:val="278048A6"/>
    <w:rsid w:val="283B207E"/>
    <w:rsid w:val="286B1BB5"/>
    <w:rsid w:val="2885352B"/>
    <w:rsid w:val="28BC00F7"/>
    <w:rsid w:val="28F463CD"/>
    <w:rsid w:val="29206EB8"/>
    <w:rsid w:val="29595666"/>
    <w:rsid w:val="297D72A0"/>
    <w:rsid w:val="29874881"/>
    <w:rsid w:val="29E325E0"/>
    <w:rsid w:val="29F97C5F"/>
    <w:rsid w:val="2A452503"/>
    <w:rsid w:val="2A45762F"/>
    <w:rsid w:val="2A5F094B"/>
    <w:rsid w:val="2B265FFB"/>
    <w:rsid w:val="2BA936A8"/>
    <w:rsid w:val="2C315A5A"/>
    <w:rsid w:val="2C4B1C25"/>
    <w:rsid w:val="2C861CCC"/>
    <w:rsid w:val="2CC55DD5"/>
    <w:rsid w:val="2D6C6E43"/>
    <w:rsid w:val="2D9E56F5"/>
    <w:rsid w:val="2DBD1075"/>
    <w:rsid w:val="2DC94839"/>
    <w:rsid w:val="2DD5492E"/>
    <w:rsid w:val="2DFD1E2C"/>
    <w:rsid w:val="2E667F96"/>
    <w:rsid w:val="2E8226AB"/>
    <w:rsid w:val="2EFF4E4D"/>
    <w:rsid w:val="2FD065E6"/>
    <w:rsid w:val="2FD96870"/>
    <w:rsid w:val="300456D0"/>
    <w:rsid w:val="30580BC9"/>
    <w:rsid w:val="30A423FB"/>
    <w:rsid w:val="311E2ED7"/>
    <w:rsid w:val="315619EE"/>
    <w:rsid w:val="315C449C"/>
    <w:rsid w:val="31B82709"/>
    <w:rsid w:val="31D05482"/>
    <w:rsid w:val="31E5313B"/>
    <w:rsid w:val="32156DD9"/>
    <w:rsid w:val="32400B34"/>
    <w:rsid w:val="329464F9"/>
    <w:rsid w:val="329E6876"/>
    <w:rsid w:val="32AC69A4"/>
    <w:rsid w:val="333015F2"/>
    <w:rsid w:val="334B6320"/>
    <w:rsid w:val="33635DA1"/>
    <w:rsid w:val="33BD1455"/>
    <w:rsid w:val="33D934D4"/>
    <w:rsid w:val="33FE2F6A"/>
    <w:rsid w:val="340E07E5"/>
    <w:rsid w:val="34235BF7"/>
    <w:rsid w:val="34295EF5"/>
    <w:rsid w:val="34926C13"/>
    <w:rsid w:val="356F5BCF"/>
    <w:rsid w:val="358C5FA8"/>
    <w:rsid w:val="35AD4F53"/>
    <w:rsid w:val="35C15DF1"/>
    <w:rsid w:val="35E4182E"/>
    <w:rsid w:val="35EB3E55"/>
    <w:rsid w:val="36074A7F"/>
    <w:rsid w:val="36923549"/>
    <w:rsid w:val="36B75FBF"/>
    <w:rsid w:val="36BD0C45"/>
    <w:rsid w:val="378533C6"/>
    <w:rsid w:val="37E00298"/>
    <w:rsid w:val="38212B86"/>
    <w:rsid w:val="38B302F9"/>
    <w:rsid w:val="38F12CD3"/>
    <w:rsid w:val="38F94775"/>
    <w:rsid w:val="392971ED"/>
    <w:rsid w:val="39325651"/>
    <w:rsid w:val="39F56939"/>
    <w:rsid w:val="39F91761"/>
    <w:rsid w:val="39FA7D2B"/>
    <w:rsid w:val="3A273DAB"/>
    <w:rsid w:val="3A872856"/>
    <w:rsid w:val="3AAF56B5"/>
    <w:rsid w:val="3AB75076"/>
    <w:rsid w:val="3B3763D1"/>
    <w:rsid w:val="3B563BA8"/>
    <w:rsid w:val="3B626CC4"/>
    <w:rsid w:val="3BBB42F1"/>
    <w:rsid w:val="3C2F6E1E"/>
    <w:rsid w:val="3C4F64BA"/>
    <w:rsid w:val="3C5B2BB9"/>
    <w:rsid w:val="3C614F2B"/>
    <w:rsid w:val="3CB6466C"/>
    <w:rsid w:val="3CDA245A"/>
    <w:rsid w:val="3CEA28CC"/>
    <w:rsid w:val="3D1E06B7"/>
    <w:rsid w:val="3E2674B5"/>
    <w:rsid w:val="3E646581"/>
    <w:rsid w:val="3E806DD1"/>
    <w:rsid w:val="3EDA0523"/>
    <w:rsid w:val="3F1D222A"/>
    <w:rsid w:val="3F6C7AA9"/>
    <w:rsid w:val="3FF54D77"/>
    <w:rsid w:val="407A6407"/>
    <w:rsid w:val="407D64C1"/>
    <w:rsid w:val="40821BE4"/>
    <w:rsid w:val="40ED0C87"/>
    <w:rsid w:val="41332ABD"/>
    <w:rsid w:val="41421944"/>
    <w:rsid w:val="41662416"/>
    <w:rsid w:val="416F6CA8"/>
    <w:rsid w:val="41B9630E"/>
    <w:rsid w:val="4200449D"/>
    <w:rsid w:val="42270CEC"/>
    <w:rsid w:val="423A3BCC"/>
    <w:rsid w:val="424E57D2"/>
    <w:rsid w:val="4269756B"/>
    <w:rsid w:val="426E3AE8"/>
    <w:rsid w:val="42755FD2"/>
    <w:rsid w:val="42B26C49"/>
    <w:rsid w:val="432A01C1"/>
    <w:rsid w:val="433A6FE6"/>
    <w:rsid w:val="43480868"/>
    <w:rsid w:val="4350713C"/>
    <w:rsid w:val="436653E0"/>
    <w:rsid w:val="43C4431A"/>
    <w:rsid w:val="446172CD"/>
    <w:rsid w:val="44AC6468"/>
    <w:rsid w:val="44B951CC"/>
    <w:rsid w:val="44CD14E0"/>
    <w:rsid w:val="44F20B0B"/>
    <w:rsid w:val="452E5F4C"/>
    <w:rsid w:val="45612018"/>
    <w:rsid w:val="457E0985"/>
    <w:rsid w:val="458946E9"/>
    <w:rsid w:val="45A47C0E"/>
    <w:rsid w:val="45DC7BC1"/>
    <w:rsid w:val="46577FD6"/>
    <w:rsid w:val="469736C4"/>
    <w:rsid w:val="469C05C0"/>
    <w:rsid w:val="46D955A7"/>
    <w:rsid w:val="46E87AAC"/>
    <w:rsid w:val="47032078"/>
    <w:rsid w:val="4707615E"/>
    <w:rsid w:val="47133957"/>
    <w:rsid w:val="47632DE6"/>
    <w:rsid w:val="47A07E0C"/>
    <w:rsid w:val="481C620A"/>
    <w:rsid w:val="4837251E"/>
    <w:rsid w:val="483B778E"/>
    <w:rsid w:val="484726B8"/>
    <w:rsid w:val="4870272E"/>
    <w:rsid w:val="490E0416"/>
    <w:rsid w:val="49DC7715"/>
    <w:rsid w:val="4A023139"/>
    <w:rsid w:val="4A520A07"/>
    <w:rsid w:val="4A7B576F"/>
    <w:rsid w:val="4AC60109"/>
    <w:rsid w:val="4AF2320F"/>
    <w:rsid w:val="4AF561A9"/>
    <w:rsid w:val="4B217660"/>
    <w:rsid w:val="4B431B7A"/>
    <w:rsid w:val="4B442180"/>
    <w:rsid w:val="4B495A58"/>
    <w:rsid w:val="4BC66843"/>
    <w:rsid w:val="4BC724F8"/>
    <w:rsid w:val="4C4A0649"/>
    <w:rsid w:val="4C7E5ECA"/>
    <w:rsid w:val="4C876AA5"/>
    <w:rsid w:val="4CD314A1"/>
    <w:rsid w:val="4D0E00FB"/>
    <w:rsid w:val="4D1350D4"/>
    <w:rsid w:val="4D176606"/>
    <w:rsid w:val="4D59036B"/>
    <w:rsid w:val="4DEC4FB0"/>
    <w:rsid w:val="4E075D8A"/>
    <w:rsid w:val="4E0B43F1"/>
    <w:rsid w:val="4E197A55"/>
    <w:rsid w:val="4E235706"/>
    <w:rsid w:val="4E483DF6"/>
    <w:rsid w:val="4EC00FAD"/>
    <w:rsid w:val="4F451F5D"/>
    <w:rsid w:val="4F81157A"/>
    <w:rsid w:val="4F9843DC"/>
    <w:rsid w:val="4FC62A8C"/>
    <w:rsid w:val="4FCB0677"/>
    <w:rsid w:val="4FE20F0D"/>
    <w:rsid w:val="4FE51552"/>
    <w:rsid w:val="50504C4B"/>
    <w:rsid w:val="50693B44"/>
    <w:rsid w:val="509C6E7C"/>
    <w:rsid w:val="50A17FF1"/>
    <w:rsid w:val="50AA6921"/>
    <w:rsid w:val="50C50E7D"/>
    <w:rsid w:val="50C76EAB"/>
    <w:rsid w:val="50CA3310"/>
    <w:rsid w:val="515B2080"/>
    <w:rsid w:val="5162104E"/>
    <w:rsid w:val="52023E49"/>
    <w:rsid w:val="5223111D"/>
    <w:rsid w:val="523E7C1D"/>
    <w:rsid w:val="528E37DC"/>
    <w:rsid w:val="53A039CC"/>
    <w:rsid w:val="53A1505A"/>
    <w:rsid w:val="53CE7499"/>
    <w:rsid w:val="54063E08"/>
    <w:rsid w:val="543437E8"/>
    <w:rsid w:val="54A749AC"/>
    <w:rsid w:val="54F73313"/>
    <w:rsid w:val="54F80955"/>
    <w:rsid w:val="555170A7"/>
    <w:rsid w:val="5587536D"/>
    <w:rsid w:val="559B174B"/>
    <w:rsid w:val="55CE0CF4"/>
    <w:rsid w:val="55CE7EBE"/>
    <w:rsid w:val="562224A8"/>
    <w:rsid w:val="56300A26"/>
    <w:rsid w:val="569A6E3F"/>
    <w:rsid w:val="56B22A9C"/>
    <w:rsid w:val="572F215E"/>
    <w:rsid w:val="57AF00A0"/>
    <w:rsid w:val="57B21582"/>
    <w:rsid w:val="57B72A76"/>
    <w:rsid w:val="57C3426C"/>
    <w:rsid w:val="57CE1F93"/>
    <w:rsid w:val="58386F93"/>
    <w:rsid w:val="588743D1"/>
    <w:rsid w:val="5887701A"/>
    <w:rsid w:val="589065D8"/>
    <w:rsid w:val="58CB3A2F"/>
    <w:rsid w:val="594C2BCF"/>
    <w:rsid w:val="59617EAA"/>
    <w:rsid w:val="59A234BF"/>
    <w:rsid w:val="59C0439F"/>
    <w:rsid w:val="5A7A2181"/>
    <w:rsid w:val="5ABE2233"/>
    <w:rsid w:val="5BA64E35"/>
    <w:rsid w:val="5BAE57EB"/>
    <w:rsid w:val="5BC07A19"/>
    <w:rsid w:val="5BDF5D95"/>
    <w:rsid w:val="5BFE7528"/>
    <w:rsid w:val="5CA93FCD"/>
    <w:rsid w:val="5DEE1A0E"/>
    <w:rsid w:val="5E0652C3"/>
    <w:rsid w:val="5E2467F1"/>
    <w:rsid w:val="5E273154"/>
    <w:rsid w:val="5E3700ED"/>
    <w:rsid w:val="5EF838EC"/>
    <w:rsid w:val="5F1A2B43"/>
    <w:rsid w:val="5F3245FF"/>
    <w:rsid w:val="5F5A1152"/>
    <w:rsid w:val="5FB61D20"/>
    <w:rsid w:val="5FB837BB"/>
    <w:rsid w:val="5FE5411F"/>
    <w:rsid w:val="5FE91459"/>
    <w:rsid w:val="602E453F"/>
    <w:rsid w:val="60533491"/>
    <w:rsid w:val="60630DE6"/>
    <w:rsid w:val="60CC405A"/>
    <w:rsid w:val="60ED4BF0"/>
    <w:rsid w:val="611749DF"/>
    <w:rsid w:val="6138446C"/>
    <w:rsid w:val="61D23532"/>
    <w:rsid w:val="61E215D8"/>
    <w:rsid w:val="621B3775"/>
    <w:rsid w:val="62364782"/>
    <w:rsid w:val="62890B0B"/>
    <w:rsid w:val="629F6FB6"/>
    <w:rsid w:val="62AC6566"/>
    <w:rsid w:val="62B15989"/>
    <w:rsid w:val="630D7B05"/>
    <w:rsid w:val="635E29CD"/>
    <w:rsid w:val="63725B5A"/>
    <w:rsid w:val="6389364A"/>
    <w:rsid w:val="6394356A"/>
    <w:rsid w:val="63B32096"/>
    <w:rsid w:val="63C61B2C"/>
    <w:rsid w:val="63D40BE9"/>
    <w:rsid w:val="64102431"/>
    <w:rsid w:val="64340073"/>
    <w:rsid w:val="643418BF"/>
    <w:rsid w:val="6439070D"/>
    <w:rsid w:val="643A3DB8"/>
    <w:rsid w:val="645910F4"/>
    <w:rsid w:val="645B5FD7"/>
    <w:rsid w:val="64680E3C"/>
    <w:rsid w:val="64A5243A"/>
    <w:rsid w:val="64F531DE"/>
    <w:rsid w:val="65312BDC"/>
    <w:rsid w:val="65373578"/>
    <w:rsid w:val="65A75ABB"/>
    <w:rsid w:val="65D7623F"/>
    <w:rsid w:val="65F84E82"/>
    <w:rsid w:val="66276EEB"/>
    <w:rsid w:val="663B2D7B"/>
    <w:rsid w:val="671F124A"/>
    <w:rsid w:val="677A33C6"/>
    <w:rsid w:val="681F6961"/>
    <w:rsid w:val="68523F50"/>
    <w:rsid w:val="68610A2F"/>
    <w:rsid w:val="68712FA8"/>
    <w:rsid w:val="68805514"/>
    <w:rsid w:val="68B44968"/>
    <w:rsid w:val="69316E2F"/>
    <w:rsid w:val="694E2071"/>
    <w:rsid w:val="695F3822"/>
    <w:rsid w:val="6964112D"/>
    <w:rsid w:val="69766163"/>
    <w:rsid w:val="697A3B33"/>
    <w:rsid w:val="69D44760"/>
    <w:rsid w:val="6A46768E"/>
    <w:rsid w:val="6A520EC7"/>
    <w:rsid w:val="6A726B41"/>
    <w:rsid w:val="6AF87E20"/>
    <w:rsid w:val="6B2B0324"/>
    <w:rsid w:val="6B322639"/>
    <w:rsid w:val="6BCE2E4D"/>
    <w:rsid w:val="6C636C38"/>
    <w:rsid w:val="6C934F86"/>
    <w:rsid w:val="6DB34098"/>
    <w:rsid w:val="6DB545B6"/>
    <w:rsid w:val="6DC27269"/>
    <w:rsid w:val="6DE02FB4"/>
    <w:rsid w:val="6DE84C7F"/>
    <w:rsid w:val="6DF930AE"/>
    <w:rsid w:val="6E514CED"/>
    <w:rsid w:val="6EB563D5"/>
    <w:rsid w:val="6EC12E29"/>
    <w:rsid w:val="6ED92677"/>
    <w:rsid w:val="6F055FB3"/>
    <w:rsid w:val="6F225983"/>
    <w:rsid w:val="6FDB0577"/>
    <w:rsid w:val="6FFC5590"/>
    <w:rsid w:val="700953A5"/>
    <w:rsid w:val="705D39B8"/>
    <w:rsid w:val="706D1DD0"/>
    <w:rsid w:val="70856B87"/>
    <w:rsid w:val="70D527EE"/>
    <w:rsid w:val="7103290C"/>
    <w:rsid w:val="7131570E"/>
    <w:rsid w:val="713B5B7B"/>
    <w:rsid w:val="715B5300"/>
    <w:rsid w:val="71D27F8A"/>
    <w:rsid w:val="720D4B64"/>
    <w:rsid w:val="72553024"/>
    <w:rsid w:val="725B07ED"/>
    <w:rsid w:val="727B545A"/>
    <w:rsid w:val="73122968"/>
    <w:rsid w:val="73126768"/>
    <w:rsid w:val="731F5D5E"/>
    <w:rsid w:val="73C51AD5"/>
    <w:rsid w:val="73E443E6"/>
    <w:rsid w:val="73FB5021"/>
    <w:rsid w:val="740C66F7"/>
    <w:rsid w:val="741E793C"/>
    <w:rsid w:val="745E3944"/>
    <w:rsid w:val="74655E31"/>
    <w:rsid w:val="749432B8"/>
    <w:rsid w:val="74D476E4"/>
    <w:rsid w:val="75094696"/>
    <w:rsid w:val="752779A3"/>
    <w:rsid w:val="75EA6770"/>
    <w:rsid w:val="761361C2"/>
    <w:rsid w:val="7635099D"/>
    <w:rsid w:val="76B9143D"/>
    <w:rsid w:val="770800AD"/>
    <w:rsid w:val="774A73FA"/>
    <w:rsid w:val="77633904"/>
    <w:rsid w:val="77762421"/>
    <w:rsid w:val="77B56B1F"/>
    <w:rsid w:val="780F09F4"/>
    <w:rsid w:val="78867C55"/>
    <w:rsid w:val="78997A19"/>
    <w:rsid w:val="78A90480"/>
    <w:rsid w:val="790032BC"/>
    <w:rsid w:val="797615C8"/>
    <w:rsid w:val="7A364017"/>
    <w:rsid w:val="7A8265E1"/>
    <w:rsid w:val="7A844304"/>
    <w:rsid w:val="7A8E6B48"/>
    <w:rsid w:val="7B686D42"/>
    <w:rsid w:val="7B841746"/>
    <w:rsid w:val="7B9D6439"/>
    <w:rsid w:val="7BCC2C40"/>
    <w:rsid w:val="7C301754"/>
    <w:rsid w:val="7C434255"/>
    <w:rsid w:val="7C6C5AC7"/>
    <w:rsid w:val="7CC6544B"/>
    <w:rsid w:val="7D0239FF"/>
    <w:rsid w:val="7D302E5A"/>
    <w:rsid w:val="7D3D6B05"/>
    <w:rsid w:val="7D5E40CD"/>
    <w:rsid w:val="7DCD56F2"/>
    <w:rsid w:val="7E326B90"/>
    <w:rsid w:val="7E510931"/>
    <w:rsid w:val="7E5A73CA"/>
    <w:rsid w:val="7F001CE7"/>
    <w:rsid w:val="7F1C02DC"/>
    <w:rsid w:val="7F64745E"/>
    <w:rsid w:val="7FCB1ADA"/>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qFormat="1" w:uiPriority="99"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3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overflowPunct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4"/>
    <w:qFormat/>
    <w:locked/>
    <w:uiPriority w:val="9"/>
    <w:pPr>
      <w:keepNext/>
      <w:keepLines/>
      <w:spacing w:line="360" w:lineRule="auto"/>
      <w:outlineLvl w:val="1"/>
    </w:pPr>
    <w:rPr>
      <w:b/>
      <w:bCs/>
      <w:sz w:val="32"/>
      <w:szCs w:val="30"/>
    </w:rPr>
  </w:style>
  <w:style w:type="paragraph" w:styleId="5">
    <w:name w:val="heading 3"/>
    <w:basedOn w:val="3"/>
    <w:next w:val="4"/>
    <w:qFormat/>
    <w:locked/>
    <w:uiPriority w:val="0"/>
    <w:pPr>
      <w:outlineLvl w:val="2"/>
    </w:pPr>
    <w:rPr>
      <w:sz w:val="30"/>
    </w:rPr>
  </w:style>
  <w:style w:type="paragraph" w:styleId="6">
    <w:name w:val="heading 4"/>
    <w:basedOn w:val="1"/>
    <w:next w:val="7"/>
    <w:qFormat/>
    <w:locked/>
    <w:uiPriority w:val="0"/>
    <w:pPr>
      <w:keepNext/>
      <w:keepLines/>
      <w:spacing w:before="280" w:after="290" w:line="376" w:lineRule="auto"/>
      <w:outlineLvl w:val="3"/>
    </w:pPr>
    <w:rPr>
      <w:rFonts w:ascii="等线 Light" w:hAnsi="等线 Light" w:eastAsia="等线 Light"/>
      <w:b/>
      <w:bCs/>
      <w:sz w:val="28"/>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customStyle="1" w:styleId="4">
    <w:name w:val="报告-正文"/>
    <w:autoRedefine/>
    <w:qFormat/>
    <w:uiPriority w:val="3"/>
    <w:pPr>
      <w:spacing w:line="360" w:lineRule="auto"/>
      <w:ind w:firstLine="480"/>
    </w:pPr>
    <w:rPr>
      <w:rFonts w:ascii="Times New Roman" w:hAnsi="Times New Roman" w:eastAsia="宋体" w:cs="Times New Roman"/>
      <w:kern w:val="2"/>
      <w:sz w:val="24"/>
      <w:lang w:val="en-US" w:eastAsia="zh-CN" w:bidi="ar-SA"/>
    </w:rPr>
  </w:style>
  <w:style w:type="paragraph" w:customStyle="1" w:styleId="7">
    <w:name w:val="正文样式1"/>
    <w:basedOn w:val="1"/>
    <w:autoRedefine/>
    <w:semiHidden/>
    <w:qFormat/>
    <w:uiPriority w:val="0"/>
    <w:pPr>
      <w:spacing w:line="288" w:lineRule="auto"/>
      <w:ind w:firstLine="360" w:firstLineChars="150"/>
      <w:textAlignment w:val="baseline"/>
    </w:pPr>
    <w:rPr>
      <w:kern w:val="0"/>
      <w:sz w:val="24"/>
      <w:szCs w:val="20"/>
    </w:rPr>
  </w:style>
  <w:style w:type="paragraph" w:styleId="8">
    <w:name w:val="toc 7"/>
    <w:basedOn w:val="1"/>
    <w:next w:val="1"/>
    <w:autoRedefine/>
    <w:qFormat/>
    <w:locked/>
    <w:uiPriority w:val="0"/>
    <w:pPr>
      <w:ind w:left="1260"/>
      <w:jc w:val="left"/>
    </w:pPr>
    <w:rPr>
      <w:rFonts w:ascii="Calibri" w:hAnsi="Calibri" w:cs="Calibri"/>
      <w:sz w:val="18"/>
      <w:szCs w:val="18"/>
    </w:rPr>
  </w:style>
  <w:style w:type="paragraph" w:styleId="9">
    <w:name w:val="Note Heading"/>
    <w:basedOn w:val="1"/>
    <w:next w:val="1"/>
    <w:autoRedefine/>
    <w:qFormat/>
    <w:locked/>
    <w:uiPriority w:val="0"/>
    <w:pPr>
      <w:jc w:val="center"/>
    </w:pPr>
  </w:style>
  <w:style w:type="paragraph" w:styleId="10">
    <w:name w:val="E-mail Signature"/>
    <w:basedOn w:val="1"/>
    <w:next w:val="11"/>
    <w:autoRedefine/>
    <w:unhideWhenUsed/>
    <w:qFormat/>
    <w:locked/>
    <w:uiPriority w:val="99"/>
    <w:pPr>
      <w:spacing w:line="460" w:lineRule="exact"/>
      <w:ind w:firstLine="200"/>
    </w:pPr>
    <w:rPr>
      <w:szCs w:val="144"/>
    </w:rPr>
  </w:style>
  <w:style w:type="paragraph" w:customStyle="1" w:styleId="11">
    <w:name w:val="文章"/>
    <w:next w:val="12"/>
    <w:autoRedefine/>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2">
    <w:name w:val="List"/>
    <w:basedOn w:val="1"/>
    <w:next w:val="13"/>
    <w:autoRedefine/>
    <w:qFormat/>
    <w:locked/>
    <w:uiPriority w:val="0"/>
    <w:pPr>
      <w:ind w:left="200" w:hanging="200" w:hangingChars="200"/>
    </w:pPr>
    <w:rPr>
      <w:rFonts w:ascii="Calibri" w:hAnsi="Calibri"/>
      <w:sz w:val="24"/>
      <w:szCs w:val="144"/>
    </w:rPr>
  </w:style>
  <w:style w:type="paragraph" w:styleId="13">
    <w:name w:val="List Bullet 2"/>
    <w:basedOn w:val="1"/>
    <w:next w:val="14"/>
    <w:autoRedefine/>
    <w:qFormat/>
    <w:locked/>
    <w:uiPriority w:val="0"/>
    <w:pPr>
      <w:numPr>
        <w:ilvl w:val="0"/>
        <w:numId w:val="1"/>
      </w:numPr>
    </w:pPr>
  </w:style>
  <w:style w:type="paragraph" w:customStyle="1" w:styleId="14">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styleId="15">
    <w:name w:val="Normal Indent"/>
    <w:basedOn w:val="1"/>
    <w:next w:val="1"/>
    <w:link w:val="46"/>
    <w:autoRedefine/>
    <w:qFormat/>
    <w:locked/>
    <w:uiPriority w:val="0"/>
    <w:pPr>
      <w:spacing w:beforeLines="50"/>
      <w:jc w:val="center"/>
    </w:pPr>
    <w:rPr>
      <w:rFonts w:ascii="黑体" w:eastAsia="黑体"/>
      <w:sz w:val="24"/>
      <w:szCs w:val="20"/>
    </w:rPr>
  </w:style>
  <w:style w:type="paragraph" w:styleId="16">
    <w:name w:val="Document Map"/>
    <w:basedOn w:val="1"/>
    <w:link w:val="47"/>
    <w:autoRedefine/>
    <w:qFormat/>
    <w:locked/>
    <w:uiPriority w:val="0"/>
    <w:rPr>
      <w:rFonts w:ascii="宋体"/>
      <w:sz w:val="18"/>
      <w:szCs w:val="18"/>
    </w:rPr>
  </w:style>
  <w:style w:type="paragraph" w:styleId="17">
    <w:name w:val="annotation text"/>
    <w:basedOn w:val="1"/>
    <w:link w:val="48"/>
    <w:autoRedefine/>
    <w:semiHidden/>
    <w:qFormat/>
    <w:uiPriority w:val="0"/>
    <w:pPr>
      <w:jc w:val="left"/>
    </w:pPr>
    <w:rPr>
      <w:kern w:val="0"/>
      <w:sz w:val="24"/>
      <w:szCs w:val="20"/>
    </w:rPr>
  </w:style>
  <w:style w:type="paragraph" w:styleId="18">
    <w:name w:val="Salutation"/>
    <w:next w:val="1"/>
    <w:autoRedefine/>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9">
    <w:name w:val="Body Text"/>
    <w:basedOn w:val="1"/>
    <w:next w:val="9"/>
    <w:link w:val="49"/>
    <w:autoRedefine/>
    <w:qFormat/>
    <w:uiPriority w:val="0"/>
    <w:pPr>
      <w:widowControl/>
      <w:spacing w:before="60" w:after="160" w:line="259" w:lineRule="auto"/>
      <w:ind w:right="113"/>
    </w:pPr>
    <w:rPr>
      <w:kern w:val="0"/>
      <w:sz w:val="18"/>
      <w:szCs w:val="20"/>
    </w:rPr>
  </w:style>
  <w:style w:type="paragraph" w:styleId="20">
    <w:name w:val="Body Text Indent"/>
    <w:basedOn w:val="1"/>
    <w:next w:val="1"/>
    <w:link w:val="50"/>
    <w:autoRedefine/>
    <w:qFormat/>
    <w:uiPriority w:val="0"/>
    <w:pPr>
      <w:spacing w:after="120"/>
      <w:ind w:left="420" w:leftChars="200"/>
    </w:pPr>
    <w:rPr>
      <w:kern w:val="0"/>
      <w:sz w:val="24"/>
      <w:szCs w:val="20"/>
    </w:rPr>
  </w:style>
  <w:style w:type="paragraph" w:styleId="21">
    <w:name w:val="Block Text"/>
    <w:basedOn w:val="1"/>
    <w:autoRedefine/>
    <w:qFormat/>
    <w:locked/>
    <w:uiPriority w:val="0"/>
    <w:pPr>
      <w:adjustRightInd/>
      <w:snapToGrid/>
      <w:spacing w:line="440" w:lineRule="exact"/>
      <w:ind w:left="113" w:right="113" w:firstLine="567"/>
    </w:pPr>
    <w:rPr>
      <w:rFonts w:ascii="仿宋_GB2312" w:eastAsia="仿宋_GB2312"/>
      <w:sz w:val="28"/>
    </w:rPr>
  </w:style>
  <w:style w:type="paragraph" w:styleId="22">
    <w:name w:val="Plain Text"/>
    <w:basedOn w:val="1"/>
    <w:next w:val="1"/>
    <w:link w:val="51"/>
    <w:autoRedefine/>
    <w:qFormat/>
    <w:locked/>
    <w:uiPriority w:val="0"/>
    <w:pPr>
      <w:spacing w:line="240" w:lineRule="exact"/>
      <w:jc w:val="center"/>
    </w:pPr>
    <w:rPr>
      <w:rFonts w:ascii="宋体" w:hAnsi="Courier New"/>
      <w:szCs w:val="20"/>
    </w:rPr>
  </w:style>
  <w:style w:type="paragraph" w:styleId="23">
    <w:name w:val="Date"/>
    <w:basedOn w:val="1"/>
    <w:next w:val="1"/>
    <w:link w:val="52"/>
    <w:autoRedefine/>
    <w:qFormat/>
    <w:uiPriority w:val="0"/>
    <w:pPr>
      <w:ind w:left="100" w:leftChars="2500"/>
    </w:pPr>
    <w:rPr>
      <w:kern w:val="0"/>
      <w:sz w:val="24"/>
      <w:szCs w:val="20"/>
    </w:rPr>
  </w:style>
  <w:style w:type="paragraph" w:styleId="24">
    <w:name w:val="Balloon Text"/>
    <w:basedOn w:val="1"/>
    <w:link w:val="53"/>
    <w:autoRedefine/>
    <w:semiHidden/>
    <w:qFormat/>
    <w:uiPriority w:val="0"/>
    <w:rPr>
      <w:kern w:val="0"/>
      <w:sz w:val="18"/>
      <w:szCs w:val="20"/>
    </w:rPr>
  </w:style>
  <w:style w:type="paragraph" w:styleId="25">
    <w:name w:val="footer"/>
    <w:basedOn w:val="1"/>
    <w:link w:val="54"/>
    <w:autoRedefine/>
    <w:qFormat/>
    <w:uiPriority w:val="99"/>
    <w:pPr>
      <w:tabs>
        <w:tab w:val="center" w:pos="4153"/>
        <w:tab w:val="right" w:pos="8306"/>
      </w:tabs>
      <w:jc w:val="left"/>
    </w:pPr>
    <w:rPr>
      <w:kern w:val="0"/>
      <w:sz w:val="18"/>
      <w:szCs w:val="20"/>
    </w:rPr>
  </w:style>
  <w:style w:type="paragraph" w:styleId="26">
    <w:name w:val="header"/>
    <w:basedOn w:val="1"/>
    <w:link w:val="55"/>
    <w:autoRedefine/>
    <w:qFormat/>
    <w:uiPriority w:val="0"/>
    <w:pPr>
      <w:pBdr>
        <w:bottom w:val="single" w:color="auto" w:sz="6" w:space="1"/>
      </w:pBdr>
      <w:tabs>
        <w:tab w:val="center" w:pos="4153"/>
        <w:tab w:val="right" w:pos="8306"/>
      </w:tabs>
      <w:jc w:val="center"/>
    </w:pPr>
    <w:rPr>
      <w:kern w:val="0"/>
      <w:sz w:val="18"/>
      <w:szCs w:val="20"/>
    </w:rPr>
  </w:style>
  <w:style w:type="paragraph" w:styleId="27">
    <w:name w:val="toc 1"/>
    <w:basedOn w:val="1"/>
    <w:next w:val="1"/>
    <w:link w:val="153"/>
    <w:autoRedefine/>
    <w:unhideWhenUsed/>
    <w:qFormat/>
    <w:locked/>
    <w:uiPriority w:val="39"/>
  </w:style>
  <w:style w:type="paragraph" w:styleId="28">
    <w:name w:val="toc 2"/>
    <w:basedOn w:val="1"/>
    <w:next w:val="10"/>
    <w:autoRedefine/>
    <w:qFormat/>
    <w:locked/>
    <w:uiPriority w:val="0"/>
    <w:pPr>
      <w:tabs>
        <w:tab w:val="right" w:leader="dot" w:pos="9060"/>
      </w:tabs>
      <w:spacing w:line="360" w:lineRule="auto"/>
      <w:ind w:left="420" w:leftChars="200"/>
    </w:pPr>
    <w:rPr>
      <w:rFonts w:ascii="Calibri" w:hAnsi="Calibri"/>
      <w:szCs w:val="144"/>
    </w:rPr>
  </w:style>
  <w:style w:type="paragraph" w:styleId="29">
    <w:name w:val="Normal (Web)"/>
    <w:basedOn w:val="1"/>
    <w:link w:val="56"/>
    <w:autoRedefine/>
    <w:qFormat/>
    <w:uiPriority w:val="0"/>
    <w:pPr>
      <w:widowControl/>
      <w:spacing w:before="100" w:beforeAutospacing="1" w:after="100" w:afterAutospacing="1"/>
      <w:jc w:val="left"/>
    </w:pPr>
    <w:rPr>
      <w:rFonts w:ascii="宋体" w:hAnsi="宋体"/>
      <w:kern w:val="0"/>
      <w:sz w:val="24"/>
      <w:szCs w:val="20"/>
    </w:rPr>
  </w:style>
  <w:style w:type="paragraph" w:styleId="30">
    <w:name w:val="Title"/>
    <w:basedOn w:val="1"/>
    <w:next w:val="1"/>
    <w:link w:val="57"/>
    <w:autoRedefine/>
    <w:qFormat/>
    <w:locked/>
    <w:uiPriority w:val="0"/>
    <w:pPr>
      <w:adjustRightInd/>
      <w:snapToGrid/>
      <w:spacing w:before="240" w:after="60" w:line="360" w:lineRule="auto"/>
      <w:ind w:firstLine="200" w:firstLineChars="200"/>
      <w:jc w:val="center"/>
      <w:outlineLvl w:val="0"/>
    </w:pPr>
    <w:rPr>
      <w:rFonts w:ascii="等线 Light" w:hAnsi="等线 Light"/>
      <w:b/>
      <w:bCs/>
      <w:sz w:val="32"/>
      <w:szCs w:val="32"/>
    </w:rPr>
  </w:style>
  <w:style w:type="paragraph" w:styleId="31">
    <w:name w:val="annotation subject"/>
    <w:basedOn w:val="17"/>
    <w:next w:val="17"/>
    <w:link w:val="58"/>
    <w:autoRedefine/>
    <w:semiHidden/>
    <w:qFormat/>
    <w:uiPriority w:val="0"/>
    <w:rPr>
      <w:b/>
      <w:kern w:val="2"/>
    </w:rPr>
  </w:style>
  <w:style w:type="paragraph" w:styleId="32">
    <w:name w:val="Body Text First Indent"/>
    <w:basedOn w:val="19"/>
    <w:next w:val="1"/>
    <w:autoRedefine/>
    <w:qFormat/>
    <w:locked/>
    <w:uiPriority w:val="0"/>
    <w:pPr>
      <w:widowControl w:val="0"/>
      <w:tabs>
        <w:tab w:val="left" w:pos="1620"/>
        <w:tab w:val="left" w:pos="2700"/>
      </w:tabs>
      <w:spacing w:line="240" w:lineRule="exact"/>
      <w:ind w:firstLine="420" w:firstLineChars="100"/>
      <w:jc w:val="center"/>
    </w:pPr>
    <w:rPr>
      <w:kern w:val="2"/>
      <w:sz w:val="28"/>
    </w:rPr>
  </w:style>
  <w:style w:type="paragraph" w:styleId="33">
    <w:name w:val="Body Text First Indent 2"/>
    <w:basedOn w:val="20"/>
    <w:next w:val="1"/>
    <w:autoRedefine/>
    <w:qFormat/>
    <w:locked/>
    <w:uiPriority w:val="0"/>
    <w:pPr>
      <w:spacing w:after="0" w:line="360" w:lineRule="auto"/>
      <w:ind w:left="0" w:firstLine="420" w:firstLineChars="200"/>
    </w:pPr>
    <w:rPr>
      <w:kern w:val="2"/>
      <w:szCs w:val="24"/>
    </w:rPr>
  </w:style>
  <w:style w:type="table" w:styleId="35">
    <w:name w:val="Table Grid"/>
    <w:basedOn w:val="3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autoRedefine/>
    <w:qFormat/>
    <w:locked/>
    <w:uiPriority w:val="0"/>
    <w:rPr>
      <w:b/>
    </w:rPr>
  </w:style>
  <w:style w:type="character" w:styleId="38">
    <w:name w:val="page number"/>
    <w:autoRedefine/>
    <w:qFormat/>
    <w:locked/>
    <w:uiPriority w:val="0"/>
  </w:style>
  <w:style w:type="character" w:styleId="39">
    <w:name w:val="Hyperlink"/>
    <w:basedOn w:val="36"/>
    <w:autoRedefine/>
    <w:qFormat/>
    <w:locked/>
    <w:uiPriority w:val="0"/>
    <w:rPr>
      <w:color w:val="0000FF"/>
      <w:u w:val="single"/>
    </w:rPr>
  </w:style>
  <w:style w:type="character" w:styleId="40">
    <w:name w:val="annotation reference"/>
    <w:autoRedefine/>
    <w:semiHidden/>
    <w:qFormat/>
    <w:uiPriority w:val="0"/>
    <w:rPr>
      <w:sz w:val="21"/>
    </w:rPr>
  </w:style>
  <w:style w:type="paragraph" w:customStyle="1" w:styleId="41">
    <w:name w:val="报告表正文"/>
    <w:basedOn w:val="1"/>
    <w:autoRedefine/>
    <w:qFormat/>
    <w:uiPriority w:val="0"/>
  </w:style>
  <w:style w:type="paragraph" w:customStyle="1" w:styleId="42">
    <w:name w:val="Default"/>
    <w:basedOn w:val="43"/>
    <w:autoRedefine/>
    <w:qFormat/>
    <w:uiPriority w:val="0"/>
    <w:pPr>
      <w:autoSpaceDE w:val="0"/>
      <w:autoSpaceDN w:val="0"/>
    </w:pPr>
    <w:rPr>
      <w:rFonts w:hAnsi="等线" w:cs="宋体"/>
      <w:color w:val="000000"/>
      <w:sz w:val="24"/>
    </w:rPr>
  </w:style>
  <w:style w:type="paragraph" w:customStyle="1" w:styleId="43">
    <w:name w:val="纯文本1"/>
    <w:basedOn w:val="1"/>
    <w:autoRedefine/>
    <w:qFormat/>
    <w:uiPriority w:val="0"/>
    <w:rPr>
      <w:rFonts w:ascii="宋体" w:hAnsi="Courier New"/>
    </w:rPr>
  </w:style>
  <w:style w:type="paragraph" w:customStyle="1" w:styleId="44">
    <w:name w:val="样式35"/>
    <w:next w:val="45"/>
    <w:autoRedefine/>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45">
    <w:name w:val="font6"/>
    <w:next w:val="28"/>
    <w:autoRedefine/>
    <w:qFormat/>
    <w:uiPriority w:val="0"/>
    <w:pPr>
      <w:spacing w:before="280" w:after="280"/>
      <w:jc w:val="both"/>
    </w:pPr>
    <w:rPr>
      <w:rFonts w:ascii="Times New Roman" w:hAnsi="Times New Roman" w:eastAsia="宋体" w:cs="Times New Roman"/>
      <w:kern w:val="2"/>
      <w:sz w:val="21"/>
      <w:szCs w:val="22"/>
      <w:lang w:val="en-US" w:eastAsia="zh-CN" w:bidi="ar-SA"/>
    </w:rPr>
  </w:style>
  <w:style w:type="character" w:customStyle="1" w:styleId="46">
    <w:name w:val="正文缩进 Char"/>
    <w:link w:val="15"/>
    <w:autoRedefine/>
    <w:qFormat/>
    <w:uiPriority w:val="0"/>
    <w:rPr>
      <w:rFonts w:ascii="黑体" w:eastAsia="黑体" w:cs="Plotter"/>
      <w:kern w:val="2"/>
      <w:sz w:val="24"/>
    </w:rPr>
  </w:style>
  <w:style w:type="character" w:customStyle="1" w:styleId="47">
    <w:name w:val="文档结构图 Char"/>
    <w:link w:val="16"/>
    <w:autoRedefine/>
    <w:qFormat/>
    <w:uiPriority w:val="0"/>
    <w:rPr>
      <w:rFonts w:ascii="宋体"/>
      <w:kern w:val="2"/>
      <w:sz w:val="18"/>
      <w:szCs w:val="18"/>
    </w:rPr>
  </w:style>
  <w:style w:type="character" w:customStyle="1" w:styleId="48">
    <w:name w:val="批注文字 Char"/>
    <w:link w:val="17"/>
    <w:autoRedefine/>
    <w:qFormat/>
    <w:locked/>
    <w:uiPriority w:val="0"/>
    <w:rPr>
      <w:rFonts w:ascii="Times New Roman" w:hAnsi="Times New Roman" w:eastAsia="宋体"/>
      <w:sz w:val="24"/>
    </w:rPr>
  </w:style>
  <w:style w:type="character" w:customStyle="1" w:styleId="49">
    <w:name w:val="正文文本 Char"/>
    <w:link w:val="19"/>
    <w:autoRedefine/>
    <w:qFormat/>
    <w:locked/>
    <w:uiPriority w:val="0"/>
    <w:rPr>
      <w:sz w:val="18"/>
    </w:rPr>
  </w:style>
  <w:style w:type="character" w:customStyle="1" w:styleId="50">
    <w:name w:val="正文文本缩进 Char"/>
    <w:link w:val="20"/>
    <w:autoRedefine/>
    <w:semiHidden/>
    <w:qFormat/>
    <w:locked/>
    <w:uiPriority w:val="0"/>
    <w:rPr>
      <w:rFonts w:ascii="Times New Roman" w:hAnsi="Times New Roman" w:eastAsia="宋体"/>
      <w:sz w:val="24"/>
    </w:rPr>
  </w:style>
  <w:style w:type="character" w:customStyle="1" w:styleId="51">
    <w:name w:val="纯文本 Char"/>
    <w:link w:val="22"/>
    <w:autoRedefine/>
    <w:qFormat/>
    <w:uiPriority w:val="0"/>
    <w:rPr>
      <w:rFonts w:ascii="宋体" w:hAnsi="Courier New"/>
      <w:kern w:val="2"/>
      <w:sz w:val="21"/>
    </w:rPr>
  </w:style>
  <w:style w:type="character" w:customStyle="1" w:styleId="52">
    <w:name w:val="日期 Char"/>
    <w:link w:val="23"/>
    <w:autoRedefine/>
    <w:qFormat/>
    <w:locked/>
    <w:uiPriority w:val="0"/>
    <w:rPr>
      <w:rFonts w:ascii="Times New Roman" w:hAnsi="Times New Roman" w:eastAsia="宋体"/>
      <w:sz w:val="24"/>
    </w:rPr>
  </w:style>
  <w:style w:type="character" w:customStyle="1" w:styleId="53">
    <w:name w:val="批注框文本 Char"/>
    <w:link w:val="24"/>
    <w:autoRedefine/>
    <w:semiHidden/>
    <w:qFormat/>
    <w:locked/>
    <w:uiPriority w:val="0"/>
    <w:rPr>
      <w:rFonts w:ascii="Times New Roman" w:hAnsi="Times New Roman" w:eastAsia="宋体"/>
      <w:sz w:val="18"/>
    </w:rPr>
  </w:style>
  <w:style w:type="character" w:customStyle="1" w:styleId="54">
    <w:name w:val="页脚 Char"/>
    <w:link w:val="25"/>
    <w:autoRedefine/>
    <w:qFormat/>
    <w:locked/>
    <w:uiPriority w:val="99"/>
    <w:rPr>
      <w:sz w:val="18"/>
    </w:rPr>
  </w:style>
  <w:style w:type="character" w:customStyle="1" w:styleId="55">
    <w:name w:val="页眉 Char"/>
    <w:link w:val="26"/>
    <w:autoRedefine/>
    <w:qFormat/>
    <w:locked/>
    <w:uiPriority w:val="0"/>
    <w:rPr>
      <w:sz w:val="18"/>
    </w:rPr>
  </w:style>
  <w:style w:type="character" w:customStyle="1" w:styleId="56">
    <w:name w:val="普通(网站) Char"/>
    <w:link w:val="29"/>
    <w:autoRedefine/>
    <w:qFormat/>
    <w:locked/>
    <w:uiPriority w:val="0"/>
    <w:rPr>
      <w:rFonts w:ascii="宋体" w:hAnsi="宋体" w:eastAsia="宋体"/>
      <w:sz w:val="24"/>
    </w:rPr>
  </w:style>
  <w:style w:type="character" w:customStyle="1" w:styleId="57">
    <w:name w:val="标题 Char"/>
    <w:link w:val="30"/>
    <w:autoRedefine/>
    <w:qFormat/>
    <w:uiPriority w:val="0"/>
    <w:rPr>
      <w:rFonts w:ascii="等线 Light" w:hAnsi="等线 Light"/>
      <w:b/>
      <w:bCs/>
      <w:kern w:val="2"/>
      <w:sz w:val="32"/>
      <w:szCs w:val="32"/>
    </w:rPr>
  </w:style>
  <w:style w:type="character" w:customStyle="1" w:styleId="58">
    <w:name w:val="批注主题 Char"/>
    <w:link w:val="31"/>
    <w:autoRedefine/>
    <w:semiHidden/>
    <w:qFormat/>
    <w:locked/>
    <w:uiPriority w:val="0"/>
    <w:rPr>
      <w:rFonts w:ascii="Times New Roman" w:hAnsi="Times New Roman" w:eastAsia="宋体"/>
      <w:b/>
      <w:kern w:val="2"/>
      <w:sz w:val="24"/>
    </w:rPr>
  </w:style>
  <w:style w:type="paragraph" w:customStyle="1" w:styleId="59">
    <w:name w:val="样式 标题 1 + 首行缩进:  0 字符"/>
    <w:basedOn w:val="2"/>
    <w:next w:val="60"/>
    <w:autoRedefine/>
    <w:qFormat/>
    <w:uiPriority w:val="0"/>
    <w:pPr>
      <w:adjustRightInd/>
      <w:spacing w:before="0" w:after="0" w:line="520" w:lineRule="exact"/>
      <w:ind w:firstLine="0"/>
    </w:pPr>
    <w:rPr>
      <w:rFonts w:ascii="Arial" w:hAnsi="Arial" w:cs="宋体"/>
      <w:color w:val="auto"/>
      <w:szCs w:val="20"/>
    </w:rPr>
  </w:style>
  <w:style w:type="paragraph" w:customStyle="1" w:styleId="60">
    <w:name w:val="xl57"/>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textAlignment w:val="center"/>
    </w:pPr>
    <w:rPr>
      <w:b/>
      <w:bCs/>
      <w:kern w:val="0"/>
      <w:sz w:val="20"/>
      <w:szCs w:val="20"/>
    </w:rPr>
  </w:style>
  <w:style w:type="character" w:customStyle="1" w:styleId="61">
    <w:name w:val="页脚 字符"/>
    <w:autoRedefine/>
    <w:qFormat/>
    <w:uiPriority w:val="99"/>
  </w:style>
  <w:style w:type="character" w:customStyle="1" w:styleId="62">
    <w:name w:val="批注文字 字符1"/>
    <w:autoRedefine/>
    <w:semiHidden/>
    <w:qFormat/>
    <w:uiPriority w:val="0"/>
    <w:rPr>
      <w:rFonts w:ascii="Times New Roman" w:hAnsi="Times New Roman" w:eastAsia="宋体"/>
      <w:sz w:val="24"/>
    </w:rPr>
  </w:style>
  <w:style w:type="character" w:customStyle="1" w:styleId="63">
    <w:name w:val="正文文本 字符1"/>
    <w:autoRedefine/>
    <w:semiHidden/>
    <w:qFormat/>
    <w:uiPriority w:val="0"/>
    <w:rPr>
      <w:rFonts w:ascii="Times New Roman" w:hAnsi="Times New Roman" w:eastAsia="宋体"/>
      <w:sz w:val="24"/>
    </w:rPr>
  </w:style>
  <w:style w:type="character" w:customStyle="1" w:styleId="64">
    <w:name w:val="日期 字符"/>
    <w:autoRedefine/>
    <w:semiHidden/>
    <w:qFormat/>
    <w:uiPriority w:val="0"/>
    <w:rPr>
      <w:rFonts w:ascii="Times New Roman" w:hAnsi="Times New Roman" w:eastAsia="宋体"/>
      <w:sz w:val="24"/>
    </w:rPr>
  </w:style>
  <w:style w:type="character" w:customStyle="1" w:styleId="65">
    <w:name w:val="足乐正文 Char"/>
    <w:link w:val="66"/>
    <w:autoRedefine/>
    <w:qFormat/>
    <w:uiPriority w:val="0"/>
    <w:rPr>
      <w:rFonts w:ascii="Times New Roman" w:hAnsi="Times New Roman"/>
    </w:rPr>
  </w:style>
  <w:style w:type="paragraph" w:customStyle="1" w:styleId="66">
    <w:name w:val="足乐正文"/>
    <w:basedOn w:val="1"/>
    <w:link w:val="65"/>
    <w:autoRedefine/>
    <w:qFormat/>
    <w:uiPriority w:val="0"/>
    <w:pPr>
      <w:spacing w:line="360" w:lineRule="auto"/>
      <w:ind w:firstLine="720" w:firstLineChars="200"/>
    </w:pPr>
    <w:rPr>
      <w:kern w:val="0"/>
      <w:sz w:val="20"/>
      <w:szCs w:val="20"/>
    </w:rPr>
  </w:style>
  <w:style w:type="character" w:customStyle="1" w:styleId="67">
    <w:name w:val="表格 Char"/>
    <w:link w:val="68"/>
    <w:autoRedefine/>
    <w:qFormat/>
    <w:locked/>
    <w:uiPriority w:val="0"/>
    <w:rPr>
      <w:rFonts w:ascii="宋体"/>
      <w:sz w:val="21"/>
    </w:rPr>
  </w:style>
  <w:style w:type="paragraph" w:customStyle="1" w:styleId="68">
    <w:name w:val="表格"/>
    <w:basedOn w:val="1"/>
    <w:next w:val="1"/>
    <w:link w:val="67"/>
    <w:autoRedefine/>
    <w:qFormat/>
    <w:uiPriority w:val="0"/>
    <w:pPr>
      <w:spacing w:beforeLines="10" w:afterLines="10" w:line="259" w:lineRule="auto"/>
      <w:jc w:val="center"/>
    </w:pPr>
    <w:rPr>
      <w:rFonts w:ascii="宋体"/>
      <w:kern w:val="0"/>
      <w:szCs w:val="20"/>
    </w:rPr>
  </w:style>
  <w:style w:type="paragraph" w:customStyle="1" w:styleId="69">
    <w:name w:val="表内容"/>
    <w:basedOn w:val="1"/>
    <w:autoRedefine/>
    <w:qFormat/>
    <w:uiPriority w:val="0"/>
    <w:pPr>
      <w:jc w:val="center"/>
    </w:pPr>
    <w:rPr>
      <w:szCs w:val="21"/>
    </w:rPr>
  </w:style>
  <w:style w:type="paragraph" w:customStyle="1" w:styleId="70">
    <w:name w:val="规范正文L"/>
    <w:basedOn w:val="1"/>
    <w:autoRedefine/>
    <w:qFormat/>
    <w:uiPriority w:val="0"/>
    <w:pPr>
      <w:topLinePunct/>
      <w:spacing w:line="420" w:lineRule="auto"/>
      <w:ind w:firstLine="480" w:firstLineChars="200"/>
      <w:textAlignment w:val="baseline"/>
    </w:pPr>
    <w:rPr>
      <w:rFonts w:cs="宋体"/>
      <w:color w:val="000000"/>
    </w:rPr>
  </w:style>
  <w:style w:type="paragraph" w:customStyle="1" w:styleId="71">
    <w:name w:val="表格内容"/>
    <w:basedOn w:val="1"/>
    <w:next w:val="1"/>
    <w:link w:val="72"/>
    <w:autoRedefine/>
    <w:qFormat/>
    <w:uiPriority w:val="0"/>
    <w:pPr>
      <w:jc w:val="center"/>
    </w:pPr>
    <w:rPr>
      <w:iCs/>
      <w:szCs w:val="21"/>
    </w:rPr>
  </w:style>
  <w:style w:type="character" w:customStyle="1" w:styleId="72">
    <w:name w:val="表格内容 字符"/>
    <w:link w:val="71"/>
    <w:autoRedefine/>
    <w:qFormat/>
    <w:uiPriority w:val="0"/>
    <w:rPr>
      <w:iCs/>
      <w:kern w:val="2"/>
      <w:sz w:val="21"/>
      <w:szCs w:val="21"/>
    </w:rPr>
  </w:style>
  <w:style w:type="paragraph" w:customStyle="1" w:styleId="73">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4">
    <w:name w:val="表格名称1"/>
    <w:basedOn w:val="1"/>
    <w:autoRedefine/>
    <w:qFormat/>
    <w:uiPriority w:val="0"/>
    <w:pPr>
      <w:jc w:val="center"/>
    </w:pPr>
    <w:rPr>
      <w:b/>
    </w:rPr>
  </w:style>
  <w:style w:type="paragraph" w:customStyle="1" w:styleId="75">
    <w:name w:val="样式6"/>
    <w:basedOn w:val="22"/>
    <w:autoRedefine/>
    <w:qFormat/>
    <w:uiPriority w:val="0"/>
    <w:pPr>
      <w:autoSpaceDE w:val="0"/>
      <w:autoSpaceDN w:val="0"/>
      <w:spacing w:line="500" w:lineRule="exact"/>
      <w:jc w:val="left"/>
      <w:outlineLvl w:val="0"/>
    </w:pPr>
    <w:rPr>
      <w:color w:val="000000"/>
      <w:szCs w:val="24"/>
    </w:rPr>
  </w:style>
  <w:style w:type="paragraph" w:customStyle="1" w:styleId="76">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77">
    <w:name w:val="表格名称"/>
    <w:basedOn w:val="1"/>
    <w:next w:val="1"/>
    <w:autoRedefine/>
    <w:qFormat/>
    <w:uiPriority w:val="0"/>
    <w:pPr>
      <w:jc w:val="center"/>
    </w:pPr>
    <w:rPr>
      <w:b/>
      <w:kern w:val="0"/>
      <w:szCs w:val="21"/>
    </w:rPr>
  </w:style>
  <w:style w:type="paragraph" w:customStyle="1" w:styleId="78">
    <w:name w:val="足乐表格"/>
    <w:basedOn w:val="1"/>
    <w:autoRedefine/>
    <w:qFormat/>
    <w:uiPriority w:val="0"/>
    <w:pPr>
      <w:jc w:val="center"/>
    </w:pPr>
  </w:style>
  <w:style w:type="paragraph" w:customStyle="1" w:styleId="79">
    <w:name w:val="样式 样式 样式 首行缩进:  2 字符 + 居中 + 行距: 固定值 17 磅"/>
    <w:basedOn w:val="1"/>
    <w:autoRedefine/>
    <w:qFormat/>
    <w:uiPriority w:val="0"/>
    <w:pPr>
      <w:spacing w:line="340" w:lineRule="exact"/>
      <w:jc w:val="center"/>
    </w:pPr>
    <w:rPr>
      <w:rFonts w:cs="宋体"/>
      <w:color w:val="000000"/>
    </w:rPr>
  </w:style>
  <w:style w:type="paragraph" w:customStyle="1" w:styleId="80">
    <w:name w:val="Table Paragraph"/>
    <w:basedOn w:val="1"/>
    <w:autoRedefine/>
    <w:qFormat/>
    <w:uiPriority w:val="0"/>
    <w:pPr>
      <w:widowControl/>
      <w:jc w:val="left"/>
    </w:pPr>
    <w:rPr>
      <w:rFonts w:ascii="Calibri" w:hAnsi="Calibri"/>
      <w:kern w:val="0"/>
      <w:sz w:val="22"/>
      <w:szCs w:val="22"/>
    </w:rPr>
  </w:style>
  <w:style w:type="paragraph" w:customStyle="1" w:styleId="81">
    <w:name w:val="zhang正文"/>
    <w:basedOn w:val="20"/>
    <w:link w:val="82"/>
    <w:autoRedefine/>
    <w:qFormat/>
    <w:uiPriority w:val="0"/>
    <w:pPr>
      <w:autoSpaceDE w:val="0"/>
      <w:autoSpaceDN w:val="0"/>
      <w:spacing w:line="500" w:lineRule="exact"/>
      <w:ind w:firstLine="539"/>
      <w:textAlignment w:val="baseline"/>
    </w:pPr>
    <w:rPr>
      <w:rFonts w:eastAsia="楷体_GB2312"/>
    </w:rPr>
  </w:style>
  <w:style w:type="character" w:customStyle="1" w:styleId="82">
    <w:name w:val="zhang正文 Char1"/>
    <w:link w:val="81"/>
    <w:autoRedefine/>
    <w:qFormat/>
    <w:locked/>
    <w:uiPriority w:val="0"/>
    <w:rPr>
      <w:rFonts w:eastAsia="楷体_GB2312"/>
      <w:sz w:val="24"/>
    </w:rPr>
  </w:style>
  <w:style w:type="paragraph" w:customStyle="1" w:styleId="83">
    <w:name w:val="图表标题"/>
    <w:basedOn w:val="1"/>
    <w:autoRedefine/>
    <w:qFormat/>
    <w:uiPriority w:val="0"/>
    <w:pPr>
      <w:jc w:val="center"/>
    </w:pPr>
    <w:rPr>
      <w:b/>
      <w:bCs/>
    </w:rPr>
  </w:style>
  <w:style w:type="paragraph" w:customStyle="1" w:styleId="84">
    <w:name w:val="a表格"/>
    <w:basedOn w:val="1"/>
    <w:autoRedefine/>
    <w:qFormat/>
    <w:uiPriority w:val="0"/>
    <w:pPr>
      <w:jc w:val="center"/>
    </w:pPr>
  </w:style>
  <w:style w:type="paragraph" w:customStyle="1" w:styleId="85">
    <w:name w:val="表名"/>
    <w:basedOn w:val="1"/>
    <w:autoRedefine/>
    <w:qFormat/>
    <w:uiPriority w:val="0"/>
    <w:pPr>
      <w:jc w:val="center"/>
    </w:pPr>
    <w:rPr>
      <w:b/>
      <w:bCs/>
      <w:sz w:val="24"/>
    </w:rPr>
  </w:style>
  <w:style w:type="paragraph" w:customStyle="1" w:styleId="86">
    <w:name w:val="表格5号居中"/>
    <w:next w:val="1"/>
    <w:autoRedefine/>
    <w:qFormat/>
    <w:uiPriority w:val="99"/>
    <w:pPr>
      <w:widowControl w:val="0"/>
      <w:tabs>
        <w:tab w:val="right" w:pos="8640"/>
        <w:tab w:val="right" w:pos="8784"/>
      </w:tabs>
      <w:adjustRightInd w:val="0"/>
      <w:snapToGrid w:val="0"/>
      <w:jc w:val="center"/>
    </w:pPr>
    <w:rPr>
      <w:rFonts w:ascii="Times New Roman" w:hAnsi="Times New Roman" w:eastAsia="宋体" w:cs="Times New Roman"/>
      <w:iCs/>
      <w:color w:val="000000"/>
      <w:sz w:val="21"/>
      <w:szCs w:val="24"/>
      <w:lang w:val="en-US" w:eastAsia="zh-CN" w:bidi="ar-SA"/>
    </w:rPr>
  </w:style>
  <w:style w:type="table" w:customStyle="1" w:styleId="87">
    <w:name w:val="sungp"/>
    <w:basedOn w:val="34"/>
    <w:autoRedefine/>
    <w:qFormat/>
    <w:uiPriority w:val="0"/>
    <w:pPr>
      <w:jc w:val="center"/>
    </w:pPr>
    <w:rPr>
      <w:color w:val="000000"/>
    </w:rPr>
    <w:tblPr>
      <w:jc w:val="center"/>
      <w:tblBorders>
        <w:top w:val="single" w:color="auto" w:sz="12" w:space="0"/>
        <w:bottom w:val="single" w:color="auto" w:sz="12" w:space="0"/>
        <w:insideH w:val="single" w:color="auto" w:sz="4" w:space="0"/>
        <w:insideV w:val="single" w:color="auto" w:sz="4" w:space="0"/>
      </w:tblBorders>
      <w:tblCellMar>
        <w:top w:w="0" w:type="dxa"/>
        <w:left w:w="57" w:type="dxa"/>
        <w:bottom w:w="0" w:type="dxa"/>
        <w:right w:w="57" w:type="dxa"/>
      </w:tblCellMar>
    </w:tblPr>
    <w:trPr>
      <w:jc w:val="center"/>
    </w:trPr>
    <w:tcPr>
      <w:vAlign w:val="center"/>
    </w:tcPr>
  </w:style>
  <w:style w:type="paragraph" w:customStyle="1" w:styleId="88">
    <w:name w:val="样式 样式 样式 样式 首行缩进:  2 字符 + 居中 + (中文) 黑体 五号 首行缩进:  2 字符 + 首行缩进:  2..."/>
    <w:basedOn w:val="1"/>
    <w:autoRedefine/>
    <w:qFormat/>
    <w:uiPriority w:val="0"/>
    <w:pPr>
      <w:spacing w:beforeLines="50" w:line="360" w:lineRule="auto"/>
      <w:jc w:val="center"/>
    </w:pPr>
    <w:rPr>
      <w:rFonts w:eastAsia="黑体" w:cs="宋体"/>
      <w:sz w:val="24"/>
    </w:rPr>
  </w:style>
  <w:style w:type="paragraph" w:customStyle="1" w:styleId="89">
    <w:name w:val="环评 表格"/>
    <w:basedOn w:val="90"/>
    <w:autoRedefine/>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90">
    <w:name w:val="无间隔1"/>
    <w:autoRedefine/>
    <w:qFormat/>
    <w:uiPriority w:val="1"/>
    <w:pPr>
      <w:widowControl w:val="0"/>
      <w:ind w:firstLine="200" w:firstLineChars="200"/>
      <w:jc w:val="both"/>
    </w:pPr>
    <w:rPr>
      <w:rFonts w:ascii="Calibri" w:hAnsi="Calibri" w:eastAsia="宋体" w:cs="Calibri"/>
      <w:kern w:val="2"/>
      <w:sz w:val="24"/>
      <w:szCs w:val="24"/>
      <w:lang w:val="en-US" w:eastAsia="zh-CN" w:bidi="ar-SA"/>
    </w:rPr>
  </w:style>
  <w:style w:type="character" w:customStyle="1" w:styleId="91">
    <w:name w:val="表格标题 Char"/>
    <w:link w:val="92"/>
    <w:autoRedefine/>
    <w:qFormat/>
    <w:uiPriority w:val="0"/>
    <w:rPr>
      <w:rFonts w:eastAsia="黑体"/>
      <w:b/>
      <w:sz w:val="24"/>
    </w:rPr>
  </w:style>
  <w:style w:type="paragraph" w:customStyle="1" w:styleId="92">
    <w:name w:val="表格标题"/>
    <w:basedOn w:val="1"/>
    <w:next w:val="1"/>
    <w:link w:val="91"/>
    <w:autoRedefine/>
    <w:qFormat/>
    <w:uiPriority w:val="0"/>
    <w:pPr>
      <w:adjustRightInd/>
      <w:snapToGrid/>
      <w:spacing w:line="360" w:lineRule="auto"/>
      <w:jc w:val="center"/>
    </w:pPr>
    <w:rPr>
      <w:rFonts w:eastAsia="黑体"/>
      <w:b/>
      <w:kern w:val="0"/>
      <w:sz w:val="24"/>
      <w:szCs w:val="20"/>
    </w:rPr>
  </w:style>
  <w:style w:type="paragraph" w:customStyle="1" w:styleId="93">
    <w:name w:val="Char Char Char Char Char Char Char Char Char1 Char"/>
    <w:basedOn w:val="1"/>
    <w:autoRedefine/>
    <w:semiHidden/>
    <w:qFormat/>
    <w:uiPriority w:val="0"/>
    <w:pPr>
      <w:adjustRightInd/>
      <w:snapToGrid/>
    </w:pPr>
    <w:rPr>
      <w:rFonts w:ascii="宋体" w:hAnsi="宋体" w:cs="Courier New"/>
      <w:sz w:val="32"/>
      <w:szCs w:val="32"/>
    </w:rPr>
  </w:style>
  <w:style w:type="paragraph" w:customStyle="1" w:styleId="94">
    <w:name w:val="_Style 75"/>
    <w:autoRedefine/>
    <w:unhideWhenUsed/>
    <w:qFormat/>
    <w:uiPriority w:val="99"/>
    <w:rPr>
      <w:rFonts w:ascii="Times New Roman" w:hAnsi="Times New Roman" w:eastAsia="宋体" w:cs="Times New Roman"/>
      <w:kern w:val="2"/>
      <w:sz w:val="21"/>
      <w:szCs w:val="24"/>
      <w:lang w:val="en-US" w:eastAsia="zh-CN" w:bidi="ar-SA"/>
    </w:rPr>
  </w:style>
  <w:style w:type="character" w:customStyle="1" w:styleId="95">
    <w:name w:val="表格内容Q Char"/>
    <w:link w:val="96"/>
    <w:autoRedefine/>
    <w:qFormat/>
    <w:uiPriority w:val="0"/>
    <w:rPr>
      <w:sz w:val="21"/>
      <w:szCs w:val="21"/>
    </w:rPr>
  </w:style>
  <w:style w:type="paragraph" w:customStyle="1" w:styleId="96">
    <w:name w:val="表格内容Q"/>
    <w:basedOn w:val="1"/>
    <w:link w:val="95"/>
    <w:autoRedefine/>
    <w:qFormat/>
    <w:uiPriority w:val="0"/>
    <w:pPr>
      <w:adjustRightInd/>
      <w:snapToGrid/>
      <w:jc w:val="center"/>
    </w:pPr>
    <w:rPr>
      <w:kern w:val="0"/>
      <w:szCs w:val="21"/>
    </w:rPr>
  </w:style>
  <w:style w:type="character" w:customStyle="1" w:styleId="97">
    <w:name w:val="表格标题CCW Char"/>
    <w:link w:val="98"/>
    <w:autoRedefine/>
    <w:qFormat/>
    <w:locked/>
    <w:uiPriority w:val="0"/>
    <w:rPr>
      <w:b/>
      <w:sz w:val="24"/>
      <w:lang w:val="en-US" w:eastAsia="zh-CN" w:bidi="ar-SA"/>
    </w:rPr>
  </w:style>
  <w:style w:type="paragraph" w:customStyle="1" w:styleId="98">
    <w:name w:val="表格标题CCW"/>
    <w:link w:val="97"/>
    <w:autoRedefine/>
    <w:qFormat/>
    <w:uiPriority w:val="0"/>
    <w:pPr>
      <w:jc w:val="center"/>
    </w:pPr>
    <w:rPr>
      <w:rFonts w:ascii="Times New Roman" w:hAnsi="Times New Roman" w:eastAsia="宋体" w:cs="Times New Roman"/>
      <w:b/>
      <w:sz w:val="24"/>
      <w:lang w:val="en-US" w:eastAsia="zh-CN" w:bidi="ar-SA"/>
    </w:rPr>
  </w:style>
  <w:style w:type="paragraph" w:customStyle="1" w:styleId="99">
    <w:name w:val="表头（图表题）"/>
    <w:basedOn w:val="1"/>
    <w:next w:val="1"/>
    <w:autoRedefine/>
    <w:qFormat/>
    <w:uiPriority w:val="9"/>
    <w:pPr>
      <w:adjustRightInd/>
      <w:snapToGrid/>
      <w:jc w:val="center"/>
    </w:pPr>
    <w:rPr>
      <w:b/>
      <w:sz w:val="24"/>
      <w:szCs w:val="21"/>
    </w:rPr>
  </w:style>
  <w:style w:type="paragraph" w:customStyle="1" w:styleId="100">
    <w:name w:val="样式 Arial 小四 行距: 固定值 30 磅 首行缩进:  2 字符"/>
    <w:basedOn w:val="1"/>
    <w:autoRedefine/>
    <w:qFormat/>
    <w:uiPriority w:val="0"/>
    <w:pPr>
      <w:adjustRightInd/>
      <w:snapToGrid/>
      <w:spacing w:line="360" w:lineRule="auto"/>
      <w:ind w:firstLine="480" w:firstLineChars="200"/>
    </w:pPr>
    <w:rPr>
      <w:rFonts w:ascii="宋体" w:hAnsi="宋体" w:cs="宋体"/>
      <w:sz w:val="24"/>
    </w:rPr>
  </w:style>
  <w:style w:type="character" w:customStyle="1" w:styleId="101">
    <w:name w:val="Q表格内容 Char"/>
    <w:link w:val="102"/>
    <w:autoRedefine/>
    <w:qFormat/>
    <w:uiPriority w:val="0"/>
    <w:rPr>
      <w:sz w:val="21"/>
      <w:szCs w:val="21"/>
    </w:rPr>
  </w:style>
  <w:style w:type="paragraph" w:customStyle="1" w:styleId="102">
    <w:name w:val="Q表格内容"/>
    <w:basedOn w:val="1"/>
    <w:link w:val="101"/>
    <w:autoRedefine/>
    <w:qFormat/>
    <w:uiPriority w:val="0"/>
    <w:pPr>
      <w:adjustRightInd/>
      <w:snapToGrid/>
      <w:jc w:val="center"/>
    </w:pPr>
    <w:rPr>
      <w:kern w:val="0"/>
      <w:szCs w:val="21"/>
    </w:rPr>
  </w:style>
  <w:style w:type="paragraph" w:customStyle="1" w:styleId="103">
    <w:name w:val="Q表格标题"/>
    <w:basedOn w:val="1"/>
    <w:link w:val="104"/>
    <w:autoRedefine/>
    <w:qFormat/>
    <w:uiPriority w:val="0"/>
    <w:pPr>
      <w:adjustRightInd/>
      <w:snapToGrid/>
      <w:spacing w:line="360" w:lineRule="auto"/>
      <w:jc w:val="center"/>
      <w:outlineLvl w:val="4"/>
    </w:pPr>
    <w:rPr>
      <w:b/>
      <w:sz w:val="24"/>
    </w:rPr>
  </w:style>
  <w:style w:type="character" w:customStyle="1" w:styleId="104">
    <w:name w:val="Q表格标题 Char"/>
    <w:link w:val="103"/>
    <w:autoRedefine/>
    <w:qFormat/>
    <w:uiPriority w:val="0"/>
    <w:rPr>
      <w:b/>
      <w:kern w:val="2"/>
      <w:sz w:val="24"/>
      <w:szCs w:val="24"/>
    </w:rPr>
  </w:style>
  <w:style w:type="paragraph" w:customStyle="1" w:styleId="105">
    <w:name w:val="表正文"/>
    <w:basedOn w:val="1"/>
    <w:autoRedefine/>
    <w:qFormat/>
    <w:uiPriority w:val="0"/>
    <w:pPr>
      <w:adjustRightInd/>
      <w:snapToGrid/>
      <w:spacing w:line="360" w:lineRule="auto"/>
      <w:ind w:firstLine="200" w:firstLineChars="200"/>
    </w:pPr>
    <w:rPr>
      <w:sz w:val="24"/>
    </w:rPr>
  </w:style>
  <w:style w:type="paragraph" w:customStyle="1" w:styleId="106">
    <w:name w:val="表格内文字"/>
    <w:autoRedefine/>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character" w:customStyle="1" w:styleId="107">
    <w:name w:val="正文文本缩进 字符"/>
    <w:autoRedefine/>
    <w:semiHidden/>
    <w:qFormat/>
    <w:locked/>
    <w:uiPriority w:val="0"/>
    <w:rPr>
      <w:rFonts w:ascii="Times New Roman" w:hAnsi="Times New Roman" w:eastAsia="宋体"/>
      <w:sz w:val="24"/>
    </w:rPr>
  </w:style>
  <w:style w:type="character" w:customStyle="1" w:styleId="108">
    <w:name w:val="书籍标题1"/>
    <w:autoRedefine/>
    <w:qFormat/>
    <w:uiPriority w:val="33"/>
    <w:rPr>
      <w:b/>
      <w:bCs/>
      <w:i/>
      <w:iCs/>
      <w:spacing w:val="5"/>
    </w:rPr>
  </w:style>
  <w:style w:type="character" w:customStyle="1" w:styleId="109">
    <w:name w:val="普通(网站) 字符"/>
    <w:autoRedefine/>
    <w:qFormat/>
    <w:locked/>
    <w:uiPriority w:val="0"/>
    <w:rPr>
      <w:rFonts w:ascii="宋体" w:hAnsi="宋体" w:eastAsia="宋体"/>
      <w:sz w:val="24"/>
    </w:rPr>
  </w:style>
  <w:style w:type="character" w:customStyle="1" w:styleId="110">
    <w:name w:val="表格标题 Char1"/>
    <w:autoRedefine/>
    <w:qFormat/>
    <w:uiPriority w:val="0"/>
    <w:rPr>
      <w:b/>
      <w:sz w:val="24"/>
      <w:szCs w:val="24"/>
    </w:rPr>
  </w:style>
  <w:style w:type="character" w:customStyle="1" w:styleId="111">
    <w:name w:val="表格内容 Char1"/>
    <w:autoRedefine/>
    <w:qFormat/>
    <w:uiPriority w:val="0"/>
    <w:rPr>
      <w:rFonts w:ascii="宋体" w:hAnsi="宋体" w:eastAsia="宋体"/>
      <w:kern w:val="0"/>
      <w:sz w:val="21"/>
    </w:rPr>
  </w:style>
  <w:style w:type="character" w:customStyle="1" w:styleId="112">
    <w:name w:val="表格内容 Char"/>
    <w:autoRedefine/>
    <w:qFormat/>
    <w:uiPriority w:val="0"/>
    <w:rPr>
      <w:kern w:val="2"/>
      <w:sz w:val="21"/>
      <w:szCs w:val="22"/>
    </w:rPr>
  </w:style>
  <w:style w:type="paragraph" w:customStyle="1" w:styleId="113">
    <w:name w:val="标题3"/>
    <w:basedOn w:val="1"/>
    <w:autoRedefine/>
    <w:qFormat/>
    <w:uiPriority w:val="0"/>
    <w:pPr>
      <w:adjustRightInd/>
      <w:snapToGrid/>
      <w:spacing w:line="360" w:lineRule="auto"/>
      <w:outlineLvl w:val="2"/>
    </w:pPr>
    <w:rPr>
      <w:b/>
      <w:sz w:val="24"/>
    </w:rPr>
  </w:style>
  <w:style w:type="paragraph" w:customStyle="1" w:styleId="114">
    <w:name w:val="5段落"/>
    <w:basedOn w:val="1"/>
    <w:autoRedefine/>
    <w:qFormat/>
    <w:uiPriority w:val="0"/>
    <w:pPr>
      <w:adjustRightInd/>
      <w:snapToGrid/>
    </w:pPr>
    <w:rPr>
      <w:szCs w:val="28"/>
    </w:rPr>
  </w:style>
  <w:style w:type="paragraph" w:customStyle="1" w:styleId="115">
    <w:name w:val="5 正文"/>
    <w:basedOn w:val="1"/>
    <w:autoRedefine/>
    <w:qFormat/>
    <w:uiPriority w:val="0"/>
    <w:pPr>
      <w:widowControl/>
      <w:tabs>
        <w:tab w:val="left" w:pos="1980"/>
        <w:tab w:val="left" w:pos="3825"/>
        <w:tab w:val="left" w:pos="4680"/>
      </w:tabs>
      <w:adjustRightInd/>
      <w:snapToGrid/>
      <w:spacing w:line="360" w:lineRule="auto"/>
      <w:ind w:firstLine="480" w:firstLineChars="200"/>
    </w:pPr>
    <w:rPr>
      <w:kern w:val="0"/>
      <w:sz w:val="24"/>
      <w:szCs w:val="21"/>
      <w:lang w:eastAsia="en-US" w:bidi="en-US"/>
    </w:rPr>
  </w:style>
  <w:style w:type="paragraph" w:customStyle="1" w:styleId="116">
    <w:name w:val="样式 首行缩进:  2 字符1"/>
    <w:basedOn w:val="1"/>
    <w:autoRedefine/>
    <w:qFormat/>
    <w:uiPriority w:val="0"/>
    <w:pPr>
      <w:spacing w:line="360" w:lineRule="auto"/>
      <w:ind w:firstLine="480" w:firstLineChars="200"/>
    </w:pPr>
    <w:rPr>
      <w:rFonts w:hint="eastAsia" w:ascii="宋体" w:hAnsi="宋体"/>
      <w:sz w:val="24"/>
      <w:szCs w:val="20"/>
    </w:rPr>
  </w:style>
  <w:style w:type="paragraph" w:customStyle="1" w:styleId="117">
    <w:name w:val="6表格"/>
    <w:basedOn w:val="1"/>
    <w:autoRedefine/>
    <w:qFormat/>
    <w:uiPriority w:val="0"/>
    <w:pPr>
      <w:adjustRightInd/>
      <w:snapToGrid/>
      <w:jc w:val="center"/>
    </w:pPr>
  </w:style>
  <w:style w:type="character" w:customStyle="1" w:styleId="118">
    <w:name w:val="正文（小四） Char"/>
    <w:link w:val="119"/>
    <w:autoRedefine/>
    <w:qFormat/>
    <w:uiPriority w:val="0"/>
    <w:rPr>
      <w:bCs/>
      <w:color w:val="000000"/>
      <w:kern w:val="2"/>
      <w:sz w:val="24"/>
      <w:szCs w:val="32"/>
    </w:rPr>
  </w:style>
  <w:style w:type="paragraph" w:customStyle="1" w:styleId="119">
    <w:name w:val="正文（小四）"/>
    <w:link w:val="118"/>
    <w:autoRedefine/>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120">
    <w:name w:val="表格文字"/>
    <w:basedOn w:val="1"/>
    <w:autoRedefine/>
    <w:qFormat/>
    <w:uiPriority w:val="0"/>
    <w:pPr>
      <w:jc w:val="center"/>
    </w:pPr>
  </w:style>
  <w:style w:type="paragraph" w:customStyle="1" w:styleId="121">
    <w:name w:val="主体"/>
    <w:autoRedefine/>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paragraph" w:customStyle="1" w:styleId="122">
    <w:name w:val="常用"/>
    <w:basedOn w:val="1"/>
    <w:autoRedefine/>
    <w:qFormat/>
    <w:uiPriority w:val="0"/>
    <w:pPr>
      <w:spacing w:line="360" w:lineRule="auto"/>
      <w:ind w:firstLine="200" w:firstLineChars="200"/>
    </w:pPr>
    <w:rPr>
      <w:rFonts w:ascii="宋体" w:hAnsi="宋体"/>
      <w:kern w:val="0"/>
      <w:sz w:val="28"/>
      <w:szCs w:val="28"/>
    </w:rPr>
  </w:style>
  <w:style w:type="paragraph" w:customStyle="1" w:styleId="123">
    <w:name w:val="0正文"/>
    <w:autoRedefine/>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124">
    <w:name w:val="表头"/>
    <w:basedOn w:val="68"/>
    <w:next w:val="1"/>
    <w:autoRedefine/>
    <w:qFormat/>
    <w:uiPriority w:val="0"/>
    <w:pPr>
      <w:spacing w:beforeLines="50" w:afterLines="50" w:line="240" w:lineRule="auto"/>
    </w:pPr>
    <w:rPr>
      <w:rFonts w:ascii="Times New Roman"/>
      <w:b/>
      <w:sz w:val="24"/>
    </w:rPr>
  </w:style>
  <w:style w:type="paragraph" w:customStyle="1" w:styleId="125">
    <w:name w:val="样式 正文缩进正文缩进2正文缩进 Char Char正文缩进 Char Char Char Char正文缩进 Char ..."/>
    <w:basedOn w:val="15"/>
    <w:autoRedefine/>
    <w:qFormat/>
    <w:uiPriority w:val="0"/>
    <w:pPr>
      <w:spacing w:line="360" w:lineRule="auto"/>
      <w:ind w:firstLine="200"/>
    </w:pPr>
    <w:rPr>
      <w:rFonts w:ascii="Calibri" w:hAnsi="Calibri" w:cs="宋体"/>
      <w:szCs w:val="22"/>
    </w:rPr>
  </w:style>
  <w:style w:type="paragraph" w:customStyle="1" w:styleId="126">
    <w:name w:val="正文123"/>
    <w:basedOn w:val="1"/>
    <w:next w:val="22"/>
    <w:autoRedefine/>
    <w:qFormat/>
    <w:uiPriority w:val="0"/>
    <w:pPr>
      <w:wordWrap w:val="0"/>
      <w:spacing w:line="360" w:lineRule="auto"/>
      <w:ind w:firstLine="480" w:firstLineChars="200"/>
    </w:pPr>
    <w:rPr>
      <w:sz w:val="24"/>
    </w:rPr>
  </w:style>
  <w:style w:type="paragraph" w:customStyle="1" w:styleId="127">
    <w:name w:val="正文(首行缩进)"/>
    <w:basedOn w:val="1"/>
    <w:autoRedefine/>
    <w:qFormat/>
    <w:uiPriority w:val="0"/>
    <w:pPr>
      <w:widowControl/>
      <w:spacing w:line="360" w:lineRule="auto"/>
      <w:ind w:firstLine="200" w:firstLineChars="200"/>
      <w:jc w:val="left"/>
    </w:pPr>
    <w:rPr>
      <w:rFonts w:ascii="宋体" w:hAnsi="宋体" w:cs="宋体"/>
      <w:snapToGrid w:val="0"/>
      <w:kern w:val="0"/>
      <w:sz w:val="24"/>
    </w:rPr>
  </w:style>
  <w:style w:type="paragraph" w:customStyle="1" w:styleId="128">
    <w:name w:val="0.正文内容"/>
    <w:basedOn w:val="1"/>
    <w:autoRedefine/>
    <w:qFormat/>
    <w:uiPriority w:val="0"/>
    <w:pPr>
      <w:widowControl/>
      <w:spacing w:line="360" w:lineRule="auto"/>
      <w:ind w:firstLine="200" w:firstLineChars="200"/>
      <w:jc w:val="left"/>
    </w:pPr>
    <w:rPr>
      <w:rFonts w:ascii="TimesNewRoman" w:hAnsi="TimesNewRoman"/>
      <w:kern w:val="0"/>
      <w:sz w:val="24"/>
      <w:szCs w:val="20"/>
    </w:rPr>
  </w:style>
  <w:style w:type="paragraph" w:customStyle="1" w:styleId="129">
    <w:name w:val="正文1"/>
    <w:basedOn w:val="20"/>
    <w:autoRedefine/>
    <w:qFormat/>
    <w:uiPriority w:val="0"/>
    <w:pPr>
      <w:ind w:firstLine="200" w:firstLineChars="200"/>
    </w:pPr>
    <w:rPr>
      <w:rFonts w:cs="宋体"/>
    </w:rPr>
  </w:style>
  <w:style w:type="table" w:customStyle="1" w:styleId="130">
    <w:name w:val="Table Normal"/>
    <w:autoRedefine/>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31">
    <w:name w:val="11111表土"/>
    <w:basedOn w:val="1"/>
    <w:autoRedefine/>
    <w:qFormat/>
    <w:uiPriority w:val="0"/>
    <w:pPr>
      <w:widowControl/>
      <w:jc w:val="center"/>
    </w:pPr>
    <w:rPr>
      <w:rFonts w:eastAsia="黑体"/>
      <w:kern w:val="0"/>
      <w:sz w:val="24"/>
    </w:rPr>
  </w:style>
  <w:style w:type="paragraph" w:customStyle="1" w:styleId="132">
    <w:name w:val="正文（）"/>
    <w:basedOn w:val="1"/>
    <w:autoRedefine/>
    <w:qFormat/>
    <w:uiPriority w:val="0"/>
    <w:pPr>
      <w:spacing w:line="360" w:lineRule="auto"/>
      <w:ind w:firstLine="200" w:firstLineChars="200"/>
    </w:pPr>
    <w:rPr>
      <w:color w:val="5B9BD5"/>
      <w:sz w:val="24"/>
      <w:szCs w:val="20"/>
    </w:rPr>
  </w:style>
  <w:style w:type="paragraph" w:customStyle="1" w:styleId="133">
    <w:name w:val="金皇-表格内文字"/>
    <w:basedOn w:val="1"/>
    <w:autoRedefine/>
    <w:qFormat/>
    <w:uiPriority w:val="0"/>
    <w:pPr>
      <w:tabs>
        <w:tab w:val="left" w:pos="0"/>
      </w:tabs>
      <w:jc w:val="center"/>
    </w:pPr>
    <w:rPr>
      <w:snapToGrid w:val="0"/>
    </w:rPr>
  </w:style>
  <w:style w:type="paragraph" w:customStyle="1" w:styleId="134">
    <w:name w:val="正文样式"/>
    <w:basedOn w:val="1"/>
    <w:autoRedefine/>
    <w:unhideWhenUsed/>
    <w:qFormat/>
    <w:uiPriority w:val="0"/>
    <w:pPr>
      <w:spacing w:line="360" w:lineRule="auto"/>
      <w:ind w:firstLine="720" w:firstLineChars="200"/>
    </w:pPr>
    <w:rPr>
      <w:sz w:val="24"/>
    </w:rPr>
  </w:style>
  <w:style w:type="paragraph" w:customStyle="1" w:styleId="135">
    <w:name w:val="金皇——正文"/>
    <w:basedOn w:val="1"/>
    <w:autoRedefine/>
    <w:qFormat/>
    <w:uiPriority w:val="0"/>
    <w:pPr>
      <w:spacing w:line="360" w:lineRule="auto"/>
      <w:ind w:firstLine="480" w:firstLineChars="200"/>
    </w:pPr>
    <w:rPr>
      <w:kern w:val="0"/>
      <w:sz w:val="24"/>
    </w:rPr>
  </w:style>
  <w:style w:type="paragraph" w:customStyle="1" w:styleId="136">
    <w:name w:val="表格固定文字"/>
    <w:basedOn w:val="1"/>
    <w:autoRedefine/>
    <w:unhideWhenUsed/>
    <w:qFormat/>
    <w:uiPriority w:val="0"/>
  </w:style>
  <w:style w:type="paragraph" w:customStyle="1" w:styleId="137">
    <w:name w:val="6表(图)头(治)"/>
    <w:next w:val="1"/>
    <w:autoRedefine/>
    <w:qFormat/>
    <w:uiPriority w:val="0"/>
    <w:pPr>
      <w:widowControl w:val="0"/>
      <w:jc w:val="center"/>
    </w:pPr>
    <w:rPr>
      <w:rFonts w:ascii="Times New Roman" w:hAnsi="Times New Roman" w:eastAsia="黑体" w:cs="Times New Roman"/>
      <w:b/>
      <w:kern w:val="2"/>
      <w:sz w:val="24"/>
      <w:szCs w:val="28"/>
      <w:lang w:val="en-US" w:eastAsia="zh-CN" w:bidi="ar-SA"/>
    </w:rPr>
  </w:style>
  <w:style w:type="paragraph" w:customStyle="1" w:styleId="138">
    <w:name w:val="金皇-正文"/>
    <w:basedOn w:val="1"/>
    <w:autoRedefine/>
    <w:qFormat/>
    <w:uiPriority w:val="0"/>
    <w:pPr>
      <w:spacing w:line="360" w:lineRule="auto"/>
      <w:ind w:firstLine="200" w:firstLineChars="200"/>
    </w:pPr>
    <w:rPr>
      <w:sz w:val="24"/>
    </w:rPr>
  </w:style>
  <w:style w:type="paragraph" w:customStyle="1" w:styleId="139">
    <w:name w:val="111正文的格式"/>
    <w:basedOn w:val="1"/>
    <w:autoRedefine/>
    <w:qFormat/>
    <w:uiPriority w:val="0"/>
    <w:pPr>
      <w:widowControl/>
      <w:spacing w:beforeLines="50" w:afterLines="50" w:line="360" w:lineRule="auto"/>
      <w:ind w:firstLine="200" w:firstLineChars="200"/>
    </w:pPr>
    <w:rPr>
      <w:color w:val="000000"/>
      <w:sz w:val="24"/>
    </w:rPr>
  </w:style>
  <w:style w:type="paragraph" w:customStyle="1" w:styleId="140">
    <w:name w:val="正文内容"/>
    <w:basedOn w:val="1"/>
    <w:autoRedefine/>
    <w:qFormat/>
    <w:uiPriority w:val="0"/>
    <w:pPr>
      <w:widowControl/>
      <w:spacing w:line="360" w:lineRule="auto"/>
      <w:ind w:firstLine="200" w:firstLineChars="200"/>
    </w:pPr>
    <w:rPr>
      <w:kern w:val="0"/>
      <w:szCs w:val="20"/>
    </w:rPr>
  </w:style>
  <w:style w:type="paragraph" w:customStyle="1" w:styleId="141">
    <w:name w:val="中文报告书样式"/>
    <w:basedOn w:val="1"/>
    <w:autoRedefine/>
    <w:qFormat/>
    <w:uiPriority w:val="0"/>
    <w:pPr>
      <w:spacing w:after="160" w:line="480" w:lineRule="atLeast"/>
      <w:ind w:firstLine="482"/>
      <w:textAlignment w:val="baseline"/>
    </w:pPr>
    <w:rPr>
      <w:kern w:val="24"/>
      <w:szCs w:val="20"/>
    </w:rPr>
  </w:style>
  <w:style w:type="paragraph" w:customStyle="1" w:styleId="142">
    <w:name w:val="金皇表（图）头"/>
    <w:basedOn w:val="1"/>
    <w:autoRedefine/>
    <w:qFormat/>
    <w:uiPriority w:val="0"/>
    <w:pPr>
      <w:jc w:val="center"/>
      <w:outlineLvl w:val="4"/>
    </w:pPr>
    <w:rPr>
      <w:rFonts w:eastAsia="黑体"/>
      <w:b/>
      <w:sz w:val="24"/>
    </w:rPr>
  </w:style>
  <w:style w:type="paragraph" w:customStyle="1" w:styleId="143">
    <w:name w:val="CM11"/>
    <w:basedOn w:val="1"/>
    <w:next w:val="1"/>
    <w:autoRedefine/>
    <w:qFormat/>
    <w:uiPriority w:val="0"/>
    <w:pPr>
      <w:autoSpaceDE w:val="0"/>
      <w:autoSpaceDN w:val="0"/>
      <w:spacing w:line="520" w:lineRule="atLeast"/>
      <w:jc w:val="left"/>
    </w:pPr>
    <w:rPr>
      <w:rFonts w:ascii="宋体"/>
      <w:kern w:val="0"/>
      <w:sz w:val="24"/>
    </w:rPr>
  </w:style>
  <w:style w:type="paragraph" w:customStyle="1" w:styleId="144">
    <w:name w:val="5文章正文"/>
    <w:basedOn w:val="1"/>
    <w:autoRedefine/>
    <w:qFormat/>
    <w:uiPriority w:val="0"/>
    <w:pPr>
      <w:widowControl/>
      <w:spacing w:after="200" w:line="360" w:lineRule="auto"/>
      <w:ind w:firstLine="200" w:firstLineChars="200"/>
      <w:jc w:val="left"/>
    </w:pPr>
    <w:rPr>
      <w:rFonts w:ascii="Tahoma" w:hAnsi="Tahoma"/>
      <w:kern w:val="0"/>
      <w:sz w:val="24"/>
      <w:szCs w:val="20"/>
    </w:rPr>
  </w:style>
  <w:style w:type="paragraph" w:customStyle="1" w:styleId="145">
    <w:name w:val="3标题(治)"/>
    <w:basedOn w:val="5"/>
    <w:autoRedefine/>
    <w:qFormat/>
    <w:uiPriority w:val="0"/>
    <w:pPr>
      <w:textAlignment w:val="baseline"/>
      <w:outlineLvl w:val="1"/>
    </w:pPr>
    <w:rPr>
      <w:rFonts w:eastAsia="黑体"/>
      <w:sz w:val="28"/>
    </w:rPr>
  </w:style>
  <w:style w:type="paragraph" w:customStyle="1" w:styleId="146">
    <w:name w:val="5文章(治)"/>
    <w:basedOn w:val="144"/>
    <w:autoRedefine/>
    <w:qFormat/>
    <w:uiPriority w:val="0"/>
    <w:pPr>
      <w:tabs>
        <w:tab w:val="left" w:pos="4500"/>
      </w:tabs>
      <w:ind w:firstLine="560"/>
    </w:pPr>
    <w:rPr>
      <w:rFonts w:eastAsia="楷体_GB2312"/>
      <w:snapToGrid w:val="0"/>
      <w:color w:val="000000"/>
      <w:kern w:val="44"/>
      <w:sz w:val="28"/>
    </w:rPr>
  </w:style>
  <w:style w:type="paragraph" w:customStyle="1" w:styleId="147">
    <w:name w:val="J报告表正文"/>
    <w:autoRedefine/>
    <w:qFormat/>
    <w:uiPriority w:val="0"/>
    <w:pPr>
      <w:spacing w:line="360" w:lineRule="auto"/>
      <w:ind w:firstLine="200" w:firstLineChars="200"/>
      <w:jc w:val="both"/>
    </w:pPr>
    <w:rPr>
      <w:rFonts w:ascii="Times New Roman" w:hAnsi="Times New Roman" w:eastAsia="宋体" w:cs="宋体"/>
      <w:snapToGrid w:val="0"/>
      <w:sz w:val="21"/>
      <w:lang w:val="en-US" w:eastAsia="zh-CN" w:bidi="ar-SA"/>
    </w:rPr>
  </w:style>
  <w:style w:type="paragraph" w:customStyle="1" w:styleId="148">
    <w:name w:val="5文章(金皇)"/>
    <w:basedOn w:val="1"/>
    <w:autoRedefine/>
    <w:qFormat/>
    <w:uiPriority w:val="0"/>
    <w:pPr>
      <w:spacing w:line="360" w:lineRule="auto"/>
      <w:ind w:firstLine="480" w:firstLineChars="200"/>
    </w:pPr>
    <w:rPr>
      <w:sz w:val="24"/>
      <w:szCs w:val="20"/>
    </w:rPr>
  </w:style>
  <w:style w:type="paragraph" w:customStyle="1" w:styleId="149">
    <w:name w:val="金皇-表（图）头"/>
    <w:basedOn w:val="1"/>
    <w:autoRedefine/>
    <w:qFormat/>
    <w:uiPriority w:val="0"/>
    <w:pPr>
      <w:jc w:val="center"/>
    </w:pPr>
    <w:rPr>
      <w:rFonts w:eastAsia="黑体"/>
      <w:b/>
      <w:kern w:val="0"/>
      <w:sz w:val="24"/>
      <w:szCs w:val="20"/>
    </w:rPr>
  </w:style>
  <w:style w:type="paragraph" w:customStyle="1" w:styleId="150">
    <w:name w:val="正文Z"/>
    <w:basedOn w:val="1"/>
    <w:autoRedefine/>
    <w:qFormat/>
    <w:uiPriority w:val="0"/>
    <w:pPr>
      <w:spacing w:line="360" w:lineRule="auto"/>
      <w:ind w:firstLine="200" w:firstLineChars="200"/>
    </w:pPr>
    <w:rPr>
      <w:sz w:val="24"/>
    </w:rPr>
  </w:style>
  <w:style w:type="paragraph" w:customStyle="1" w:styleId="151">
    <w:name w:val="金皇——表内文字"/>
    <w:basedOn w:val="133"/>
    <w:autoRedefine/>
    <w:qFormat/>
    <w:uiPriority w:val="0"/>
  </w:style>
  <w:style w:type="paragraph" w:customStyle="1" w:styleId="152">
    <w:name w:val="7表格(治)"/>
    <w:autoRedefine/>
    <w:qFormat/>
    <w:uiPriority w:val="0"/>
    <w:pPr>
      <w:widowControl w:val="0"/>
      <w:tabs>
        <w:tab w:val="center" w:pos="4153"/>
        <w:tab w:val="right" w:pos="8306"/>
      </w:tabs>
      <w:suppressAutoHyphens/>
      <w:snapToGrid w:val="0"/>
      <w:jc w:val="center"/>
    </w:pPr>
    <w:rPr>
      <w:rFonts w:ascii="Times New Roman" w:hAnsi="Times New Roman" w:eastAsia="楷体_GB2312" w:cs="宋体"/>
      <w:kern w:val="2"/>
      <w:sz w:val="21"/>
      <w:szCs w:val="36"/>
      <w:lang w:val="en-US" w:eastAsia="zh-CN" w:bidi="ar-SA"/>
    </w:rPr>
  </w:style>
  <w:style w:type="character" w:customStyle="1" w:styleId="153">
    <w:name w:val="目录 1 Char"/>
    <w:link w:val="27"/>
    <w:autoRedefine/>
    <w:qFormat/>
    <w:uiPriority w:val="0"/>
  </w:style>
  <w:style w:type="paragraph" w:customStyle="1" w:styleId="154">
    <w:name w:val="报告"/>
    <w:basedOn w:val="1"/>
    <w:autoRedefine/>
    <w:qFormat/>
    <w:uiPriority w:val="0"/>
    <w:pPr>
      <w:overflowPunct w:val="0"/>
      <w:autoSpaceDE w:val="0"/>
      <w:autoSpaceDN w:val="0"/>
      <w:spacing w:before="60" w:after="60" w:line="400" w:lineRule="atLeast"/>
      <w:ind w:firstLine="200" w:firstLineChars="20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104</Pages>
  <Words>13764</Words>
  <Characters>14746</Characters>
  <Lines>389</Lines>
  <Paragraphs>109</Paragraphs>
  <TotalTime>7</TotalTime>
  <ScaleCrop>false</ScaleCrop>
  <LinksUpToDate>false</LinksUpToDate>
  <CharactersWithSpaces>14764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2022-06-03T10:46:00Z</dcterms:created>
  <dc:creator>环环（微信号：eianet2016）</dc:creator>
  <cp:lastModifiedBy>kay－国际旅游俱乐部</cp:lastModifiedBy>
  <cp:lastPrinted>2022-06-03T10:47:00Z</cp:lastPrinted>
  <dcterms:modified xsi:type="dcterms:W3CDTF">2025-01-06T06:51:32Z</dcterms:modified>
  <dc:title>建设项目环境影响报告表（污染影响类-填写指南）</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52AAC91B3E2148E398151AF998355730</vt:lpwstr>
  </property>
  <property fmtid="{D5CDD505-2E9C-101B-9397-08002B2CF9AE}" pid="4" name="KSOTemplateDocerSaveRecord">
    <vt:lpwstr>eyJoZGlkIjoiYjM1MDg2NmEyZmNjODNkYTA1NzZmMzhmYTNiZDhmZjQiLCJ1c2VySWQiOiIyMjAxMTQ1ODkifQ==</vt:lpwstr>
  </property>
</Properties>
</file>