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662C6">
      <w:pPr>
        <w:jc w:val="center"/>
        <w:rPr>
          <w:rFonts w:hint="default" w:ascii="Times New Roman" w:hAnsi="Times New Roman" w:eastAsia="楷体_GB2312" w:cs="Times New Roman"/>
          <w:color w:val="auto"/>
          <w:sz w:val="36"/>
          <w:szCs w:val="36"/>
          <w:highlight w:val="none"/>
          <w:lang w:eastAsia="zh-CN"/>
        </w:rPr>
        <w:sectPr>
          <w:headerReference r:id="rId3" w:type="default"/>
          <w:footerReference r:id="rId4" w:type="default"/>
          <w:pgSz w:w="11906" w:h="16838"/>
          <w:pgMar w:top="1418" w:right="1134" w:bottom="1418" w:left="1134" w:header="851" w:footer="992" w:gutter="0"/>
          <w:pgBorders>
            <w:top w:val="none" w:sz="0" w:space="0"/>
            <w:left w:val="none" w:sz="0" w:space="0"/>
            <w:bottom w:val="none" w:sz="0" w:space="0"/>
            <w:right w:val="none" w:sz="0" w:space="0"/>
          </w:pgBorders>
          <w:pgNumType w:fmt="decimal" w:start="1"/>
          <w:cols w:space="720" w:num="1"/>
          <w:docGrid w:linePitch="367" w:charSpace="915"/>
        </w:sectPr>
      </w:pPr>
      <w:bookmarkStart w:id="0" w:name="_Toc15747"/>
      <w:bookmarkStart w:id="1" w:name="_Toc29783"/>
      <w:bookmarkStart w:id="2" w:name="_Toc133251527"/>
      <w:bookmarkStart w:id="3" w:name="_Toc390704696"/>
      <w:bookmarkStart w:id="4" w:name="_Toc405653185"/>
      <w:bookmarkStart w:id="5" w:name="_Toc404864788"/>
      <w:bookmarkStart w:id="6" w:name="_Toc406586785"/>
      <w:bookmarkStart w:id="7" w:name="_Toc395773977"/>
      <w:bookmarkStart w:id="8" w:name="_Toc406586498"/>
      <w:bookmarkStart w:id="9" w:name="_Toc409447117"/>
      <w:bookmarkStart w:id="10" w:name="_Toc390672893"/>
      <w:bookmarkStart w:id="11" w:name="_Toc402172720"/>
      <w:r>
        <w:drawing>
          <wp:inline distT="0" distB="0" distL="114300" distR="114300">
            <wp:extent cx="6118860" cy="8005445"/>
            <wp:effectExtent l="0" t="0" r="15240" b="14605"/>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14"/>
                    <a:stretch>
                      <a:fillRect/>
                    </a:stretch>
                  </pic:blipFill>
                  <pic:spPr>
                    <a:xfrm>
                      <a:off x="0" y="0"/>
                      <a:ext cx="6118860" cy="8005445"/>
                    </a:xfrm>
                    <a:prstGeom prst="rect">
                      <a:avLst/>
                    </a:prstGeom>
                    <a:noFill/>
                    <a:ln>
                      <a:noFill/>
                    </a:ln>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13780" cy="8808720"/>
            <wp:effectExtent l="0" t="0" r="1270" b="11430"/>
            <wp:docPr id="100" name="图片 100" descr="扫描全能王 2025-02-24 16.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扫描全能王 2025-02-24 16.21_1"/>
                    <pic:cNvPicPr>
                      <a:picLocks noChangeAspect="1"/>
                    </pic:cNvPicPr>
                  </pic:nvPicPr>
                  <pic:blipFill>
                    <a:blip r:embed="rId15"/>
                    <a:stretch>
                      <a:fillRect/>
                    </a:stretch>
                  </pic:blipFill>
                  <pic:spPr>
                    <a:xfrm>
                      <a:off x="0" y="0"/>
                      <a:ext cx="6113780" cy="8808720"/>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16955" cy="8789035"/>
            <wp:effectExtent l="0" t="0" r="17145" b="12065"/>
            <wp:docPr id="30" name="图片 30" descr="扫描全能王 2024-12-26 14.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描全能王 2024-12-26 14.08_2"/>
                    <pic:cNvPicPr>
                      <a:picLocks noChangeAspect="1"/>
                    </pic:cNvPicPr>
                  </pic:nvPicPr>
                  <pic:blipFill>
                    <a:blip r:embed="rId16"/>
                    <a:stretch>
                      <a:fillRect/>
                    </a:stretch>
                  </pic:blipFill>
                  <pic:spPr>
                    <a:xfrm>
                      <a:off x="0" y="0"/>
                      <a:ext cx="6116955" cy="878903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5883910" cy="8888095"/>
            <wp:effectExtent l="0" t="0" r="2540" b="8255"/>
            <wp:docPr id="33" name="图片 33" descr="扫描全能王 2024-12-26 14.0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4-12-26 14.08_3"/>
                    <pic:cNvPicPr>
                      <a:picLocks noChangeAspect="1"/>
                    </pic:cNvPicPr>
                  </pic:nvPicPr>
                  <pic:blipFill>
                    <a:blip r:embed="rId17"/>
                    <a:stretch>
                      <a:fillRect/>
                    </a:stretch>
                  </pic:blipFill>
                  <pic:spPr>
                    <a:xfrm>
                      <a:off x="0" y="0"/>
                      <a:ext cx="5883910" cy="888809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06160" cy="8715375"/>
            <wp:effectExtent l="0" t="0" r="8890" b="9525"/>
            <wp:docPr id="39" name="图片 39" descr="扫描全能王 2024-12-26 14.0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4-12-26 14.08_4"/>
                    <pic:cNvPicPr>
                      <a:picLocks noChangeAspect="1"/>
                    </pic:cNvPicPr>
                  </pic:nvPicPr>
                  <pic:blipFill>
                    <a:blip r:embed="rId18"/>
                    <a:stretch>
                      <a:fillRect/>
                    </a:stretch>
                  </pic:blipFill>
                  <pic:spPr>
                    <a:xfrm>
                      <a:off x="0" y="0"/>
                      <a:ext cx="6106160" cy="871537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049010" cy="8888095"/>
            <wp:effectExtent l="0" t="0" r="8890" b="8255"/>
            <wp:docPr id="101" name="图片 101" descr="扫描全能王 2025-02-24 16.2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扫描全能王 2025-02-24 16.21_5"/>
                    <pic:cNvPicPr>
                      <a:picLocks noChangeAspect="1"/>
                    </pic:cNvPicPr>
                  </pic:nvPicPr>
                  <pic:blipFill>
                    <a:blip r:embed="rId19"/>
                    <a:stretch>
                      <a:fillRect/>
                    </a:stretch>
                  </pic:blipFill>
                  <pic:spPr>
                    <a:xfrm>
                      <a:off x="0" y="0"/>
                      <a:ext cx="6049010" cy="8888095"/>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07430" cy="8641080"/>
            <wp:effectExtent l="0" t="0" r="7620" b="7620"/>
            <wp:docPr id="46" name="图片 46" descr="扫描全能王 2024-12-26 14.0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扫描全能王 2024-12-26 14.08_6"/>
                    <pic:cNvPicPr>
                      <a:picLocks noChangeAspect="1"/>
                    </pic:cNvPicPr>
                  </pic:nvPicPr>
                  <pic:blipFill>
                    <a:blip r:embed="rId20"/>
                    <a:stretch>
                      <a:fillRect/>
                    </a:stretch>
                  </pic:blipFill>
                  <pic:spPr>
                    <a:xfrm>
                      <a:off x="0" y="0"/>
                      <a:ext cx="6107430" cy="8641080"/>
                    </a:xfrm>
                    <a:prstGeom prst="rect">
                      <a:avLst/>
                    </a:prstGeom>
                  </pic:spPr>
                </pic:pic>
              </a:graphicData>
            </a:graphic>
          </wp:inline>
        </w:drawing>
      </w:r>
      <w:r>
        <w:rPr>
          <w:rFonts w:hint="default" w:ascii="Times New Roman" w:hAnsi="Times New Roman" w:eastAsia="楷体_GB2312" w:cs="Times New Roman"/>
          <w:color w:val="auto"/>
          <w:sz w:val="36"/>
          <w:szCs w:val="36"/>
          <w:highlight w:val="none"/>
          <w:lang w:eastAsia="zh-CN"/>
        </w:rPr>
        <w:drawing>
          <wp:inline distT="0" distB="0" distL="114300" distR="114300">
            <wp:extent cx="6107430" cy="8813800"/>
            <wp:effectExtent l="0" t="0" r="7620" b="6350"/>
            <wp:docPr id="59" name="图片 59" descr="扫描全能王 2024-12-26 14.0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扫描全能王 2024-12-26 14.08_7"/>
                    <pic:cNvPicPr>
                      <a:picLocks noChangeAspect="1"/>
                    </pic:cNvPicPr>
                  </pic:nvPicPr>
                  <pic:blipFill>
                    <a:blip r:embed="rId21"/>
                    <a:stretch>
                      <a:fillRect/>
                    </a:stretch>
                  </pic:blipFill>
                  <pic:spPr>
                    <a:xfrm>
                      <a:off x="0" y="0"/>
                      <a:ext cx="6107430" cy="8813800"/>
                    </a:xfrm>
                    <a:prstGeom prst="rect">
                      <a:avLst/>
                    </a:prstGeom>
                  </pic:spPr>
                </pic:pic>
              </a:graphicData>
            </a:graphic>
          </wp:inline>
        </w:drawing>
      </w:r>
      <w:r>
        <w:rPr>
          <w:rFonts w:ascii="Times New Roman" w:hAnsi="Times New Roman" w:cs="Times New Roman"/>
          <w:color w:val="auto"/>
        </w:rPr>
        <w:drawing>
          <wp:inline distT="0" distB="0" distL="114300" distR="114300">
            <wp:extent cx="5950585" cy="7995285"/>
            <wp:effectExtent l="0" t="0" r="12065" b="571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22"/>
                    <a:stretch>
                      <a:fillRect/>
                    </a:stretch>
                  </pic:blipFill>
                  <pic:spPr>
                    <a:xfrm>
                      <a:off x="0" y="0"/>
                      <a:ext cx="5950585" cy="7995285"/>
                    </a:xfrm>
                    <a:prstGeom prst="rect">
                      <a:avLst/>
                    </a:prstGeom>
                    <a:noFill/>
                    <a:ln>
                      <a:noFill/>
                    </a:ln>
                  </pic:spPr>
                </pic:pic>
              </a:graphicData>
            </a:graphic>
          </wp:inline>
        </w:drawing>
      </w:r>
    </w:p>
    <w:p w14:paraId="0761D9A1">
      <w:pPr>
        <w:pStyle w:val="2"/>
        <w:keepNext/>
        <w:keepLines/>
        <w:pageBreakBefore w:val="0"/>
        <w:widowControl w:val="0"/>
        <w:numPr>
          <w:ilvl w:val="0"/>
          <w:numId w:val="0"/>
        </w:numPr>
        <w:kinsoku/>
        <w:wordWrap/>
        <w:overflowPunct/>
        <w:topLinePunct w:val="0"/>
        <w:autoSpaceDE/>
        <w:autoSpaceDN/>
        <w:bidi w:val="0"/>
        <w:adjustRightInd w:val="0"/>
        <w:snapToGrid w:val="0"/>
        <w:ind w:left="0" w:leftChars="0" w:firstLine="0" w:firstLineChars="0"/>
        <w:textAlignment w:val="auto"/>
        <w:rPr>
          <w:rFonts w:ascii="Times New Roman" w:hAnsi="Times New Roman" w:cs="Times New Roman"/>
          <w:color w:val="auto"/>
          <w:highlight w:val="none"/>
        </w:rPr>
      </w:pPr>
      <w:r>
        <w:rPr>
          <w:rFonts w:hint="eastAsia" w:ascii="宋体" w:hAnsi="宋体" w:eastAsia="宋体" w:cs="宋体"/>
          <w:b/>
          <w:bCs/>
          <w:color w:val="auto"/>
          <w:kern w:val="0"/>
          <w:sz w:val="30"/>
          <w:szCs w:val="30"/>
          <w:lang w:val="en-US" w:eastAsia="zh-CN" w:bidi="ar-SA"/>
        </w:rPr>
        <w:t>一、</w:t>
      </w:r>
      <w:r>
        <w:rPr>
          <w:rFonts w:ascii="Times New Roman" w:hAnsi="Times New Roman" w:cs="Times New Roman"/>
          <w:color w:val="auto"/>
          <w:highlight w:val="none"/>
        </w:rPr>
        <w:t>建设项目基本情况</w:t>
      </w:r>
      <w:bookmarkEnd w:id="0"/>
      <w:bookmarkEnd w:id="1"/>
      <w:bookmarkEnd w:id="2"/>
    </w:p>
    <w:tbl>
      <w:tblPr>
        <w:tblStyle w:val="50"/>
        <w:tblW w:w="98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57"/>
        <w:gridCol w:w="617"/>
        <w:gridCol w:w="2615"/>
        <w:gridCol w:w="1567"/>
        <w:gridCol w:w="3688"/>
      </w:tblGrid>
      <w:tr w14:paraId="7987D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6438DD19">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建设项目名称</w:t>
            </w:r>
          </w:p>
        </w:tc>
        <w:tc>
          <w:tcPr>
            <w:tcW w:w="7870" w:type="dxa"/>
            <w:gridSpan w:val="3"/>
            <w:vAlign w:val="center"/>
          </w:tcPr>
          <w:p w14:paraId="0938B18D">
            <w:pPr>
              <w:adjustRightInd w:val="0"/>
              <w:snapToGrid w:val="0"/>
              <w:jc w:val="center"/>
              <w:rPr>
                <w:rFonts w:ascii="Times New Roman" w:hAnsi="Times New Roman" w:cs="Times New Roman"/>
                <w:color w:val="auto"/>
                <w:highlight w:val="none"/>
              </w:rPr>
            </w:pPr>
            <w:r>
              <w:rPr>
                <w:rFonts w:hint="default" w:ascii="Times New Roman" w:hAnsi="Times New Roman" w:cs="Times New Roman"/>
                <w:color w:val="auto"/>
                <w:highlight w:val="none"/>
                <w:lang w:eastAsia="zh-CN"/>
              </w:rPr>
              <w:t>福清市瑞辰顽皮多格动物医院建设项目</w:t>
            </w:r>
          </w:p>
        </w:tc>
      </w:tr>
      <w:tr w14:paraId="7C685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5DAF742B">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项目代码</w:t>
            </w:r>
          </w:p>
        </w:tc>
        <w:tc>
          <w:tcPr>
            <w:tcW w:w="7870" w:type="dxa"/>
            <w:gridSpan w:val="3"/>
            <w:vAlign w:val="center"/>
          </w:tcPr>
          <w:p w14:paraId="5B1FD6C6">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w:t>
            </w:r>
          </w:p>
        </w:tc>
      </w:tr>
      <w:tr w14:paraId="52BAB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50A08C35">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建设单位联系人</w:t>
            </w:r>
          </w:p>
        </w:tc>
        <w:tc>
          <w:tcPr>
            <w:tcW w:w="2615" w:type="dxa"/>
            <w:vAlign w:val="center"/>
          </w:tcPr>
          <w:p w14:paraId="5A346A79">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lang w:eastAsia="zh-CN"/>
              </w:rPr>
              <w:t>陈玲玲</w:t>
            </w:r>
          </w:p>
        </w:tc>
        <w:tc>
          <w:tcPr>
            <w:tcW w:w="1567" w:type="dxa"/>
            <w:vAlign w:val="center"/>
          </w:tcPr>
          <w:p w14:paraId="69C592B3">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联系方式</w:t>
            </w:r>
          </w:p>
        </w:tc>
        <w:tc>
          <w:tcPr>
            <w:tcW w:w="3688" w:type="dxa"/>
            <w:vAlign w:val="center"/>
          </w:tcPr>
          <w:p w14:paraId="624FACCE">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lang w:eastAsia="zh-CN"/>
              </w:rPr>
              <w:t>13696878187</w:t>
            </w:r>
          </w:p>
        </w:tc>
      </w:tr>
      <w:tr w14:paraId="2F8D9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6A910062">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建设地点</w:t>
            </w:r>
          </w:p>
        </w:tc>
        <w:tc>
          <w:tcPr>
            <w:tcW w:w="7870" w:type="dxa"/>
            <w:gridSpan w:val="3"/>
            <w:vAlign w:val="center"/>
          </w:tcPr>
          <w:p w14:paraId="1FE21571">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福建省福州市福清市宏路街道中联江滨御景5号楼113号，115号，116号门面</w:t>
            </w:r>
          </w:p>
        </w:tc>
      </w:tr>
      <w:tr w14:paraId="436B8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2B9C2456">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地理坐标</w:t>
            </w:r>
          </w:p>
        </w:tc>
        <w:tc>
          <w:tcPr>
            <w:tcW w:w="7870" w:type="dxa"/>
            <w:gridSpan w:val="3"/>
            <w:vAlign w:val="center"/>
          </w:tcPr>
          <w:p w14:paraId="1FF48445">
            <w:pPr>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119 </w:t>
            </w:r>
            <w:r>
              <w:rPr>
                <w:rFonts w:ascii="Times New Roman" w:hAnsi="Times New Roman" w:cs="Times New Roman"/>
                <w:color w:val="auto"/>
                <w:highlight w:val="none"/>
              </w:rPr>
              <w:t>度</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20</w:t>
            </w:r>
            <w:r>
              <w:rPr>
                <w:rFonts w:ascii="Times New Roman" w:hAnsi="Times New Roman" w:cs="Times New Roman"/>
                <w:color w:val="auto"/>
                <w:highlight w:val="none"/>
              </w:rPr>
              <w:t>分</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36.199</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秒，</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25</w:t>
            </w:r>
            <w:r>
              <w:rPr>
                <w:rFonts w:ascii="Times New Roman" w:hAnsi="Times New Roman" w:cs="Times New Roman"/>
                <w:color w:val="auto"/>
                <w:highlight w:val="none"/>
              </w:rPr>
              <w:t>度</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42</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分</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30.488</w:t>
            </w:r>
            <w:r>
              <w:rPr>
                <w:rFonts w:ascii="Times New Roman" w:hAnsi="Times New Roman" w:cs="Times New Roman"/>
                <w:color w:val="auto"/>
                <w:highlight w:val="none"/>
              </w:rPr>
              <w:t>秒）</w:t>
            </w:r>
          </w:p>
        </w:tc>
      </w:tr>
      <w:tr w14:paraId="611C0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74" w:type="dxa"/>
            <w:gridSpan w:val="2"/>
            <w:tcMar>
              <w:top w:w="16" w:type="dxa"/>
              <w:left w:w="16" w:type="dxa"/>
              <w:right w:w="16" w:type="dxa"/>
            </w:tcMar>
            <w:vAlign w:val="center"/>
          </w:tcPr>
          <w:p w14:paraId="45357111">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国民经济</w:t>
            </w:r>
          </w:p>
          <w:p w14:paraId="01179F65">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行业类别</w:t>
            </w:r>
          </w:p>
        </w:tc>
        <w:tc>
          <w:tcPr>
            <w:tcW w:w="2615" w:type="dxa"/>
            <w:vAlign w:val="center"/>
          </w:tcPr>
          <w:p w14:paraId="229DFA73">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O8222宠物医院服务</w:t>
            </w:r>
          </w:p>
        </w:tc>
        <w:tc>
          <w:tcPr>
            <w:tcW w:w="1567" w:type="dxa"/>
            <w:vAlign w:val="center"/>
          </w:tcPr>
          <w:p w14:paraId="01983668">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建设项目</w:t>
            </w:r>
          </w:p>
          <w:p w14:paraId="0EF5704F">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行业类别</w:t>
            </w:r>
          </w:p>
        </w:tc>
        <w:tc>
          <w:tcPr>
            <w:tcW w:w="3688" w:type="dxa"/>
            <w:vAlign w:val="center"/>
          </w:tcPr>
          <w:p w14:paraId="0C41462E">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五十、社会事业与服务业123、动物医院</w:t>
            </w:r>
          </w:p>
        </w:tc>
      </w:tr>
      <w:tr w14:paraId="0162A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74" w:type="dxa"/>
            <w:gridSpan w:val="2"/>
            <w:tcMar>
              <w:top w:w="16" w:type="dxa"/>
              <w:left w:w="16" w:type="dxa"/>
              <w:right w:w="16" w:type="dxa"/>
            </w:tcMar>
            <w:vAlign w:val="center"/>
          </w:tcPr>
          <w:p w14:paraId="453FFCA7">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建设性质</w:t>
            </w:r>
          </w:p>
        </w:tc>
        <w:tc>
          <w:tcPr>
            <w:tcW w:w="2615" w:type="dxa"/>
            <w:vAlign w:val="center"/>
          </w:tcPr>
          <w:p w14:paraId="3F3FAB71">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新建（迁建）</w:t>
            </w:r>
          </w:p>
          <w:p w14:paraId="4DB9D28F">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改建</w:t>
            </w:r>
          </w:p>
          <w:p w14:paraId="0B78058C">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52"/>
            </w:r>
            <w:r>
              <w:rPr>
                <w:rFonts w:ascii="Times New Roman" w:hAnsi="Times New Roman" w:cs="Times New Roman"/>
                <w:color w:val="auto"/>
                <w:highlight w:val="none"/>
              </w:rPr>
              <w:t>扩建</w:t>
            </w:r>
          </w:p>
          <w:p w14:paraId="39983D10">
            <w:pPr>
              <w:snapToGrid w:val="0"/>
              <w:jc w:val="left"/>
              <w:rPr>
                <w:rFonts w:ascii="Times New Roman" w:hAnsi="Times New Roman" w:cs="Times New Roman"/>
                <w:color w:val="auto"/>
                <w:szCs w:val="21"/>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技术改造</w:t>
            </w:r>
          </w:p>
        </w:tc>
        <w:tc>
          <w:tcPr>
            <w:tcW w:w="1567" w:type="dxa"/>
            <w:vAlign w:val="center"/>
          </w:tcPr>
          <w:p w14:paraId="47EE7CDA">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建设项目</w:t>
            </w:r>
          </w:p>
          <w:p w14:paraId="449AD197">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申报情形</w:t>
            </w:r>
          </w:p>
        </w:tc>
        <w:tc>
          <w:tcPr>
            <w:tcW w:w="3688" w:type="dxa"/>
            <w:vAlign w:val="center"/>
          </w:tcPr>
          <w:p w14:paraId="62EE1AC5">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52"/>
            </w:r>
            <w:r>
              <w:rPr>
                <w:rFonts w:ascii="Times New Roman" w:hAnsi="Times New Roman" w:cs="Times New Roman"/>
                <w:color w:val="auto"/>
                <w:highlight w:val="none"/>
              </w:rPr>
              <w:t xml:space="preserve">首次申报项目             </w:t>
            </w:r>
          </w:p>
          <w:p w14:paraId="5BB7A698">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不予批准后再次申报项目</w:t>
            </w:r>
          </w:p>
          <w:p w14:paraId="215C3CC6">
            <w:pPr>
              <w:snapToGrid w:val="0"/>
              <w:jc w:val="left"/>
              <w:rPr>
                <w:rFonts w:ascii="Times New Roman" w:hAnsi="Times New Roman" w:cs="Times New Roman"/>
                <w:color w:val="auto"/>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 xml:space="preserve">超五年重新审核项目     </w:t>
            </w:r>
          </w:p>
          <w:p w14:paraId="45FBE813">
            <w:pPr>
              <w:snapToGrid w:val="0"/>
              <w:jc w:val="left"/>
              <w:rPr>
                <w:rFonts w:ascii="Times New Roman" w:hAnsi="Times New Roman" w:cs="Times New Roman"/>
                <w:color w:val="auto"/>
                <w:szCs w:val="21"/>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重大变动重新报批项目</w:t>
            </w:r>
          </w:p>
        </w:tc>
      </w:tr>
      <w:tr w14:paraId="19746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74" w:type="dxa"/>
            <w:gridSpan w:val="2"/>
            <w:tcMar>
              <w:top w:w="16" w:type="dxa"/>
              <w:left w:w="16" w:type="dxa"/>
              <w:right w:w="16" w:type="dxa"/>
            </w:tcMar>
            <w:vAlign w:val="center"/>
          </w:tcPr>
          <w:p w14:paraId="6DFF48F7">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项目审批（核准/</w:t>
            </w:r>
          </w:p>
          <w:p w14:paraId="6D23D775">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备案）部门（选填）</w:t>
            </w:r>
          </w:p>
        </w:tc>
        <w:tc>
          <w:tcPr>
            <w:tcW w:w="2615" w:type="dxa"/>
            <w:vAlign w:val="center"/>
          </w:tcPr>
          <w:p w14:paraId="501328AA">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w:t>
            </w:r>
          </w:p>
        </w:tc>
        <w:tc>
          <w:tcPr>
            <w:tcW w:w="1567" w:type="dxa"/>
            <w:vAlign w:val="center"/>
          </w:tcPr>
          <w:p w14:paraId="243C5C90">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项目审批（核准/备案）文号（选填）</w:t>
            </w:r>
          </w:p>
        </w:tc>
        <w:tc>
          <w:tcPr>
            <w:tcW w:w="3688" w:type="dxa"/>
            <w:shd w:val="clear" w:color="auto" w:fill="auto"/>
            <w:vAlign w:val="center"/>
          </w:tcPr>
          <w:p w14:paraId="10911811">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w:t>
            </w:r>
          </w:p>
        </w:tc>
      </w:tr>
      <w:tr w14:paraId="4D074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1974" w:type="dxa"/>
            <w:gridSpan w:val="2"/>
            <w:tcMar>
              <w:top w:w="16" w:type="dxa"/>
              <w:left w:w="16" w:type="dxa"/>
              <w:right w:w="16" w:type="dxa"/>
            </w:tcMar>
            <w:vAlign w:val="center"/>
          </w:tcPr>
          <w:p w14:paraId="7E87FB42">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总投资（万元）</w:t>
            </w:r>
          </w:p>
        </w:tc>
        <w:tc>
          <w:tcPr>
            <w:tcW w:w="2615" w:type="dxa"/>
            <w:vAlign w:val="center"/>
          </w:tcPr>
          <w:p w14:paraId="13B96185">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1567" w:type="dxa"/>
            <w:tcMar>
              <w:top w:w="16" w:type="dxa"/>
              <w:left w:w="16" w:type="dxa"/>
              <w:right w:w="16" w:type="dxa"/>
            </w:tcMar>
            <w:vAlign w:val="center"/>
          </w:tcPr>
          <w:p w14:paraId="60BF7F59">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环保投资（万元）</w:t>
            </w:r>
          </w:p>
        </w:tc>
        <w:tc>
          <w:tcPr>
            <w:tcW w:w="3688" w:type="dxa"/>
            <w:shd w:val="clear" w:color="auto" w:fill="auto"/>
            <w:vAlign w:val="center"/>
          </w:tcPr>
          <w:p w14:paraId="0915C5AF">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r>
      <w:tr w14:paraId="196C0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974" w:type="dxa"/>
            <w:gridSpan w:val="2"/>
            <w:tcMar>
              <w:top w:w="16" w:type="dxa"/>
              <w:left w:w="16" w:type="dxa"/>
              <w:right w:w="16" w:type="dxa"/>
            </w:tcMar>
            <w:vAlign w:val="center"/>
          </w:tcPr>
          <w:p w14:paraId="3EC02D70">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环保投资占比（%）</w:t>
            </w:r>
          </w:p>
        </w:tc>
        <w:tc>
          <w:tcPr>
            <w:tcW w:w="2615" w:type="dxa"/>
            <w:vAlign w:val="center"/>
          </w:tcPr>
          <w:p w14:paraId="04371AF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12.5</w:t>
            </w:r>
          </w:p>
        </w:tc>
        <w:tc>
          <w:tcPr>
            <w:tcW w:w="1567" w:type="dxa"/>
            <w:tcMar>
              <w:top w:w="16" w:type="dxa"/>
              <w:left w:w="16" w:type="dxa"/>
              <w:right w:w="16" w:type="dxa"/>
            </w:tcMar>
            <w:vAlign w:val="center"/>
          </w:tcPr>
          <w:p w14:paraId="0B01DC2B">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highlight w:val="none"/>
              </w:rPr>
              <w:t>施工工期</w:t>
            </w:r>
          </w:p>
        </w:tc>
        <w:tc>
          <w:tcPr>
            <w:tcW w:w="3688" w:type="dxa"/>
            <w:shd w:val="clear" w:color="auto" w:fill="auto"/>
            <w:vAlign w:val="center"/>
          </w:tcPr>
          <w:p w14:paraId="70B7B459">
            <w:pPr>
              <w:adjustRightInd w:val="0"/>
              <w:snapToGrid w:val="0"/>
              <w:jc w:val="center"/>
              <w:rPr>
                <w:rFonts w:ascii="Times New Roman" w:hAnsi="Times New Roman" w:cs="Times New Roman"/>
                <w:color w:val="auto"/>
                <w:szCs w:val="21"/>
                <w:highlight w:val="none"/>
              </w:rPr>
            </w:pPr>
            <w:r>
              <w:rPr>
                <w:rFonts w:hint="default" w:ascii="Times New Roman" w:hAnsi="Times New Roman" w:cs="Times New Roman"/>
                <w:color w:val="auto"/>
                <w:highlight w:val="none"/>
                <w:lang w:val="en-US" w:eastAsia="zh-CN"/>
              </w:rPr>
              <w:t>1</w:t>
            </w:r>
            <w:r>
              <w:rPr>
                <w:rFonts w:ascii="Times New Roman" w:hAnsi="Times New Roman" w:cs="Times New Roman"/>
                <w:color w:val="auto"/>
                <w:highlight w:val="none"/>
              </w:rPr>
              <w:t>个月</w:t>
            </w:r>
          </w:p>
        </w:tc>
      </w:tr>
      <w:tr w14:paraId="21DA7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59E65A18">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是否开工建设</w:t>
            </w:r>
          </w:p>
        </w:tc>
        <w:tc>
          <w:tcPr>
            <w:tcW w:w="2615" w:type="dxa"/>
            <w:vAlign w:val="center"/>
          </w:tcPr>
          <w:p w14:paraId="2E2C5214">
            <w:pPr>
              <w:adjustRightInd w:val="0"/>
              <w:snapToGrid w:val="0"/>
              <w:rPr>
                <w:rFonts w:ascii="Times New Roman" w:hAnsi="Times New Roman" w:cs="Times New Roman"/>
                <w:color w:val="auto"/>
                <w:highlight w:val="none"/>
              </w:rPr>
            </w:pPr>
            <w:r>
              <w:rPr>
                <w:rFonts w:ascii="Times New Roman" w:hAnsi="Times New Roman" w:cs="Times New Roman"/>
                <w:color w:val="auto"/>
                <w:highlight w:val="none"/>
              </w:rPr>
              <w:sym w:font="Wingdings 2" w:char="0052"/>
            </w:r>
            <w:r>
              <w:rPr>
                <w:rFonts w:ascii="Times New Roman" w:hAnsi="Times New Roman" w:cs="Times New Roman"/>
                <w:color w:val="auto"/>
                <w:highlight w:val="none"/>
              </w:rPr>
              <w:t>否</w:t>
            </w:r>
          </w:p>
          <w:p w14:paraId="3FCCF3EC">
            <w:pPr>
              <w:adjustRightInd w:val="0"/>
              <w:snapToGrid w:val="0"/>
              <w:rPr>
                <w:rFonts w:ascii="Times New Roman" w:hAnsi="Times New Roman" w:cs="Times New Roman"/>
                <w:color w:val="auto"/>
                <w:szCs w:val="21"/>
                <w:highlight w:val="none"/>
              </w:rPr>
            </w:pPr>
            <w:r>
              <w:rPr>
                <w:rFonts w:ascii="Times New Roman" w:hAnsi="Times New Roman" w:cs="Times New Roman"/>
                <w:color w:val="auto"/>
                <w:highlight w:val="none"/>
              </w:rPr>
              <w:sym w:font="Wingdings 2" w:char="00A3"/>
            </w:r>
            <w:r>
              <w:rPr>
                <w:rFonts w:ascii="Times New Roman" w:hAnsi="Times New Roman" w:cs="Times New Roman"/>
                <w:color w:val="auto"/>
                <w:highlight w:val="none"/>
              </w:rPr>
              <w:t>是：</w:t>
            </w:r>
          </w:p>
        </w:tc>
        <w:tc>
          <w:tcPr>
            <w:tcW w:w="1567" w:type="dxa"/>
            <w:tcMar>
              <w:top w:w="16" w:type="dxa"/>
              <w:left w:w="16" w:type="dxa"/>
              <w:right w:w="16" w:type="dxa"/>
            </w:tcMar>
            <w:vAlign w:val="center"/>
          </w:tcPr>
          <w:p w14:paraId="0F7876F4">
            <w:pPr>
              <w:adjustRightInd w:val="0"/>
              <w:snapToGrid w:val="0"/>
              <w:jc w:val="center"/>
              <w:rPr>
                <w:rFonts w:hint="eastAsia" w:ascii="Times New Roman" w:hAnsi="Times New Roman" w:eastAsia="宋体" w:cs="Times New Roman"/>
                <w:color w:val="auto"/>
                <w:szCs w:val="21"/>
                <w:highlight w:val="none"/>
                <w:lang w:eastAsia="zh-CN"/>
              </w:rPr>
            </w:pPr>
            <w:r>
              <w:rPr>
                <w:rFonts w:ascii="Times New Roman" w:hAnsi="Times New Roman" w:cs="Times New Roman"/>
                <w:color w:val="auto"/>
                <w:spacing w:val="-6"/>
                <w:highlight w:val="none"/>
              </w:rPr>
              <w:t>用地（用海）面积</w:t>
            </w:r>
            <w:r>
              <w:rPr>
                <w:rFonts w:hint="eastAsia" w:cs="Times New Roman"/>
                <w:color w:val="auto"/>
                <w:spacing w:val="-6"/>
                <w:highlight w:val="none"/>
                <w:lang w:eastAsia="zh-CN"/>
              </w:rPr>
              <w:t>（</w:t>
            </w:r>
            <w:r>
              <w:rPr>
                <w:rFonts w:ascii="Times New Roman" w:hAnsi="Times New Roman" w:cs="Times New Roman"/>
                <w:color w:val="auto"/>
                <w:spacing w:val="-6"/>
                <w:highlight w:val="none"/>
              </w:rPr>
              <w:t>m</w:t>
            </w:r>
            <w:r>
              <w:rPr>
                <w:rFonts w:ascii="Times New Roman" w:hAnsi="Times New Roman" w:cs="Times New Roman"/>
                <w:color w:val="auto"/>
                <w:spacing w:val="-6"/>
                <w:highlight w:val="none"/>
                <w:vertAlign w:val="superscript"/>
              </w:rPr>
              <w:t>2</w:t>
            </w:r>
            <w:r>
              <w:rPr>
                <w:rFonts w:hint="eastAsia" w:cs="Times New Roman"/>
                <w:color w:val="auto"/>
                <w:spacing w:val="-6"/>
                <w:highlight w:val="none"/>
                <w:vertAlign w:val="baseline"/>
                <w:lang w:eastAsia="zh-CN"/>
              </w:rPr>
              <w:t>）</w:t>
            </w:r>
          </w:p>
        </w:tc>
        <w:tc>
          <w:tcPr>
            <w:tcW w:w="3688" w:type="dxa"/>
            <w:vAlign w:val="center"/>
          </w:tcPr>
          <w:p w14:paraId="628A765B">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val="en-US" w:eastAsia="zh-CN"/>
              </w:rPr>
              <w:t>建筑面积：</w:t>
            </w:r>
            <w:r>
              <w:rPr>
                <w:rFonts w:hint="default" w:ascii="Times New Roman" w:hAnsi="Times New Roman" w:cs="Times New Roman"/>
                <w:color w:val="auto"/>
                <w:highlight w:val="none"/>
                <w:lang w:val="en-US" w:eastAsia="zh-CN"/>
              </w:rPr>
              <w:t>118</w:t>
            </w:r>
            <w:r>
              <w:rPr>
                <w:rFonts w:hint="eastAsia" w:cs="Times New Roman"/>
                <w:color w:val="auto"/>
                <w:spacing w:val="-6"/>
                <w:highlight w:val="none"/>
                <w:lang w:eastAsia="zh-CN"/>
              </w:rPr>
              <w:t>（</w:t>
            </w:r>
            <w:r>
              <w:rPr>
                <w:rFonts w:ascii="Times New Roman" w:hAnsi="Times New Roman" w:cs="Times New Roman"/>
                <w:color w:val="auto"/>
                <w:spacing w:val="-6"/>
                <w:highlight w:val="none"/>
              </w:rPr>
              <w:t>m</w:t>
            </w:r>
            <w:r>
              <w:rPr>
                <w:rFonts w:ascii="Times New Roman" w:hAnsi="Times New Roman" w:cs="Times New Roman"/>
                <w:color w:val="auto"/>
                <w:spacing w:val="-6"/>
                <w:highlight w:val="none"/>
                <w:vertAlign w:val="superscript"/>
              </w:rPr>
              <w:t>2</w:t>
            </w:r>
            <w:r>
              <w:rPr>
                <w:rFonts w:hint="eastAsia" w:cs="Times New Roman"/>
                <w:color w:val="auto"/>
                <w:spacing w:val="-6"/>
                <w:highlight w:val="none"/>
                <w:vertAlign w:val="baseline"/>
                <w:lang w:eastAsia="zh-CN"/>
              </w:rPr>
              <w:t>）</w:t>
            </w:r>
            <w:r>
              <w:rPr>
                <w:color w:val="auto"/>
                <w:highlight w:val="none"/>
              </w:rPr>
              <w:t>（依托现有，不新增用地面积）</w:t>
            </w:r>
          </w:p>
        </w:tc>
      </w:tr>
      <w:tr w14:paraId="598FE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74" w:type="dxa"/>
            <w:gridSpan w:val="2"/>
            <w:vAlign w:val="center"/>
          </w:tcPr>
          <w:p w14:paraId="0EBE99DF">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专项评价设置情况</w:t>
            </w:r>
          </w:p>
        </w:tc>
        <w:tc>
          <w:tcPr>
            <w:tcW w:w="7870" w:type="dxa"/>
            <w:gridSpan w:val="3"/>
            <w:vAlign w:val="center"/>
          </w:tcPr>
          <w:p w14:paraId="356D682C">
            <w:pPr>
              <w:widowControl/>
              <w:numPr>
                <w:ilvl w:val="255"/>
                <w:numId w:val="0"/>
              </w:numPr>
              <w:autoSpaceDE w:val="0"/>
              <w:autoSpaceDN w:val="0"/>
              <w:adjustRightInd w:val="0"/>
              <w:snapToGrid w:val="0"/>
              <w:spacing w:beforeLines="0" w:line="360" w:lineRule="auto"/>
              <w:ind w:firstLine="48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rPr>
              <w:t>根据《建设项目环境影响报告表编制技术指南</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污染影响类</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试行</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w:t>
            </w:r>
            <w:r>
              <w:rPr>
                <w:rFonts w:ascii="Times New Roman" w:hAnsi="Times New Roman" w:cs="Times New Roman"/>
                <w:color w:val="auto"/>
                <w:kern w:val="0"/>
                <w:szCs w:val="21"/>
                <w:highlight w:val="none"/>
              </w:rPr>
              <w:t>项目无需设置大气、地表水、环境风险、生态及海洋专项评价，具体判定见表</w:t>
            </w:r>
            <w:r>
              <w:rPr>
                <w:rFonts w:hint="default" w:ascii="Times New Roman" w:hAnsi="Times New Roman" w:cs="Times New Roman"/>
                <w:color w:val="auto"/>
                <w:kern w:val="0"/>
                <w:szCs w:val="21"/>
                <w:highlight w:val="none"/>
                <w:lang w:val="en-US" w:eastAsia="zh-CN"/>
              </w:rPr>
              <w:t>1-1</w:t>
            </w:r>
            <w:r>
              <w:rPr>
                <w:rFonts w:ascii="Times New Roman" w:hAnsi="Times New Roman" w:cs="Times New Roman"/>
                <w:color w:val="auto"/>
                <w:kern w:val="0"/>
                <w:szCs w:val="21"/>
                <w:highlight w:val="none"/>
              </w:rPr>
              <w:t>。</w:t>
            </w:r>
          </w:p>
          <w:p w14:paraId="1F52196A">
            <w:pPr>
              <w:jc w:val="center"/>
              <w:rPr>
                <w:rFonts w:ascii="Times New Roman" w:hAnsi="Times New Roman" w:cs="Times New Roman"/>
                <w:b/>
                <w:color w:val="auto"/>
                <w:highlight w:val="none"/>
              </w:rPr>
            </w:pPr>
            <w:r>
              <w:rPr>
                <w:rFonts w:ascii="Times New Roman" w:hAnsi="Times New Roman" w:cs="Times New Roman"/>
                <w:b/>
                <w:color w:val="auto"/>
                <w:highlight w:val="none"/>
              </w:rPr>
              <w:t>表1-1  编制技术指南专项设置要求对照表</w:t>
            </w:r>
          </w:p>
          <w:tbl>
            <w:tblPr>
              <w:tblStyle w:val="50"/>
              <w:tblW w:w="499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542"/>
              <w:gridCol w:w="2652"/>
              <w:gridCol w:w="721"/>
            </w:tblGrid>
            <w:tr w14:paraId="3065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19" w:type="dxa"/>
                  <w:tcBorders>
                    <w:top w:val="single" w:color="auto" w:sz="12" w:space="0"/>
                    <w:left w:val="nil"/>
                  </w:tcBorders>
                  <w:shd w:val="clear" w:color="auto" w:fill="auto"/>
                  <w:vAlign w:val="center"/>
                </w:tcPr>
                <w:p w14:paraId="511B9234">
                  <w:pPr>
                    <w:widowControl/>
                    <w:adjustRightInd w:val="0"/>
                    <w:snapToGrid w:val="0"/>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专项评价类别</w:t>
                  </w:r>
                </w:p>
              </w:tc>
              <w:tc>
                <w:tcPr>
                  <w:tcW w:w="3547" w:type="dxa"/>
                  <w:tcBorders>
                    <w:top w:val="single" w:color="auto" w:sz="12" w:space="0"/>
                  </w:tcBorders>
                  <w:shd w:val="clear" w:color="auto" w:fill="auto"/>
                  <w:vAlign w:val="center"/>
                </w:tcPr>
                <w:p w14:paraId="331BF0D7">
                  <w:pPr>
                    <w:widowControl/>
                    <w:adjustRightInd w:val="0"/>
                    <w:snapToGrid w:val="0"/>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设置原则</w:t>
                  </w:r>
                </w:p>
              </w:tc>
              <w:tc>
                <w:tcPr>
                  <w:tcW w:w="2656" w:type="dxa"/>
                  <w:tcBorders>
                    <w:top w:val="single" w:color="auto" w:sz="12" w:space="0"/>
                  </w:tcBorders>
                  <w:shd w:val="clear" w:color="auto" w:fill="auto"/>
                  <w:vAlign w:val="center"/>
                </w:tcPr>
                <w:p w14:paraId="25AA3E0C">
                  <w:pPr>
                    <w:widowControl/>
                    <w:adjustRightInd w:val="0"/>
                    <w:snapToGrid w:val="0"/>
                    <w:jc w:val="center"/>
                    <w:rPr>
                      <w:rFonts w:hint="default" w:ascii="Times New Roman" w:hAnsi="Times New Roman" w:cs="Times New Roman"/>
                      <w:b/>
                      <w:bCs/>
                      <w:color w:val="auto"/>
                      <w:sz w:val="21"/>
                      <w:szCs w:val="18"/>
                      <w:highlight w:val="none"/>
                      <w:lang w:eastAsia="zh-CN"/>
                    </w:rPr>
                  </w:pPr>
                  <w:r>
                    <w:rPr>
                      <w:rFonts w:hint="default" w:ascii="Times New Roman" w:hAnsi="Times New Roman" w:cs="Times New Roman"/>
                      <w:b/>
                      <w:bCs/>
                      <w:color w:val="auto"/>
                      <w:sz w:val="21"/>
                      <w:szCs w:val="18"/>
                      <w:highlight w:val="none"/>
                      <w:lang w:eastAsia="zh-CN"/>
                    </w:rPr>
                    <w:t>项目</w:t>
                  </w:r>
                </w:p>
              </w:tc>
              <w:tc>
                <w:tcPr>
                  <w:tcW w:w="722" w:type="dxa"/>
                  <w:tcBorders>
                    <w:top w:val="single" w:color="auto" w:sz="12" w:space="0"/>
                    <w:right w:val="nil"/>
                  </w:tcBorders>
                  <w:shd w:val="clear" w:color="auto" w:fill="auto"/>
                  <w:vAlign w:val="center"/>
                </w:tcPr>
                <w:p w14:paraId="1D69AF39">
                  <w:pPr>
                    <w:widowControl/>
                    <w:adjustRightInd w:val="0"/>
                    <w:snapToGrid w:val="0"/>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是否设置专项</w:t>
                  </w:r>
                </w:p>
              </w:tc>
            </w:tr>
            <w:tr w14:paraId="68B9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tcBorders>
                    <w:left w:val="nil"/>
                  </w:tcBorders>
                  <w:shd w:val="clear" w:color="auto" w:fill="auto"/>
                  <w:vAlign w:val="center"/>
                </w:tcPr>
                <w:p w14:paraId="2FDAF533">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大气</w:t>
                  </w:r>
                </w:p>
              </w:tc>
              <w:tc>
                <w:tcPr>
                  <w:tcW w:w="3547" w:type="dxa"/>
                  <w:shd w:val="clear" w:color="auto" w:fill="auto"/>
                  <w:vAlign w:val="center"/>
                </w:tcPr>
                <w:p w14:paraId="309B9F6F">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排放废气含有毒有害污染物、二噁英、苯并芘[a]、氰化物、氯气且厂界外500米范围内有环境空气保护目标的建设项目。</w:t>
                  </w:r>
                </w:p>
              </w:tc>
              <w:tc>
                <w:tcPr>
                  <w:tcW w:w="2656" w:type="dxa"/>
                  <w:shd w:val="clear" w:color="auto" w:fill="auto"/>
                  <w:vAlign w:val="center"/>
                </w:tcPr>
                <w:p w14:paraId="646A2827">
                  <w:pPr>
                    <w:widowControl/>
                    <w:adjustRightInd w:val="0"/>
                    <w:snapToGrid w:val="0"/>
                    <w:jc w:val="left"/>
                    <w:rPr>
                      <w:rFonts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项目周边</w:t>
                  </w:r>
                  <w:r>
                    <w:rPr>
                      <w:rFonts w:hint="default" w:ascii="Times New Roman" w:hAnsi="Times New Roman" w:cs="Times New Roman"/>
                      <w:color w:val="auto"/>
                      <w:sz w:val="21"/>
                      <w:szCs w:val="18"/>
                      <w:highlight w:val="none"/>
                      <w:lang w:val="en-US" w:eastAsia="zh-CN"/>
                    </w:rPr>
                    <w:t>5</w:t>
                  </w:r>
                  <w:r>
                    <w:rPr>
                      <w:rFonts w:hint="default" w:ascii="Times New Roman" w:hAnsi="Times New Roman" w:cs="Times New Roman"/>
                      <w:color w:val="auto"/>
                      <w:sz w:val="21"/>
                      <w:szCs w:val="18"/>
                      <w:highlight w:val="none"/>
                    </w:rPr>
                    <w:t>00m范围内主要是商业楼、居民住宅等，无重大污染企业，周围环境质量较好。</w:t>
                  </w:r>
                  <w:r>
                    <w:rPr>
                      <w:rFonts w:ascii="Times New Roman" w:hAnsi="Times New Roman" w:cs="Times New Roman"/>
                      <w:color w:val="auto"/>
                      <w:sz w:val="21"/>
                      <w:szCs w:val="18"/>
                      <w:highlight w:val="none"/>
                    </w:rPr>
                    <w:t>项目</w:t>
                  </w:r>
                  <w:r>
                    <w:rPr>
                      <w:rFonts w:hint="default" w:ascii="Times New Roman" w:hAnsi="Times New Roman" w:cs="Times New Roman"/>
                      <w:color w:val="auto"/>
                      <w:sz w:val="21"/>
                      <w:szCs w:val="18"/>
                      <w:highlight w:val="none"/>
                      <w:lang w:val="en-US" w:eastAsia="zh-CN"/>
                    </w:rPr>
                    <w:t>为动物诊疗服务，</w:t>
                  </w:r>
                  <w:r>
                    <w:rPr>
                      <w:rFonts w:ascii="Times New Roman" w:hAnsi="Times New Roman" w:cs="Times New Roman"/>
                      <w:color w:val="auto"/>
                      <w:sz w:val="21"/>
                      <w:szCs w:val="18"/>
                      <w:highlight w:val="none"/>
                    </w:rPr>
                    <w:t>不涉及排放有毒有害污染物、二噁英、苯并芘[a]、氰化物、氯气。</w:t>
                  </w:r>
                </w:p>
              </w:tc>
              <w:tc>
                <w:tcPr>
                  <w:tcW w:w="722" w:type="dxa"/>
                  <w:tcBorders>
                    <w:right w:val="nil"/>
                  </w:tcBorders>
                  <w:shd w:val="clear" w:color="auto" w:fill="auto"/>
                  <w:vAlign w:val="center"/>
                </w:tcPr>
                <w:p w14:paraId="123EFF7C">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14:paraId="6B2E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left w:val="nil"/>
                  </w:tcBorders>
                  <w:shd w:val="clear" w:color="auto" w:fill="auto"/>
                  <w:vAlign w:val="center"/>
                </w:tcPr>
                <w:p w14:paraId="2E2E03C7">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地表水</w:t>
                  </w:r>
                </w:p>
              </w:tc>
              <w:tc>
                <w:tcPr>
                  <w:tcW w:w="3547" w:type="dxa"/>
                  <w:shd w:val="clear" w:color="auto" w:fill="auto"/>
                  <w:vAlign w:val="center"/>
                </w:tcPr>
                <w:p w14:paraId="77B0861C">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新增</w:t>
                  </w:r>
                  <w:r>
                    <w:rPr>
                      <w:rFonts w:hint="default" w:ascii="Times New Roman" w:hAnsi="Times New Roman" w:cs="Times New Roman"/>
                      <w:color w:val="auto"/>
                      <w:sz w:val="21"/>
                      <w:szCs w:val="18"/>
                      <w:highlight w:val="none"/>
                    </w:rPr>
                    <w:t>工业</w:t>
                  </w:r>
                  <w:r>
                    <w:rPr>
                      <w:rFonts w:ascii="Times New Roman" w:hAnsi="Times New Roman" w:cs="Times New Roman"/>
                      <w:color w:val="auto"/>
                      <w:sz w:val="21"/>
                      <w:szCs w:val="18"/>
                      <w:highlight w:val="none"/>
                    </w:rPr>
                    <w:t>废水直排建设项目（槽罐车外送污水处理厂的除外）；新增废水直排的污水集中处理厂。</w:t>
                  </w:r>
                </w:p>
              </w:tc>
              <w:tc>
                <w:tcPr>
                  <w:tcW w:w="2656" w:type="dxa"/>
                  <w:shd w:val="clear" w:color="auto" w:fill="auto"/>
                  <w:vAlign w:val="center"/>
                </w:tcPr>
                <w:p w14:paraId="46A74D35">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项目废水不直接排入外环境。</w:t>
                  </w:r>
                </w:p>
              </w:tc>
              <w:tc>
                <w:tcPr>
                  <w:tcW w:w="722" w:type="dxa"/>
                  <w:tcBorders>
                    <w:right w:val="nil"/>
                  </w:tcBorders>
                  <w:shd w:val="clear" w:color="auto" w:fill="auto"/>
                  <w:vAlign w:val="center"/>
                </w:tcPr>
                <w:p w14:paraId="1685A659">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14:paraId="7E05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left w:val="nil"/>
                  </w:tcBorders>
                  <w:shd w:val="clear" w:color="auto" w:fill="auto"/>
                  <w:vAlign w:val="center"/>
                </w:tcPr>
                <w:p w14:paraId="084A0DFD">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环境风险</w:t>
                  </w:r>
                </w:p>
              </w:tc>
              <w:tc>
                <w:tcPr>
                  <w:tcW w:w="3547" w:type="dxa"/>
                  <w:shd w:val="clear" w:color="auto" w:fill="auto"/>
                  <w:vAlign w:val="center"/>
                </w:tcPr>
                <w:p w14:paraId="29B55849">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有毒有害和易燃易爆危险物质存储量超过临界量的建设项目。</w:t>
                  </w:r>
                </w:p>
              </w:tc>
              <w:tc>
                <w:tcPr>
                  <w:tcW w:w="2656" w:type="dxa"/>
                  <w:shd w:val="clear" w:color="auto" w:fill="auto"/>
                  <w:vAlign w:val="center"/>
                </w:tcPr>
                <w:p w14:paraId="2F3ABBEC">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项目涉及的环境风险物质存储量未超过临界量。</w:t>
                  </w:r>
                </w:p>
              </w:tc>
              <w:tc>
                <w:tcPr>
                  <w:tcW w:w="722" w:type="dxa"/>
                  <w:tcBorders>
                    <w:right w:val="nil"/>
                  </w:tcBorders>
                  <w:shd w:val="clear" w:color="auto" w:fill="auto"/>
                  <w:vAlign w:val="center"/>
                </w:tcPr>
                <w:p w14:paraId="0C44DBBE">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14:paraId="6C3E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left w:val="nil"/>
                  </w:tcBorders>
                  <w:shd w:val="clear" w:color="auto" w:fill="auto"/>
                  <w:vAlign w:val="center"/>
                </w:tcPr>
                <w:p w14:paraId="2CC8D21B">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生态</w:t>
                  </w:r>
                </w:p>
              </w:tc>
              <w:tc>
                <w:tcPr>
                  <w:tcW w:w="3547" w:type="dxa"/>
                  <w:shd w:val="clear" w:color="auto" w:fill="auto"/>
                  <w:vAlign w:val="center"/>
                </w:tcPr>
                <w:p w14:paraId="2CCC1C69">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取水口下游500米范围内有重要水生生物的自然产卵场、索饵场、越冬场和洄游通道的新增河道取水的污染类建设项目。</w:t>
                  </w:r>
                </w:p>
              </w:tc>
              <w:tc>
                <w:tcPr>
                  <w:tcW w:w="2656" w:type="dxa"/>
                  <w:shd w:val="clear" w:color="auto" w:fill="auto"/>
                  <w:vAlign w:val="center"/>
                </w:tcPr>
                <w:p w14:paraId="0D53C7AD">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项目用水由市政自来水管网供应。</w:t>
                  </w:r>
                </w:p>
              </w:tc>
              <w:tc>
                <w:tcPr>
                  <w:tcW w:w="722" w:type="dxa"/>
                  <w:tcBorders>
                    <w:right w:val="nil"/>
                  </w:tcBorders>
                  <w:shd w:val="clear" w:color="auto" w:fill="auto"/>
                  <w:vAlign w:val="center"/>
                </w:tcPr>
                <w:p w14:paraId="03100C9B">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r w14:paraId="0185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left w:val="nil"/>
                    <w:bottom w:val="single" w:color="auto" w:sz="12" w:space="0"/>
                  </w:tcBorders>
                  <w:shd w:val="clear" w:color="auto" w:fill="auto"/>
                  <w:vAlign w:val="center"/>
                </w:tcPr>
                <w:p w14:paraId="62EE5BA4">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海洋</w:t>
                  </w:r>
                </w:p>
              </w:tc>
              <w:tc>
                <w:tcPr>
                  <w:tcW w:w="3547" w:type="dxa"/>
                  <w:tcBorders>
                    <w:bottom w:val="single" w:color="auto" w:sz="12" w:space="0"/>
                  </w:tcBorders>
                  <w:shd w:val="clear" w:color="auto" w:fill="auto"/>
                  <w:vAlign w:val="center"/>
                </w:tcPr>
                <w:p w14:paraId="72AEF3D3">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直接向海排放污染物的海洋工程建设项目。</w:t>
                  </w:r>
                </w:p>
              </w:tc>
              <w:tc>
                <w:tcPr>
                  <w:tcW w:w="2656" w:type="dxa"/>
                  <w:tcBorders>
                    <w:bottom w:val="single" w:color="auto" w:sz="12" w:space="0"/>
                  </w:tcBorders>
                  <w:shd w:val="clear" w:color="auto" w:fill="auto"/>
                  <w:vAlign w:val="center"/>
                </w:tcPr>
                <w:p w14:paraId="436023A5">
                  <w:pPr>
                    <w:widowControl/>
                    <w:adjustRightInd w:val="0"/>
                    <w:snapToGrid w:val="0"/>
                    <w:jc w:val="left"/>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项目污水纳管排放，不直接排入海洋。</w:t>
                  </w:r>
                </w:p>
              </w:tc>
              <w:tc>
                <w:tcPr>
                  <w:tcW w:w="722" w:type="dxa"/>
                  <w:tcBorders>
                    <w:bottom w:val="single" w:color="auto" w:sz="12" w:space="0"/>
                    <w:right w:val="nil"/>
                  </w:tcBorders>
                  <w:shd w:val="clear" w:color="auto" w:fill="auto"/>
                  <w:vAlign w:val="center"/>
                </w:tcPr>
                <w:p w14:paraId="74236E87">
                  <w:pPr>
                    <w:widowControl/>
                    <w:adjustRightInd w:val="0"/>
                    <w:snapToGrid w:val="0"/>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否</w:t>
                  </w:r>
                </w:p>
              </w:tc>
            </w:tr>
          </w:tbl>
          <w:p w14:paraId="1599A1C6">
            <w:pPr>
              <w:autoSpaceDE w:val="0"/>
              <w:autoSpaceDN w:val="0"/>
              <w:adjustRightInd w:val="0"/>
              <w:snapToGrid w:val="0"/>
              <w:jc w:val="center"/>
              <w:rPr>
                <w:rFonts w:ascii="Times New Roman" w:hAnsi="Times New Roman" w:cs="Times New Roman"/>
                <w:color w:val="auto"/>
                <w:kern w:val="0"/>
                <w:szCs w:val="21"/>
                <w:highlight w:val="none"/>
              </w:rPr>
            </w:pPr>
          </w:p>
        </w:tc>
      </w:tr>
      <w:tr w14:paraId="09594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974" w:type="dxa"/>
            <w:gridSpan w:val="2"/>
            <w:vAlign w:val="center"/>
          </w:tcPr>
          <w:p w14:paraId="72AD63AA">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szCs w:val="21"/>
                <w:highlight w:val="none"/>
              </w:rPr>
              <w:t>规划情况</w:t>
            </w:r>
          </w:p>
        </w:tc>
        <w:tc>
          <w:tcPr>
            <w:tcW w:w="7870" w:type="dxa"/>
            <w:gridSpan w:val="3"/>
            <w:vAlign w:val="center"/>
          </w:tcPr>
          <w:p w14:paraId="2B52F46F">
            <w:pPr>
              <w:autoSpaceDE w:val="0"/>
              <w:autoSpaceDN w:val="0"/>
              <w:adjustRightInd w:val="0"/>
              <w:snapToGrid w:val="0"/>
              <w:spacing w:line="360" w:lineRule="auto"/>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val="en-US" w:eastAsia="zh-CN"/>
              </w:rPr>
              <w:t>《福清市国土空间总体规划》（2021-2035）</w:t>
            </w:r>
          </w:p>
        </w:tc>
      </w:tr>
      <w:tr w14:paraId="1760E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974" w:type="dxa"/>
            <w:gridSpan w:val="2"/>
            <w:vAlign w:val="center"/>
          </w:tcPr>
          <w:p w14:paraId="4812A9F0">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规划环境影响</w:t>
            </w:r>
          </w:p>
          <w:p w14:paraId="4DCCF262">
            <w:pPr>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szCs w:val="21"/>
                <w:highlight w:val="none"/>
              </w:rPr>
              <w:t>评价情况</w:t>
            </w:r>
          </w:p>
        </w:tc>
        <w:tc>
          <w:tcPr>
            <w:tcW w:w="7870" w:type="dxa"/>
            <w:gridSpan w:val="3"/>
            <w:vAlign w:val="center"/>
          </w:tcPr>
          <w:p w14:paraId="3CA346DA">
            <w:pPr>
              <w:autoSpaceDE w:val="0"/>
              <w:autoSpaceDN w:val="0"/>
              <w:adjustRightInd w:val="0"/>
              <w:snapToGrid w:val="0"/>
              <w:spacing w:line="360" w:lineRule="auto"/>
              <w:jc w:val="center"/>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无</w:t>
            </w:r>
          </w:p>
        </w:tc>
      </w:tr>
      <w:tr w14:paraId="349D1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74" w:type="dxa"/>
            <w:gridSpan w:val="2"/>
            <w:vAlign w:val="center"/>
          </w:tcPr>
          <w:p w14:paraId="0A6C8DCF">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规划及规划环境影响评价符合性分析</w:t>
            </w:r>
          </w:p>
        </w:tc>
        <w:tc>
          <w:tcPr>
            <w:tcW w:w="7870" w:type="dxa"/>
            <w:gridSpan w:val="3"/>
            <w:vAlign w:val="center"/>
          </w:tcPr>
          <w:p w14:paraId="63C287F9">
            <w:pPr>
              <w:autoSpaceDE/>
              <w:autoSpaceDN/>
              <w:adjustRightInd w:val="0"/>
              <w:snapToGrid w:val="0"/>
              <w:spacing w:line="360" w:lineRule="auto"/>
              <w:ind w:firstLine="0" w:firstLineChars="0"/>
              <w:jc w:val="center"/>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无</w:t>
            </w:r>
          </w:p>
        </w:tc>
      </w:tr>
      <w:tr w14:paraId="2749C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46" w:hRule="atLeast"/>
          <w:jc w:val="center"/>
        </w:trPr>
        <w:tc>
          <w:tcPr>
            <w:tcW w:w="1357" w:type="dxa"/>
            <w:vAlign w:val="center"/>
          </w:tcPr>
          <w:p w14:paraId="52FF1199">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shd w:val="clear"/>
              </w:rPr>
              <w:t>其他符合性分析</w:t>
            </w:r>
          </w:p>
        </w:tc>
        <w:tc>
          <w:tcPr>
            <w:tcW w:w="8487" w:type="dxa"/>
            <w:gridSpan w:val="4"/>
            <w:vAlign w:val="center"/>
          </w:tcPr>
          <w:p w14:paraId="65CAAEA7">
            <w:pPr>
              <w:pStyle w:val="3"/>
              <w:numPr>
                <w:ilvl w:val="1"/>
                <w:numId w:val="0"/>
              </w:numPr>
              <w:rPr>
                <w:rFonts w:ascii="Times New Roman" w:hAnsi="Times New Roman" w:cs="Times New Roman"/>
                <w:color w:val="auto"/>
                <w:highlight w:val="none"/>
              </w:rPr>
            </w:pPr>
            <w:bookmarkStart w:id="12" w:name="_Toc16805"/>
            <w:bookmarkStart w:id="13" w:name="_Toc133251528"/>
            <w:bookmarkStart w:id="14" w:name="_Toc32357"/>
            <w:bookmarkStart w:id="15" w:name="_Toc4972"/>
            <w:bookmarkStart w:id="16" w:name="_Toc106_WPSOffice_Level2"/>
            <w:bookmarkStart w:id="17" w:name="_Toc31117"/>
            <w:bookmarkStart w:id="18" w:name="_Toc21232"/>
            <w:r>
              <w:rPr>
                <w:rFonts w:hint="eastAsia" w:ascii="Times New Roman" w:hAnsi="Times New Roman" w:eastAsia="宋体" w:cs="宋体"/>
                <w:b/>
                <w:bCs/>
                <w:color w:val="auto"/>
                <w:kern w:val="0"/>
                <w:sz w:val="28"/>
                <w:szCs w:val="28"/>
                <w:lang w:val="en-US" w:eastAsia="zh-CN" w:bidi="ar-SA"/>
              </w:rPr>
              <w:t>1.1</w:t>
            </w:r>
            <w:r>
              <w:rPr>
                <w:rFonts w:hint="eastAsia" w:cs="宋体"/>
                <w:b/>
                <w:bCs/>
                <w:color w:val="auto"/>
                <w:kern w:val="0"/>
                <w:sz w:val="28"/>
                <w:szCs w:val="28"/>
                <w:lang w:val="en-US" w:eastAsia="zh-CN" w:bidi="ar-SA"/>
              </w:rPr>
              <w:t xml:space="preserve"> </w:t>
            </w:r>
            <w:r>
              <w:rPr>
                <w:rFonts w:ascii="Times New Roman" w:hAnsi="Times New Roman" w:cs="Times New Roman"/>
                <w:color w:val="auto"/>
                <w:highlight w:val="none"/>
              </w:rPr>
              <w:t>项目选址符合性分析</w:t>
            </w:r>
            <w:bookmarkEnd w:id="12"/>
            <w:bookmarkEnd w:id="13"/>
            <w:bookmarkEnd w:id="14"/>
            <w:bookmarkEnd w:id="15"/>
          </w:p>
          <w:p w14:paraId="2F72A4A2">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福清市瑞辰顽皮多格动物医院有限公司于20</w:t>
            </w:r>
            <w:r>
              <w:rPr>
                <w:rFonts w:hint="eastAsia"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月投产运营，主要经营范围</w:t>
            </w:r>
            <w:r>
              <w:rPr>
                <w:rFonts w:hint="default" w:ascii="Times New Roman" w:hAnsi="Times New Roman" w:eastAsia="宋体" w:cs="Times New Roman"/>
                <w:color w:val="auto"/>
                <w:highlight w:val="none"/>
                <w:lang w:val="en-US" w:eastAsia="zh-CN"/>
              </w:rPr>
              <w:t>设有动物</w:t>
            </w:r>
            <w:r>
              <w:rPr>
                <w:rFonts w:hint="default" w:ascii="Times New Roman" w:hAnsi="Times New Roman" w:eastAsia="宋体" w:cs="Times New Roman"/>
                <w:color w:val="auto"/>
                <w:highlight w:val="none"/>
              </w:rPr>
              <w:t>疾病预防、诊治</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宠物美容洗护，</w:t>
            </w:r>
            <w:r>
              <w:rPr>
                <w:rFonts w:hint="default" w:ascii="Times New Roman" w:hAnsi="Times New Roman" w:eastAsia="宋体" w:cs="Times New Roman"/>
                <w:color w:val="auto"/>
                <w:highlight w:val="none"/>
                <w:lang w:val="en-US" w:eastAsia="zh-CN"/>
              </w:rPr>
              <w:t>手术（不含动物颅腔、胸腔和腹腔手术）和宠物用品销售等服务</w:t>
            </w:r>
            <w:r>
              <w:rPr>
                <w:rFonts w:hint="default" w:ascii="Times New Roman" w:hAnsi="Times New Roman" w:eastAsia="宋体" w:cs="Times New Roman"/>
                <w:color w:val="auto"/>
                <w:highlight w:val="none"/>
              </w:rPr>
              <w:t>，属于其他动物诊疗机构，不纳入环境影响评价管理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现因宠物医院的发展需要和客户的需求，</w:t>
            </w:r>
            <w:r>
              <w:rPr>
                <w:rFonts w:hint="eastAsia" w:ascii="Times New Roman" w:hAnsi="Times New Roman" w:eastAsia="宋体" w:cs="Times New Roman"/>
                <w:color w:val="auto"/>
                <w:highlight w:val="none"/>
                <w:lang w:eastAsia="zh-CN"/>
              </w:rPr>
              <w:t>福清市瑞辰顽皮多格动物医院有限公司</w:t>
            </w:r>
            <w:r>
              <w:rPr>
                <w:rFonts w:hint="default" w:ascii="Times New Roman" w:hAnsi="Times New Roman" w:eastAsia="宋体" w:cs="Times New Roman"/>
                <w:color w:val="auto"/>
                <w:highlight w:val="none"/>
              </w:rPr>
              <w:t>拟在</w:t>
            </w:r>
            <w:r>
              <w:rPr>
                <w:rFonts w:hint="default" w:ascii="Times New Roman" w:hAnsi="Times New Roman" w:eastAsia="宋体" w:cs="Times New Roman"/>
                <w:color w:val="auto"/>
                <w:highlight w:val="none"/>
                <w:lang w:val="en-US" w:eastAsia="zh-CN"/>
              </w:rPr>
              <w:t>原有服务</w:t>
            </w:r>
            <w:r>
              <w:rPr>
                <w:rFonts w:hint="default" w:ascii="Times New Roman" w:hAnsi="Times New Roman" w:eastAsia="宋体" w:cs="Times New Roman"/>
                <w:color w:val="auto"/>
                <w:highlight w:val="none"/>
              </w:rPr>
              <w:t>范围中增设动物颅腔、胸腔和腹腔手术</w:t>
            </w:r>
            <w:r>
              <w:rPr>
                <w:rFonts w:hint="default" w:ascii="Times New Roman" w:hAnsi="Times New Roman" w:eastAsia="宋体" w:cs="Times New Roman"/>
                <w:color w:val="auto"/>
                <w:highlight w:val="none"/>
                <w:lang w:val="en-US" w:eastAsia="zh-CN"/>
              </w:rPr>
              <w:t>等服务</w:t>
            </w:r>
            <w:r>
              <w:rPr>
                <w:rFonts w:hint="default" w:ascii="Times New Roman" w:hAnsi="Times New Roman" w:eastAsia="宋体" w:cs="Times New Roman"/>
                <w:color w:val="auto"/>
                <w:highlight w:val="none"/>
              </w:rPr>
              <w:t>。</w:t>
            </w:r>
          </w:p>
          <w:p w14:paraId="620C1FBC">
            <w:pPr>
              <w:pStyle w:val="159"/>
              <w:shd w:val="clear"/>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福清市瑞辰顽皮多格动物医院有限公司</w:t>
            </w:r>
            <w:r>
              <w:rPr>
                <w:rFonts w:hint="default" w:ascii="Times New Roman" w:hAnsi="Times New Roman" w:eastAsia="宋体" w:cs="Times New Roman"/>
                <w:color w:val="auto"/>
                <w:highlight w:val="none"/>
                <w:lang w:val="en-US" w:eastAsia="zh-CN"/>
              </w:rPr>
              <w:t>选址</w:t>
            </w:r>
            <w:r>
              <w:rPr>
                <w:rFonts w:ascii="Times New Roman" w:hAnsi="Times New Roman" w:eastAsia="宋体" w:cs="Times New Roman"/>
                <w:color w:val="auto"/>
                <w:highlight w:val="none"/>
              </w:rPr>
              <w:t>于</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项目地址 \h  \* MERGEFORMAT </w:instrText>
            </w:r>
            <w:r>
              <w:rPr>
                <w:rFonts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Cs w:val="21"/>
                <w:highlight w:val="none"/>
              </w:rPr>
              <w:fldChar w:fldCharType="end"/>
            </w:r>
            <w:r>
              <w:rPr>
                <w:rFonts w:hint="eastAsia" w:ascii="Times New Roman" w:hAnsi="Times New Roman" w:eastAsia="宋体" w:cs="Times New Roman"/>
                <w:color w:val="auto"/>
                <w:szCs w:val="21"/>
                <w:highlight w:val="none"/>
                <w:lang w:val="en-US" w:eastAsia="zh-CN"/>
              </w:rPr>
              <w:t>作动物医院经营使用</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根据</w:t>
            </w:r>
            <w:r>
              <w:rPr>
                <w:rFonts w:hint="default" w:ascii="Times New Roman" w:hAnsi="Times New Roman" w:eastAsia="宋体" w:cs="Times New Roman"/>
                <w:color w:val="auto"/>
                <w:highlight w:val="none"/>
                <w:lang w:val="en-US" w:eastAsia="zh-CN"/>
              </w:rPr>
              <w:t>业主提供房权证</w:t>
            </w:r>
            <w:r>
              <w:rPr>
                <w:rFonts w:hint="default" w:ascii="Times New Roman" w:hAnsi="Times New Roman" w:eastAsia="宋体" w:cs="Times New Roman"/>
                <w:color w:val="auto"/>
                <w:highlight w:val="none"/>
              </w:rPr>
              <w:t>（融房权证R字第1306440号）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用途</w:t>
            </w:r>
            <w:r>
              <w:rPr>
                <w:rFonts w:ascii="Times New Roman" w:hAnsi="Times New Roman" w:eastAsia="宋体" w:cs="Times New Roman"/>
                <w:color w:val="auto"/>
                <w:highlight w:val="none"/>
              </w:rPr>
              <w:t>为商业用地</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详见附件4</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根据《国民经济行业分类》（GB/T4754-2017），</w:t>
            </w:r>
            <w:r>
              <w:rPr>
                <w:rFonts w:hint="default" w:ascii="Times New Roman" w:hAnsi="Times New Roman" w:eastAsia="宋体" w:cs="Times New Roman"/>
                <w:color w:val="auto"/>
                <w:highlight w:val="none"/>
                <w:lang w:val="en-US" w:eastAsia="zh-CN"/>
              </w:rPr>
              <w:t>项目</w:t>
            </w:r>
            <w:r>
              <w:rPr>
                <w:rFonts w:ascii="Times New Roman" w:hAnsi="Times New Roman" w:eastAsia="宋体" w:cs="Times New Roman"/>
                <w:color w:val="auto"/>
                <w:highlight w:val="none"/>
              </w:rPr>
              <w:t>属于O82其他服务业、8222宠物医院服务</w:t>
            </w:r>
            <w:r>
              <w:rPr>
                <w:rFonts w:hint="eastAsia" w:ascii="Times New Roman" w:hAnsi="Times New Roman" w:eastAsia="宋体" w:cs="Times New Roman"/>
                <w:color w:val="auto"/>
                <w:highlight w:val="none"/>
                <w:lang w:val="en-US" w:eastAsia="zh-CN"/>
              </w:rPr>
              <w:t>，为小区配套的生活服务行业，因此项目所租赁房屋使用功能符合规划用途要求，与周边环境相容性较好。</w:t>
            </w:r>
          </w:p>
          <w:p w14:paraId="698C9033">
            <w:pPr>
              <w:pStyle w:val="159"/>
              <w:shd w:val="clea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根据现场踏勘，项目所在位置为商铺区，周边均为商业经营场所，</w:t>
            </w:r>
            <w:r>
              <w:rPr>
                <w:rFonts w:hint="default" w:ascii="Times New Roman" w:hAnsi="Times New Roman" w:eastAsia="宋体" w:cs="Times New Roman"/>
                <w:color w:val="auto"/>
                <w:highlight w:val="none"/>
                <w:lang w:val="en-US" w:eastAsia="zh-CN"/>
              </w:rPr>
              <w:t>东</w:t>
            </w:r>
            <w:r>
              <w:rPr>
                <w:rFonts w:hint="eastAsia" w:ascii="Times New Roman" w:hAnsi="Times New Roman" w:eastAsia="宋体" w:cs="Times New Roman"/>
                <w:color w:val="auto"/>
                <w:highlight w:val="none"/>
                <w:lang w:val="en-US" w:eastAsia="zh-CN"/>
              </w:rPr>
              <w:t>侧相邻为茶叶店，</w:t>
            </w:r>
            <w:r>
              <w:rPr>
                <w:rFonts w:hint="default" w:ascii="Times New Roman" w:hAnsi="Times New Roman" w:eastAsia="宋体" w:cs="Times New Roman"/>
                <w:color w:val="auto"/>
                <w:highlight w:val="none"/>
                <w:lang w:val="en-US" w:eastAsia="zh-CN"/>
              </w:rPr>
              <w:t>西侧</w:t>
            </w:r>
            <w:r>
              <w:rPr>
                <w:rFonts w:hint="eastAsia" w:ascii="Times New Roman" w:hAnsi="Times New Roman" w:eastAsia="宋体" w:cs="Times New Roman"/>
                <w:color w:val="auto"/>
                <w:highlight w:val="none"/>
                <w:lang w:val="en-US" w:eastAsia="zh-CN"/>
              </w:rPr>
              <w:t>相邻</w:t>
            </w:r>
            <w:r>
              <w:rPr>
                <w:rFonts w:hint="default" w:ascii="Times New Roman" w:hAnsi="Times New Roman" w:eastAsia="宋体" w:cs="Times New Roman"/>
                <w:color w:val="auto"/>
                <w:highlight w:val="none"/>
                <w:lang w:val="en-US" w:eastAsia="zh-CN"/>
              </w:rPr>
              <w:t>为</w:t>
            </w:r>
            <w:r>
              <w:rPr>
                <w:rFonts w:hint="eastAsia" w:ascii="Times New Roman" w:hAnsi="Times New Roman" w:eastAsia="宋体" w:cs="Times New Roman"/>
                <w:color w:val="auto"/>
                <w:highlight w:val="none"/>
                <w:lang w:val="en-US" w:eastAsia="zh-CN"/>
              </w:rPr>
              <w:t>自行车店</w:t>
            </w:r>
            <w:r>
              <w:rPr>
                <w:rFonts w:hint="default" w:ascii="Times New Roman" w:hAnsi="Times New Roman" w:eastAsia="宋体" w:cs="Times New Roman"/>
                <w:color w:val="auto"/>
                <w:highlight w:val="none"/>
                <w:lang w:val="en-US" w:eastAsia="zh-CN"/>
              </w:rPr>
              <w:t>，北</w:t>
            </w:r>
            <w:r>
              <w:rPr>
                <w:rFonts w:hint="default" w:ascii="Times New Roman" w:hAnsi="Times New Roman" w:eastAsia="宋体" w:cs="Times New Roman"/>
                <w:color w:val="auto"/>
                <w:highlight w:val="none"/>
              </w:rPr>
              <w:t>侧</w:t>
            </w:r>
            <w:r>
              <w:rPr>
                <w:rFonts w:hint="default" w:ascii="Times New Roman" w:hAnsi="Times New Roman" w:eastAsia="宋体" w:cs="Times New Roman"/>
                <w:color w:val="auto"/>
                <w:highlight w:val="none"/>
                <w:lang w:val="en-US" w:eastAsia="zh-CN"/>
              </w:rPr>
              <w:t>为中联江滨御景南区小区</w:t>
            </w:r>
            <w:r>
              <w:rPr>
                <w:rFonts w:hint="eastAsia" w:ascii="Times New Roman" w:hAnsi="Times New Roman" w:eastAsia="宋体" w:cs="Times New Roman"/>
                <w:color w:val="auto"/>
                <w:highlight w:val="none"/>
                <w:lang w:val="en-US" w:eastAsia="zh-CN"/>
              </w:rPr>
              <w:t>内部</w:t>
            </w:r>
            <w:r>
              <w:rPr>
                <w:rFonts w:hint="default"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南侧</w:t>
            </w:r>
            <w:r>
              <w:rPr>
                <w:rFonts w:hint="default" w:ascii="Times New Roman" w:hAnsi="Times New Roman" w:eastAsia="宋体" w:cs="Times New Roman"/>
                <w:color w:val="auto"/>
                <w:highlight w:val="none"/>
                <w:lang w:val="en-US" w:eastAsia="zh-CN"/>
              </w:rPr>
              <w:t>为清盛大道</w:t>
            </w:r>
            <w:r>
              <w:rPr>
                <w:rFonts w:hint="eastAsia" w:ascii="Times New Roman" w:hAnsi="Times New Roman" w:eastAsia="宋体" w:cs="Times New Roman"/>
                <w:color w:val="auto"/>
                <w:highlight w:val="none"/>
                <w:lang w:val="en-US" w:eastAsia="zh-CN"/>
              </w:rPr>
              <w:t>，出入口设置在南侧，为独立的出入口，且不在居民住宅楼内，通往二楼的通道楼梯设置在项目内部，不与其他商铺和小区共用出入口和通道。建设单位周边200米范围内无畜禽养殖场、屠宰加工场和动物交易场所。</w:t>
            </w:r>
          </w:p>
          <w:p w14:paraId="2E395855">
            <w:pPr>
              <w:pStyle w:val="159"/>
              <w:shd w:val="clear"/>
              <w:ind w:firstLine="480"/>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综上</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从功能区划、环境相容性和环境适应性等方面分析，项目选址可行。</w:t>
            </w:r>
          </w:p>
          <w:p w14:paraId="2A0B653C">
            <w:pPr>
              <w:pStyle w:val="3"/>
              <w:numPr>
                <w:ilvl w:val="1"/>
                <w:numId w:val="0"/>
              </w:numPr>
              <w:tabs>
                <w:tab w:val="left" w:pos="420"/>
              </w:tabs>
              <w:rPr>
                <w:rFonts w:hint="default" w:ascii="Times New Roman" w:hAnsi="Times New Roman" w:eastAsia="宋体" w:cs="Times New Roman"/>
              </w:rPr>
            </w:pPr>
            <w:r>
              <w:rPr>
                <w:rFonts w:hint="eastAsia" w:ascii="Times New Roman" w:hAnsi="Times New Roman" w:eastAsia="宋体" w:cs="宋体"/>
                <w:b/>
                <w:bCs/>
                <w:kern w:val="0"/>
                <w:sz w:val="28"/>
                <w:szCs w:val="28"/>
                <w:lang w:val="en-US" w:eastAsia="zh-CN" w:bidi="ar-SA"/>
              </w:rPr>
              <w:t>1</w:t>
            </w:r>
            <w:r>
              <w:rPr>
                <w:rFonts w:hint="default" w:ascii="Times New Roman" w:hAnsi="Times New Roman" w:eastAsia="宋体" w:cs="Times New Roman"/>
                <w:b/>
                <w:bCs/>
                <w:kern w:val="0"/>
                <w:sz w:val="28"/>
                <w:szCs w:val="28"/>
                <w:lang w:val="en-US" w:eastAsia="zh-CN" w:bidi="ar-SA"/>
              </w:rPr>
              <w:t xml:space="preserve">.2 </w:t>
            </w:r>
            <w:r>
              <w:rPr>
                <w:rFonts w:hint="default" w:ascii="Times New Roman" w:hAnsi="Times New Roman" w:eastAsia="宋体" w:cs="Times New Roman"/>
              </w:rPr>
              <w:t>与《动物诊疗机构管理办法》（2022年）符合性分析</w:t>
            </w:r>
          </w:p>
          <w:p w14:paraId="6DBCC91B">
            <w:pPr>
              <w:pStyle w:val="159"/>
              <w:rPr>
                <w:rFonts w:hint="default" w:ascii="Times New Roman" w:hAnsi="Times New Roman" w:eastAsia="宋体" w:cs="Times New Roman"/>
              </w:rPr>
            </w:pPr>
            <w:r>
              <w:rPr>
                <w:rFonts w:hint="default" w:ascii="Times New Roman" w:hAnsi="Times New Roman" w:eastAsia="宋体" w:cs="Times New Roman"/>
              </w:rPr>
              <w:t>根据《动物诊疗机构管理办法》（农业农村部令2022年第5号），摘录其</w:t>
            </w:r>
          </w:p>
          <w:p w14:paraId="4DCA6C46">
            <w:pPr>
              <w:pStyle w:val="159"/>
              <w:ind w:firstLine="0" w:firstLineChars="0"/>
              <w:rPr>
                <w:rFonts w:hint="default" w:ascii="Times New Roman" w:hAnsi="Times New Roman" w:eastAsia="宋体" w:cs="Times New Roman"/>
              </w:rPr>
            </w:pPr>
            <w:r>
              <w:rPr>
                <w:rFonts w:hint="default" w:ascii="Times New Roman" w:hAnsi="Times New Roman" w:eastAsia="宋体" w:cs="Times New Roman"/>
              </w:rPr>
              <w:t>中与</w:t>
            </w:r>
            <w:r>
              <w:rPr>
                <w:rFonts w:hint="eastAsia" w:ascii="Times New Roman" w:hAnsi="Times New Roman" w:eastAsia="宋体" w:cs="Times New Roman"/>
                <w:lang w:val="en-US" w:eastAsia="zh-CN"/>
              </w:rPr>
              <w:t>项目</w:t>
            </w:r>
            <w:r>
              <w:rPr>
                <w:rFonts w:hint="default" w:ascii="Times New Roman" w:hAnsi="Times New Roman" w:eastAsia="宋体" w:cs="Times New Roman"/>
              </w:rPr>
              <w:t>生态环境管理相关的条款并进行符合性分析，详见表1</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p>
          <w:p w14:paraId="74CD3342">
            <w:pPr>
              <w:pStyle w:val="159"/>
              <w:spacing w:line="240" w:lineRule="auto"/>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表1</w:t>
            </w:r>
            <w:r>
              <w:rPr>
                <w:rFonts w:hint="default" w:ascii="Times New Roman" w:hAnsi="Times New Roman" w:eastAsia="宋体" w:cs="Times New Roman"/>
                <w:b/>
                <w:lang w:val="en-US" w:eastAsia="zh-CN"/>
              </w:rPr>
              <w:t>-2</w:t>
            </w:r>
            <w:r>
              <w:rPr>
                <w:rFonts w:hint="default" w:ascii="Times New Roman" w:hAnsi="Times New Roman" w:eastAsia="宋体" w:cs="Times New Roman"/>
                <w:b/>
              </w:rPr>
              <w:t xml:space="preserve">  项目与《动物诊疗机构管理办法》（2022年）符合性分析表</w:t>
            </w:r>
          </w:p>
          <w:tbl>
            <w:tblPr>
              <w:tblStyle w:val="502"/>
              <w:tblW w:w="79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42"/>
              <w:gridCol w:w="3663"/>
              <w:gridCol w:w="739"/>
            </w:tblGrid>
            <w:tr w14:paraId="0AB5E6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3542" w:type="dxa"/>
                  <w:tcBorders>
                    <w:tl2br w:val="nil"/>
                    <w:tr2bl w:val="nil"/>
                  </w:tcBorders>
                  <w:vAlign w:val="center"/>
                </w:tcPr>
                <w:p w14:paraId="03B5E97A">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内容及要求</w:t>
                  </w:r>
                </w:p>
              </w:tc>
              <w:tc>
                <w:tcPr>
                  <w:tcW w:w="3663" w:type="dxa"/>
                  <w:tcBorders>
                    <w:tl2br w:val="nil"/>
                    <w:tr2bl w:val="nil"/>
                  </w:tcBorders>
                  <w:vAlign w:val="center"/>
                </w:tcPr>
                <w:p w14:paraId="2A2B9D02">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项目情况</w:t>
                  </w:r>
                </w:p>
              </w:tc>
              <w:tc>
                <w:tcPr>
                  <w:tcW w:w="739" w:type="dxa"/>
                  <w:tcBorders>
                    <w:tl2br w:val="nil"/>
                    <w:tr2bl w:val="nil"/>
                  </w:tcBorders>
                  <w:vAlign w:val="center"/>
                </w:tcPr>
                <w:p w14:paraId="48DE72DB">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 xml:space="preserve">符合性 </w:t>
                  </w:r>
                </w:p>
              </w:tc>
            </w:tr>
            <w:tr w14:paraId="754655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9" w:hRule="atLeast"/>
                <w:jc w:val="center"/>
              </w:trPr>
              <w:tc>
                <w:tcPr>
                  <w:tcW w:w="3542" w:type="dxa"/>
                  <w:tcBorders>
                    <w:tl2br w:val="nil"/>
                    <w:tr2bl w:val="nil"/>
                  </w:tcBorders>
                  <w:vAlign w:val="center"/>
                </w:tcPr>
                <w:p w14:paraId="1B7F225D">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有固定的动物诊疗场所，且动物诊疗场所使用面积符合省、自治区、直辖市人民政府农业农村主管部门的规定；</w:t>
                  </w:r>
                </w:p>
              </w:tc>
              <w:tc>
                <w:tcPr>
                  <w:tcW w:w="3663" w:type="dxa"/>
                  <w:tcBorders>
                    <w:tl2br w:val="nil"/>
                    <w:tr2bl w:val="nil"/>
                  </w:tcBorders>
                  <w:vAlign w:val="center"/>
                </w:tcPr>
                <w:p w14:paraId="0A2CC248">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val="en-US" w:eastAsia="zh-CN"/>
                    </w:rPr>
                    <w:t>项目</w:t>
                  </w:r>
                  <w:r>
                    <w:rPr>
                      <w:rFonts w:hint="eastAsia" w:cs="Times New Roman"/>
                      <w:sz w:val="21"/>
                      <w:szCs w:val="18"/>
                      <w:lang w:val="en-US" w:eastAsia="zh-CN"/>
                    </w:rPr>
                    <w:t>选址于</w:t>
                  </w:r>
                  <w:r>
                    <w:rPr>
                      <w:rFonts w:hint="default" w:ascii="Times New Roman" w:hAnsi="Times New Roman" w:eastAsia="宋体" w:cs="Times New Roman"/>
                      <w:sz w:val="21"/>
                      <w:szCs w:val="18"/>
                      <w:lang w:val="en-US" w:eastAsia="zh-CN"/>
                    </w:rPr>
                    <w:fldChar w:fldCharType="begin"/>
                  </w:r>
                  <w:r>
                    <w:rPr>
                      <w:rFonts w:hint="default" w:ascii="Times New Roman" w:hAnsi="Times New Roman" w:eastAsia="宋体" w:cs="Times New Roman"/>
                      <w:sz w:val="21"/>
                      <w:szCs w:val="18"/>
                      <w:lang w:val="en-US" w:eastAsia="zh-CN"/>
                    </w:rPr>
                    <w:instrText xml:space="preserve"> REF 项目地址 \h  \* MERGEFORMAT </w:instrText>
                  </w:r>
                  <w:r>
                    <w:rPr>
                      <w:rFonts w:hint="default" w:ascii="Times New Roman" w:hAnsi="Times New Roman" w:eastAsia="宋体" w:cs="Times New Roman"/>
                      <w:sz w:val="21"/>
                      <w:szCs w:val="18"/>
                      <w:lang w:val="en-US" w:eastAsia="zh-CN"/>
                    </w:rPr>
                    <w:fldChar w:fldCharType="separate"/>
                  </w:r>
                  <w:r>
                    <w:rPr>
                      <w:rFonts w:hint="default" w:ascii="Times New Roman" w:hAnsi="Times New Roman" w:eastAsia="宋体" w:cs="Times New Roman"/>
                      <w:sz w:val="21"/>
                      <w:szCs w:val="18"/>
                      <w:lang w:val="en-US" w:eastAsia="zh-CN"/>
                    </w:rPr>
                    <w:t>福建省福州市福清市宏路街道中联江滨御景5号楼113号，115号，116号门面</w:t>
                  </w:r>
                  <w:r>
                    <w:rPr>
                      <w:rFonts w:hint="default" w:ascii="Times New Roman" w:hAnsi="Times New Roman" w:eastAsia="宋体" w:cs="Times New Roman"/>
                      <w:sz w:val="21"/>
                      <w:szCs w:val="18"/>
                      <w:lang w:val="en-US" w:eastAsia="zh-CN"/>
                    </w:rPr>
                    <w:fldChar w:fldCharType="end"/>
                  </w:r>
                  <w:r>
                    <w:rPr>
                      <w:rFonts w:hint="eastAsia" w:cs="Times New Roman"/>
                      <w:sz w:val="21"/>
                      <w:szCs w:val="18"/>
                      <w:lang w:val="en-US" w:eastAsia="zh-CN"/>
                    </w:rPr>
                    <w:t>，建筑面积为118m</w:t>
                  </w:r>
                  <w:r>
                    <w:rPr>
                      <w:rFonts w:hint="eastAsia" w:cs="Times New Roman"/>
                      <w:sz w:val="21"/>
                      <w:szCs w:val="18"/>
                      <w:vertAlign w:val="superscript"/>
                      <w:lang w:val="en-US" w:eastAsia="zh-CN"/>
                    </w:rPr>
                    <w:t>2</w:t>
                  </w:r>
                  <w:r>
                    <w:rPr>
                      <w:rFonts w:hint="eastAsia" w:cs="Times New Roman"/>
                      <w:sz w:val="21"/>
                      <w:szCs w:val="18"/>
                      <w:lang w:val="en-US" w:eastAsia="zh-CN"/>
                    </w:rPr>
                    <w:t>。</w:t>
                  </w:r>
                </w:p>
                <w:p w14:paraId="56E20A8F">
                  <w:pPr>
                    <w:widowControl/>
                    <w:adjustRightInd w:val="0"/>
                    <w:snapToGrid w:val="0"/>
                    <w:jc w:val="both"/>
                    <w:rPr>
                      <w:rFonts w:hint="default" w:ascii="Times New Roman" w:hAnsi="Times New Roman" w:eastAsia="宋体" w:cs="Times New Roman"/>
                      <w:sz w:val="21"/>
                      <w:szCs w:val="18"/>
                      <w:lang w:eastAsia="zh-CN"/>
                    </w:rPr>
                  </w:pPr>
                </w:p>
              </w:tc>
              <w:tc>
                <w:tcPr>
                  <w:tcW w:w="739" w:type="dxa"/>
                  <w:tcBorders>
                    <w:tl2br w:val="nil"/>
                    <w:tr2bl w:val="nil"/>
                  </w:tcBorders>
                  <w:vAlign w:val="center"/>
                </w:tcPr>
                <w:p w14:paraId="1794BA7E">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3C2841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3542" w:type="dxa"/>
                  <w:tcBorders>
                    <w:tl2br w:val="nil"/>
                    <w:tr2bl w:val="nil"/>
                  </w:tcBorders>
                  <w:vAlign w:val="center"/>
                </w:tcPr>
                <w:p w14:paraId="6190F818">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动物诊疗场所选址距离动物饲养场、动物屠宰加工场所、经营动物的集贸市场不少于二百米；</w:t>
                  </w:r>
                </w:p>
              </w:tc>
              <w:tc>
                <w:tcPr>
                  <w:tcW w:w="3663" w:type="dxa"/>
                  <w:tcBorders>
                    <w:tl2br w:val="nil"/>
                    <w:tr2bl w:val="nil"/>
                  </w:tcBorders>
                  <w:vAlign w:val="center"/>
                </w:tcPr>
                <w:p w14:paraId="206E6124">
                  <w:pPr>
                    <w:widowControl/>
                    <w:adjustRightInd w:val="0"/>
                    <w:snapToGrid w:val="0"/>
                    <w:jc w:val="both"/>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项目周边200m范围内无动物饲养场、动物屠宰加工场所、经营动物的集贸市场</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1F4A7C7C">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0F0760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3542" w:type="dxa"/>
                  <w:tcBorders>
                    <w:tl2br w:val="nil"/>
                    <w:tr2bl w:val="nil"/>
                  </w:tcBorders>
                  <w:vAlign w:val="center"/>
                </w:tcPr>
                <w:p w14:paraId="46995672">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动物诊疗场所设有独立的出入口，出入口不得设在居民住宅楼内或者院内，不得与同一建筑物的其他用户共用通道；</w:t>
                  </w:r>
                </w:p>
              </w:tc>
              <w:tc>
                <w:tcPr>
                  <w:tcW w:w="3663" w:type="dxa"/>
                  <w:tcBorders>
                    <w:tl2br w:val="nil"/>
                    <w:tr2bl w:val="nil"/>
                  </w:tcBorders>
                  <w:vAlign w:val="center"/>
                </w:tcPr>
                <w:p w14:paraId="3ECC4BFC">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项目设有独立的出入口，出入口不在居民住宅楼内或者院内，不与同一建筑物的其他用户共用通道</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2ABDE6ED">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4F154C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542" w:type="dxa"/>
                  <w:tcBorders>
                    <w:tl2br w:val="nil"/>
                    <w:tr2bl w:val="nil"/>
                  </w:tcBorders>
                  <w:vAlign w:val="center"/>
                </w:tcPr>
                <w:p w14:paraId="11171A60">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具有布局合理的诊疗室、隔离室、药房等功能区；</w:t>
                  </w:r>
                </w:p>
              </w:tc>
              <w:tc>
                <w:tcPr>
                  <w:tcW w:w="3663" w:type="dxa"/>
                  <w:tcBorders>
                    <w:tl2br w:val="nil"/>
                    <w:tr2bl w:val="nil"/>
                  </w:tcBorders>
                  <w:vAlign w:val="center"/>
                </w:tcPr>
                <w:p w14:paraId="782D77B0">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项目具有布局合理的诊疗室、隔离</w:t>
                  </w:r>
                  <w:r>
                    <w:rPr>
                      <w:rFonts w:hint="eastAsia" w:ascii="Times New Roman" w:hAnsi="Times New Roman" w:eastAsia="宋体" w:cs="Times New Roman"/>
                      <w:sz w:val="21"/>
                      <w:szCs w:val="18"/>
                      <w:lang w:val="en-US" w:eastAsia="zh-CN"/>
                    </w:rPr>
                    <w:t>病房</w:t>
                  </w:r>
                  <w:r>
                    <w:rPr>
                      <w:rFonts w:hint="default" w:ascii="Times New Roman" w:hAnsi="Times New Roman" w:eastAsia="宋体" w:cs="Times New Roman"/>
                      <w:sz w:val="21"/>
                      <w:szCs w:val="18"/>
                      <w:lang w:eastAsia="zh-CN"/>
                    </w:rPr>
                    <w:t>、药房等功能区</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0326DA5C">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60854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542" w:type="dxa"/>
                  <w:tcBorders>
                    <w:tl2br w:val="nil"/>
                    <w:tr2bl w:val="nil"/>
                  </w:tcBorders>
                  <w:vAlign w:val="center"/>
                </w:tcPr>
                <w:p w14:paraId="7D4B29B7">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具有诊断、消毒、冷藏、常规化验、污水处理等器械设备；</w:t>
                  </w:r>
                </w:p>
              </w:tc>
              <w:tc>
                <w:tcPr>
                  <w:tcW w:w="3663" w:type="dxa"/>
                  <w:tcBorders>
                    <w:tl2br w:val="nil"/>
                    <w:tr2bl w:val="nil"/>
                  </w:tcBorders>
                  <w:vAlign w:val="center"/>
                </w:tcPr>
                <w:p w14:paraId="41D5EC16">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项目具有诊断、消毒、冷藏、常规化验、污水处理等器械设备</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3A8D6DDD">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1D34C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3542" w:type="dxa"/>
                  <w:tcBorders>
                    <w:tl2br w:val="nil"/>
                    <w:tr2bl w:val="nil"/>
                  </w:tcBorders>
                  <w:vAlign w:val="center"/>
                </w:tcPr>
                <w:p w14:paraId="202CAAFE">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具有诊疗废弃物暂存处理设施</w:t>
                  </w:r>
                  <w:r>
                    <w:rPr>
                      <w:rFonts w:hint="eastAsia" w:cs="Times New Roman"/>
                      <w:sz w:val="21"/>
                      <w:szCs w:val="18"/>
                      <w:lang w:eastAsia="zh-CN"/>
                    </w:rPr>
                    <w:t>，</w:t>
                  </w:r>
                  <w:r>
                    <w:rPr>
                      <w:rFonts w:hint="default" w:ascii="Times New Roman" w:hAnsi="Times New Roman" w:eastAsia="宋体" w:cs="Times New Roman"/>
                      <w:sz w:val="21"/>
                      <w:szCs w:val="18"/>
                      <w:lang w:eastAsia="zh-CN"/>
                    </w:rPr>
                    <w:t>并委托专业处理机构处理；</w:t>
                  </w:r>
                </w:p>
              </w:tc>
              <w:tc>
                <w:tcPr>
                  <w:tcW w:w="3663" w:type="dxa"/>
                  <w:tcBorders>
                    <w:tl2br w:val="nil"/>
                    <w:tr2bl w:val="nil"/>
                  </w:tcBorders>
                  <w:vAlign w:val="center"/>
                </w:tcPr>
                <w:p w14:paraId="2425E7FF">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项目设</w:t>
                  </w:r>
                  <w:r>
                    <w:rPr>
                      <w:rFonts w:hint="eastAsia" w:cs="Times New Roman"/>
                      <w:sz w:val="21"/>
                      <w:szCs w:val="18"/>
                      <w:lang w:val="en-US" w:eastAsia="zh-CN"/>
                    </w:rPr>
                    <w:t>有</w:t>
                  </w:r>
                  <w:r>
                    <w:rPr>
                      <w:rFonts w:hint="default" w:ascii="Times New Roman" w:hAnsi="Times New Roman" w:eastAsia="宋体" w:cs="Times New Roman"/>
                      <w:sz w:val="21"/>
                      <w:szCs w:val="18"/>
                      <w:lang w:eastAsia="zh-CN"/>
                    </w:rPr>
                    <w:t>一间危险废物暂存间用于暂存医疗废物，并委托有资质的单位安全处理处置</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3FBD1587">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5B1E31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3" w:hRule="atLeast"/>
                <w:jc w:val="center"/>
              </w:trPr>
              <w:tc>
                <w:tcPr>
                  <w:tcW w:w="3542" w:type="dxa"/>
                  <w:tcBorders>
                    <w:tl2br w:val="nil"/>
                    <w:tr2bl w:val="nil"/>
                  </w:tcBorders>
                  <w:vAlign w:val="center"/>
                </w:tcPr>
                <w:p w14:paraId="4A12757C">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具有染疫或者疑似染疫动物的隔离控制措施及设施设备；</w:t>
                  </w:r>
                </w:p>
              </w:tc>
              <w:tc>
                <w:tcPr>
                  <w:tcW w:w="3663" w:type="dxa"/>
                  <w:tcBorders>
                    <w:tl2br w:val="nil"/>
                    <w:tr2bl w:val="nil"/>
                  </w:tcBorders>
                  <w:vAlign w:val="center"/>
                </w:tcPr>
                <w:p w14:paraId="72AA9536">
                  <w:pPr>
                    <w:widowControl/>
                    <w:adjustRightInd w:val="0"/>
                    <w:snapToGrid w:val="0"/>
                    <w:jc w:val="left"/>
                    <w:rPr>
                      <w:rFonts w:hint="default" w:ascii="Times New Roman" w:hAnsi="Times New Roman" w:eastAsia="宋体" w:cs="Times New Roman"/>
                      <w:sz w:val="21"/>
                      <w:szCs w:val="18"/>
                      <w:lang w:val="en-US" w:eastAsia="zh-CN"/>
                    </w:rPr>
                  </w:pPr>
                  <w:r>
                    <w:rPr>
                      <w:rFonts w:hint="default" w:ascii="Times New Roman" w:hAnsi="Times New Roman" w:eastAsia="宋体" w:cs="Times New Roman"/>
                      <w:sz w:val="21"/>
                      <w:szCs w:val="18"/>
                      <w:lang w:eastAsia="zh-CN"/>
                    </w:rPr>
                    <w:t>项目设有1间隔离</w:t>
                  </w:r>
                  <w:r>
                    <w:rPr>
                      <w:rFonts w:hint="eastAsia" w:ascii="Times New Roman" w:hAnsi="Times New Roman" w:eastAsia="宋体" w:cs="Times New Roman"/>
                      <w:sz w:val="21"/>
                      <w:szCs w:val="18"/>
                      <w:lang w:val="en-US" w:eastAsia="zh-CN"/>
                    </w:rPr>
                    <w:t>病房</w:t>
                  </w:r>
                  <w:r>
                    <w:rPr>
                      <w:rFonts w:hint="default" w:ascii="Times New Roman" w:hAnsi="Times New Roman" w:eastAsia="宋体" w:cs="Times New Roman"/>
                      <w:sz w:val="21"/>
                      <w:szCs w:val="18"/>
                      <w:lang w:eastAsia="zh-CN"/>
                    </w:rPr>
                    <w:t>，配备有染疫或者疑似染疫动物的隔离控制措施及设施设备</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1395C200">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34D5A3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542" w:type="dxa"/>
                  <w:tcBorders>
                    <w:tl2br w:val="nil"/>
                    <w:tr2bl w:val="nil"/>
                  </w:tcBorders>
                  <w:vAlign w:val="center"/>
                </w:tcPr>
                <w:p w14:paraId="582DCB5D">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具有与动物诊疗活动相适应的执业兽医；</w:t>
                  </w:r>
                </w:p>
              </w:tc>
              <w:tc>
                <w:tcPr>
                  <w:tcW w:w="3663" w:type="dxa"/>
                  <w:tcBorders>
                    <w:tl2br w:val="nil"/>
                    <w:tr2bl w:val="nil"/>
                  </w:tcBorders>
                  <w:vAlign w:val="center"/>
                </w:tcPr>
                <w:p w14:paraId="36E39D60">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w:t>
                  </w:r>
                  <w:r>
                    <w:rPr>
                      <w:rFonts w:hint="eastAsia" w:cs="Times New Roman"/>
                      <w:sz w:val="21"/>
                      <w:szCs w:val="18"/>
                      <w:lang w:val="en-US" w:eastAsia="zh-CN"/>
                    </w:rPr>
                    <w:t>已</w:t>
                  </w:r>
                  <w:r>
                    <w:rPr>
                      <w:rFonts w:hint="default" w:ascii="Times New Roman" w:hAnsi="Times New Roman" w:eastAsia="宋体" w:cs="Times New Roman"/>
                      <w:sz w:val="21"/>
                      <w:szCs w:val="18"/>
                      <w:lang w:eastAsia="zh-CN"/>
                    </w:rPr>
                    <w:t>聘请与动物诊疗活动相适应的执业兽医</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65DA39A1">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0CE30F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3542" w:type="dxa"/>
                  <w:tcBorders>
                    <w:tl2br w:val="nil"/>
                    <w:tr2bl w:val="nil"/>
                  </w:tcBorders>
                  <w:vAlign w:val="center"/>
                </w:tcPr>
                <w:p w14:paraId="084E2160">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具有完善的诊疗服务、疫情报告、卫生安全防护、消毒、隔离、诊疗废弃物暂存、兽医器械、兽医处方、药物和无害化处理等管理制度。</w:t>
                  </w:r>
                </w:p>
              </w:tc>
              <w:tc>
                <w:tcPr>
                  <w:tcW w:w="3663" w:type="dxa"/>
                  <w:tcBorders>
                    <w:tl2br w:val="nil"/>
                    <w:tr2bl w:val="nil"/>
                  </w:tcBorders>
                  <w:vAlign w:val="center"/>
                </w:tcPr>
                <w:p w14:paraId="34C37D1E">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w:t>
                  </w:r>
                  <w:r>
                    <w:rPr>
                      <w:rFonts w:hint="eastAsia" w:cs="Times New Roman"/>
                      <w:sz w:val="21"/>
                      <w:szCs w:val="18"/>
                      <w:lang w:val="en-US" w:eastAsia="zh-CN"/>
                    </w:rPr>
                    <w:t>已</w:t>
                  </w:r>
                  <w:r>
                    <w:rPr>
                      <w:rFonts w:hint="default" w:ascii="Times New Roman" w:hAnsi="Times New Roman" w:eastAsia="宋体" w:cs="Times New Roman"/>
                      <w:sz w:val="21"/>
                      <w:szCs w:val="18"/>
                      <w:lang w:eastAsia="zh-CN"/>
                    </w:rPr>
                    <w:t>设置完善的诊疗服务、疫情报告、卫生安全防护、消毒、隔离、诊疗废弃物暂存、兽医器械、兽医处方、药物和无害化处理等管理制度</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1A4086E3">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73B0A4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42" w:type="dxa"/>
                  <w:tcBorders>
                    <w:tl2br w:val="nil"/>
                    <w:tr2bl w:val="nil"/>
                  </w:tcBorders>
                  <w:vAlign w:val="center"/>
                </w:tcPr>
                <w:p w14:paraId="73F24E16">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具有三名以上执业兽医师；</w:t>
                  </w:r>
                </w:p>
              </w:tc>
              <w:tc>
                <w:tcPr>
                  <w:tcW w:w="3663" w:type="dxa"/>
                  <w:tcBorders>
                    <w:tl2br w:val="nil"/>
                    <w:tr2bl w:val="nil"/>
                  </w:tcBorders>
                  <w:vAlign w:val="center"/>
                </w:tcPr>
                <w:p w14:paraId="0D42FF32">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w:t>
                  </w:r>
                  <w:r>
                    <w:rPr>
                      <w:rFonts w:hint="eastAsia" w:cs="Times New Roman"/>
                      <w:sz w:val="21"/>
                      <w:szCs w:val="18"/>
                      <w:lang w:val="en-US" w:eastAsia="zh-CN"/>
                    </w:rPr>
                    <w:t>已</w:t>
                  </w:r>
                  <w:r>
                    <w:rPr>
                      <w:rFonts w:hint="default" w:ascii="Times New Roman" w:hAnsi="Times New Roman" w:eastAsia="宋体" w:cs="Times New Roman"/>
                      <w:sz w:val="21"/>
                      <w:szCs w:val="18"/>
                      <w:lang w:eastAsia="zh-CN"/>
                    </w:rPr>
                    <w:t>聘请三名执业兽医师</w:t>
                  </w:r>
                </w:p>
              </w:tc>
              <w:tc>
                <w:tcPr>
                  <w:tcW w:w="739" w:type="dxa"/>
                  <w:tcBorders>
                    <w:tl2br w:val="nil"/>
                    <w:tr2bl w:val="nil"/>
                  </w:tcBorders>
                  <w:vAlign w:val="center"/>
                </w:tcPr>
                <w:p w14:paraId="33A7D3B8">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1355FF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542" w:type="dxa"/>
                  <w:tcBorders>
                    <w:tl2br w:val="nil"/>
                    <w:tr2bl w:val="nil"/>
                  </w:tcBorders>
                  <w:vAlign w:val="center"/>
                </w:tcPr>
                <w:p w14:paraId="3264E785">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具有X光机或者B超等器械设备；</w:t>
                  </w:r>
                </w:p>
              </w:tc>
              <w:tc>
                <w:tcPr>
                  <w:tcW w:w="3663" w:type="dxa"/>
                  <w:tcBorders>
                    <w:tl2br w:val="nil"/>
                    <w:tr2bl w:val="nil"/>
                  </w:tcBorders>
                  <w:vAlign w:val="center"/>
                </w:tcPr>
                <w:p w14:paraId="19F3D7AC">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项目具有X光机和B超机</w:t>
                  </w:r>
                  <w:r>
                    <w:rPr>
                      <w:rFonts w:hint="eastAsia" w:ascii="Times New Roman" w:hAnsi="Times New Roman" w:eastAsia="宋体" w:cs="Times New Roman"/>
                      <w:sz w:val="21"/>
                      <w:szCs w:val="18"/>
                      <w:lang w:eastAsia="zh-CN"/>
                    </w:rPr>
                    <w:t>。</w:t>
                  </w:r>
                </w:p>
              </w:tc>
              <w:tc>
                <w:tcPr>
                  <w:tcW w:w="739" w:type="dxa"/>
                  <w:tcBorders>
                    <w:tl2br w:val="nil"/>
                    <w:tr2bl w:val="nil"/>
                  </w:tcBorders>
                  <w:vAlign w:val="center"/>
                </w:tcPr>
                <w:p w14:paraId="73D0297B">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2DE320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3542" w:type="dxa"/>
                  <w:tcBorders>
                    <w:tl2br w:val="nil"/>
                    <w:tr2bl w:val="nil"/>
                  </w:tcBorders>
                  <w:vAlign w:val="center"/>
                </w:tcPr>
                <w:p w14:paraId="6BE9E98F">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具有布局合理的手术室和手术设备。</w:t>
                  </w:r>
                </w:p>
              </w:tc>
              <w:tc>
                <w:tcPr>
                  <w:tcW w:w="3663" w:type="dxa"/>
                  <w:tcBorders>
                    <w:tl2br w:val="nil"/>
                    <w:tr2bl w:val="nil"/>
                  </w:tcBorders>
                  <w:vAlign w:val="center"/>
                </w:tcPr>
                <w:p w14:paraId="7A752897">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项目设</w:t>
                  </w:r>
                  <w:r>
                    <w:rPr>
                      <w:rFonts w:hint="eastAsia" w:cs="Times New Roman"/>
                      <w:sz w:val="21"/>
                      <w:szCs w:val="18"/>
                      <w:lang w:val="en-US" w:eastAsia="zh-CN"/>
                    </w:rPr>
                    <w:t>有</w:t>
                  </w:r>
                  <w:r>
                    <w:rPr>
                      <w:rFonts w:hint="eastAsia" w:ascii="Times New Roman" w:hAnsi="Times New Roman" w:eastAsia="宋体" w:cs="Times New Roman"/>
                      <w:sz w:val="21"/>
                      <w:szCs w:val="18"/>
                      <w:lang w:val="en-US" w:eastAsia="zh-CN"/>
                    </w:rPr>
                    <w:t>1</w:t>
                  </w:r>
                  <w:r>
                    <w:rPr>
                      <w:rFonts w:hint="default" w:ascii="Times New Roman" w:hAnsi="Times New Roman" w:eastAsia="宋体" w:cs="Times New Roman"/>
                      <w:sz w:val="21"/>
                      <w:szCs w:val="18"/>
                      <w:lang w:eastAsia="zh-CN"/>
                    </w:rPr>
                    <w:t>间布局合理的手术室，配备相应的手术设备。</w:t>
                  </w:r>
                </w:p>
              </w:tc>
              <w:tc>
                <w:tcPr>
                  <w:tcW w:w="739" w:type="dxa"/>
                  <w:tcBorders>
                    <w:tl2br w:val="nil"/>
                    <w:tr2bl w:val="nil"/>
                  </w:tcBorders>
                  <w:vAlign w:val="center"/>
                </w:tcPr>
                <w:p w14:paraId="20602182">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20211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6" w:hRule="atLeast"/>
                <w:jc w:val="center"/>
              </w:trPr>
              <w:tc>
                <w:tcPr>
                  <w:tcW w:w="3542" w:type="dxa"/>
                  <w:tcBorders>
                    <w:tl2br w:val="nil"/>
                    <w:tr2bl w:val="nil"/>
                  </w:tcBorders>
                  <w:vAlign w:val="center"/>
                </w:tcPr>
                <w:p w14:paraId="120F7912">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机构发现动物染疫或者疑似染疫的，应当按照国家规定立即向所在地农业农村主管部门或者动物疫病预防控制机构报告，并迅速采取隔离、消毒等控制措施，防止动物疫情扩散。动物诊疗机构发现动物患有或者疑似患有国家规定应当扑杀的疫病时，不得擅自进行治疗。</w:t>
                  </w:r>
                </w:p>
              </w:tc>
              <w:tc>
                <w:tcPr>
                  <w:tcW w:w="3663" w:type="dxa"/>
                  <w:tcBorders>
                    <w:tl2br w:val="nil"/>
                    <w:tr2bl w:val="nil"/>
                  </w:tcBorders>
                  <w:vAlign w:val="center"/>
                </w:tcPr>
                <w:p w14:paraId="1016B584">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w:t>
                  </w:r>
                  <w:r>
                    <w:rPr>
                      <w:rFonts w:hint="eastAsia" w:cs="Times New Roman"/>
                      <w:sz w:val="21"/>
                      <w:szCs w:val="18"/>
                      <w:lang w:val="en-US" w:eastAsia="zh-CN"/>
                    </w:rPr>
                    <w:t>已</w:t>
                  </w:r>
                  <w:r>
                    <w:rPr>
                      <w:rFonts w:hint="default" w:ascii="Times New Roman" w:hAnsi="Times New Roman" w:eastAsia="宋体" w:cs="Times New Roman"/>
                      <w:sz w:val="21"/>
                      <w:szCs w:val="18"/>
                      <w:lang w:eastAsia="zh-CN"/>
                    </w:rPr>
                    <w:t>严格按照管理办法要求，发现动物染疫或者疑似染疫的，按照国家规定立即向所在地农业农村主管部门或者动物疫病预防控制机构报告，并迅速采取隔离、消毒等控制措施，防止动物疫情扩散。发现动物患有或者疑似患有国家规定应当扑杀的疫病时，杜绝擅自进行治疗。</w:t>
                  </w:r>
                </w:p>
              </w:tc>
              <w:tc>
                <w:tcPr>
                  <w:tcW w:w="739" w:type="dxa"/>
                  <w:tcBorders>
                    <w:tl2br w:val="nil"/>
                    <w:tr2bl w:val="nil"/>
                  </w:tcBorders>
                  <w:vAlign w:val="center"/>
                </w:tcPr>
                <w:p w14:paraId="03F982AB">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r w14:paraId="4781C9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09" w:hRule="atLeast"/>
                <w:jc w:val="center"/>
              </w:trPr>
              <w:tc>
                <w:tcPr>
                  <w:tcW w:w="3542" w:type="dxa"/>
                  <w:tcBorders>
                    <w:tl2br w:val="nil"/>
                    <w:tr2bl w:val="nil"/>
                  </w:tcBorders>
                  <w:vAlign w:val="center"/>
                </w:tcPr>
                <w:p w14:paraId="45CD11E3">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动物诊疗机构应当按照国家规定处理染 疫动物及其排泄物、污染物和动物病理组织等。动物诊疗机构应当参照《医疗废物管理条例》的有关规定处理诊疗废弃物，不得随意丢弃诊疗废弃物，排放未经无害化处理的诊疗废水。</w:t>
                  </w:r>
                </w:p>
              </w:tc>
              <w:tc>
                <w:tcPr>
                  <w:tcW w:w="3663" w:type="dxa"/>
                  <w:tcBorders>
                    <w:tl2br w:val="nil"/>
                    <w:tr2bl w:val="nil"/>
                  </w:tcBorders>
                  <w:vAlign w:val="center"/>
                </w:tcPr>
                <w:p w14:paraId="1271A2ED">
                  <w:pPr>
                    <w:widowControl/>
                    <w:adjustRightInd w:val="0"/>
                    <w:snapToGrid w:val="0"/>
                    <w:jc w:val="left"/>
                    <w:rPr>
                      <w:rFonts w:hint="default" w:ascii="Times New Roman" w:hAnsi="Times New Roman" w:eastAsia="宋体" w:cs="Times New Roman"/>
                      <w:sz w:val="21"/>
                      <w:szCs w:val="18"/>
                      <w:lang w:eastAsia="zh-CN"/>
                    </w:rPr>
                  </w:pPr>
                  <w:r>
                    <w:rPr>
                      <w:rFonts w:hint="default" w:ascii="Times New Roman" w:hAnsi="Times New Roman" w:eastAsia="宋体" w:cs="Times New Roman"/>
                      <w:sz w:val="21"/>
                      <w:szCs w:val="18"/>
                      <w:lang w:eastAsia="zh-CN"/>
                    </w:rPr>
                    <w:t>项目</w:t>
                  </w:r>
                  <w:r>
                    <w:rPr>
                      <w:rFonts w:hint="eastAsia" w:cs="Times New Roman"/>
                      <w:sz w:val="21"/>
                      <w:szCs w:val="18"/>
                      <w:lang w:val="en-US" w:eastAsia="zh-CN"/>
                    </w:rPr>
                    <w:t>已</w:t>
                  </w:r>
                  <w:r>
                    <w:rPr>
                      <w:rFonts w:hint="default" w:ascii="Times New Roman" w:hAnsi="Times New Roman" w:eastAsia="宋体" w:cs="Times New Roman"/>
                      <w:sz w:val="21"/>
                      <w:szCs w:val="18"/>
                      <w:lang w:eastAsia="zh-CN"/>
                    </w:rPr>
                    <w:t>严格按照国家规定处理染疫动物及其排泄物、污染物和动物病理组织等。将严格按照《医疗废物管理条例》的有关规定处理诊疗废弃物，杜绝随意丢弃诊疗废弃物，排放未经无害化处理的诊疗废水。</w:t>
                  </w:r>
                </w:p>
              </w:tc>
              <w:tc>
                <w:tcPr>
                  <w:tcW w:w="739" w:type="dxa"/>
                  <w:tcBorders>
                    <w:tl2br w:val="nil"/>
                    <w:tr2bl w:val="nil"/>
                  </w:tcBorders>
                  <w:vAlign w:val="center"/>
                </w:tcPr>
                <w:p w14:paraId="49764651">
                  <w:pPr>
                    <w:widowControl/>
                    <w:adjustRightInd w:val="0"/>
                    <w:snapToGrid w:val="0"/>
                    <w:jc w:val="center"/>
                    <w:rPr>
                      <w:rFonts w:hint="default" w:ascii="Times New Roman" w:hAnsi="Times New Roman" w:eastAsia="宋体" w:cs="Times New Roman"/>
                      <w:sz w:val="21"/>
                      <w:szCs w:val="18"/>
                      <w:lang w:eastAsia="en-US"/>
                    </w:rPr>
                  </w:pPr>
                  <w:r>
                    <w:rPr>
                      <w:rFonts w:hint="default" w:ascii="Times New Roman" w:hAnsi="Times New Roman" w:eastAsia="宋体" w:cs="Times New Roman"/>
                      <w:sz w:val="21"/>
                      <w:szCs w:val="18"/>
                      <w:lang w:eastAsia="en-US"/>
                    </w:rPr>
                    <w:t>符合</w:t>
                  </w:r>
                </w:p>
              </w:tc>
            </w:tr>
          </w:tbl>
          <w:p w14:paraId="1E588335">
            <w:pPr>
              <w:pStyle w:val="159"/>
              <w:spacing w:before="120" w:beforeLines="50"/>
              <w:rPr>
                <w:rFonts w:hint="default" w:ascii="Times New Roman" w:hAnsi="Times New Roman" w:eastAsia="宋体" w:cs="Times New Roman"/>
                <w:highlight w:val="none"/>
              </w:rPr>
            </w:pPr>
            <w:r>
              <w:rPr>
                <w:rFonts w:hint="default" w:ascii="Times New Roman" w:hAnsi="Times New Roman" w:eastAsia="宋体" w:cs="Times New Roman"/>
              </w:rPr>
              <w:t>从上表分析得出，</w:t>
            </w:r>
            <w:r>
              <w:rPr>
                <w:rFonts w:hint="eastAsia" w:ascii="Times New Roman" w:hAnsi="Times New Roman" w:eastAsia="宋体" w:cs="Times New Roman"/>
                <w:lang w:val="en-US" w:eastAsia="zh-CN"/>
              </w:rPr>
              <w:t>建设</w:t>
            </w:r>
            <w:r>
              <w:rPr>
                <w:rFonts w:hint="default" w:ascii="Times New Roman" w:hAnsi="Times New Roman" w:eastAsia="宋体" w:cs="Times New Roman"/>
              </w:rPr>
              <w:t>项目符合《动物诊疗机构管理办法》（农业农村部2022</w:t>
            </w:r>
            <w:r>
              <w:rPr>
                <w:rFonts w:hint="default" w:ascii="Times New Roman" w:hAnsi="Times New Roman" w:eastAsia="宋体" w:cs="Times New Roman"/>
                <w:highlight w:val="none"/>
              </w:rPr>
              <w:t>年第5号令）的相关要求。</w:t>
            </w:r>
          </w:p>
          <w:bookmarkEnd w:id="16"/>
          <w:bookmarkEnd w:id="17"/>
          <w:bookmarkEnd w:id="18"/>
          <w:p w14:paraId="2942E2E2">
            <w:pPr>
              <w:pStyle w:val="3"/>
              <w:numPr>
                <w:ilvl w:val="1"/>
                <w:numId w:val="0"/>
              </w:numPr>
              <w:rPr>
                <w:rFonts w:ascii="Times New Roman" w:hAnsi="Times New Roman" w:cs="Times New Roman"/>
                <w:color w:val="auto"/>
                <w:highlight w:val="none"/>
              </w:rPr>
            </w:pPr>
            <w:bookmarkStart w:id="19" w:name="_Toc133251530"/>
            <w:bookmarkStart w:id="20" w:name="_Toc13987"/>
            <w:bookmarkStart w:id="21" w:name="_Toc31582"/>
            <w:bookmarkStart w:id="22" w:name="_Toc1344"/>
            <w:bookmarkStart w:id="23" w:name="_Toc28782"/>
            <w:bookmarkStart w:id="24" w:name="_Toc32685"/>
            <w:bookmarkStart w:id="25" w:name="_Toc24397"/>
            <w:bookmarkStart w:id="26" w:name="_Toc22235_WPSOffice_Level2"/>
            <w:bookmarkStart w:id="27" w:name="_Toc5655"/>
            <w:bookmarkStart w:id="28" w:name="_Toc28876"/>
            <w:bookmarkStart w:id="29" w:name="_Toc8383"/>
            <w:r>
              <w:rPr>
                <w:rFonts w:hint="eastAsia" w:ascii="Times New Roman" w:hAnsi="Times New Roman" w:eastAsia="宋体" w:cs="宋体"/>
                <w:b/>
                <w:bCs/>
                <w:color w:val="auto"/>
                <w:kern w:val="0"/>
                <w:sz w:val="28"/>
                <w:szCs w:val="28"/>
                <w:highlight w:val="none"/>
                <w:lang w:val="en-US" w:eastAsia="zh-CN" w:bidi="ar-SA"/>
              </w:rPr>
              <w:t>1.</w:t>
            </w:r>
            <w:r>
              <w:rPr>
                <w:rFonts w:hint="eastAsia" w:cs="宋体"/>
                <w:b/>
                <w:bCs/>
                <w:color w:val="auto"/>
                <w:kern w:val="0"/>
                <w:sz w:val="28"/>
                <w:szCs w:val="28"/>
                <w:highlight w:val="none"/>
                <w:lang w:val="en-US" w:eastAsia="zh-CN" w:bidi="ar-SA"/>
              </w:rPr>
              <w:t xml:space="preserve">3 </w:t>
            </w:r>
            <w:r>
              <w:rPr>
                <w:rFonts w:ascii="Times New Roman" w:hAnsi="Times New Roman" w:cs="Times New Roman"/>
                <w:color w:val="auto"/>
                <w:highlight w:val="none"/>
              </w:rPr>
              <w:t>产业政策符合性分析</w:t>
            </w:r>
            <w:bookmarkEnd w:id="19"/>
          </w:p>
          <w:bookmarkEnd w:id="20"/>
          <w:bookmarkEnd w:id="21"/>
          <w:p w14:paraId="37803204">
            <w:pPr>
              <w:widowControl/>
              <w:snapToGrid w:val="0"/>
              <w:spacing w:line="360" w:lineRule="auto"/>
              <w:ind w:firstLine="480" w:firstLineChars="200"/>
              <w:rPr>
                <w:rFonts w:hint="default" w:ascii="Times New Roman" w:hAnsi="Times New Roman" w:cs="Times New Roman"/>
                <w:bCs/>
                <w:i w:val="0"/>
                <w:iCs w:val="0"/>
                <w:szCs w:val="32"/>
                <w:highlight w:val="none"/>
              </w:rPr>
            </w:pPr>
            <w:r>
              <w:rPr>
                <w:rFonts w:hint="default" w:ascii="Times New Roman" w:hAnsi="Times New Roman" w:cs="Times New Roman"/>
                <w:bCs/>
                <w:i w:val="0"/>
                <w:iCs w:val="0"/>
                <w:szCs w:val="32"/>
                <w:highlight w:val="none"/>
              </w:rPr>
              <w:t>项目在</w:t>
            </w:r>
            <w:r>
              <w:rPr>
                <w:rFonts w:hint="default" w:ascii="Times New Roman" w:hAnsi="Times New Roman" w:cs="Times New Roman"/>
                <w:i w:val="0"/>
                <w:iCs w:val="0"/>
                <w:highlight w:val="none"/>
                <w:lang w:val="en-US" w:eastAsia="zh-CN"/>
              </w:rPr>
              <w:t>原有服务</w:t>
            </w:r>
            <w:r>
              <w:rPr>
                <w:rFonts w:hint="default" w:ascii="Times New Roman" w:hAnsi="Times New Roman" w:cs="Times New Roman"/>
                <w:i w:val="0"/>
                <w:iCs w:val="0"/>
                <w:highlight w:val="none"/>
              </w:rPr>
              <w:t>范围中增设动物颅腔、胸腔和腹腔手术</w:t>
            </w:r>
            <w:r>
              <w:rPr>
                <w:rFonts w:hint="default" w:ascii="Times New Roman" w:hAnsi="Times New Roman" w:cs="Times New Roman"/>
                <w:bCs/>
                <w:i w:val="0"/>
                <w:iCs w:val="0"/>
                <w:szCs w:val="32"/>
                <w:highlight w:val="none"/>
              </w:rPr>
              <w:t>，不属于《产业结构调整指导目录（2024年本）》中</w:t>
            </w:r>
            <w:r>
              <w:rPr>
                <w:rFonts w:hint="eastAsia" w:cs="Times New Roman"/>
                <w:bCs/>
                <w:i w:val="0"/>
                <w:iCs w:val="0"/>
                <w:szCs w:val="32"/>
                <w:highlight w:val="none"/>
                <w:lang w:eastAsia="zh-CN"/>
              </w:rPr>
              <w:t>“</w:t>
            </w:r>
            <w:r>
              <w:rPr>
                <w:rFonts w:hint="default" w:ascii="Times New Roman" w:hAnsi="Times New Roman" w:cs="Times New Roman"/>
                <w:bCs/>
                <w:i w:val="0"/>
                <w:iCs w:val="0"/>
                <w:szCs w:val="32"/>
                <w:highlight w:val="none"/>
              </w:rPr>
              <w:t>限制类</w:t>
            </w:r>
            <w:r>
              <w:rPr>
                <w:rFonts w:hint="eastAsia" w:cs="Times New Roman"/>
                <w:bCs/>
                <w:i w:val="0"/>
                <w:iCs w:val="0"/>
                <w:szCs w:val="32"/>
                <w:highlight w:val="none"/>
                <w:lang w:eastAsia="zh-CN"/>
              </w:rPr>
              <w:t>”“</w:t>
            </w:r>
            <w:r>
              <w:rPr>
                <w:rFonts w:hint="default" w:ascii="Times New Roman" w:hAnsi="Times New Roman" w:cs="Times New Roman"/>
                <w:bCs/>
                <w:i w:val="0"/>
                <w:iCs w:val="0"/>
                <w:szCs w:val="32"/>
                <w:highlight w:val="none"/>
              </w:rPr>
              <w:t>淘汰类</w:t>
            </w:r>
            <w:r>
              <w:rPr>
                <w:rFonts w:hint="eastAsia" w:cs="Times New Roman"/>
                <w:bCs/>
                <w:i w:val="0"/>
                <w:iCs w:val="0"/>
                <w:szCs w:val="32"/>
                <w:highlight w:val="none"/>
                <w:lang w:eastAsia="zh-CN"/>
              </w:rPr>
              <w:t>”</w:t>
            </w:r>
            <w:r>
              <w:rPr>
                <w:rFonts w:hint="default" w:ascii="Times New Roman" w:hAnsi="Times New Roman" w:cs="Times New Roman"/>
                <w:bCs/>
                <w:i w:val="0"/>
                <w:iCs w:val="0"/>
                <w:szCs w:val="32"/>
                <w:highlight w:val="none"/>
              </w:rPr>
              <w:t>，</w:t>
            </w:r>
            <w:r>
              <w:rPr>
                <w:rFonts w:hint="default" w:ascii="Times New Roman" w:hAnsi="Times New Roman" w:cs="Times New Roman"/>
                <w:bCs/>
                <w:i w:val="0"/>
                <w:iCs w:val="0"/>
                <w:color w:val="auto"/>
                <w:szCs w:val="32"/>
                <w:highlight w:val="none"/>
              </w:rPr>
              <w:t>属于允许类项目</w:t>
            </w:r>
            <w:r>
              <w:rPr>
                <w:rFonts w:hint="default" w:ascii="Times New Roman" w:hAnsi="Times New Roman" w:cs="Times New Roman"/>
                <w:i w:val="0"/>
                <w:iCs w:val="0"/>
                <w:highlight w:val="none"/>
              </w:rPr>
              <w:t>。</w:t>
            </w:r>
            <w:r>
              <w:rPr>
                <w:rFonts w:hint="default" w:ascii="Times New Roman" w:hAnsi="Times New Roman" w:cs="Times New Roman"/>
                <w:bCs/>
                <w:i w:val="0"/>
                <w:iCs w:val="0"/>
                <w:szCs w:val="32"/>
                <w:highlight w:val="none"/>
              </w:rPr>
              <w:t>检索《限制用地项目目录》（2012年本）和《禁止用地项目目录》（2012年本），不属于以上目录中的项目。</w:t>
            </w:r>
          </w:p>
          <w:p w14:paraId="3F2E6EC1">
            <w:pPr>
              <w:keepNext/>
              <w:keepLines/>
              <w:numPr>
                <w:ilvl w:val="-1"/>
                <w:numId w:val="0"/>
              </w:numPr>
              <w:adjustRightInd w:val="0"/>
              <w:snapToGrid w:val="0"/>
              <w:spacing w:line="360" w:lineRule="auto"/>
              <w:ind w:left="0" w:firstLine="480" w:firstLineChars="200"/>
              <w:jc w:val="both"/>
              <w:outlineLvl w:val="9"/>
              <w:rPr>
                <w:rFonts w:hint="default"/>
                <w:sz w:val="24"/>
                <w:szCs w:val="24"/>
              </w:rPr>
            </w:pPr>
            <w:r>
              <w:rPr>
                <w:rFonts w:hint="eastAsia"/>
                <w:sz w:val="24"/>
                <w:szCs w:val="24"/>
                <w:lang w:val="en-US" w:eastAsia="zh-CN"/>
              </w:rPr>
              <w:t>项目租赁现有店面作动物医院经营使用，对照</w:t>
            </w:r>
            <w:r>
              <w:rPr>
                <w:rFonts w:hint="eastAsia"/>
                <w:sz w:val="24"/>
                <w:szCs w:val="24"/>
                <w:lang w:val="en-US" w:eastAsia="zh-CN"/>
              </w:rPr>
              <w:fldChar w:fldCharType="begin"/>
            </w:r>
            <w:r>
              <w:rPr>
                <w:rFonts w:hint="eastAsia"/>
                <w:sz w:val="24"/>
                <w:szCs w:val="24"/>
                <w:lang w:val="en-US" w:eastAsia="zh-CN"/>
              </w:rPr>
              <w:instrText xml:space="preserve"> HYPERLINK "https://120.35.29.78/tzxm/jsp/tzxm/intelligentAssistant/IAapprovalList.jsp" </w:instrText>
            </w:r>
            <w:r>
              <w:rPr>
                <w:rFonts w:hint="eastAsia"/>
                <w:sz w:val="24"/>
                <w:szCs w:val="24"/>
                <w:lang w:val="en-US" w:eastAsia="zh-CN"/>
              </w:rPr>
              <w:fldChar w:fldCharType="separate"/>
            </w:r>
            <w:r>
              <w:rPr>
                <w:rFonts w:hint="eastAsia"/>
                <w:sz w:val="24"/>
                <w:szCs w:val="24"/>
                <w:lang w:val="en-US" w:eastAsia="zh-CN"/>
              </w:rPr>
              <w:t>《政府核准的投资项目目录（对接国家2016年本）》</w:t>
            </w:r>
            <w:r>
              <w:rPr>
                <w:rFonts w:hint="eastAsia"/>
                <w:sz w:val="24"/>
                <w:szCs w:val="24"/>
                <w:lang w:val="en-US" w:eastAsia="zh-CN"/>
              </w:rPr>
              <w:fldChar w:fldCharType="end"/>
            </w:r>
            <w:r>
              <w:rPr>
                <w:sz w:val="24"/>
                <w:szCs w:val="24"/>
              </w:rPr>
              <w:t>，</w:t>
            </w:r>
            <w:r>
              <w:rPr>
                <w:rFonts w:hint="eastAsia"/>
                <w:sz w:val="24"/>
                <w:szCs w:val="24"/>
                <w:lang w:val="en-US" w:eastAsia="zh-CN"/>
              </w:rPr>
              <w:t>无需备案。</w:t>
            </w:r>
          </w:p>
          <w:p w14:paraId="0C501DF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cs="Times New Roman"/>
                <w:bCs/>
                <w:color w:val="auto"/>
                <w:szCs w:val="32"/>
                <w:highlight w:val="none"/>
              </w:rPr>
            </w:pPr>
            <w:r>
              <w:rPr>
                <w:rFonts w:ascii="Times New Roman" w:hAnsi="Times New Roman" w:cs="Times New Roman"/>
                <w:bCs/>
                <w:color w:val="auto"/>
                <w:szCs w:val="32"/>
                <w:highlight w:val="none"/>
              </w:rPr>
              <w:t>综上，项目建设符合国家当前的产业政策要求。</w:t>
            </w:r>
          </w:p>
          <w:bookmarkEnd w:id="22"/>
          <w:bookmarkEnd w:id="23"/>
          <w:bookmarkEnd w:id="24"/>
          <w:bookmarkEnd w:id="25"/>
          <w:bookmarkEnd w:id="26"/>
          <w:bookmarkEnd w:id="27"/>
          <w:p w14:paraId="465A8FE3">
            <w:pPr>
              <w:pStyle w:val="3"/>
              <w:numPr>
                <w:ilvl w:val="1"/>
                <w:numId w:val="0"/>
              </w:numPr>
              <w:rPr>
                <w:rFonts w:ascii="Times New Roman" w:hAnsi="Times New Roman" w:cs="Times New Roman"/>
                <w:color w:val="auto"/>
                <w:highlight w:val="none"/>
              </w:rPr>
            </w:pPr>
            <w:bookmarkStart w:id="30" w:name="_Toc11325"/>
            <w:bookmarkStart w:id="31" w:name="_Toc133251532"/>
            <w:bookmarkStart w:id="32" w:name="_Toc24581"/>
            <w:bookmarkStart w:id="33" w:name="_Toc13524"/>
            <w:r>
              <w:rPr>
                <w:rFonts w:hint="eastAsia" w:ascii="Times New Roman" w:hAnsi="Times New Roman" w:eastAsia="宋体" w:cs="宋体"/>
                <w:b/>
                <w:bCs/>
                <w:color w:val="auto"/>
                <w:kern w:val="0"/>
                <w:sz w:val="28"/>
                <w:szCs w:val="28"/>
                <w:lang w:val="en-US" w:eastAsia="zh-CN" w:bidi="ar-SA"/>
              </w:rPr>
              <w:t>1.</w:t>
            </w:r>
            <w:r>
              <w:rPr>
                <w:rFonts w:hint="eastAsia" w:cs="宋体"/>
                <w:b/>
                <w:bCs/>
                <w:color w:val="auto"/>
                <w:kern w:val="0"/>
                <w:sz w:val="28"/>
                <w:szCs w:val="28"/>
                <w:lang w:val="en-US" w:eastAsia="zh-CN" w:bidi="ar-SA"/>
              </w:rPr>
              <w:t xml:space="preserve">4 </w:t>
            </w:r>
            <w:r>
              <w:rPr>
                <w:rFonts w:hint="eastAsia" w:cs="Times New Roman"/>
                <w:color w:val="auto"/>
                <w:highlight w:val="none"/>
                <w:lang w:eastAsia="zh-CN"/>
              </w:rPr>
              <w:t>“</w:t>
            </w:r>
            <w:r>
              <w:rPr>
                <w:rFonts w:ascii="Times New Roman" w:hAnsi="Times New Roman" w:cs="Times New Roman"/>
                <w:color w:val="auto"/>
                <w:highlight w:val="none"/>
              </w:rPr>
              <w:t>三线一单</w:t>
            </w:r>
            <w:r>
              <w:rPr>
                <w:rFonts w:hint="eastAsia" w:cs="Times New Roman"/>
                <w:color w:val="auto"/>
                <w:highlight w:val="none"/>
                <w:lang w:eastAsia="zh-CN"/>
              </w:rPr>
              <w:t>”</w:t>
            </w:r>
            <w:r>
              <w:rPr>
                <w:rFonts w:ascii="Times New Roman" w:hAnsi="Times New Roman" w:cs="Times New Roman"/>
                <w:color w:val="auto"/>
                <w:highlight w:val="none"/>
              </w:rPr>
              <w:t>控制要求符合性分析</w:t>
            </w:r>
            <w:bookmarkEnd w:id="28"/>
            <w:bookmarkEnd w:id="29"/>
            <w:bookmarkEnd w:id="30"/>
            <w:bookmarkEnd w:id="31"/>
            <w:bookmarkEnd w:id="32"/>
            <w:bookmarkEnd w:id="33"/>
          </w:p>
          <w:p w14:paraId="7B160A41">
            <w:pPr>
              <w:autoSpaceDE w:val="0"/>
              <w:autoSpaceDN w:val="0"/>
              <w:adjustRightInd w:val="0"/>
              <w:snapToGrid w:val="0"/>
              <w:spacing w:line="360" w:lineRule="auto"/>
              <w:ind w:firstLine="482" w:firstLineChars="200"/>
              <w:rPr>
                <w:rFonts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val="en-US" w:eastAsia="zh-CN"/>
              </w:rPr>
              <w:t>1</w:t>
            </w:r>
            <w:r>
              <w:rPr>
                <w:rFonts w:hint="default" w:ascii="Times New Roman" w:hAnsi="Times New Roman" w:cs="Times New Roman"/>
                <w:b/>
                <w:bCs/>
                <w:color w:val="auto"/>
                <w:kern w:val="0"/>
                <w:szCs w:val="21"/>
                <w:highlight w:val="none"/>
                <w:lang w:eastAsia="zh-CN"/>
              </w:rPr>
              <w:t>）</w:t>
            </w:r>
            <w:r>
              <w:rPr>
                <w:rFonts w:hint="eastAsia" w:cs="Times New Roman"/>
                <w:b/>
                <w:bCs/>
                <w:color w:val="auto"/>
                <w:kern w:val="0"/>
                <w:szCs w:val="21"/>
                <w:highlight w:val="none"/>
                <w:lang w:eastAsia="zh-CN"/>
              </w:rPr>
              <w:t>“</w:t>
            </w:r>
            <w:r>
              <w:rPr>
                <w:rFonts w:ascii="Times New Roman" w:hAnsi="Times New Roman" w:cs="Times New Roman"/>
                <w:b/>
                <w:bCs/>
                <w:color w:val="auto"/>
                <w:kern w:val="0"/>
                <w:szCs w:val="21"/>
                <w:highlight w:val="none"/>
              </w:rPr>
              <w:t>三线一单</w:t>
            </w:r>
            <w:r>
              <w:rPr>
                <w:rFonts w:hint="eastAsia"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eastAsia="zh-CN"/>
              </w:rPr>
              <w:t>符合性分析</w:t>
            </w:r>
          </w:p>
          <w:p w14:paraId="79E59DDF">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项目与《</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十三五</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环境影响评价改革实施方案》</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环评</w:t>
            </w:r>
            <w:r>
              <w:rPr>
                <w:rFonts w:hint="default" w:ascii="Times New Roman" w:hAnsi="Times New Roman" w:cs="Times New Roman"/>
                <w:color w:val="auto"/>
                <w:highlight w:val="none"/>
                <w:lang w:bidi="ar"/>
              </w:rPr>
              <w:t>〔</w:t>
            </w:r>
            <w:r>
              <w:rPr>
                <w:rFonts w:hint="default" w:ascii="Times New Roman" w:hAnsi="Times New Roman" w:cs="Times New Roman"/>
                <w:color w:val="auto"/>
                <w:kern w:val="0"/>
                <w:szCs w:val="21"/>
                <w:highlight w:val="none"/>
              </w:rPr>
              <w:t>2016</w:t>
            </w:r>
            <w:r>
              <w:rPr>
                <w:rFonts w:hint="default" w:ascii="Times New Roman" w:hAnsi="Times New Roman" w:cs="Times New Roman"/>
                <w:color w:val="auto"/>
                <w:highlight w:val="none"/>
                <w:lang w:bidi="ar"/>
              </w:rPr>
              <w:t>〕</w:t>
            </w:r>
            <w:r>
              <w:rPr>
                <w:rFonts w:hint="default" w:ascii="Times New Roman" w:hAnsi="Times New Roman" w:cs="Times New Roman"/>
                <w:color w:val="auto"/>
                <w:kern w:val="0"/>
                <w:szCs w:val="21"/>
                <w:highlight w:val="none"/>
              </w:rPr>
              <w:t>95号</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中</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三线一单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文件符合性分析。</w:t>
            </w:r>
          </w:p>
          <w:p w14:paraId="148140BC">
            <w:pPr>
              <w:autoSpaceDE/>
              <w:autoSpaceDN/>
              <w:adjustRightInd/>
              <w:snapToGrid/>
              <w:spacing w:line="240" w:lineRule="auto"/>
              <w:ind w:firstLine="0" w:firstLineChars="0"/>
              <w:jc w:val="center"/>
              <w:rPr>
                <w:rFonts w:hint="default" w:ascii="Times New Roman" w:hAnsi="Times New Roman" w:cs="Times New Roman"/>
                <w:color w:val="auto"/>
                <w:kern w:val="0"/>
                <w:szCs w:val="24"/>
                <w:highlight w:val="none"/>
              </w:rPr>
            </w:pPr>
            <w:r>
              <w:rPr>
                <w:rFonts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3</w:t>
            </w:r>
            <w:r>
              <w:rPr>
                <w:rFonts w:ascii="Times New Roman" w:hAnsi="Times New Roman" w:cs="Times New Roman"/>
                <w:b/>
                <w:bCs/>
                <w:color w:val="auto"/>
                <w:sz w:val="24"/>
                <w:szCs w:val="24"/>
              </w:rPr>
              <w:t xml:space="preserve"> </w:t>
            </w:r>
            <w:r>
              <w:rPr>
                <w:rFonts w:hint="eastAsia" w:cs="Times New Roman"/>
                <w:b/>
                <w:bCs/>
                <w:color w:val="auto"/>
                <w:sz w:val="24"/>
                <w:szCs w:val="24"/>
                <w:lang w:val="en-US" w:eastAsia="zh-CN"/>
              </w:rPr>
              <w:t xml:space="preserve"> </w:t>
            </w:r>
            <w:r>
              <w:rPr>
                <w:rFonts w:ascii="Times New Roman" w:hAnsi="Times New Roman" w:cs="Times New Roman"/>
                <w:b/>
                <w:bCs/>
                <w:color w:val="auto"/>
                <w:sz w:val="24"/>
                <w:szCs w:val="24"/>
              </w:rPr>
              <w:t>项目与</w:t>
            </w:r>
            <w:r>
              <w:rPr>
                <w:rFonts w:hint="eastAsia" w:cs="Times New Roman"/>
                <w:b/>
                <w:bCs/>
                <w:color w:val="auto"/>
                <w:sz w:val="24"/>
                <w:szCs w:val="24"/>
                <w:lang w:eastAsia="zh-CN"/>
              </w:rPr>
              <w:t>“</w:t>
            </w:r>
            <w:r>
              <w:rPr>
                <w:rFonts w:ascii="Times New Roman" w:hAnsi="Times New Roman" w:cs="Times New Roman"/>
                <w:b/>
                <w:bCs/>
                <w:color w:val="auto"/>
                <w:sz w:val="24"/>
                <w:szCs w:val="24"/>
              </w:rPr>
              <w:t>三线一单</w:t>
            </w:r>
            <w:r>
              <w:rPr>
                <w:rFonts w:hint="eastAsia" w:cs="Times New Roman"/>
                <w:b/>
                <w:bCs/>
                <w:color w:val="auto"/>
                <w:sz w:val="24"/>
                <w:szCs w:val="24"/>
                <w:lang w:eastAsia="zh-CN"/>
              </w:rPr>
              <w:t>”</w:t>
            </w:r>
            <w:r>
              <w:rPr>
                <w:rFonts w:ascii="Times New Roman" w:hAnsi="Times New Roman" w:cs="Times New Roman"/>
                <w:b/>
                <w:bCs/>
                <w:color w:val="auto"/>
                <w:sz w:val="24"/>
                <w:szCs w:val="24"/>
              </w:rPr>
              <w:t>文件相符性分析</w:t>
            </w:r>
          </w:p>
          <w:tbl>
            <w:tblPr>
              <w:tblStyle w:val="5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815"/>
              <w:gridCol w:w="5404"/>
              <w:gridCol w:w="889"/>
            </w:tblGrid>
            <w:tr w14:paraId="56D0E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noWrap/>
                  <w:vAlign w:val="center"/>
                </w:tcPr>
                <w:p w14:paraId="0F2C27A5">
                  <w:pPr>
                    <w:pStyle w:val="499"/>
                    <w:rPr>
                      <w:rFonts w:ascii="Times New Roman" w:hAnsi="Times New Roman" w:eastAsia="宋体" w:cs="Times New Roman"/>
                      <w:b/>
                      <w:bCs/>
                      <w:color w:val="auto"/>
                    </w:rPr>
                  </w:pPr>
                  <w:r>
                    <w:rPr>
                      <w:rFonts w:hint="default" w:ascii="Times New Roman" w:hAnsi="Times New Roman" w:eastAsia="宋体" w:cs="Times New Roman"/>
                      <w:b/>
                      <w:bCs/>
                      <w:color w:val="auto"/>
                      <w:lang w:eastAsia="zh-CN"/>
                    </w:rPr>
                    <w:t>通知</w:t>
                  </w:r>
                  <w:r>
                    <w:rPr>
                      <w:rFonts w:ascii="Times New Roman" w:hAnsi="Times New Roman" w:eastAsia="宋体" w:cs="Times New Roman"/>
                      <w:b/>
                      <w:bCs/>
                      <w:color w:val="auto"/>
                    </w:rPr>
                    <w:t>文号</w:t>
                  </w:r>
                </w:p>
              </w:tc>
              <w:tc>
                <w:tcPr>
                  <w:tcW w:w="493" w:type="pct"/>
                  <w:noWrap/>
                  <w:vAlign w:val="center"/>
                </w:tcPr>
                <w:p w14:paraId="2BB72045">
                  <w:pPr>
                    <w:pStyle w:val="499"/>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3269" w:type="pct"/>
                  <w:noWrap/>
                  <w:vAlign w:val="center"/>
                </w:tcPr>
                <w:p w14:paraId="3DB1BC9D">
                  <w:pPr>
                    <w:pStyle w:val="499"/>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项目与</w:t>
                  </w:r>
                  <w:r>
                    <w:rPr>
                      <w:rFonts w:hint="eastAsia" w:ascii="Times New Roman" w:hAnsi="Times New Roman" w:cs="Times New Roman"/>
                      <w:b/>
                      <w:bCs/>
                      <w:color w:val="auto"/>
                      <w:lang w:eastAsia="zh-CN"/>
                    </w:rPr>
                    <w:t>“</w:t>
                  </w:r>
                  <w:r>
                    <w:rPr>
                      <w:rFonts w:ascii="Times New Roman" w:hAnsi="Times New Roman" w:eastAsia="宋体" w:cs="Times New Roman"/>
                      <w:b/>
                      <w:bCs/>
                      <w:color w:val="auto"/>
                      <w:lang w:eastAsia="zh-CN"/>
                    </w:rPr>
                    <w:t>三线一单</w:t>
                  </w:r>
                  <w:r>
                    <w:rPr>
                      <w:rFonts w:hint="eastAsia" w:ascii="Times New Roman" w:hAnsi="Times New Roman" w:cs="Times New Roman"/>
                      <w:b/>
                      <w:bCs/>
                      <w:color w:val="auto"/>
                      <w:lang w:eastAsia="zh-CN"/>
                    </w:rPr>
                    <w:t>”</w:t>
                  </w:r>
                  <w:r>
                    <w:rPr>
                      <w:rFonts w:ascii="Times New Roman" w:hAnsi="Times New Roman" w:eastAsia="宋体" w:cs="Times New Roman"/>
                      <w:b/>
                      <w:bCs/>
                      <w:color w:val="auto"/>
                      <w:lang w:eastAsia="zh-CN"/>
                    </w:rPr>
                    <w:t>相符性分析</w:t>
                  </w:r>
                </w:p>
              </w:tc>
              <w:tc>
                <w:tcPr>
                  <w:tcW w:w="537" w:type="pct"/>
                  <w:noWrap/>
                  <w:vAlign w:val="center"/>
                </w:tcPr>
                <w:p w14:paraId="4AB05025">
                  <w:pPr>
                    <w:pStyle w:val="499"/>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14:paraId="1E202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restart"/>
                  <w:noWrap/>
                  <w:vAlign w:val="center"/>
                </w:tcPr>
                <w:p w14:paraId="47D08FF7">
                  <w:pPr>
                    <w:pStyle w:val="499"/>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十三五</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环境影响评价改革实施方案》</w:t>
                  </w:r>
                  <w:r>
                    <w:rPr>
                      <w:rFonts w:hint="default" w:ascii="Times New Roman" w:hAnsi="Times New Roman" w:eastAsia="宋体" w:cs="Times New Roman"/>
                      <w:color w:val="auto"/>
                      <w:lang w:eastAsia="zh-CN"/>
                    </w:rPr>
                    <w:t>（</w:t>
                  </w:r>
                  <w:r>
                    <w:rPr>
                      <w:rFonts w:ascii="Times New Roman" w:hAnsi="Times New Roman" w:eastAsia="宋体" w:cs="Times New Roman"/>
                      <w:color w:val="auto"/>
                      <w:lang w:eastAsia="zh-CN"/>
                    </w:rPr>
                    <w:t>环评[2016]95号</w:t>
                  </w:r>
                  <w:r>
                    <w:rPr>
                      <w:rFonts w:hint="default" w:ascii="Times New Roman" w:hAnsi="Times New Roman" w:eastAsia="宋体" w:cs="Times New Roman"/>
                      <w:color w:val="auto"/>
                      <w:lang w:eastAsia="zh-CN"/>
                    </w:rPr>
                    <w:t>）</w:t>
                  </w:r>
                </w:p>
              </w:tc>
              <w:tc>
                <w:tcPr>
                  <w:tcW w:w="493" w:type="pct"/>
                  <w:noWrap/>
                  <w:vAlign w:val="center"/>
                </w:tcPr>
                <w:p w14:paraId="7A34B874">
                  <w:pPr>
                    <w:pStyle w:val="499"/>
                    <w:rPr>
                      <w:rFonts w:ascii="Times New Roman" w:hAnsi="Times New Roman" w:eastAsia="宋体" w:cs="Times New Roman"/>
                      <w:color w:val="auto"/>
                    </w:rPr>
                  </w:pPr>
                  <w:r>
                    <w:rPr>
                      <w:rFonts w:ascii="Times New Roman" w:hAnsi="Times New Roman" w:eastAsia="宋体" w:cs="Times New Roman"/>
                      <w:color w:val="auto"/>
                    </w:rPr>
                    <w:t>生态保护红线</w:t>
                  </w:r>
                </w:p>
              </w:tc>
              <w:tc>
                <w:tcPr>
                  <w:tcW w:w="3269" w:type="pct"/>
                  <w:noWrap/>
                  <w:vAlign w:val="center"/>
                </w:tcPr>
                <w:p w14:paraId="6F336E60">
                  <w:pPr>
                    <w:keepNext w:val="0"/>
                    <w:keepLines w:val="0"/>
                    <w:widowControl/>
                    <w:suppressLineNumbers w:val="0"/>
                    <w:spacing w:line="240" w:lineRule="auto"/>
                    <w:jc w:val="both"/>
                    <w:rPr>
                      <w:rFonts w:ascii="Times New Roman" w:hAnsi="Times New Roman" w:eastAsia="宋体" w:cs="Times New Roman"/>
                      <w:color w:val="auto"/>
                      <w:lang w:eastAsia="zh-CN"/>
                    </w:rPr>
                  </w:pPr>
                  <w:r>
                    <w:rPr>
                      <w:rFonts w:ascii="Times New Roman" w:hAnsi="Times New Roman" w:eastAsia="宋体" w:cs="Times New Roman"/>
                      <w:color w:val="auto"/>
                      <w:kern w:val="2"/>
                      <w:sz w:val="21"/>
                      <w:szCs w:val="21"/>
                      <w:lang w:val="en-US" w:eastAsia="zh-CN" w:bidi="ar-SA"/>
                    </w:rPr>
                    <w:t>项目位于</w:t>
                  </w:r>
                  <w:r>
                    <w:rPr>
                      <w:rFonts w:ascii="Times New Roman" w:hAnsi="Times New Roman" w:eastAsia="宋体" w:cs="Times New Roman"/>
                      <w:color w:val="auto"/>
                      <w:kern w:val="2"/>
                      <w:sz w:val="21"/>
                      <w:szCs w:val="21"/>
                      <w:lang w:val="en-US" w:eastAsia="zh-CN" w:bidi="ar-SA"/>
                    </w:rPr>
                    <w:fldChar w:fldCharType="begin"/>
                  </w:r>
                  <w:r>
                    <w:rPr>
                      <w:rFonts w:ascii="Times New Roman" w:hAnsi="Times New Roman" w:eastAsia="宋体" w:cs="Times New Roman"/>
                      <w:color w:val="auto"/>
                      <w:kern w:val="2"/>
                      <w:sz w:val="21"/>
                      <w:szCs w:val="21"/>
                      <w:lang w:val="en-US" w:eastAsia="zh-CN" w:bidi="ar-SA"/>
                    </w:rPr>
                    <w:instrText xml:space="preserve"> REF 项目地址 \h  \* MERGEFORMAT </w:instrText>
                  </w:r>
                  <w:r>
                    <w:rPr>
                      <w:rFonts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福建省福州市福清市宏路街道中联江滨御景5号楼113号，115号，116号门面</w:t>
                  </w:r>
                  <w:r>
                    <w:rPr>
                      <w:rFonts w:hint="default" w:ascii="Times New Roman" w:hAnsi="Times New Roman" w:eastAsia="宋体" w:cs="Times New Roman"/>
                      <w:color w:val="auto"/>
                      <w:kern w:val="2"/>
                      <w:sz w:val="21"/>
                      <w:szCs w:val="21"/>
                      <w:lang w:val="en-US" w:eastAsia="zh-CN" w:bidi="ar-SA"/>
                    </w:rPr>
                    <w:fldChar w:fldCharType="end"/>
                  </w:r>
                  <w:r>
                    <w:rPr>
                      <w:rFonts w:ascii="Times New Roman" w:hAnsi="Times New Roman" w:eastAsia="宋体" w:cs="Times New Roman"/>
                      <w:color w:val="auto"/>
                      <w:kern w:val="2"/>
                      <w:sz w:val="21"/>
                      <w:szCs w:val="21"/>
                      <w:lang w:val="en-US" w:eastAsia="zh-CN" w:bidi="ar-SA"/>
                    </w:rPr>
                    <w:t>，选址不涉及生态保护红线范围内具有特殊重要生态功能、必须强制性严格保护的红线，与基本红线和行业条件的有关规定没有冲突，符合生态保护红线要求。</w:t>
                  </w:r>
                </w:p>
              </w:tc>
              <w:tc>
                <w:tcPr>
                  <w:tcW w:w="537" w:type="pct"/>
                  <w:noWrap/>
                  <w:vAlign w:val="center"/>
                </w:tcPr>
                <w:p w14:paraId="69865927">
                  <w:pPr>
                    <w:pStyle w:val="499"/>
                    <w:rPr>
                      <w:rFonts w:ascii="Times New Roman" w:hAnsi="Times New Roman" w:eastAsia="宋体" w:cs="Times New Roman"/>
                      <w:color w:val="auto"/>
                    </w:rPr>
                  </w:pPr>
                  <w:r>
                    <w:rPr>
                      <w:rFonts w:ascii="Times New Roman" w:hAnsi="Times New Roman" w:eastAsia="宋体" w:cs="Times New Roman"/>
                      <w:color w:val="auto"/>
                    </w:rPr>
                    <w:t>符合</w:t>
                  </w:r>
                </w:p>
              </w:tc>
            </w:tr>
            <w:tr w14:paraId="04319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14:paraId="39CB4DE2">
                  <w:pPr>
                    <w:pStyle w:val="499"/>
                    <w:rPr>
                      <w:rFonts w:ascii="Times New Roman" w:hAnsi="Times New Roman" w:eastAsia="宋体" w:cs="Times New Roman"/>
                      <w:color w:val="auto"/>
                    </w:rPr>
                  </w:pPr>
                </w:p>
              </w:tc>
              <w:tc>
                <w:tcPr>
                  <w:tcW w:w="493" w:type="pct"/>
                  <w:noWrap/>
                  <w:vAlign w:val="center"/>
                </w:tcPr>
                <w:p w14:paraId="6D90E0D9">
                  <w:pPr>
                    <w:pStyle w:val="499"/>
                    <w:rPr>
                      <w:rFonts w:ascii="Times New Roman" w:hAnsi="Times New Roman" w:eastAsia="宋体" w:cs="Times New Roman"/>
                      <w:color w:val="auto"/>
                    </w:rPr>
                  </w:pPr>
                  <w:r>
                    <w:rPr>
                      <w:rFonts w:ascii="Times New Roman" w:hAnsi="Times New Roman" w:eastAsia="宋体" w:cs="Times New Roman"/>
                      <w:color w:val="auto"/>
                    </w:rPr>
                    <w:t>环境质量底线</w:t>
                  </w:r>
                </w:p>
              </w:tc>
              <w:tc>
                <w:tcPr>
                  <w:tcW w:w="3269" w:type="pct"/>
                  <w:noWrap/>
                  <w:vAlign w:val="center"/>
                </w:tcPr>
                <w:p w14:paraId="57A36344">
                  <w:pPr>
                    <w:pStyle w:val="499"/>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项目所在区域的环境质量底线为：大气环境质量目标为《环境空气质量标准》</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GB3095-2012</w:t>
                  </w:r>
                  <w:r>
                    <w:rPr>
                      <w:rFonts w:hint="default" w:ascii="Times New Roman" w:hAnsi="Times New Roman" w:eastAsia="宋体" w:cs="Times New Roman"/>
                      <w:color w:val="auto"/>
                      <w:lang w:eastAsia="zh-CN"/>
                    </w:rPr>
                    <w:t>）</w:t>
                  </w:r>
                  <w:r>
                    <w:rPr>
                      <w:rFonts w:ascii="Times New Roman" w:hAnsi="Times New Roman" w:eastAsia="宋体" w:cs="Times New Roman"/>
                      <w:color w:val="auto"/>
                      <w:lang w:eastAsia="zh-CN"/>
                    </w:rPr>
                    <w:t>及其修改单中二级标准；地表水环境目标为《地表水环境质量标准》</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GB3838-2002</w:t>
                  </w:r>
                  <w:r>
                    <w:rPr>
                      <w:rFonts w:hint="eastAsia" w:ascii="Times New Roman" w:hAnsi="Times New Roman" w:cs="Times New Roman"/>
                      <w:color w:val="auto"/>
                      <w:lang w:eastAsia="zh-CN"/>
                    </w:rPr>
                    <w:t>）</w:t>
                  </w:r>
                  <w:r>
                    <w:rPr>
                      <w:rFonts w:hint="default" w:ascii="Times New Roman" w:hAnsi="Times New Roman" w:cs="Times New Roman"/>
                      <w:color w:val="auto"/>
                    </w:rPr>
                    <w:t>V</w:t>
                  </w:r>
                  <w:r>
                    <w:rPr>
                      <w:rFonts w:ascii="Times New Roman" w:hAnsi="Times New Roman" w:eastAsia="宋体" w:cs="Times New Roman"/>
                      <w:color w:val="auto"/>
                      <w:lang w:eastAsia="zh-CN"/>
                    </w:rPr>
                    <w:t>类标准；声环境质量目标为</w:t>
                  </w:r>
                  <w:r>
                    <w:rPr>
                      <w:rFonts w:hint="eastAsia" w:ascii="Times New Roman" w:hAnsi="Times New Roman" w:cs="Times New Roman"/>
                      <w:color w:val="auto"/>
                      <w:lang w:eastAsia="zh-CN"/>
                    </w:rPr>
                    <w:t>《社会生活环境噪声排放标准》（GB 22337-2008）</w:t>
                  </w:r>
                  <w:r>
                    <w:rPr>
                      <w:rFonts w:hint="default" w:ascii="Times New Roman" w:hAnsi="Times New Roman" w:eastAsia="宋体" w:cs="Times New Roman"/>
                      <w:color w:val="auto"/>
                      <w:lang w:val="en-US" w:eastAsia="zh-CN"/>
                    </w:rPr>
                    <w:t>2</w:t>
                  </w:r>
                  <w:r>
                    <w:rPr>
                      <w:rFonts w:ascii="Times New Roman" w:hAnsi="Times New Roman" w:eastAsia="宋体" w:cs="Times New Roman"/>
                      <w:color w:val="auto"/>
                      <w:lang w:eastAsia="zh-CN"/>
                    </w:rPr>
                    <w:t>类区标准。根据项目所在地环境质量现状调查和污染排放影响预测可知，项目运营后对区域内环境影响较小，环境质量可以保持现有水平，不会对区域环境质量底线造成冲击。</w:t>
                  </w:r>
                </w:p>
              </w:tc>
              <w:tc>
                <w:tcPr>
                  <w:tcW w:w="537" w:type="pct"/>
                  <w:noWrap/>
                  <w:vAlign w:val="center"/>
                </w:tcPr>
                <w:p w14:paraId="10A32705">
                  <w:pPr>
                    <w:pStyle w:val="499"/>
                    <w:rPr>
                      <w:rFonts w:ascii="Times New Roman" w:hAnsi="Times New Roman" w:eastAsia="宋体" w:cs="Times New Roman"/>
                      <w:color w:val="auto"/>
                    </w:rPr>
                  </w:pPr>
                  <w:r>
                    <w:rPr>
                      <w:rFonts w:ascii="Times New Roman" w:hAnsi="Times New Roman" w:eastAsia="宋体" w:cs="Times New Roman"/>
                      <w:color w:val="auto"/>
                    </w:rPr>
                    <w:t>符合</w:t>
                  </w:r>
                </w:p>
              </w:tc>
            </w:tr>
            <w:tr w14:paraId="6FD2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14:paraId="66BBEF01">
                  <w:pPr>
                    <w:pStyle w:val="499"/>
                    <w:rPr>
                      <w:rFonts w:ascii="Times New Roman" w:hAnsi="Times New Roman" w:eastAsia="宋体" w:cs="Times New Roman"/>
                      <w:color w:val="auto"/>
                    </w:rPr>
                  </w:pPr>
                </w:p>
              </w:tc>
              <w:tc>
                <w:tcPr>
                  <w:tcW w:w="493" w:type="pct"/>
                  <w:noWrap/>
                  <w:vAlign w:val="center"/>
                </w:tcPr>
                <w:p w14:paraId="000CA023">
                  <w:pPr>
                    <w:pStyle w:val="499"/>
                    <w:rPr>
                      <w:rFonts w:ascii="Times New Roman" w:hAnsi="Times New Roman" w:eastAsia="宋体" w:cs="Times New Roman"/>
                      <w:color w:val="auto"/>
                    </w:rPr>
                  </w:pPr>
                  <w:r>
                    <w:rPr>
                      <w:rFonts w:ascii="Times New Roman" w:hAnsi="Times New Roman" w:eastAsia="宋体" w:cs="Times New Roman"/>
                      <w:color w:val="auto"/>
                    </w:rPr>
                    <w:t>资源利用上线</w:t>
                  </w:r>
                </w:p>
              </w:tc>
              <w:tc>
                <w:tcPr>
                  <w:tcW w:w="3269" w:type="pct"/>
                  <w:noWrap/>
                  <w:vAlign w:val="center"/>
                </w:tcPr>
                <w:p w14:paraId="7171DF3B">
                  <w:pPr>
                    <w:pStyle w:val="499"/>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项目用水、用电为区域集中供应，项目运行过程通过内部管理、设备选择、原辅材料的选用和管理、废物回收利用、污染治理等多方面采取合理可行的防治措施，以</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节能、降耗、减污</w:t>
                  </w:r>
                  <w:r>
                    <w:rPr>
                      <w:rFonts w:hint="eastAsia" w:ascii="Times New Roman" w:hAnsi="Times New Roman" w:cs="Times New Roman"/>
                      <w:color w:val="auto"/>
                      <w:lang w:eastAsia="zh-CN"/>
                    </w:rPr>
                    <w:t>”</w:t>
                  </w:r>
                  <w:r>
                    <w:rPr>
                      <w:rFonts w:ascii="Times New Roman" w:hAnsi="Times New Roman" w:eastAsia="宋体" w:cs="Times New Roman"/>
                      <w:color w:val="auto"/>
                      <w:lang w:eastAsia="zh-CN"/>
                    </w:rPr>
                    <w:t>为目标，</w:t>
                  </w:r>
                  <w:r>
                    <w:rPr>
                      <w:rFonts w:hint="default" w:ascii="Times New Roman" w:hAnsi="Times New Roman" w:eastAsia="宋体" w:cs="Times New Roman"/>
                      <w:color w:val="auto"/>
                      <w:lang w:eastAsia="zh-CN"/>
                    </w:rPr>
                    <w:t>有效地控制</w:t>
                  </w:r>
                  <w:r>
                    <w:rPr>
                      <w:rFonts w:ascii="Times New Roman" w:hAnsi="Times New Roman" w:eastAsia="宋体" w:cs="Times New Roman"/>
                      <w:color w:val="auto"/>
                      <w:lang w:eastAsia="zh-CN"/>
                    </w:rPr>
                    <w:t>污染。项目的水、气等资源利用不会突破区域的资源利用上线。</w:t>
                  </w:r>
                </w:p>
              </w:tc>
              <w:tc>
                <w:tcPr>
                  <w:tcW w:w="537" w:type="pct"/>
                  <w:noWrap/>
                  <w:vAlign w:val="center"/>
                </w:tcPr>
                <w:p w14:paraId="59319800">
                  <w:pPr>
                    <w:pStyle w:val="499"/>
                    <w:rPr>
                      <w:rFonts w:ascii="Times New Roman" w:hAnsi="Times New Roman" w:eastAsia="宋体" w:cs="Times New Roman"/>
                      <w:color w:val="auto"/>
                    </w:rPr>
                  </w:pPr>
                  <w:r>
                    <w:rPr>
                      <w:rFonts w:ascii="Times New Roman" w:hAnsi="Times New Roman" w:eastAsia="宋体" w:cs="Times New Roman"/>
                      <w:color w:val="auto"/>
                    </w:rPr>
                    <w:t>符合</w:t>
                  </w:r>
                </w:p>
              </w:tc>
            </w:tr>
            <w:tr w14:paraId="5E2B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14:paraId="04195289">
                  <w:pPr>
                    <w:pStyle w:val="499"/>
                    <w:rPr>
                      <w:rFonts w:ascii="Times New Roman" w:hAnsi="Times New Roman" w:eastAsia="宋体" w:cs="Times New Roman"/>
                      <w:color w:val="auto"/>
                    </w:rPr>
                  </w:pPr>
                </w:p>
              </w:tc>
              <w:tc>
                <w:tcPr>
                  <w:tcW w:w="493" w:type="pct"/>
                  <w:noWrap/>
                  <w:vAlign w:val="center"/>
                </w:tcPr>
                <w:p w14:paraId="7BCBDB23">
                  <w:pPr>
                    <w:pStyle w:val="499"/>
                    <w:rPr>
                      <w:rFonts w:ascii="Times New Roman" w:hAnsi="Times New Roman" w:eastAsia="宋体" w:cs="Times New Roman"/>
                      <w:color w:val="auto"/>
                    </w:rPr>
                  </w:pPr>
                  <w:r>
                    <w:rPr>
                      <w:rFonts w:ascii="Times New Roman" w:hAnsi="Times New Roman" w:eastAsia="宋体" w:cs="Times New Roman"/>
                      <w:color w:val="auto"/>
                    </w:rPr>
                    <w:t>环境准入负面清单</w:t>
                  </w:r>
                </w:p>
              </w:tc>
              <w:tc>
                <w:tcPr>
                  <w:tcW w:w="3269" w:type="pct"/>
                  <w:noWrap/>
                  <w:vAlign w:val="center"/>
                </w:tcPr>
                <w:p w14:paraId="0B34C93E">
                  <w:pPr>
                    <w:pStyle w:val="499"/>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项目符合国家产业政策，不属于《市场准</w:t>
                  </w:r>
                  <w:r>
                    <w:rPr>
                      <w:rFonts w:hint="default" w:ascii="Times New Roman" w:hAnsi="Times New Roman" w:eastAsia="宋体" w:cs="Times New Roman"/>
                      <w:color w:val="auto"/>
                      <w:lang w:eastAsia="zh-CN"/>
                    </w:rPr>
                    <w:t>入</w:t>
                  </w:r>
                  <w:r>
                    <w:rPr>
                      <w:rFonts w:ascii="Times New Roman" w:hAnsi="Times New Roman" w:eastAsia="宋体" w:cs="Times New Roman"/>
                      <w:color w:val="auto"/>
                      <w:lang w:eastAsia="zh-CN"/>
                    </w:rPr>
                    <w:t>负面清单》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2022</w:t>
                  </w:r>
                  <w:r>
                    <w:rPr>
                      <w:rFonts w:ascii="Times New Roman" w:hAnsi="Times New Roman" w:eastAsia="宋体" w:cs="Times New Roman"/>
                      <w:color w:val="auto"/>
                      <w:lang w:eastAsia="zh-CN"/>
                    </w:rPr>
                    <w:t>年版</w:t>
                  </w:r>
                  <w:r>
                    <w:rPr>
                      <w:rFonts w:hint="default" w:ascii="Times New Roman" w:hAnsi="Times New Roman" w:eastAsia="宋体" w:cs="Times New Roman"/>
                      <w:color w:val="auto"/>
                      <w:lang w:eastAsia="zh-CN"/>
                    </w:rPr>
                    <w:t>）</w:t>
                  </w:r>
                  <w:r>
                    <w:rPr>
                      <w:rFonts w:ascii="Times New Roman" w:hAnsi="Times New Roman" w:eastAsia="宋体" w:cs="Times New Roman"/>
                      <w:color w:val="auto"/>
                      <w:lang w:eastAsia="zh-CN"/>
                    </w:rPr>
                    <w:t>中禁止准入类项目</w:t>
                  </w:r>
                  <w:r>
                    <w:rPr>
                      <w:rFonts w:hint="default" w:ascii="Times New Roman" w:hAnsi="Times New Roman" w:eastAsia="宋体" w:cs="Times New Roman"/>
                      <w:color w:val="auto"/>
                      <w:lang w:eastAsia="zh-CN"/>
                    </w:rPr>
                    <w:t>，不属于</w:t>
                  </w:r>
                  <w:r>
                    <w:rPr>
                      <w:rFonts w:hint="default" w:ascii="Times New Roman" w:hAnsi="Times New Roman" w:eastAsia="宋体" w:cs="Times New Roman"/>
                      <w:color w:val="auto"/>
                      <w:lang w:val="en-US" w:eastAsia="zh-CN"/>
                    </w:rPr>
                    <w:t>《产业结构调整指导目录》（2024年本）中的限制类与淘汰类，属于允许类</w:t>
                  </w:r>
                  <w:r>
                    <w:rPr>
                      <w:rFonts w:hint="default" w:ascii="Times New Roman" w:hAnsi="Times New Roman" w:eastAsia="宋体" w:cs="Times New Roman"/>
                      <w:color w:val="auto"/>
                      <w:lang w:eastAsia="zh-CN"/>
                    </w:rPr>
                    <w:t>；对照《福建省人民政府关于实施</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三线一单</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生态环境分区管控的通知》全省生态环境总体准入要求，项目符合《福建省人民政府关于实施</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三线一单</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生态环境分区管控的通知》（闽政（2020）12号）中的全省生态环境总体准入要求；</w:t>
                  </w:r>
                </w:p>
              </w:tc>
              <w:tc>
                <w:tcPr>
                  <w:tcW w:w="537" w:type="pct"/>
                  <w:noWrap/>
                  <w:vAlign w:val="center"/>
                </w:tcPr>
                <w:p w14:paraId="3D14CA2E">
                  <w:pPr>
                    <w:pStyle w:val="499"/>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14:paraId="75F4CA7B">
            <w:pPr>
              <w:pStyle w:val="60"/>
              <w:numPr>
                <w:ilvl w:val="0"/>
                <w:numId w:val="0"/>
              </w:numPr>
              <w:ind w:left="0" w:leftChars="0" w:firstLine="482" w:firstLineChars="200"/>
              <w:rPr>
                <w:rFonts w:hint="default" w:ascii="Times New Roman" w:hAnsi="Times New Roman" w:cs="Times New Roman"/>
                <w:b/>
                <w:bCs w:val="0"/>
                <w:color w:val="auto"/>
              </w:rPr>
            </w:pPr>
            <w:r>
              <w:rPr>
                <w:rFonts w:hint="default" w:ascii="Times New Roman" w:hAnsi="Times New Roman" w:cs="Times New Roman"/>
                <w:b/>
                <w:bCs w:val="0"/>
                <w:color w:val="auto"/>
                <w:kern w:val="0"/>
                <w:szCs w:val="21"/>
                <w:highlight w:val="none"/>
                <w:lang w:val="en-US" w:eastAsia="zh-CN"/>
              </w:rPr>
              <w:t>（2）</w:t>
            </w:r>
            <w:r>
              <w:rPr>
                <w:rFonts w:hint="default" w:ascii="Times New Roman" w:hAnsi="Times New Roman" w:cs="Times New Roman"/>
                <w:b/>
                <w:bCs w:val="0"/>
                <w:color w:val="auto"/>
              </w:rPr>
              <w:t>与福州生态环境准入要求符合性分析</w:t>
            </w:r>
          </w:p>
          <w:p w14:paraId="37276396">
            <w:pPr>
              <w:widowControl/>
              <w:adjustRightInd w:val="0"/>
              <w:snapToGrid w:val="0"/>
              <w:spacing w:line="360" w:lineRule="auto"/>
              <w:ind w:firstLine="480" w:firstLineChars="20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bidi="ar"/>
              </w:rPr>
              <w:t>根据《福州市生态环境分区管控方案（2023年更新）》（榕政办规〔2024〕2</w:t>
            </w:r>
            <w:r>
              <w:rPr>
                <w:rFonts w:hint="default" w:ascii="Times New Roman" w:hAnsi="Times New Roman" w:cs="Times New Roman"/>
                <w:color w:val="auto"/>
                <w:highlight w:val="none"/>
                <w:lang w:val="en-US" w:eastAsia="zh-CN" w:bidi="ar"/>
              </w:rPr>
              <w:t>0</w:t>
            </w:r>
            <w:r>
              <w:rPr>
                <w:rFonts w:hint="default" w:ascii="Times New Roman" w:hAnsi="Times New Roman" w:cs="Times New Roman"/>
                <w:color w:val="auto"/>
                <w:highlight w:val="none"/>
                <w:lang w:bidi="ar"/>
              </w:rPr>
              <w:t>号）</w:t>
            </w:r>
            <w:r>
              <w:rPr>
                <w:rFonts w:hint="default" w:ascii="Times New Roman" w:hAnsi="Times New Roman" w:cs="Times New Roman"/>
                <w:color w:val="auto"/>
                <w:highlight w:val="none"/>
                <w:lang w:val="en-US" w:eastAsia="zh-CN" w:bidi="ar"/>
              </w:rPr>
              <w:t>相关要求分析，项目所在位置属于福州市陆域区域，符合性分析见表1-</w:t>
            </w:r>
            <w:r>
              <w:rPr>
                <w:rFonts w:hint="eastAsia" w:cs="Times New Roman"/>
                <w:color w:val="auto"/>
                <w:highlight w:val="none"/>
                <w:lang w:val="en-US" w:eastAsia="zh-CN" w:bidi="ar"/>
              </w:rPr>
              <w:t>4</w:t>
            </w:r>
            <w:r>
              <w:rPr>
                <w:rFonts w:hint="default" w:ascii="Times New Roman" w:hAnsi="Times New Roman" w:cs="Times New Roman"/>
                <w:color w:val="auto"/>
                <w:highlight w:val="none"/>
                <w:lang w:val="en-US" w:eastAsia="zh-CN" w:bidi="ar"/>
              </w:rPr>
              <w:t>。</w:t>
            </w:r>
          </w:p>
          <w:p w14:paraId="7254A39F">
            <w:pPr>
              <w:pStyle w:val="60"/>
              <w:numPr>
                <w:ilvl w:val="-1"/>
                <w:numId w:val="0"/>
              </w:numPr>
              <w:spacing w:line="240" w:lineRule="auto"/>
              <w:ind w:left="0" w:leftChars="0" w:firstLine="0" w:firstLineChars="0"/>
              <w:jc w:val="center"/>
              <w:rPr>
                <w:rFonts w:hint="default" w:ascii="Times New Roman" w:hAnsi="Times New Roman" w:cs="Times New Roman"/>
                <w:color w:val="auto"/>
              </w:rPr>
            </w:pPr>
          </w:p>
          <w:p w14:paraId="71FFD813">
            <w:pPr>
              <w:pStyle w:val="60"/>
              <w:numPr>
                <w:ilvl w:val="-1"/>
                <w:numId w:val="0"/>
              </w:numPr>
              <w:spacing w:line="240" w:lineRule="auto"/>
              <w:ind w:left="0" w:leftChars="0" w:firstLine="0" w:firstLineChars="0"/>
              <w:jc w:val="center"/>
              <w:rPr>
                <w:rFonts w:hint="default" w:ascii="Times New Roman" w:hAnsi="Times New Roman" w:cs="Times New Roman"/>
                <w:color w:val="auto"/>
              </w:rPr>
            </w:pPr>
          </w:p>
          <w:p w14:paraId="15A52042">
            <w:pPr>
              <w:pStyle w:val="60"/>
              <w:numPr>
                <w:ilvl w:val="-1"/>
                <w:numId w:val="0"/>
              </w:numPr>
              <w:spacing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w:t>
            </w:r>
            <w:r>
              <w:rPr>
                <w:rFonts w:hint="eastAsia" w:cs="Times New Roman"/>
                <w:color w:val="auto"/>
                <w:lang w:val="en-US" w:eastAsia="zh-CN"/>
              </w:rPr>
              <w:t>4</w:t>
            </w: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cs="Times New Roman"/>
                <w:color w:val="auto"/>
              </w:rPr>
              <w:t>与</w:t>
            </w:r>
            <w:r>
              <w:rPr>
                <w:rFonts w:hint="default" w:ascii="Times New Roman" w:hAnsi="Times New Roman" w:cs="Times New Roman"/>
                <w:color w:val="auto"/>
                <w:lang w:val="en-US" w:eastAsia="zh-CN"/>
              </w:rPr>
              <w:t>福州市</w:t>
            </w:r>
            <w:r>
              <w:rPr>
                <w:rFonts w:hint="default" w:ascii="Times New Roman" w:hAnsi="Times New Roman" w:cs="Times New Roman"/>
                <w:color w:val="auto"/>
              </w:rPr>
              <w:t>总体准入要求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陆域</w:t>
            </w:r>
            <w:r>
              <w:rPr>
                <w:rFonts w:hint="default" w:ascii="Times New Roman" w:hAnsi="Times New Roman" w:cs="Times New Roman"/>
                <w:color w:val="auto"/>
                <w:lang w:eastAsia="zh-CN"/>
              </w:rPr>
              <w:t>）</w:t>
            </w:r>
            <w:r>
              <w:rPr>
                <w:rFonts w:hint="default" w:ascii="Times New Roman" w:hAnsi="Times New Roman" w:cs="Times New Roman"/>
                <w:color w:val="auto"/>
              </w:rPr>
              <w:t>的符合性分析</w:t>
            </w:r>
          </w:p>
          <w:tbl>
            <w:tblPr>
              <w:tblStyle w:val="50"/>
              <w:tblW w:w="82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440"/>
              <w:gridCol w:w="4462"/>
              <w:gridCol w:w="2057"/>
              <w:gridCol w:w="600"/>
            </w:tblGrid>
            <w:tr w14:paraId="697C2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02" w:type="dxa"/>
                  <w:tcBorders>
                    <w:tl2br w:val="nil"/>
                    <w:tr2bl w:val="nil"/>
                  </w:tcBorders>
                  <w:noWrap w:val="0"/>
                  <w:vAlign w:val="center"/>
                </w:tcPr>
                <w:p w14:paraId="212B6974">
                  <w:pPr>
                    <w:pStyle w:val="490"/>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适用</w:t>
                  </w:r>
                </w:p>
                <w:p w14:paraId="349CA9FD">
                  <w:pPr>
                    <w:pStyle w:val="490"/>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范围</w:t>
                  </w:r>
                </w:p>
              </w:tc>
              <w:tc>
                <w:tcPr>
                  <w:tcW w:w="4902" w:type="dxa"/>
                  <w:gridSpan w:val="2"/>
                  <w:tcBorders>
                    <w:tl2br w:val="nil"/>
                    <w:tr2bl w:val="nil"/>
                  </w:tcBorders>
                  <w:noWrap w:val="0"/>
                  <w:vAlign w:val="center"/>
                </w:tcPr>
                <w:p w14:paraId="24D82C8A">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准入要求</w:t>
                  </w:r>
                </w:p>
              </w:tc>
              <w:tc>
                <w:tcPr>
                  <w:tcW w:w="2057" w:type="dxa"/>
                  <w:tcBorders>
                    <w:tl2br w:val="nil"/>
                    <w:tr2bl w:val="nil"/>
                  </w:tcBorders>
                  <w:noWrap w:val="0"/>
                  <w:vAlign w:val="center"/>
                </w:tcPr>
                <w:p w14:paraId="0BDFB31B">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项目情况</w:t>
                  </w:r>
                </w:p>
              </w:tc>
              <w:tc>
                <w:tcPr>
                  <w:tcW w:w="600" w:type="dxa"/>
                  <w:tcBorders>
                    <w:tl2br w:val="nil"/>
                    <w:tr2bl w:val="nil"/>
                  </w:tcBorders>
                  <w:noWrap w:val="0"/>
                  <w:vAlign w:val="center"/>
                </w:tcPr>
                <w:p w14:paraId="1EBF0FD6">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符合性</w:t>
                  </w:r>
                </w:p>
              </w:tc>
            </w:tr>
            <w:tr w14:paraId="663DB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92" w:hRule="atLeast"/>
              </w:trPr>
              <w:tc>
                <w:tcPr>
                  <w:tcW w:w="702" w:type="dxa"/>
                  <w:vMerge w:val="restart"/>
                  <w:tcBorders>
                    <w:tl2br w:val="nil"/>
                    <w:tr2bl w:val="nil"/>
                  </w:tcBorders>
                  <w:noWrap w:val="0"/>
                  <w:vAlign w:val="center"/>
                </w:tcPr>
                <w:p w14:paraId="7BD77CD7">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陆域</w:t>
                  </w:r>
                </w:p>
              </w:tc>
              <w:tc>
                <w:tcPr>
                  <w:tcW w:w="440" w:type="dxa"/>
                  <w:tcBorders>
                    <w:tl2br w:val="nil"/>
                    <w:tr2bl w:val="nil"/>
                  </w:tcBorders>
                  <w:noWrap w:val="0"/>
                  <w:vAlign w:val="center"/>
                </w:tcPr>
                <w:p w14:paraId="06B33C78">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空间布局约束</w:t>
                  </w:r>
                </w:p>
              </w:tc>
              <w:tc>
                <w:tcPr>
                  <w:tcW w:w="4462" w:type="dxa"/>
                  <w:tcBorders>
                    <w:tl2br w:val="nil"/>
                    <w:tr2bl w:val="nil"/>
                  </w:tcBorders>
                  <w:noWrap w:val="0"/>
                  <w:vAlign w:val="center"/>
                </w:tcPr>
                <w:p w14:paraId="6746BEA2">
                  <w:pPr>
                    <w:adjustRightInd w:val="0"/>
                    <w:snapToGrid w:val="0"/>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一、优先保护单元中的生态保护红线</w:t>
                  </w:r>
                </w:p>
                <w:p w14:paraId="727DB943">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1.根据《关于在国土空间规划中统筹划定落实三条控制线的指导意见》《自然资源部生态环境部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15BA2DE7">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（1）管护巡护、保护执法、科学研究、调查监测、测绘导航、防灾减灾救灾、军事国防、疫情防控等活动及相关的必要设施修筑。</w:t>
                  </w:r>
                </w:p>
                <w:p w14:paraId="0438891E">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6DFFD627">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（3）经依法批准的考古调查发掘、古生物化石调查发掘、标本采集和文物保护活动。</w:t>
                  </w:r>
                </w:p>
                <w:p w14:paraId="34916004">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（4）按规定对人工商品林进行抚育采伐，或以提升森林质量、优化栖息地、建设生物防火隔离带等为目的的树种更新，依法开展的竹林采伐经营。</w:t>
                  </w:r>
                </w:p>
                <w:p w14:paraId="21BBE548">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（5）不破坏生态功能的适度参观旅游、科普宣教及符合相关规划的配套性服务设施和相关的必要公共设施建设及维护。</w:t>
                  </w:r>
                </w:p>
                <w:p w14:paraId="64896E5C">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（6）必须且无法避让、符合县级以上国土空间规划的线性基础设施、通讯和防洪、供水设施建设和船舶航行、航道疏浚清淤等活动；已有的合法水利、交通运输等设施运行维护改造。</w:t>
                  </w:r>
                </w:p>
                <w:p w14:paraId="2AA956C7">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1FE3DFB6">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（8）依据县级以上国土空间规划和生态保护修复专项规划开展的生态修复。</w:t>
                  </w:r>
                </w:p>
                <w:p w14:paraId="44E6AE85">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（9）法律法规规定允许的其他人为活动。</w:t>
                  </w:r>
                </w:p>
                <w:p w14:paraId="32F7413D">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2.依据《福建省自然资源厅 福建省生态环境厅 福建省林业局关于进一步加强生态保护红线监管的通知（试行）》（闽自然资发〔2023〕56号），允许占用生态保护红线的重大项目范围：</w:t>
                  </w:r>
                </w:p>
                <w:p w14:paraId="7CB84150">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（1）党中央、国务院发布文件或批准规划中明确具体名称的项目和国务院批准的项目。</w:t>
                  </w:r>
                </w:p>
                <w:p w14:paraId="7DAFA4DD">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（2）中央军委及其有关部门批准的军事国防项目。</w:t>
                  </w:r>
                </w:p>
                <w:p w14:paraId="1339B5C4">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（3）国家级规划（指国务院及其有关部门正式颁布）明确的交通、水利项目。</w:t>
                  </w:r>
                </w:p>
                <w:p w14:paraId="36A2D2E6">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（4）国家级规划明确的电网项目，国家级规划明确的且符合国家产业政策的能源矿产勘查开采、油气管线、水电、核电项目。</w:t>
                  </w:r>
                </w:p>
                <w:p w14:paraId="4A37FAC0">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（5）为贯彻落实党中央、国务院重大决策部署，国务院投资主管部门或国务院投资主管部门会同有关部门确认的交通、能源、水利等基础设施项目。</w:t>
                  </w:r>
                </w:p>
                <w:p w14:paraId="32346E54">
                  <w:pPr>
                    <w:pStyle w:val="193"/>
                    <w:spacing w:line="240" w:lineRule="auto"/>
                    <w:ind w:firstLine="420" w:firstLineChars="20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rPr>
                    <w:t>（6）按照国家重大项目用地保障工作机制要求，国家发展改革委会同有关部门确认的需中央加大建设用地保障力度，确实难以避让的国家重大项目。</w:t>
                  </w:r>
                </w:p>
              </w:tc>
              <w:tc>
                <w:tcPr>
                  <w:tcW w:w="2057" w:type="dxa"/>
                  <w:tcBorders>
                    <w:tl2br w:val="nil"/>
                    <w:tr2bl w:val="nil"/>
                  </w:tcBorders>
                  <w:noWrap w:val="0"/>
                  <w:vAlign w:val="center"/>
                </w:tcPr>
                <w:p w14:paraId="18FACBB3">
                  <w:pPr>
                    <w:pStyle w:val="193"/>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项目不涉及优先保护单元中的生态保护红线</w:t>
                  </w:r>
                </w:p>
              </w:tc>
              <w:tc>
                <w:tcPr>
                  <w:tcW w:w="600" w:type="dxa"/>
                  <w:tcBorders>
                    <w:tl2br w:val="nil"/>
                    <w:tr2bl w:val="nil"/>
                  </w:tcBorders>
                  <w:noWrap w:val="0"/>
                  <w:vAlign w:val="center"/>
                </w:tcPr>
                <w:p w14:paraId="70F61256">
                  <w:pPr>
                    <w:pStyle w:val="193"/>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7955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02" w:type="dxa"/>
                  <w:vMerge w:val="continue"/>
                  <w:tcBorders>
                    <w:tl2br w:val="nil"/>
                    <w:tr2bl w:val="nil"/>
                  </w:tcBorders>
                  <w:noWrap w:val="0"/>
                  <w:vAlign w:val="center"/>
                </w:tcPr>
                <w:p w14:paraId="3D8E632B">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noWrap w:val="0"/>
                  <w:vAlign w:val="center"/>
                </w:tcPr>
                <w:p w14:paraId="4FD533BB">
                  <w:pPr>
                    <w:pStyle w:val="193"/>
                    <w:rPr>
                      <w:rFonts w:hint="default" w:ascii="Times New Roman" w:hAnsi="Times New Roman" w:eastAsia="宋体" w:cs="Times New Roman"/>
                      <w:color w:val="auto"/>
                      <w:sz w:val="21"/>
                      <w:szCs w:val="21"/>
                      <w:highlight w:val="none"/>
                    </w:rPr>
                  </w:pPr>
                </w:p>
              </w:tc>
              <w:tc>
                <w:tcPr>
                  <w:tcW w:w="4462" w:type="dxa"/>
                  <w:tcBorders>
                    <w:tl2br w:val="nil"/>
                    <w:tr2bl w:val="nil"/>
                  </w:tcBorders>
                  <w:noWrap w:val="0"/>
                  <w:vAlign w:val="center"/>
                </w:tcPr>
                <w:p w14:paraId="33666708">
                  <w:pPr>
                    <w:adjustRightInd w:val="0"/>
                    <w:snapToGrid w:val="0"/>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二、优先保护单元中的一般生态空间</w:t>
                  </w:r>
                </w:p>
                <w:p w14:paraId="022E7959">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1.一般生态空间以保护和修复生态环境、提供生态产品和服务为首要任务，因地制宜地发展不影响主体功能定位的适宜产业。</w:t>
                  </w:r>
                </w:p>
                <w:p w14:paraId="49125EC2">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2.一般生态空间内未纳入生态保护红线的饮用水水源保护区等各类法定保护地，其管控要求依照相关法律法规执行。</w:t>
                  </w:r>
                </w:p>
                <w:p w14:paraId="71BC2648">
                  <w:pPr>
                    <w:keepNext w:val="0"/>
                    <w:keepLines w:val="0"/>
                    <w:pageBreakBefore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3.一般生态空间内现有合法的水泥厂、矿山开发等生产性设施及生活垃圾处置等民生工程予以保留，应按照法律法规要求落实污染防治和生态保护措施，避免对生态功能造成破坏。</w:t>
                  </w:r>
                </w:p>
              </w:tc>
              <w:tc>
                <w:tcPr>
                  <w:tcW w:w="2057" w:type="dxa"/>
                  <w:tcBorders>
                    <w:tl2br w:val="nil"/>
                    <w:tr2bl w:val="nil"/>
                  </w:tcBorders>
                  <w:noWrap w:val="0"/>
                  <w:vAlign w:val="center"/>
                </w:tcPr>
                <w:p w14:paraId="4017E638">
                  <w:pPr>
                    <w:pStyle w:val="193"/>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项目不涉及优先保护单元中的一般生态空间</w:t>
                  </w:r>
                </w:p>
              </w:tc>
              <w:tc>
                <w:tcPr>
                  <w:tcW w:w="600" w:type="dxa"/>
                  <w:tcBorders>
                    <w:tl2br w:val="nil"/>
                    <w:tr2bl w:val="nil"/>
                  </w:tcBorders>
                  <w:noWrap w:val="0"/>
                  <w:vAlign w:val="center"/>
                </w:tcPr>
                <w:p w14:paraId="61613A38">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14:paraId="18286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02" w:type="dxa"/>
                  <w:vMerge w:val="continue"/>
                  <w:tcBorders>
                    <w:tl2br w:val="nil"/>
                    <w:tr2bl w:val="nil"/>
                  </w:tcBorders>
                  <w:noWrap w:val="0"/>
                  <w:vAlign w:val="center"/>
                </w:tcPr>
                <w:p w14:paraId="0F9B0268">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noWrap w:val="0"/>
                  <w:vAlign w:val="center"/>
                </w:tcPr>
                <w:p w14:paraId="1F359A01">
                  <w:pPr>
                    <w:pStyle w:val="193"/>
                    <w:rPr>
                      <w:rFonts w:hint="default" w:ascii="Times New Roman" w:hAnsi="Times New Roman" w:eastAsia="宋体" w:cs="Times New Roman"/>
                      <w:color w:val="auto"/>
                      <w:sz w:val="21"/>
                      <w:szCs w:val="21"/>
                      <w:highlight w:val="none"/>
                    </w:rPr>
                  </w:pPr>
                </w:p>
              </w:tc>
              <w:tc>
                <w:tcPr>
                  <w:tcW w:w="4462" w:type="dxa"/>
                  <w:tcBorders>
                    <w:tl2br w:val="nil"/>
                    <w:tr2bl w:val="nil"/>
                  </w:tcBorders>
                  <w:noWrap w:val="0"/>
                  <w:vAlign w:val="center"/>
                </w:tcPr>
                <w:p w14:paraId="30C5A0CF">
                  <w:pPr>
                    <w:adjustRightInd w:val="0"/>
                    <w:snapToGrid w:val="0"/>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三、其它要求</w:t>
                  </w:r>
                </w:p>
                <w:p w14:paraId="5FBF5A76">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1.福州市石化中上游项目重点在福州江阴港城经济区、可门港经济区化工新材料产业园布局。</w:t>
                  </w:r>
                </w:p>
                <w:p w14:paraId="6ED44001">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2.禁止在闽江马尾罗星塔以上流域范围新、扩建制革项目，严控新（扩）建植物制浆、印染、合成革及人造革、电镀项目。</w:t>
                  </w:r>
                </w:p>
                <w:p w14:paraId="7426CC64">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3.禁止在通风廊道和主导风向的上风向布局大气重污染企业，推进建成区大气重污染企业搬迁或升级改造、环境风险企业搬迁或关闭退出。</w:t>
                  </w:r>
                </w:p>
                <w:p w14:paraId="009D29C5">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4.禁止新、改、扩建生产高VOCs含量有机溶剂型涂料、油墨和胶黏剂的项目。</w:t>
                  </w:r>
                </w:p>
                <w:p w14:paraId="278DD285">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14:paraId="42D06738">
                  <w:pPr>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6.新建、扩建的涉及重点重金属污染物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的有色金属冶炼、电</w:t>
                  </w:r>
                  <w:r>
                    <w:rPr>
                      <w:rFonts w:hint="default" w:ascii="Times New Roman" w:hAnsi="Times New Roman" w:eastAsia="宋体" w:cs="Times New Roman"/>
                      <w:color w:val="auto"/>
                      <w:kern w:val="0"/>
                      <w:sz w:val="21"/>
                      <w:szCs w:val="21"/>
                    </w:rPr>
                    <w:t>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7CD1EAD">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7.禁止在流域上游新建、扩建重污染企业和项目。</w:t>
                  </w:r>
                </w:p>
                <w:p w14:paraId="033DE269">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8.重要敏感水体及富营养化湖库生态缓冲带除相关政府部门批准的科学研究活动外，禁止其它可能对保护区构成危害或不良影响的大规模生产、建设活动。</w:t>
                  </w:r>
                </w:p>
                <w:p w14:paraId="7C7ED39E">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9.新、改、扩建煤电、钢铁、建材、石化、化工等</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项目，严格落实国家、省、市产业规划、产业政策、</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、规划环评，以及产能置换、煤炭消费减量替代、区域污染削减等相关要求。</w:t>
                  </w:r>
                </w:p>
                <w:p w14:paraId="65EC2DA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10.单元内涉及永久基本农田的，应按照《福建省基本农田保护条例》（2010年修正本）、《国土资源部关于全面实行永久共本农田特殊保护的通知》（国土资规〔2018〕1号</w:t>
                  </w:r>
                  <w:r>
                    <w:rPr>
                      <w:rFonts w:hint="default" w:ascii="Times New Roman" w:hAnsi="Times New Roman" w:eastAsia="宋体" w:cs="Times New Roman"/>
                      <w:color w:val="auto"/>
                      <w:kern w:val="0"/>
                      <w:sz w:val="21"/>
                      <w:szCs w:val="21"/>
                    </w:rPr>
                    <w:t>）、《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057" w:type="dxa"/>
                  <w:tcBorders>
                    <w:tl2br w:val="nil"/>
                    <w:tr2bl w:val="nil"/>
                  </w:tcBorders>
                  <w:noWrap w:val="0"/>
                  <w:vAlign w:val="center"/>
                </w:tcPr>
                <w:p w14:paraId="3EBD6F70">
                  <w:pPr>
                    <w:pStyle w:val="19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项目地址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属于动物诊疗服务项目，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左列项目</w:t>
                  </w:r>
                  <w:r>
                    <w:rPr>
                      <w:rFonts w:hint="default" w:ascii="Times New Roman" w:hAnsi="Times New Roman" w:eastAsia="宋体" w:cs="Times New Roman"/>
                      <w:color w:val="auto"/>
                      <w:sz w:val="21"/>
                      <w:szCs w:val="21"/>
                      <w:highlight w:val="none"/>
                    </w:rPr>
                    <w:t>。</w:t>
                  </w:r>
                </w:p>
              </w:tc>
              <w:tc>
                <w:tcPr>
                  <w:tcW w:w="600" w:type="dxa"/>
                  <w:tcBorders>
                    <w:tl2br w:val="nil"/>
                    <w:tr2bl w:val="nil"/>
                  </w:tcBorders>
                  <w:noWrap w:val="0"/>
                  <w:vAlign w:val="center"/>
                </w:tcPr>
                <w:p w14:paraId="3A6808CE">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14:paraId="4510A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02" w:type="dxa"/>
                  <w:vMerge w:val="continue"/>
                  <w:tcBorders>
                    <w:tl2br w:val="nil"/>
                    <w:tr2bl w:val="nil"/>
                  </w:tcBorders>
                  <w:noWrap w:val="0"/>
                  <w:vAlign w:val="center"/>
                </w:tcPr>
                <w:p w14:paraId="1541EAD1">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noWrap w:val="0"/>
                  <w:vAlign w:val="center"/>
                </w:tcPr>
                <w:p w14:paraId="1361B64F">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污染物排放管控</w:t>
                  </w:r>
                </w:p>
              </w:tc>
              <w:tc>
                <w:tcPr>
                  <w:tcW w:w="4462" w:type="dxa"/>
                  <w:tcBorders>
                    <w:tl2br w:val="nil"/>
                    <w:tr2bl w:val="nil"/>
                  </w:tcBorders>
                  <w:noWrap w:val="0"/>
                  <w:vAlign w:val="center"/>
                </w:tcPr>
                <w:p w14:paraId="36D7948F">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1.工业类新（改、扩）建项目新增主要污染物（水污染物化学需氧量、氨氮和大气污染物二氧化硫、氮氧化物）排放总量指标应符合区域环境质量和总量控制要求，立足于通过</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以新带老</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、削减存量，努力实现区域、企业自身总量平衡。总量指标来源、审核和监督管理按照</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榕环保综〔2017〕90号</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等相关文件执行。</w:t>
                  </w:r>
                </w:p>
                <w:p w14:paraId="0AAB94A0">
                  <w:pPr>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2.新、改、扩建涉VOCs排放项目污染物排放量应满足</w:t>
                  </w:r>
                  <w:r>
                    <w:rPr>
                      <w:rFonts w:hint="default" w:ascii="Times New Roman" w:hAnsi="Times New Roman" w:eastAsia="宋体" w:cs="Times New Roman"/>
                      <w:color w:val="auto"/>
                      <w:sz w:val="21"/>
                      <w:szCs w:val="21"/>
                    </w:rPr>
                    <w:t>《福州市</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十四五</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空气质量持续改善计划》（榕环保综〔2023〕40号）</w:t>
                  </w:r>
                  <w:r>
                    <w:rPr>
                      <w:rFonts w:hint="default" w:ascii="Times New Roman" w:hAnsi="Times New Roman" w:eastAsia="宋体" w:cs="Times New Roman"/>
                      <w:color w:val="auto"/>
                      <w:kern w:val="0"/>
                      <w:sz w:val="21"/>
                      <w:szCs w:val="21"/>
                    </w:rPr>
                    <w:t xml:space="preserve">，应从源头加强控制，使用低（无）VOCs含量的原辅材料。 </w:t>
                  </w:r>
                </w:p>
                <w:p w14:paraId="404A735B">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11DE1C13">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14:paraId="2E68DAC2">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等量替代</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原则，总量来源原则上应是同一重点行业内的削减量，当同一重点行业无法满足时可从其他重点行业调剂。</w:t>
                  </w:r>
                </w:p>
                <w:p w14:paraId="6B90B964">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14:paraId="5D69F874">
                  <w:pPr>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w:t>
                  </w:r>
                  <w:r>
                    <w:rPr>
                      <w:rFonts w:hint="default" w:ascii="Times New Roman" w:hAnsi="Times New Roman" w:eastAsia="宋体" w:cs="Times New Roman"/>
                      <w:color w:val="auto"/>
                      <w:kern w:val="0"/>
                      <w:sz w:val="21"/>
                      <w:szCs w:val="21"/>
                    </w:rPr>
                    <w:t>全面完成</w:t>
                  </w:r>
                  <w:r>
                    <w:rPr>
                      <w:rFonts w:hint="default" w:ascii="Times New Roman" w:hAnsi="Times New Roman" w:eastAsia="宋体" w:cs="Times New Roman"/>
                      <w:color w:val="auto"/>
                      <w:kern w:val="0"/>
                      <w:sz w:val="21"/>
                      <w:szCs w:val="21"/>
                      <w:vertAlign w:val="superscript"/>
                    </w:rPr>
                    <w:t>［3］［4］</w:t>
                  </w:r>
                  <w:r>
                    <w:rPr>
                      <w:rFonts w:hint="default" w:ascii="Times New Roman" w:hAnsi="Times New Roman" w:eastAsia="宋体" w:cs="Times New Roman"/>
                      <w:color w:val="auto"/>
                      <w:kern w:val="0"/>
                      <w:sz w:val="21"/>
                      <w:szCs w:val="21"/>
                    </w:rPr>
                    <w:t>。</w:t>
                  </w:r>
                </w:p>
                <w:p w14:paraId="341BEA4B">
                  <w:pPr>
                    <w:keepNext w:val="0"/>
                    <w:keepLines w:val="0"/>
                    <w:pageBreakBefore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8.化工园区新建项目实施</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禁限控</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057" w:type="dxa"/>
                  <w:tcBorders>
                    <w:tl2br w:val="nil"/>
                    <w:tr2bl w:val="nil"/>
                  </w:tcBorders>
                  <w:noWrap w:val="0"/>
                  <w:vAlign w:val="center"/>
                </w:tcPr>
                <w:p w14:paraId="3278D4F3">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项目不涉及左列项目</w:t>
                  </w:r>
                </w:p>
              </w:tc>
              <w:tc>
                <w:tcPr>
                  <w:tcW w:w="600" w:type="dxa"/>
                  <w:tcBorders>
                    <w:tl2br w:val="nil"/>
                    <w:tr2bl w:val="nil"/>
                  </w:tcBorders>
                  <w:noWrap w:val="0"/>
                  <w:vAlign w:val="center"/>
                </w:tcPr>
                <w:p w14:paraId="29760F30">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14:paraId="75AAE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02" w:type="dxa"/>
                  <w:tcBorders>
                    <w:tl2br w:val="nil"/>
                    <w:tr2bl w:val="nil"/>
                  </w:tcBorders>
                  <w:noWrap w:val="0"/>
                  <w:vAlign w:val="center"/>
                </w:tcPr>
                <w:p w14:paraId="649E0F76">
                  <w:pPr>
                    <w:pStyle w:val="490"/>
                    <w:bidi w:val="0"/>
                    <w:rPr>
                      <w:rFonts w:hint="default" w:ascii="Times New Roman" w:hAnsi="Times New Roman" w:eastAsia="宋体" w:cs="Times New Roman"/>
                      <w:color w:val="auto"/>
                      <w:sz w:val="21"/>
                      <w:szCs w:val="21"/>
                      <w:highlight w:val="none"/>
                    </w:rPr>
                  </w:pPr>
                </w:p>
              </w:tc>
              <w:tc>
                <w:tcPr>
                  <w:tcW w:w="440" w:type="dxa"/>
                  <w:tcBorders>
                    <w:tl2br w:val="nil"/>
                    <w:tr2bl w:val="nil"/>
                  </w:tcBorders>
                  <w:noWrap w:val="0"/>
                  <w:vAlign w:val="center"/>
                </w:tcPr>
                <w:p w14:paraId="0BF03CF6">
                  <w:pPr>
                    <w:pStyle w:val="193"/>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资源开发效率要求</w:t>
                  </w:r>
                </w:p>
              </w:tc>
              <w:tc>
                <w:tcPr>
                  <w:tcW w:w="4462" w:type="dxa"/>
                  <w:tcBorders>
                    <w:tl2br w:val="nil"/>
                    <w:tr2bl w:val="nil"/>
                  </w:tcBorders>
                  <w:noWrap w:val="0"/>
                  <w:vAlign w:val="center"/>
                </w:tcPr>
                <w:p w14:paraId="26808985">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66EE4FA">
                  <w:pPr>
                    <w:keepNext w:val="0"/>
                    <w:keepLines w:val="0"/>
                    <w:pageBreakBefore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2.按照</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提气、转电、控煤</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的发展思路，推动陶瓷行业进一步优化用能结构，实现能源消费清洁低碳化。</w:t>
                  </w:r>
                </w:p>
              </w:tc>
              <w:tc>
                <w:tcPr>
                  <w:tcW w:w="2057" w:type="dxa"/>
                  <w:tcBorders>
                    <w:tl2br w:val="nil"/>
                    <w:tr2bl w:val="nil"/>
                  </w:tcBorders>
                  <w:noWrap w:val="0"/>
                  <w:vAlign w:val="center"/>
                </w:tcPr>
                <w:p w14:paraId="6203C733">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项目不涉及左列项目</w:t>
                  </w:r>
                </w:p>
              </w:tc>
              <w:tc>
                <w:tcPr>
                  <w:tcW w:w="600" w:type="dxa"/>
                  <w:tcBorders>
                    <w:tl2br w:val="nil"/>
                    <w:tr2bl w:val="nil"/>
                  </w:tcBorders>
                  <w:noWrap w:val="0"/>
                  <w:vAlign w:val="center"/>
                </w:tcPr>
                <w:p w14:paraId="5673096C">
                  <w:pPr>
                    <w:pStyle w:val="193"/>
                    <w:jc w:val="center"/>
                    <w:rPr>
                      <w:rFonts w:hint="default" w:ascii="Times New Roman" w:hAnsi="Times New Roman" w:eastAsia="宋体" w:cs="Times New Roman"/>
                      <w:color w:val="auto"/>
                      <w:szCs w:val="21"/>
                      <w:highlight w:val="none"/>
                      <w:lang w:val="en-US" w:eastAsia="zh-CN"/>
                    </w:rPr>
                  </w:pPr>
                </w:p>
              </w:tc>
            </w:tr>
          </w:tbl>
          <w:p w14:paraId="0D325F99">
            <w:pPr>
              <w:widowControl/>
              <w:wordWrap w:val="0"/>
              <w:spacing w:line="360" w:lineRule="auto"/>
              <w:ind w:firstLine="482" w:firstLineChars="200"/>
              <w:rPr>
                <w:rFonts w:ascii="Times New Roman" w:hAnsi="Times New Roman" w:cs="Times New Roman"/>
                <w:b/>
                <w:bCs/>
                <w:color w:val="auto"/>
                <w:kern w:val="0"/>
                <w:highlight w:val="none"/>
                <w:lang w:bidi="ar"/>
              </w:rPr>
            </w:pPr>
            <w:r>
              <w:rPr>
                <w:rFonts w:hint="default" w:ascii="Times New Roman" w:hAnsi="Times New Roman" w:cs="Times New Roman"/>
                <w:b/>
                <w:bCs/>
                <w:color w:val="auto"/>
                <w:kern w:val="0"/>
                <w:szCs w:val="21"/>
                <w:highlight w:val="none"/>
                <w:lang w:val="en-US" w:eastAsia="zh-CN"/>
              </w:rPr>
              <w:t>（3）</w:t>
            </w:r>
            <w:r>
              <w:rPr>
                <w:rFonts w:hint="default" w:ascii="Times New Roman" w:hAnsi="Times New Roman" w:cs="Times New Roman"/>
                <w:b/>
                <w:bCs/>
                <w:color w:val="auto"/>
              </w:rPr>
              <w:t>与</w:t>
            </w:r>
            <w:r>
              <w:rPr>
                <w:rFonts w:hint="default" w:ascii="Times New Roman" w:hAnsi="Times New Roman" w:cs="Times New Roman"/>
                <w:b/>
                <w:bCs/>
                <w:color w:val="auto"/>
                <w:szCs w:val="21"/>
                <w:highlight w:val="none"/>
                <w:lang w:eastAsia="zh-CN"/>
              </w:rPr>
              <w:t>福清市</w:t>
            </w:r>
            <w:r>
              <w:rPr>
                <w:rFonts w:hint="default" w:ascii="Times New Roman" w:hAnsi="Times New Roman" w:cs="Times New Roman"/>
                <w:b/>
                <w:bCs/>
                <w:color w:val="auto"/>
              </w:rPr>
              <w:t>生态环境准入清单符合性分析</w:t>
            </w:r>
          </w:p>
          <w:p w14:paraId="4EBA28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highlight w:val="none"/>
              </w:rPr>
            </w:pPr>
            <w:r>
              <w:rPr>
                <w:rFonts w:ascii="Times New Roman" w:hAnsi="Times New Roman" w:cs="Times New Roman"/>
                <w:color w:val="auto"/>
                <w:kern w:val="0"/>
                <w:szCs w:val="21"/>
                <w:highlight w:val="none"/>
              </w:rPr>
              <w:t>项目位于</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项目地址 \h  \* MERGEFORMAT </w:instrText>
            </w:r>
            <w:r>
              <w:rPr>
                <w:rFonts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福建省福州市福清市宏路街道中联江滨御景5号楼113号，115号，116号门面</w:t>
            </w:r>
            <w:r>
              <w:rPr>
                <w:rFonts w:hint="default" w:ascii="Times New Roman" w:hAnsi="Times New Roman" w:cs="Times New Roman"/>
                <w:color w:val="auto"/>
                <w:szCs w:val="21"/>
                <w:highlight w:val="none"/>
              </w:rPr>
              <w:fldChar w:fldCharType="end"/>
            </w:r>
            <w:r>
              <w:rPr>
                <w:rFonts w:ascii="Times New Roman" w:hAnsi="Times New Roman" w:cs="Times New Roman"/>
                <w:color w:val="auto"/>
                <w:kern w:val="0"/>
                <w:szCs w:val="21"/>
                <w:highlight w:val="none"/>
              </w:rPr>
              <w:t>，</w:t>
            </w:r>
            <w:r>
              <w:rPr>
                <w:rFonts w:hint="default" w:ascii="Times New Roman" w:hAnsi="Times New Roman" w:cs="Times New Roman"/>
                <w:color w:val="auto"/>
                <w:highlight w:val="none"/>
                <w:lang w:bidi="ar"/>
              </w:rPr>
              <w:t>属于福清市重点管控单元</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附件</w:t>
            </w:r>
            <w:r>
              <w:rPr>
                <w:rFonts w:hint="eastAsia" w:cs="Times New Roman"/>
                <w:color w:val="auto"/>
                <w:kern w:val="0"/>
                <w:highlight w:val="none"/>
                <w:lang w:val="en-US" w:eastAsia="zh-CN"/>
              </w:rPr>
              <w:t>8</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highlight w:val="none"/>
                <w:lang w:bidi="ar"/>
              </w:rPr>
              <w:t>。根据《福州市生态环境分区管控方案（2023年更新）》（榕政办规〔2024〕2</w:t>
            </w:r>
            <w:r>
              <w:rPr>
                <w:rFonts w:hint="default" w:ascii="Times New Roman" w:hAnsi="Times New Roman" w:cs="Times New Roman"/>
                <w:color w:val="auto"/>
                <w:highlight w:val="none"/>
                <w:lang w:val="en-US" w:eastAsia="zh-CN" w:bidi="ar"/>
              </w:rPr>
              <w:t>0</w:t>
            </w:r>
            <w:r>
              <w:rPr>
                <w:rFonts w:hint="default" w:ascii="Times New Roman" w:hAnsi="Times New Roman" w:cs="Times New Roman"/>
                <w:color w:val="auto"/>
                <w:highlight w:val="none"/>
                <w:lang w:bidi="ar"/>
              </w:rPr>
              <w:t>号）中对</w:t>
            </w:r>
            <w:r>
              <w:rPr>
                <w:rFonts w:hint="eastAsia" w:cs="Times New Roman"/>
                <w:color w:val="auto"/>
                <w:highlight w:val="none"/>
                <w:lang w:eastAsia="zh-CN" w:bidi="ar"/>
              </w:rPr>
              <w:t>“</w:t>
            </w:r>
            <w:r>
              <w:rPr>
                <w:rFonts w:hint="default" w:ascii="Times New Roman" w:hAnsi="Times New Roman" w:cs="Times New Roman"/>
                <w:color w:val="auto"/>
                <w:highlight w:val="none"/>
                <w:lang w:bidi="ar"/>
              </w:rPr>
              <w:t>生态分区管控的要求</w:t>
            </w:r>
            <w:r>
              <w:rPr>
                <w:rFonts w:hint="eastAsia" w:cs="Times New Roman"/>
                <w:color w:val="auto"/>
                <w:highlight w:val="none"/>
                <w:lang w:eastAsia="zh-CN" w:bidi="ar"/>
              </w:rPr>
              <w:t>”</w:t>
            </w:r>
            <w:r>
              <w:rPr>
                <w:rFonts w:hint="default" w:ascii="Times New Roman" w:hAnsi="Times New Roman" w:cs="Times New Roman"/>
                <w:color w:val="auto"/>
                <w:highlight w:val="none"/>
                <w:lang w:bidi="ar"/>
              </w:rPr>
              <w:t>，</w:t>
            </w:r>
            <w:r>
              <w:rPr>
                <w:rFonts w:ascii="Times New Roman" w:hAnsi="Times New Roman" w:cs="Times New Roman"/>
                <w:color w:val="auto"/>
                <w:kern w:val="0"/>
                <w:highlight w:val="none"/>
                <w:lang w:bidi="ar"/>
              </w:rPr>
              <w:t>符合性分析详见表1-</w:t>
            </w:r>
            <w:r>
              <w:rPr>
                <w:rFonts w:hint="eastAsia" w:cs="Times New Roman"/>
                <w:color w:val="auto"/>
                <w:kern w:val="0"/>
                <w:highlight w:val="none"/>
                <w:lang w:val="en-US" w:eastAsia="zh-CN" w:bidi="ar"/>
              </w:rPr>
              <w:t>5</w:t>
            </w:r>
            <w:r>
              <w:rPr>
                <w:rFonts w:ascii="Times New Roman" w:hAnsi="Times New Roman" w:cs="Times New Roman"/>
                <w:color w:val="auto"/>
                <w:kern w:val="0"/>
                <w:highlight w:val="none"/>
                <w:lang w:bidi="ar"/>
              </w:rPr>
              <w:t>。</w:t>
            </w:r>
          </w:p>
          <w:p w14:paraId="200F70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eastAsia"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val="en-US" w:eastAsia="zh-CN"/>
              </w:rPr>
              <w:t>项目与福清市生态环境准入清单要求符合性分析</w:t>
            </w:r>
          </w:p>
          <w:tbl>
            <w:tblPr>
              <w:tblStyle w:val="50"/>
              <w:tblW w:w="82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55"/>
              <w:gridCol w:w="463"/>
              <w:gridCol w:w="535"/>
              <w:gridCol w:w="3184"/>
              <w:gridCol w:w="2207"/>
              <w:gridCol w:w="812"/>
            </w:tblGrid>
            <w:tr w14:paraId="6678F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02" w:type="dxa"/>
                  <w:tcBorders>
                    <w:tl2br w:val="nil"/>
                    <w:tr2bl w:val="nil"/>
                  </w:tcBorders>
                  <w:noWrap w:val="0"/>
                  <w:vAlign w:val="center"/>
                </w:tcPr>
                <w:p w14:paraId="47547F00">
                  <w:pPr>
                    <w:pStyle w:val="490"/>
                    <w:bidi w:val="0"/>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环境管控单元</w:t>
                  </w:r>
                  <w:r>
                    <w:rPr>
                      <w:rFonts w:hint="default" w:ascii="Times New Roman" w:hAnsi="Times New Roman" w:eastAsia="宋体" w:cs="Times New Roman"/>
                      <w:b/>
                      <w:bCs/>
                      <w:color w:val="auto"/>
                      <w:sz w:val="21"/>
                      <w:szCs w:val="21"/>
                      <w:highlight w:val="none"/>
                      <w:lang w:val="en-US" w:eastAsia="zh-CN"/>
                    </w:rPr>
                    <w:t>编码</w:t>
                  </w:r>
                </w:p>
              </w:tc>
              <w:tc>
                <w:tcPr>
                  <w:tcW w:w="355" w:type="dxa"/>
                  <w:tcBorders>
                    <w:tl2br w:val="nil"/>
                    <w:tr2bl w:val="nil"/>
                  </w:tcBorders>
                  <w:noWrap w:val="0"/>
                  <w:vAlign w:val="center"/>
                </w:tcPr>
                <w:p w14:paraId="23356240">
                  <w:pPr>
                    <w:pStyle w:val="490"/>
                    <w:bidi w:val="0"/>
                    <w:ind w:right="-50" w:rightChars="-21"/>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环境管控单元名称</w:t>
                  </w:r>
                </w:p>
              </w:tc>
              <w:tc>
                <w:tcPr>
                  <w:tcW w:w="463" w:type="dxa"/>
                  <w:tcBorders>
                    <w:tl2br w:val="nil"/>
                    <w:tr2bl w:val="nil"/>
                  </w:tcBorders>
                  <w:noWrap w:val="0"/>
                  <w:vAlign w:val="center"/>
                </w:tcPr>
                <w:p w14:paraId="22FC9EE7">
                  <w:pPr>
                    <w:pStyle w:val="490"/>
                    <w:bidi w:val="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管控单元类别</w:t>
                  </w:r>
                </w:p>
              </w:tc>
              <w:tc>
                <w:tcPr>
                  <w:tcW w:w="3719" w:type="dxa"/>
                  <w:gridSpan w:val="2"/>
                  <w:tcBorders>
                    <w:tl2br w:val="nil"/>
                    <w:tr2bl w:val="nil"/>
                  </w:tcBorders>
                  <w:noWrap w:val="0"/>
                  <w:vAlign w:val="center"/>
                </w:tcPr>
                <w:p w14:paraId="757A73CD">
                  <w:pPr>
                    <w:pStyle w:val="49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管控要求</w:t>
                  </w:r>
                </w:p>
              </w:tc>
              <w:tc>
                <w:tcPr>
                  <w:tcW w:w="2207" w:type="dxa"/>
                  <w:tcBorders>
                    <w:tl2br w:val="nil"/>
                    <w:tr2bl w:val="nil"/>
                  </w:tcBorders>
                  <w:noWrap w:val="0"/>
                  <w:vAlign w:val="center"/>
                </w:tcPr>
                <w:p w14:paraId="4AB8EFC8">
                  <w:pPr>
                    <w:pStyle w:val="49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812" w:type="dxa"/>
                  <w:tcBorders>
                    <w:tl2br w:val="nil"/>
                    <w:tr2bl w:val="nil"/>
                  </w:tcBorders>
                  <w:noWrap w:val="0"/>
                  <w:vAlign w:val="center"/>
                </w:tcPr>
                <w:p w14:paraId="4C6D3EBB">
                  <w:pPr>
                    <w:pStyle w:val="49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787F6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702" w:type="dxa"/>
                  <w:vMerge w:val="restart"/>
                  <w:tcBorders>
                    <w:tl2br w:val="nil"/>
                    <w:tr2bl w:val="nil"/>
                  </w:tcBorders>
                  <w:noWrap w:val="0"/>
                  <w:vAlign w:val="center"/>
                </w:tcPr>
                <w:p w14:paraId="65CBBC97">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ZH35018120008</w:t>
                  </w:r>
                </w:p>
                <w:p w14:paraId="7E092018">
                  <w:pPr>
                    <w:pStyle w:val="490"/>
                    <w:bidi w:val="0"/>
                    <w:rPr>
                      <w:rFonts w:hint="default" w:ascii="Times New Roman" w:hAnsi="Times New Roman" w:eastAsia="宋体" w:cs="Times New Roman"/>
                      <w:color w:val="auto"/>
                      <w:sz w:val="21"/>
                      <w:szCs w:val="21"/>
                      <w:highlight w:val="none"/>
                      <w:lang w:val="en-US" w:eastAsia="zh-CN"/>
                    </w:rPr>
                  </w:pPr>
                </w:p>
              </w:tc>
              <w:tc>
                <w:tcPr>
                  <w:tcW w:w="355" w:type="dxa"/>
                  <w:vMerge w:val="restart"/>
                  <w:tcBorders>
                    <w:tl2br w:val="nil"/>
                    <w:tr2bl w:val="nil"/>
                  </w:tcBorders>
                  <w:noWrap w:val="0"/>
                  <w:vAlign w:val="center"/>
                </w:tcPr>
                <w:p w14:paraId="470E6CB4">
                  <w:pPr>
                    <w:pStyle w:val="49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福清市重点管控单元1</w:t>
                  </w:r>
                </w:p>
                <w:p w14:paraId="0E2C428F">
                  <w:pPr>
                    <w:pStyle w:val="490"/>
                    <w:bidi w:val="0"/>
                    <w:rPr>
                      <w:rFonts w:hint="default" w:ascii="Times New Roman" w:hAnsi="Times New Roman" w:eastAsia="宋体" w:cs="Times New Roman"/>
                      <w:color w:val="auto"/>
                      <w:sz w:val="21"/>
                      <w:szCs w:val="21"/>
                      <w:highlight w:val="none"/>
                      <w:lang w:val="en-US" w:eastAsia="zh-CN"/>
                    </w:rPr>
                  </w:pPr>
                </w:p>
              </w:tc>
              <w:tc>
                <w:tcPr>
                  <w:tcW w:w="463" w:type="dxa"/>
                  <w:vMerge w:val="restart"/>
                  <w:tcBorders>
                    <w:tl2br w:val="nil"/>
                    <w:tr2bl w:val="nil"/>
                  </w:tcBorders>
                  <w:noWrap w:val="0"/>
                  <w:vAlign w:val="center"/>
                </w:tcPr>
                <w:p w14:paraId="3A6F6036">
                  <w:pPr>
                    <w:pStyle w:val="49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重点管控单元</w:t>
                  </w:r>
                </w:p>
              </w:tc>
              <w:tc>
                <w:tcPr>
                  <w:tcW w:w="535" w:type="dxa"/>
                  <w:tcBorders>
                    <w:tl2br w:val="nil"/>
                    <w:tr2bl w:val="nil"/>
                  </w:tcBorders>
                  <w:noWrap w:val="0"/>
                  <w:vAlign w:val="center"/>
                </w:tcPr>
                <w:p w14:paraId="7E11176F">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空间布局约束</w:t>
                  </w:r>
                </w:p>
              </w:tc>
              <w:tc>
                <w:tcPr>
                  <w:tcW w:w="3184" w:type="dxa"/>
                  <w:tcBorders>
                    <w:tl2br w:val="nil"/>
                    <w:tr2bl w:val="nil"/>
                  </w:tcBorders>
                  <w:noWrap w:val="0"/>
                  <w:vAlign w:val="center"/>
                </w:tcPr>
                <w:p w14:paraId="08CAB67A">
                  <w:pPr>
                    <w:pStyle w:val="193"/>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09408FF7">
                  <w:pPr>
                    <w:pStyle w:val="193"/>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2.严格控制包装印刷、工业涂装、制鞋等高VOCs排放的项目建设，相关新建项目必须进入工业园区。</w:t>
                  </w:r>
                </w:p>
                <w:p w14:paraId="2D7A2431">
                  <w:pPr>
                    <w:pStyle w:val="193"/>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3.禁止开发利用未经评估和无害化处理的列入建设用地污染地块名录及开发利用负面清单的土地。</w:t>
                  </w:r>
                </w:p>
              </w:tc>
              <w:tc>
                <w:tcPr>
                  <w:tcW w:w="2207" w:type="dxa"/>
                  <w:tcBorders>
                    <w:tl2br w:val="nil"/>
                    <w:tr2bl w:val="nil"/>
                  </w:tcBorders>
                  <w:noWrap w:val="0"/>
                  <w:vAlign w:val="center"/>
                </w:tcPr>
                <w:p w14:paraId="1159037E">
                  <w:pPr>
                    <w:pStyle w:val="490"/>
                    <w:keepNext w:val="0"/>
                    <w:keepLines w:val="0"/>
                    <w:pageBreakBefore w:val="0"/>
                    <w:widowControl w:val="0"/>
                    <w:kinsoku/>
                    <w:overflowPunct/>
                    <w:topLinePunct w:val="0"/>
                    <w:autoSpaceDE/>
                    <w:autoSpaceDN/>
                    <w:bidi w:val="0"/>
                    <w:spacing w:beforeLines="0" w:after="24"/>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w:t>
                  </w:r>
                  <w:r>
                    <w:rPr>
                      <w:rFonts w:hint="default" w:ascii="Times New Roman" w:hAnsi="Times New Roman" w:eastAsia="宋体" w:cs="Times New Roman"/>
                      <w:color w:val="auto"/>
                      <w:sz w:val="21"/>
                      <w:szCs w:val="21"/>
                      <w:highlight w:val="none"/>
                      <w:lang w:val="en-US" w:eastAsia="zh-CN"/>
                    </w:rPr>
                    <w:t>主要从事宠物诊疗服务，</w:t>
                  </w:r>
                  <w:r>
                    <w:rPr>
                      <w:rFonts w:hint="default" w:ascii="Times New Roman" w:hAnsi="Times New Roman" w:eastAsia="宋体" w:cs="Times New Roman"/>
                      <w:color w:val="auto"/>
                      <w:sz w:val="21"/>
                      <w:szCs w:val="21"/>
                      <w:highlight w:val="none"/>
                    </w:rPr>
                    <w:t>不属于左列所列禁止建设项目，符合要求。</w:t>
                  </w:r>
                </w:p>
                <w:p w14:paraId="6DC2214B">
                  <w:pPr>
                    <w:keepNext w:val="0"/>
                    <w:keepLines w:val="0"/>
                    <w:pageBreakBefore w:val="0"/>
                    <w:widowControl w:val="0"/>
                    <w:kinsoku/>
                    <w:wordWrap w:val="0"/>
                    <w:overflowPunct/>
                    <w:topLinePunct w:val="0"/>
                    <w:autoSpaceDE/>
                    <w:autoSpaceDN/>
                    <w:bidi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w:t>
                  </w:r>
                  <w:r>
                    <w:rPr>
                      <w:rFonts w:hint="default" w:ascii="Times New Roman" w:hAnsi="Times New Roman" w:eastAsia="宋体" w:cs="Times New Roman"/>
                      <w:color w:val="auto"/>
                      <w:sz w:val="21"/>
                      <w:szCs w:val="21"/>
                      <w:highlight w:val="none"/>
                      <w:lang w:val="en-US" w:eastAsia="zh-CN"/>
                    </w:rPr>
                    <w:t>主要从事宠物诊疗服务，</w:t>
                  </w:r>
                  <w:r>
                    <w:rPr>
                      <w:rFonts w:hint="default" w:ascii="Times New Roman" w:hAnsi="Times New Roman" w:cs="Times New Roman"/>
                      <w:color w:val="auto"/>
                      <w:sz w:val="21"/>
                      <w:szCs w:val="21"/>
                      <w:highlight w:val="none"/>
                      <w:lang w:val="en-US" w:eastAsia="zh-CN"/>
                    </w:rPr>
                    <w:t>不属于</w:t>
                  </w:r>
                  <w:r>
                    <w:rPr>
                      <w:rFonts w:hint="default" w:ascii="Times New Roman" w:hAnsi="Times New Roman" w:eastAsia="宋体" w:cs="Times New Roman"/>
                      <w:color w:val="auto"/>
                      <w:kern w:val="0"/>
                      <w:sz w:val="21"/>
                      <w:szCs w:val="21"/>
                      <w:highlight w:val="none"/>
                    </w:rPr>
                    <w:t>包装印刷、工业涂装、制鞋等高VOCs排放的项目</w:t>
                  </w:r>
                  <w:r>
                    <w:rPr>
                      <w:rFonts w:hint="default" w:ascii="Times New Roman" w:hAnsi="Times New Roman" w:eastAsia="宋体" w:cs="Times New Roman"/>
                      <w:color w:val="auto"/>
                      <w:sz w:val="21"/>
                      <w:szCs w:val="21"/>
                      <w:highlight w:val="none"/>
                    </w:rPr>
                    <w:t xml:space="preserve">。 </w:t>
                  </w:r>
                </w:p>
                <w:p w14:paraId="17BB8524">
                  <w:pPr>
                    <w:keepNext w:val="0"/>
                    <w:keepLines w:val="0"/>
                    <w:pageBreakBefore w:val="0"/>
                    <w:widowControl w:val="0"/>
                    <w:kinsoku/>
                    <w:overflowPunct/>
                    <w:topLinePunct w:val="0"/>
                    <w:autoSpaceDE/>
                    <w:autoSpaceDN/>
                    <w:bidi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3.项目选址于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项目地址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属于商业用地</w:t>
                  </w:r>
                  <w:r>
                    <w:rPr>
                      <w:rFonts w:hint="default" w:ascii="Times New Roman" w:hAnsi="Times New Roman" w:eastAsia="宋体" w:cs="Times New Roman"/>
                      <w:color w:val="auto"/>
                      <w:sz w:val="21"/>
                      <w:szCs w:val="21"/>
                      <w:highlight w:val="none"/>
                    </w:rPr>
                    <w:t>。</w:t>
                  </w:r>
                </w:p>
                <w:p w14:paraId="34CBF5FD">
                  <w:pPr>
                    <w:pStyle w:val="193"/>
                    <w:jc w:val="both"/>
                    <w:rPr>
                      <w:rFonts w:hint="default" w:ascii="Times New Roman" w:hAnsi="Times New Roman" w:eastAsia="宋体" w:cs="Times New Roman"/>
                      <w:color w:val="auto"/>
                      <w:szCs w:val="21"/>
                      <w:highlight w:val="none"/>
                      <w:lang w:val="en-US" w:eastAsia="zh-CN"/>
                    </w:rPr>
                  </w:pPr>
                </w:p>
              </w:tc>
              <w:tc>
                <w:tcPr>
                  <w:tcW w:w="812" w:type="dxa"/>
                  <w:tcBorders>
                    <w:tl2br w:val="nil"/>
                    <w:tr2bl w:val="nil"/>
                  </w:tcBorders>
                  <w:noWrap w:val="0"/>
                  <w:vAlign w:val="center"/>
                </w:tcPr>
                <w:p w14:paraId="27FDE466">
                  <w:pPr>
                    <w:pStyle w:val="193"/>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59C90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2" w:type="dxa"/>
                  <w:vMerge w:val="continue"/>
                  <w:tcBorders>
                    <w:tl2br w:val="nil"/>
                    <w:tr2bl w:val="nil"/>
                  </w:tcBorders>
                  <w:noWrap w:val="0"/>
                  <w:vAlign w:val="center"/>
                </w:tcPr>
                <w:p w14:paraId="5443A4FA">
                  <w:pPr>
                    <w:pStyle w:val="490"/>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noWrap w:val="0"/>
                  <w:vAlign w:val="center"/>
                </w:tcPr>
                <w:p w14:paraId="6A0617A5">
                  <w:pPr>
                    <w:pStyle w:val="490"/>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noWrap w:val="0"/>
                  <w:vAlign w:val="center"/>
                </w:tcPr>
                <w:p w14:paraId="2D1BE91A">
                  <w:pPr>
                    <w:pStyle w:val="490"/>
                    <w:bidi w:val="0"/>
                    <w:rPr>
                      <w:rFonts w:hint="default" w:ascii="Times New Roman" w:hAnsi="Times New Roman" w:eastAsia="宋体" w:cs="Times New Roman"/>
                      <w:color w:val="auto"/>
                      <w:sz w:val="21"/>
                      <w:szCs w:val="21"/>
                      <w:highlight w:val="none"/>
                    </w:rPr>
                  </w:pPr>
                </w:p>
              </w:tc>
              <w:tc>
                <w:tcPr>
                  <w:tcW w:w="535" w:type="dxa"/>
                  <w:tcBorders>
                    <w:tl2br w:val="nil"/>
                    <w:tr2bl w:val="nil"/>
                  </w:tcBorders>
                  <w:noWrap w:val="0"/>
                  <w:vAlign w:val="center"/>
                </w:tcPr>
                <w:p w14:paraId="3C0A3CAB">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污染物排放管控</w:t>
                  </w:r>
                </w:p>
              </w:tc>
              <w:tc>
                <w:tcPr>
                  <w:tcW w:w="3184" w:type="dxa"/>
                  <w:tcBorders>
                    <w:tl2br w:val="nil"/>
                    <w:tr2bl w:val="nil"/>
                  </w:tcBorders>
                  <w:noWrap w:val="0"/>
                  <w:vAlign w:val="center"/>
                </w:tcPr>
                <w:p w14:paraId="1F12CEC1">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落实新增二氧化硫、氮氧化物和VOCs排放总量控制要求。</w:t>
                  </w:r>
                </w:p>
              </w:tc>
              <w:tc>
                <w:tcPr>
                  <w:tcW w:w="2207" w:type="dxa"/>
                  <w:tcBorders>
                    <w:tl2br w:val="nil"/>
                    <w:tr2bl w:val="nil"/>
                  </w:tcBorders>
                  <w:noWrap w:val="0"/>
                  <w:vAlign w:val="center"/>
                </w:tcPr>
                <w:p w14:paraId="4CE4883C">
                  <w:pPr>
                    <w:pStyle w:val="193"/>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1.项目</w:t>
                  </w:r>
                  <w:r>
                    <w:rPr>
                      <w:rFonts w:hint="default" w:ascii="Times New Roman" w:hAnsi="Times New Roman" w:eastAsia="宋体" w:cs="Times New Roman"/>
                      <w:color w:val="auto"/>
                      <w:szCs w:val="21"/>
                      <w:highlight w:val="none"/>
                      <w:lang w:val="en-US" w:eastAsia="zh-CN"/>
                    </w:rPr>
                    <w:t>从事宠物诊疗服务</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不涉及二氧化硫、氮氧化物和VOCs排放。</w:t>
                  </w:r>
                </w:p>
              </w:tc>
              <w:tc>
                <w:tcPr>
                  <w:tcW w:w="812" w:type="dxa"/>
                  <w:tcBorders>
                    <w:tl2br w:val="nil"/>
                    <w:tr2bl w:val="nil"/>
                  </w:tcBorders>
                  <w:noWrap w:val="0"/>
                  <w:vAlign w:val="center"/>
                </w:tcPr>
                <w:p w14:paraId="24E01A6A">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14:paraId="524FB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2" w:type="dxa"/>
                  <w:vMerge w:val="continue"/>
                  <w:tcBorders>
                    <w:tl2br w:val="nil"/>
                    <w:tr2bl w:val="nil"/>
                  </w:tcBorders>
                  <w:noWrap w:val="0"/>
                  <w:vAlign w:val="center"/>
                </w:tcPr>
                <w:p w14:paraId="65488872">
                  <w:pPr>
                    <w:pStyle w:val="490"/>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noWrap w:val="0"/>
                  <w:vAlign w:val="center"/>
                </w:tcPr>
                <w:p w14:paraId="09592D28">
                  <w:pPr>
                    <w:pStyle w:val="490"/>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noWrap w:val="0"/>
                  <w:vAlign w:val="center"/>
                </w:tcPr>
                <w:p w14:paraId="70B6B401">
                  <w:pPr>
                    <w:pStyle w:val="490"/>
                    <w:bidi w:val="0"/>
                    <w:rPr>
                      <w:rFonts w:hint="default" w:ascii="Times New Roman" w:hAnsi="Times New Roman" w:eastAsia="宋体" w:cs="Times New Roman"/>
                      <w:color w:val="auto"/>
                      <w:sz w:val="21"/>
                      <w:szCs w:val="21"/>
                      <w:highlight w:val="none"/>
                    </w:rPr>
                  </w:pPr>
                </w:p>
              </w:tc>
              <w:tc>
                <w:tcPr>
                  <w:tcW w:w="535" w:type="dxa"/>
                  <w:tcBorders>
                    <w:tl2br w:val="nil"/>
                    <w:tr2bl w:val="nil"/>
                  </w:tcBorders>
                  <w:noWrap w:val="0"/>
                  <w:vAlign w:val="center"/>
                </w:tcPr>
                <w:p w14:paraId="7FA805C8">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环境风险防控</w:t>
                  </w:r>
                </w:p>
              </w:tc>
              <w:tc>
                <w:tcPr>
                  <w:tcW w:w="3184" w:type="dxa"/>
                  <w:tcBorders>
                    <w:tl2br w:val="nil"/>
                    <w:tr2bl w:val="nil"/>
                  </w:tcBorders>
                  <w:noWrap w:val="0"/>
                  <w:vAlign w:val="center"/>
                </w:tcPr>
                <w:p w14:paraId="0C962DAC">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单元内现有化学原料和化学制品制造业</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rPr>
                    <w:t>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207" w:type="dxa"/>
                  <w:tcBorders>
                    <w:tl2br w:val="nil"/>
                    <w:tr2bl w:val="nil"/>
                  </w:tcBorders>
                  <w:noWrap w:val="0"/>
                  <w:vAlign w:val="center"/>
                </w:tcPr>
                <w:p w14:paraId="422D33C1">
                  <w:pPr>
                    <w:pStyle w:val="193"/>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租赁现有店面作为诊疗场所，用地性质属于商业用地，</w:t>
                  </w:r>
                  <w:r>
                    <w:rPr>
                      <w:rFonts w:hint="default" w:ascii="Times New Roman" w:hAnsi="Times New Roman" w:eastAsia="宋体" w:cs="Times New Roman"/>
                      <w:color w:val="auto"/>
                      <w:szCs w:val="21"/>
                      <w:highlight w:val="none"/>
                    </w:rPr>
                    <w:t>地面均已完成硬化处理，</w:t>
                  </w:r>
                  <w:r>
                    <w:rPr>
                      <w:rFonts w:hint="default" w:ascii="Times New Roman" w:hAnsi="Times New Roman" w:eastAsia="宋体" w:cs="Times New Roman"/>
                      <w:color w:val="auto"/>
                      <w:szCs w:val="21"/>
                      <w:highlight w:val="none"/>
                      <w:lang w:val="en-US" w:eastAsia="zh-CN"/>
                    </w:rPr>
                    <w:t>不涉及</w:t>
                  </w:r>
                  <w:r>
                    <w:rPr>
                      <w:rFonts w:hint="default" w:ascii="Times New Roman" w:hAnsi="Times New Roman" w:eastAsia="宋体" w:cs="Times New Roman"/>
                      <w:color w:val="auto"/>
                      <w:szCs w:val="21"/>
                      <w:highlight w:val="none"/>
                    </w:rPr>
                    <w:t>土壤污染。</w:t>
                  </w:r>
                </w:p>
                <w:p w14:paraId="451EEB24">
                  <w:pPr>
                    <w:pStyle w:val="193"/>
                    <w:jc w:val="both"/>
                    <w:rPr>
                      <w:rFonts w:hint="default" w:ascii="Times New Roman" w:hAnsi="Times New Roman" w:eastAsia="宋体" w:cs="Times New Roman"/>
                      <w:color w:val="auto"/>
                      <w:sz w:val="21"/>
                      <w:szCs w:val="21"/>
                      <w:highlight w:val="none"/>
                    </w:rPr>
                  </w:pPr>
                </w:p>
              </w:tc>
              <w:tc>
                <w:tcPr>
                  <w:tcW w:w="812" w:type="dxa"/>
                  <w:tcBorders>
                    <w:tl2br w:val="nil"/>
                    <w:tr2bl w:val="nil"/>
                  </w:tcBorders>
                  <w:noWrap w:val="0"/>
                  <w:vAlign w:val="center"/>
                </w:tcPr>
                <w:p w14:paraId="68DE8670">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r w14:paraId="2E3B2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2" w:type="dxa"/>
                  <w:vMerge w:val="continue"/>
                  <w:tcBorders>
                    <w:tl2br w:val="nil"/>
                    <w:tr2bl w:val="nil"/>
                  </w:tcBorders>
                  <w:noWrap w:val="0"/>
                  <w:vAlign w:val="center"/>
                </w:tcPr>
                <w:p w14:paraId="281D1AEC">
                  <w:pPr>
                    <w:pStyle w:val="490"/>
                    <w:bidi w:val="0"/>
                    <w:rPr>
                      <w:rFonts w:hint="default" w:ascii="Times New Roman" w:hAnsi="Times New Roman" w:eastAsia="宋体" w:cs="Times New Roman"/>
                      <w:color w:val="auto"/>
                      <w:sz w:val="21"/>
                      <w:szCs w:val="21"/>
                      <w:highlight w:val="none"/>
                    </w:rPr>
                  </w:pPr>
                </w:p>
              </w:tc>
              <w:tc>
                <w:tcPr>
                  <w:tcW w:w="355" w:type="dxa"/>
                  <w:vMerge w:val="continue"/>
                  <w:tcBorders>
                    <w:tl2br w:val="nil"/>
                    <w:tr2bl w:val="nil"/>
                  </w:tcBorders>
                  <w:noWrap w:val="0"/>
                  <w:vAlign w:val="center"/>
                </w:tcPr>
                <w:p w14:paraId="088CDC57">
                  <w:pPr>
                    <w:pStyle w:val="490"/>
                    <w:bidi w:val="0"/>
                    <w:rPr>
                      <w:rFonts w:hint="default" w:ascii="Times New Roman" w:hAnsi="Times New Roman" w:eastAsia="宋体" w:cs="Times New Roman"/>
                      <w:color w:val="auto"/>
                      <w:sz w:val="21"/>
                      <w:szCs w:val="21"/>
                      <w:highlight w:val="none"/>
                    </w:rPr>
                  </w:pPr>
                </w:p>
              </w:tc>
              <w:tc>
                <w:tcPr>
                  <w:tcW w:w="463" w:type="dxa"/>
                  <w:vMerge w:val="continue"/>
                  <w:tcBorders>
                    <w:tl2br w:val="nil"/>
                    <w:tr2bl w:val="nil"/>
                  </w:tcBorders>
                  <w:noWrap w:val="0"/>
                  <w:vAlign w:val="center"/>
                </w:tcPr>
                <w:p w14:paraId="22FD3C8B">
                  <w:pPr>
                    <w:pStyle w:val="490"/>
                    <w:bidi w:val="0"/>
                    <w:rPr>
                      <w:rFonts w:hint="default" w:ascii="Times New Roman" w:hAnsi="Times New Roman" w:eastAsia="宋体" w:cs="Times New Roman"/>
                      <w:color w:val="auto"/>
                      <w:sz w:val="21"/>
                      <w:szCs w:val="21"/>
                      <w:highlight w:val="none"/>
                    </w:rPr>
                  </w:pPr>
                </w:p>
              </w:tc>
              <w:tc>
                <w:tcPr>
                  <w:tcW w:w="535" w:type="dxa"/>
                  <w:tcBorders>
                    <w:tl2br w:val="nil"/>
                    <w:tr2bl w:val="nil"/>
                  </w:tcBorders>
                  <w:noWrap w:val="0"/>
                  <w:vAlign w:val="center"/>
                </w:tcPr>
                <w:p w14:paraId="12A27A1F">
                  <w:pPr>
                    <w:pStyle w:val="19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资源开发效率要求</w:t>
                  </w:r>
                </w:p>
              </w:tc>
              <w:tc>
                <w:tcPr>
                  <w:tcW w:w="3184" w:type="dxa"/>
                  <w:tcBorders>
                    <w:tl2br w:val="nil"/>
                    <w:tr2bl w:val="nil"/>
                  </w:tcBorders>
                  <w:noWrap w:val="0"/>
                  <w:vAlign w:val="center"/>
                </w:tcPr>
                <w:p w14:paraId="1685D1D6">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高污染燃料禁燃区内禁止燃用高污染燃料，禁止新建、扩建燃用高污染燃料的设施。已建的燃用高污染燃料设施，限期改用电、天然气、液化石油气等清洁能源。</w:t>
                  </w:r>
                </w:p>
              </w:tc>
              <w:tc>
                <w:tcPr>
                  <w:tcW w:w="2207" w:type="dxa"/>
                  <w:tcBorders>
                    <w:tl2br w:val="nil"/>
                    <w:tr2bl w:val="nil"/>
                  </w:tcBorders>
                  <w:noWrap w:val="0"/>
                  <w:vAlign w:val="center"/>
                </w:tcPr>
                <w:p w14:paraId="1CAA9623">
                  <w:pPr>
                    <w:pStyle w:val="19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项目使用电能，为清洁能源，不涉及高污染燃料，符合要求。</w:t>
                  </w:r>
                </w:p>
              </w:tc>
              <w:tc>
                <w:tcPr>
                  <w:tcW w:w="812" w:type="dxa"/>
                  <w:tcBorders>
                    <w:tl2br w:val="nil"/>
                    <w:tr2bl w:val="nil"/>
                  </w:tcBorders>
                  <w:noWrap w:val="0"/>
                  <w:vAlign w:val="center"/>
                </w:tcPr>
                <w:p w14:paraId="51961D65">
                  <w:pPr>
                    <w:pStyle w:val="19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符合</w:t>
                  </w:r>
                </w:p>
              </w:tc>
            </w:tr>
          </w:tbl>
          <w:p w14:paraId="21B1E5A9">
            <w:pPr>
              <w:widowControl/>
              <w:adjustRightInd w:val="0"/>
              <w:snapToGrid w:val="0"/>
              <w:spacing w:line="360" w:lineRule="auto"/>
              <w:ind w:firstLine="480" w:firstLineChars="200"/>
              <w:jc w:val="left"/>
              <w:rPr>
                <w:rFonts w:ascii="Times New Roman" w:hAnsi="Times New Roman" w:cs="Times New Roman"/>
                <w:color w:val="auto"/>
                <w:highlight w:val="none"/>
              </w:rPr>
            </w:pPr>
          </w:p>
        </w:tc>
      </w:tr>
    </w:tbl>
    <w:p w14:paraId="6AB07CED">
      <w:pPr>
        <w:pStyle w:val="159"/>
        <w:ind w:firstLine="0" w:firstLineChars="0"/>
        <w:jc w:val="center"/>
        <w:rPr>
          <w:rFonts w:ascii="Times New Roman" w:hAnsi="Times New Roman" w:cs="Times New Roman"/>
          <w:b/>
          <w:color w:val="auto"/>
          <w:highlight w:val="none"/>
        </w:rPr>
        <w:sectPr>
          <w:footerReference r:id="rId5" w:type="default"/>
          <w:pgSz w:w="11906" w:h="16838"/>
          <w:pgMar w:top="1418" w:right="1134" w:bottom="1418" w:left="1134" w:header="851" w:footer="992" w:gutter="0"/>
          <w:pgBorders>
            <w:top w:val="none" w:sz="0" w:space="0"/>
            <w:left w:val="none" w:sz="0" w:space="0"/>
            <w:bottom w:val="none" w:sz="0" w:space="0"/>
            <w:right w:val="none" w:sz="0" w:space="0"/>
          </w:pgBorders>
          <w:pgNumType w:fmt="decimal" w:start="1"/>
          <w:cols w:space="720" w:num="1"/>
          <w:docGrid w:linePitch="367" w:charSpace="915"/>
        </w:sectPr>
      </w:pPr>
    </w:p>
    <w:p w14:paraId="3F583BAC">
      <w:pPr>
        <w:pStyle w:val="2"/>
        <w:keepNext/>
        <w:keepLines/>
        <w:pageBreakBefore w:val="0"/>
        <w:widowControl w:val="0"/>
        <w:numPr>
          <w:ilvl w:val="0"/>
          <w:numId w:val="0"/>
        </w:numPr>
        <w:kinsoku/>
        <w:wordWrap/>
        <w:overflowPunct/>
        <w:topLinePunct w:val="0"/>
        <w:autoSpaceDE/>
        <w:autoSpaceDN/>
        <w:bidi w:val="0"/>
        <w:adjustRightInd w:val="0"/>
        <w:snapToGrid w:val="0"/>
        <w:ind w:left="0" w:leftChars="0" w:firstLine="0" w:firstLineChars="0"/>
        <w:textAlignment w:val="auto"/>
        <w:rPr>
          <w:rFonts w:ascii="Times New Roman" w:hAnsi="Times New Roman" w:cs="Times New Roman"/>
          <w:color w:val="auto"/>
          <w:highlight w:val="none"/>
        </w:rPr>
      </w:pPr>
      <w:bookmarkStart w:id="34" w:name="_Toc30929"/>
      <w:bookmarkStart w:id="35" w:name="_Toc133251533"/>
      <w:bookmarkStart w:id="36" w:name="_Toc21238"/>
      <w:r>
        <w:rPr>
          <w:rFonts w:hint="eastAsia" w:ascii="宋体" w:hAnsi="宋体" w:eastAsia="宋体" w:cs="宋体"/>
          <w:b/>
          <w:bCs/>
          <w:color w:val="auto"/>
          <w:kern w:val="0"/>
          <w:sz w:val="30"/>
          <w:szCs w:val="30"/>
          <w:lang w:val="en-US" w:eastAsia="zh-CN" w:bidi="ar-SA"/>
        </w:rPr>
        <w:t>二、</w:t>
      </w:r>
      <w:r>
        <w:rPr>
          <w:rFonts w:ascii="Times New Roman" w:hAnsi="Times New Roman" w:cs="Times New Roman"/>
          <w:color w:val="auto"/>
          <w:highlight w:val="none"/>
        </w:rPr>
        <w:t>建设项目工程分析</w:t>
      </w:r>
      <w:bookmarkEnd w:id="34"/>
      <w:bookmarkEnd w:id="35"/>
      <w:bookmarkEnd w:id="36"/>
    </w:p>
    <w:tbl>
      <w:tblPr>
        <w:tblStyle w:val="50"/>
        <w:tblW w:w="98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08"/>
        <w:gridCol w:w="9244"/>
      </w:tblGrid>
      <w:tr w14:paraId="04D91B8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608" w:type="dxa"/>
            <w:tcBorders>
              <w:tl2br w:val="nil"/>
              <w:tr2bl w:val="nil"/>
            </w:tcBorders>
            <w:vAlign w:val="center"/>
          </w:tcPr>
          <w:p w14:paraId="2478AD04">
            <w:pPr>
              <w:pStyle w:val="45"/>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建设内容</w:t>
            </w:r>
          </w:p>
        </w:tc>
        <w:tc>
          <w:tcPr>
            <w:tcW w:w="9244" w:type="dxa"/>
            <w:tcBorders>
              <w:tl2br w:val="nil"/>
              <w:tr2bl w:val="nil"/>
            </w:tcBorders>
          </w:tcPr>
          <w:p w14:paraId="11183DDB">
            <w:pPr>
              <w:pStyle w:val="3"/>
              <w:numPr>
                <w:ilvl w:val="1"/>
                <w:numId w:val="0"/>
              </w:numPr>
              <w:rPr>
                <w:rFonts w:hint="default" w:ascii="Times New Roman" w:hAnsi="Times New Roman" w:cs="Times New Roman"/>
                <w:color w:val="auto"/>
                <w:highlight w:val="none"/>
              </w:rPr>
            </w:pPr>
            <w:bookmarkStart w:id="37" w:name="_Toc133251534"/>
            <w:bookmarkStart w:id="38" w:name="_Toc16557"/>
            <w:bookmarkStart w:id="39" w:name="_Toc31045"/>
            <w:r>
              <w:rPr>
                <w:rFonts w:hint="eastAsia" w:ascii="Times New Roman" w:hAnsi="Times New Roman" w:eastAsia="宋体" w:cs="宋体"/>
                <w:b/>
                <w:bCs/>
                <w:color w:val="auto"/>
                <w:kern w:val="0"/>
                <w:sz w:val="28"/>
                <w:szCs w:val="28"/>
                <w:lang w:val="en-US" w:eastAsia="zh-CN" w:bidi="ar-SA"/>
              </w:rPr>
              <w:t>2.1</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项目由来</w:t>
            </w:r>
            <w:bookmarkEnd w:id="37"/>
            <w:bookmarkEnd w:id="38"/>
            <w:bookmarkEnd w:id="39"/>
          </w:p>
          <w:p w14:paraId="5BC2DE5B">
            <w:pPr>
              <w:wordWrap w:val="0"/>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4"/>
                <w:szCs w:val="24"/>
                <w:highlight w:val="none"/>
                <w:lang w:eastAsia="zh-CN"/>
              </w:rPr>
              <w:t>福清市瑞辰顽皮多格动物医院有限公司</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val="en-US" w:eastAsia="zh-CN"/>
              </w:rPr>
              <w:t>选址于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4"/>
                <w:szCs w:val="24"/>
                <w:highlight w:val="none"/>
                <w:lang w:eastAsia="zh-CN"/>
              </w:rPr>
              <w:t>福建省福州市福清市宏路街道中联江滨御景5号楼113号，115号，116号门面</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lang w:val="en-US" w:eastAsia="zh-CN"/>
              </w:rPr>
              <w:t>法定代表人</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eastAsia="zh-CN"/>
              </w:rPr>
              <w:t>陈玲玲</w:t>
            </w:r>
            <w:r>
              <w:rPr>
                <w:rFonts w:hint="default" w:ascii="Times New Roman" w:hAnsi="Times New Roman" w:cs="Times New Roman"/>
                <w:color w:val="auto"/>
                <w:sz w:val="24"/>
                <w:szCs w:val="24"/>
                <w:highlight w:val="none"/>
                <w:lang w:val="en-US" w:eastAsia="zh-CN"/>
              </w:rPr>
              <w:t>，建筑</w:t>
            </w:r>
            <w:r>
              <w:rPr>
                <w:rFonts w:hint="default" w:ascii="Times New Roman" w:hAnsi="Times New Roman" w:cs="Times New Roman"/>
                <w:color w:val="auto"/>
                <w:sz w:val="24"/>
                <w:szCs w:val="24"/>
                <w:highlight w:val="none"/>
              </w:rPr>
              <w:t>面积为</w:t>
            </w:r>
            <w:r>
              <w:rPr>
                <w:rFonts w:hint="default" w:ascii="Times New Roman" w:hAnsi="Times New Roman" w:cs="Times New Roman"/>
                <w:color w:val="auto"/>
                <w:sz w:val="24"/>
                <w:szCs w:val="24"/>
                <w:highlight w:val="none"/>
                <w:lang w:val="en-US" w:eastAsia="zh-CN"/>
              </w:rPr>
              <w:t>118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highlight w:val="none"/>
                <w:shd w:val="clear"/>
              </w:rPr>
              <w:t>医院</w:t>
            </w:r>
            <w:r>
              <w:rPr>
                <w:rFonts w:hint="default" w:ascii="Times New Roman" w:hAnsi="Times New Roman" w:eastAsia="宋体" w:cs="Times New Roman"/>
                <w:color w:val="auto"/>
                <w:highlight w:val="none"/>
                <w:shd w:val="clear"/>
              </w:rPr>
              <w:t>主要经营范围</w:t>
            </w:r>
            <w:r>
              <w:rPr>
                <w:rFonts w:hint="default" w:ascii="Times New Roman" w:hAnsi="Times New Roman" w:cs="Times New Roman"/>
                <w:color w:val="auto"/>
                <w:highlight w:val="none"/>
                <w:shd w:val="clear"/>
                <w:lang w:val="en-US" w:eastAsia="zh-CN"/>
              </w:rPr>
              <w:t>有动物</w:t>
            </w:r>
            <w:r>
              <w:rPr>
                <w:rFonts w:hint="default" w:ascii="Times New Roman" w:hAnsi="Times New Roman" w:eastAsia="宋体" w:cs="Times New Roman"/>
                <w:color w:val="auto"/>
                <w:highlight w:val="none"/>
                <w:shd w:val="clear"/>
              </w:rPr>
              <w:t>疾病预防、诊治</w:t>
            </w:r>
            <w:r>
              <w:rPr>
                <w:rFonts w:hint="default" w:ascii="Times New Roman" w:hAnsi="Times New Roman" w:eastAsia="宋体" w:cs="Times New Roman"/>
                <w:color w:val="auto"/>
                <w:highlight w:val="none"/>
                <w:shd w:val="clear"/>
                <w:lang w:val="en-US" w:eastAsia="zh-CN"/>
              </w:rPr>
              <w:t>，</w:t>
            </w:r>
            <w:r>
              <w:rPr>
                <w:rFonts w:hint="eastAsia" w:cs="Times New Roman"/>
                <w:color w:val="auto"/>
                <w:highlight w:val="none"/>
                <w:shd w:val="clear"/>
                <w:lang w:val="en-US" w:eastAsia="zh-CN"/>
              </w:rPr>
              <w:t>宠物美容洗护，</w:t>
            </w:r>
            <w:r>
              <w:rPr>
                <w:rFonts w:hint="default" w:ascii="Times New Roman" w:hAnsi="Times New Roman" w:cs="Times New Roman"/>
                <w:color w:val="auto"/>
                <w:highlight w:val="none"/>
                <w:shd w:val="clear"/>
                <w:lang w:val="en-US" w:eastAsia="zh-CN"/>
              </w:rPr>
              <w:t>手术（不</w:t>
            </w:r>
            <w:r>
              <w:rPr>
                <w:rFonts w:hint="default" w:ascii="Times New Roman" w:hAnsi="Times New Roman" w:cs="Times New Roman"/>
                <w:color w:val="auto"/>
                <w:sz w:val="24"/>
                <w:szCs w:val="24"/>
                <w:highlight w:val="none"/>
                <w:shd w:val="clear"/>
                <w:lang w:val="en-US" w:eastAsia="zh-CN"/>
              </w:rPr>
              <w:t>含</w:t>
            </w:r>
            <w:r>
              <w:rPr>
                <w:rFonts w:hint="default" w:ascii="Times New Roman" w:hAnsi="Times New Roman" w:cs="Times New Roman"/>
                <w:color w:val="auto"/>
                <w:sz w:val="24"/>
                <w:szCs w:val="24"/>
                <w:highlight w:val="none"/>
                <w:shd w:val="clear"/>
              </w:rPr>
              <w:t>动物颅腔、胸腔及腹腔手术</w:t>
            </w:r>
            <w:r>
              <w:rPr>
                <w:rFonts w:hint="default" w:ascii="Times New Roman" w:hAnsi="Times New Roman" w:cs="Times New Roman"/>
                <w:color w:val="auto"/>
                <w:sz w:val="24"/>
                <w:szCs w:val="24"/>
                <w:highlight w:val="none"/>
                <w:shd w:val="clear"/>
                <w:lang w:val="en-US" w:eastAsia="zh-CN"/>
              </w:rPr>
              <w:t>）</w:t>
            </w:r>
            <w:r>
              <w:rPr>
                <w:rFonts w:hint="default" w:ascii="Times New Roman" w:hAnsi="Times New Roman" w:eastAsia="宋体" w:cs="Times New Roman"/>
                <w:color w:val="auto"/>
                <w:highlight w:val="none"/>
                <w:shd w:val="clear"/>
                <w:lang w:val="en-US" w:eastAsia="zh-CN"/>
              </w:rPr>
              <w:t>和宠物用品销售等服务</w:t>
            </w:r>
            <w:r>
              <w:rPr>
                <w:rFonts w:hint="default" w:ascii="Times New Roman" w:hAnsi="Times New Roman" w:eastAsia="宋体" w:cs="Times New Roman"/>
                <w:color w:val="auto"/>
                <w:highlight w:val="none"/>
                <w:lang w:val="en-US" w:eastAsia="zh-CN"/>
              </w:rPr>
              <w:t>（以下简称</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现有项目</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kern w:val="0"/>
                <w:highlight w:val="none"/>
                <w:shd w:val="clear"/>
              </w:rPr>
              <w:t>。</w:t>
            </w:r>
          </w:p>
          <w:p w14:paraId="5E076C85">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现有项目</w:t>
            </w:r>
            <w:r>
              <w:rPr>
                <w:rFonts w:hint="default" w:ascii="Times New Roman" w:hAnsi="Times New Roman" w:cs="Times New Roman"/>
                <w:color w:val="auto"/>
                <w:highlight w:val="none"/>
                <w:lang w:eastAsia="zh-CN"/>
              </w:rPr>
              <w:t>已取得主管部门核发的</w:t>
            </w:r>
            <w:r>
              <w:rPr>
                <w:rFonts w:hint="default" w:ascii="Times New Roman" w:hAnsi="Times New Roman" w:cs="Times New Roman"/>
                <w:color w:val="auto"/>
                <w:highlight w:val="none"/>
                <w:lang w:val="en-US" w:eastAsia="zh-CN"/>
              </w:rPr>
              <w:t>动物</w:t>
            </w:r>
            <w:r>
              <w:rPr>
                <w:rFonts w:hint="default" w:ascii="Times New Roman" w:hAnsi="Times New Roman" w:cs="Times New Roman"/>
                <w:color w:val="auto"/>
                <w:highlight w:val="none"/>
                <w:lang w:eastAsia="zh-CN"/>
              </w:rPr>
              <w:t>诊疗许可证（</w:t>
            </w:r>
            <w:r>
              <w:rPr>
                <w:rFonts w:hint="default" w:ascii="Times New Roman" w:hAnsi="Times New Roman" w:cs="Times New Roman"/>
                <w:color w:val="auto"/>
                <w:highlight w:val="none"/>
                <w:lang w:val="en-US" w:eastAsia="zh-CN"/>
              </w:rPr>
              <w:t>见附件</w:t>
            </w:r>
            <w:r>
              <w:rPr>
                <w:rFonts w:hint="eastAsia"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现有项目于20</w:t>
            </w:r>
            <w:r>
              <w:rPr>
                <w:rFonts w:hint="eastAsia"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月投产运营，属于其他动物诊疗机构，不纳入环境影响评价管理。现因宠物医院的发展需要和客户的需求，医院</w:t>
            </w:r>
            <w:r>
              <w:rPr>
                <w:rFonts w:hint="default" w:ascii="Times New Roman" w:hAnsi="Times New Roman" w:cs="Times New Roman"/>
                <w:color w:val="auto"/>
                <w:highlight w:val="none"/>
                <w:lang w:val="en-US" w:eastAsia="zh-CN"/>
              </w:rPr>
              <w:t>拟</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原有服务</w:t>
            </w:r>
            <w:r>
              <w:rPr>
                <w:rFonts w:hint="default" w:ascii="Times New Roman" w:hAnsi="Times New Roman" w:cs="Times New Roman"/>
                <w:color w:val="auto"/>
                <w:highlight w:val="none"/>
              </w:rPr>
              <w:t>范围中增设动物颅腔、胸腔和腹腔手术</w:t>
            </w:r>
            <w:r>
              <w:rPr>
                <w:rFonts w:hint="default" w:ascii="Times New Roman" w:hAnsi="Times New Roman" w:cs="Times New Roman"/>
                <w:color w:val="auto"/>
                <w:highlight w:val="none"/>
                <w:lang w:val="en-US" w:eastAsia="zh-CN"/>
              </w:rPr>
              <w:t>等服务</w:t>
            </w:r>
            <w:r>
              <w:rPr>
                <w:rFonts w:hint="default" w:ascii="Times New Roman" w:hAnsi="Times New Roman" w:eastAsia="宋体" w:cs="Times New Roman"/>
                <w:color w:val="auto"/>
                <w:highlight w:val="none"/>
                <w:lang w:val="en-US" w:eastAsia="zh-CN"/>
              </w:rPr>
              <w:t>（以下简称</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本</w:t>
            </w:r>
            <w:r>
              <w:rPr>
                <w:rFonts w:hint="eastAsia" w:cs="Times New Roman"/>
                <w:color w:val="auto"/>
                <w:highlight w:val="none"/>
                <w:lang w:val="en-US" w:eastAsia="zh-CN"/>
              </w:rPr>
              <w:t>项目</w:t>
            </w:r>
            <w:r>
              <w:rPr>
                <w:rFonts w:hint="default" w:ascii="Times New Roman" w:hAnsi="Times New Roman" w:cs="Times New Roman"/>
                <w:color w:val="auto"/>
                <w:highlight w:val="none"/>
              </w:rPr>
              <w:t>医院门诊接收的为常见宠物，如犬类、猫类等，不接收瘟犬以及其他带传染病的动物</w:t>
            </w:r>
            <w:r>
              <w:rPr>
                <w:rFonts w:hint="eastAsia" w:cs="Times New Roman"/>
                <w:color w:val="auto"/>
                <w:highlight w:val="none"/>
                <w:lang w:eastAsia="zh-CN"/>
              </w:rPr>
              <w:t>，</w:t>
            </w:r>
            <w:r>
              <w:rPr>
                <w:rFonts w:hint="eastAsia" w:cs="Times New Roman"/>
                <w:color w:val="auto"/>
                <w:highlight w:val="none"/>
                <w:lang w:val="en-US" w:eastAsia="zh-CN"/>
              </w:rPr>
              <w:t>不新增占地及建筑面积，</w:t>
            </w:r>
            <w:r>
              <w:rPr>
                <w:rFonts w:hint="default" w:ascii="Times New Roman" w:hAnsi="Times New Roman" w:cs="Times New Roman"/>
                <w:color w:val="auto"/>
                <w:highlight w:val="none"/>
              </w:rPr>
              <w:t>依托现有。</w:t>
            </w:r>
          </w:p>
          <w:p w14:paraId="69501427">
            <w:pPr>
              <w:pStyle w:val="19"/>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表2-1  扩建前后项目</w:t>
            </w:r>
            <w:r>
              <w:rPr>
                <w:rFonts w:hint="default" w:ascii="Times New Roman" w:hAnsi="Times New Roman" w:cs="Times New Roman"/>
                <w:b/>
                <w:bCs/>
                <w:color w:val="auto"/>
                <w:highlight w:val="none"/>
                <w:lang w:val="en-US" w:eastAsia="zh-CN"/>
              </w:rPr>
              <w:t>运营情况</w:t>
            </w:r>
            <w:r>
              <w:rPr>
                <w:rFonts w:hint="default" w:ascii="Times New Roman" w:hAnsi="Times New Roman" w:cs="Times New Roman"/>
                <w:b/>
                <w:bCs/>
                <w:color w:val="auto"/>
                <w:highlight w:val="none"/>
              </w:rPr>
              <w:t>一览表</w:t>
            </w:r>
          </w:p>
          <w:tbl>
            <w:tblPr>
              <w:tblStyle w:val="51"/>
              <w:tblW w:w="8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41"/>
              <w:gridCol w:w="2314"/>
              <w:gridCol w:w="1463"/>
              <w:gridCol w:w="1837"/>
              <w:gridCol w:w="1479"/>
            </w:tblGrid>
            <w:tr w14:paraId="337D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64" w:type="dxa"/>
                  <w:tcBorders>
                    <w:top w:val="single" w:color="auto" w:sz="12" w:space="0"/>
                    <w:left w:val="nil"/>
                    <w:bottom w:val="single" w:color="auto" w:sz="4" w:space="0"/>
                    <w:right w:val="single" w:color="auto" w:sz="4" w:space="0"/>
                  </w:tcBorders>
                </w:tcPr>
                <w:p w14:paraId="56E3EFC7">
                  <w:pPr>
                    <w:pStyle w:val="19"/>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741" w:type="dxa"/>
                  <w:tcBorders>
                    <w:top w:val="single" w:color="auto" w:sz="12" w:space="0"/>
                    <w:left w:val="single" w:color="auto" w:sz="4" w:space="0"/>
                    <w:bottom w:val="single" w:color="auto" w:sz="4" w:space="0"/>
                    <w:right w:val="single" w:color="auto" w:sz="4" w:space="0"/>
                  </w:tcBorders>
                </w:tcPr>
                <w:p w14:paraId="4D08AB11">
                  <w:pPr>
                    <w:pStyle w:val="19"/>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2314" w:type="dxa"/>
                  <w:tcBorders>
                    <w:top w:val="single" w:color="auto" w:sz="12" w:space="0"/>
                    <w:left w:val="single" w:color="auto" w:sz="4" w:space="0"/>
                    <w:bottom w:val="single" w:color="auto" w:sz="4" w:space="0"/>
                    <w:right w:val="single" w:color="auto" w:sz="4" w:space="0"/>
                  </w:tcBorders>
                </w:tcPr>
                <w:p w14:paraId="3C48F8C2">
                  <w:pPr>
                    <w:pStyle w:val="19"/>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现有项目</w:t>
                  </w:r>
                </w:p>
              </w:tc>
              <w:tc>
                <w:tcPr>
                  <w:tcW w:w="1463" w:type="dxa"/>
                  <w:tcBorders>
                    <w:top w:val="single" w:color="auto" w:sz="12" w:space="0"/>
                    <w:left w:val="single" w:color="auto" w:sz="4" w:space="0"/>
                    <w:bottom w:val="single" w:color="auto" w:sz="4" w:space="0"/>
                    <w:right w:val="single" w:color="auto" w:sz="4" w:space="0"/>
                  </w:tcBorders>
                </w:tcPr>
                <w:p w14:paraId="4934CF35">
                  <w:pPr>
                    <w:pStyle w:val="19"/>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w:t>
                  </w:r>
                </w:p>
              </w:tc>
              <w:tc>
                <w:tcPr>
                  <w:tcW w:w="1837" w:type="dxa"/>
                  <w:tcBorders>
                    <w:top w:val="single" w:color="auto" w:sz="12" w:space="0"/>
                    <w:left w:val="single" w:color="auto" w:sz="4" w:space="0"/>
                    <w:bottom w:val="single" w:color="auto" w:sz="4" w:space="0"/>
                    <w:right w:val="single" w:color="auto" w:sz="4" w:space="0"/>
                  </w:tcBorders>
                </w:tcPr>
                <w:p w14:paraId="6DC4B265">
                  <w:pPr>
                    <w:pStyle w:val="19"/>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扩建后项目</w:t>
                  </w:r>
                </w:p>
              </w:tc>
              <w:tc>
                <w:tcPr>
                  <w:tcW w:w="1479" w:type="dxa"/>
                  <w:tcBorders>
                    <w:top w:val="single" w:color="auto" w:sz="12" w:space="0"/>
                    <w:left w:val="single" w:color="auto" w:sz="4" w:space="0"/>
                    <w:bottom w:val="single" w:color="auto" w:sz="4" w:space="0"/>
                    <w:right w:val="nil"/>
                  </w:tcBorders>
                </w:tcPr>
                <w:p w14:paraId="12CB7C05">
                  <w:pPr>
                    <w:pStyle w:val="19"/>
                    <w:spacing w:after="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变化情况</w:t>
                  </w:r>
                </w:p>
              </w:tc>
            </w:tr>
            <w:tr w14:paraId="45D9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nil"/>
                    <w:bottom w:val="single" w:color="auto" w:sz="4" w:space="0"/>
                    <w:right w:val="single" w:color="auto" w:sz="4" w:space="0"/>
                  </w:tcBorders>
                </w:tcPr>
                <w:p w14:paraId="5792F3DA">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员工总数</w:t>
                  </w:r>
                </w:p>
              </w:tc>
              <w:tc>
                <w:tcPr>
                  <w:tcW w:w="741" w:type="dxa"/>
                  <w:tcBorders>
                    <w:top w:val="single" w:color="auto" w:sz="4" w:space="0"/>
                    <w:left w:val="single" w:color="auto" w:sz="4" w:space="0"/>
                    <w:bottom w:val="single" w:color="auto" w:sz="4" w:space="0"/>
                    <w:right w:val="single" w:color="auto" w:sz="4" w:space="0"/>
                  </w:tcBorders>
                </w:tcPr>
                <w:p w14:paraId="0880585D">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2314" w:type="dxa"/>
                  <w:tcBorders>
                    <w:top w:val="single" w:color="auto" w:sz="4" w:space="0"/>
                    <w:left w:val="single" w:color="auto" w:sz="4" w:space="0"/>
                    <w:bottom w:val="single" w:color="auto" w:sz="4" w:space="0"/>
                    <w:right w:val="single" w:color="auto" w:sz="4" w:space="0"/>
                  </w:tcBorders>
                </w:tcPr>
                <w:p w14:paraId="2792064D">
                  <w:pPr>
                    <w:pStyle w:val="19"/>
                    <w:spacing w:after="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463" w:type="dxa"/>
                  <w:tcBorders>
                    <w:top w:val="single" w:color="auto" w:sz="4" w:space="0"/>
                    <w:left w:val="single" w:color="auto" w:sz="4" w:space="0"/>
                    <w:bottom w:val="single" w:color="auto" w:sz="4" w:space="0"/>
                    <w:right w:val="single" w:color="auto" w:sz="4" w:space="0"/>
                  </w:tcBorders>
                </w:tcPr>
                <w:p w14:paraId="418AA81E">
                  <w:pPr>
                    <w:pStyle w:val="19"/>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w:t>
                  </w:r>
                </w:p>
              </w:tc>
              <w:tc>
                <w:tcPr>
                  <w:tcW w:w="1837" w:type="dxa"/>
                  <w:tcBorders>
                    <w:top w:val="single" w:color="auto" w:sz="4" w:space="0"/>
                    <w:left w:val="single" w:color="auto" w:sz="4" w:space="0"/>
                    <w:bottom w:val="single" w:color="auto" w:sz="4" w:space="0"/>
                    <w:right w:val="single" w:color="auto" w:sz="4" w:space="0"/>
                  </w:tcBorders>
                </w:tcPr>
                <w:p w14:paraId="58D35DEA">
                  <w:pPr>
                    <w:pStyle w:val="19"/>
                    <w:spacing w:after="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479" w:type="dxa"/>
                  <w:tcBorders>
                    <w:top w:val="single" w:color="auto" w:sz="4" w:space="0"/>
                    <w:left w:val="single" w:color="auto" w:sz="4" w:space="0"/>
                    <w:bottom w:val="single" w:color="auto" w:sz="4" w:space="0"/>
                    <w:right w:val="nil"/>
                  </w:tcBorders>
                </w:tcPr>
                <w:p w14:paraId="27070C2A">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无变化</w:t>
                  </w:r>
                </w:p>
              </w:tc>
            </w:tr>
            <w:tr w14:paraId="26A0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nil"/>
                    <w:bottom w:val="single" w:color="auto" w:sz="4" w:space="0"/>
                    <w:right w:val="single" w:color="auto" w:sz="4" w:space="0"/>
                  </w:tcBorders>
                </w:tcPr>
                <w:p w14:paraId="60F15C13">
                  <w:pPr>
                    <w:pStyle w:val="19"/>
                    <w:spacing w:beforeLines="100"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宠物接诊量</w:t>
                  </w:r>
                </w:p>
              </w:tc>
              <w:tc>
                <w:tcPr>
                  <w:tcW w:w="741" w:type="dxa"/>
                  <w:tcBorders>
                    <w:top w:val="single" w:color="auto" w:sz="4" w:space="0"/>
                    <w:left w:val="single" w:color="auto" w:sz="4" w:space="0"/>
                    <w:bottom w:val="single" w:color="auto" w:sz="4" w:space="0"/>
                    <w:right w:val="single" w:color="auto" w:sz="4" w:space="0"/>
                  </w:tcBorders>
                </w:tcPr>
                <w:p w14:paraId="09BB3F99">
                  <w:pPr>
                    <w:pStyle w:val="19"/>
                    <w:spacing w:beforeLines="100"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只/天</w:t>
                  </w:r>
                </w:p>
              </w:tc>
              <w:tc>
                <w:tcPr>
                  <w:tcW w:w="2314" w:type="dxa"/>
                  <w:tcBorders>
                    <w:top w:val="single" w:color="auto" w:sz="4" w:space="0"/>
                    <w:left w:val="single" w:color="auto" w:sz="4" w:space="0"/>
                    <w:bottom w:val="single" w:color="auto" w:sz="4" w:space="0"/>
                    <w:right w:val="single" w:color="auto" w:sz="4" w:space="0"/>
                  </w:tcBorders>
                </w:tcPr>
                <w:p w14:paraId="7440693A">
                  <w:pPr>
                    <w:pStyle w:val="19"/>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平均接待宠物</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5只/天</w:t>
                  </w:r>
                </w:p>
              </w:tc>
              <w:tc>
                <w:tcPr>
                  <w:tcW w:w="1463" w:type="dxa"/>
                  <w:tcBorders>
                    <w:top w:val="single" w:color="auto" w:sz="4" w:space="0"/>
                    <w:left w:val="single" w:color="auto" w:sz="4" w:space="0"/>
                    <w:bottom w:val="single" w:color="auto" w:sz="4" w:space="0"/>
                    <w:right w:val="single" w:color="auto" w:sz="4" w:space="0"/>
                  </w:tcBorders>
                </w:tcPr>
                <w:p w14:paraId="47DEA8D8">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r>
                    <w:rPr>
                      <w:rFonts w:hint="default" w:ascii="Times New Roman" w:hAnsi="Times New Roman" w:cs="Times New Roman"/>
                      <w:color w:val="auto"/>
                      <w:sz w:val="21"/>
                      <w:szCs w:val="21"/>
                      <w:highlight w:val="none"/>
                      <w:lang w:val="en-US" w:eastAsia="zh-CN"/>
                    </w:rPr>
                    <w:t>接待宠物</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只/天</w:t>
                  </w:r>
                </w:p>
              </w:tc>
              <w:tc>
                <w:tcPr>
                  <w:tcW w:w="1837" w:type="dxa"/>
                  <w:tcBorders>
                    <w:top w:val="single" w:color="auto" w:sz="4" w:space="0"/>
                    <w:left w:val="single" w:color="auto" w:sz="4" w:space="0"/>
                    <w:bottom w:val="single" w:color="auto" w:sz="4" w:space="0"/>
                    <w:right w:val="single" w:color="auto" w:sz="4" w:space="0"/>
                  </w:tcBorders>
                </w:tcPr>
                <w:p w14:paraId="33B32246">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平均接待宠物</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只</w:t>
                  </w:r>
                  <w:r>
                    <w:rPr>
                      <w:rFonts w:hint="default" w:ascii="Times New Roman" w:hAnsi="Times New Roman" w:cs="Times New Roman"/>
                      <w:color w:val="auto"/>
                      <w:sz w:val="21"/>
                      <w:szCs w:val="21"/>
                      <w:highlight w:val="none"/>
                      <w:lang w:val="en-US" w:eastAsia="zh-CN"/>
                    </w:rPr>
                    <w:t>/天</w:t>
                  </w:r>
                </w:p>
              </w:tc>
              <w:tc>
                <w:tcPr>
                  <w:tcW w:w="1479" w:type="dxa"/>
                  <w:tcBorders>
                    <w:top w:val="single" w:color="auto" w:sz="4" w:space="0"/>
                    <w:left w:val="single" w:color="auto" w:sz="4" w:space="0"/>
                    <w:bottom w:val="single" w:color="auto" w:sz="4" w:space="0"/>
                    <w:right w:val="nil"/>
                  </w:tcBorders>
                </w:tcPr>
                <w:p w14:paraId="3AF04BBB">
                  <w:pPr>
                    <w:pStyle w:val="19"/>
                    <w:spacing w:beforeLines="50"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r>
                    <w:rPr>
                      <w:rFonts w:hint="default" w:ascii="Times New Roman" w:hAnsi="Times New Roman" w:cs="Times New Roman"/>
                      <w:color w:val="auto"/>
                      <w:sz w:val="21"/>
                      <w:szCs w:val="21"/>
                      <w:highlight w:val="none"/>
                      <w:lang w:val="en-US" w:eastAsia="zh-CN"/>
                    </w:rPr>
                    <w:t>接待宠物</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只/天</w:t>
                  </w:r>
                </w:p>
              </w:tc>
            </w:tr>
            <w:tr w14:paraId="27B6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nil"/>
                    <w:bottom w:val="single" w:color="auto" w:sz="12" w:space="0"/>
                    <w:right w:val="single" w:color="auto" w:sz="4" w:space="0"/>
                  </w:tcBorders>
                </w:tcPr>
                <w:p w14:paraId="7A7B4E2A">
                  <w:pPr>
                    <w:pStyle w:val="19"/>
                    <w:keepNext w:val="0"/>
                    <w:keepLines w:val="0"/>
                    <w:pageBreakBefore w:val="0"/>
                    <w:widowControl w:val="0"/>
                    <w:kinsoku/>
                    <w:wordWrap/>
                    <w:overflowPunct/>
                    <w:topLinePunct w:val="0"/>
                    <w:autoSpaceDE/>
                    <w:autoSpaceDN/>
                    <w:bidi w:val="0"/>
                    <w:adjustRightInd/>
                    <w:snapToGrid/>
                    <w:spacing w:before="919" w:beforeLines="250" w:after="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经营范围</w:t>
                  </w:r>
                </w:p>
              </w:tc>
              <w:tc>
                <w:tcPr>
                  <w:tcW w:w="741" w:type="dxa"/>
                  <w:tcBorders>
                    <w:top w:val="single" w:color="auto" w:sz="4" w:space="0"/>
                    <w:left w:val="single" w:color="auto" w:sz="4" w:space="0"/>
                    <w:bottom w:val="single" w:color="auto" w:sz="12" w:space="0"/>
                    <w:right w:val="single" w:color="auto" w:sz="4" w:space="0"/>
                  </w:tcBorders>
                </w:tcPr>
                <w:p w14:paraId="3F550A2E">
                  <w:pPr>
                    <w:pStyle w:val="19"/>
                    <w:keepNext w:val="0"/>
                    <w:keepLines w:val="0"/>
                    <w:pageBreakBefore w:val="0"/>
                    <w:widowControl w:val="0"/>
                    <w:kinsoku/>
                    <w:wordWrap/>
                    <w:overflowPunct/>
                    <w:topLinePunct w:val="0"/>
                    <w:autoSpaceDE/>
                    <w:autoSpaceDN/>
                    <w:bidi w:val="0"/>
                    <w:adjustRightInd/>
                    <w:snapToGrid/>
                    <w:spacing w:before="919" w:beforeLines="250" w:after="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4" w:type="dxa"/>
                  <w:tcBorders>
                    <w:top w:val="single" w:color="auto" w:sz="4" w:space="0"/>
                    <w:left w:val="single" w:color="auto" w:sz="4" w:space="0"/>
                    <w:bottom w:val="single" w:color="auto" w:sz="12" w:space="0"/>
                    <w:right w:val="single" w:color="auto" w:sz="4" w:space="0"/>
                  </w:tcBorders>
                </w:tcPr>
                <w:p w14:paraId="17D8834D">
                  <w:pPr>
                    <w:pStyle w:val="19"/>
                    <w:spacing w:after="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动物</w:t>
                  </w:r>
                  <w:r>
                    <w:rPr>
                      <w:rFonts w:hint="default" w:ascii="Times New Roman" w:hAnsi="Times New Roman" w:cs="Times New Roman"/>
                      <w:color w:val="auto"/>
                      <w:sz w:val="21"/>
                      <w:szCs w:val="21"/>
                      <w:highlight w:val="none"/>
                      <w:lang w:val="en-US"/>
                    </w:rPr>
                    <w:t>疾病预防、诊治</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宠物美容洗护，</w:t>
                  </w:r>
                  <w:r>
                    <w:rPr>
                      <w:rFonts w:hint="default" w:ascii="Times New Roman" w:hAnsi="Times New Roman" w:cs="Times New Roman"/>
                      <w:color w:val="auto"/>
                      <w:sz w:val="21"/>
                      <w:szCs w:val="21"/>
                      <w:highlight w:val="none"/>
                      <w:lang w:val="en-US" w:eastAsia="zh-CN"/>
                    </w:rPr>
                    <w:t>手术（不含</w:t>
                  </w:r>
                  <w:r>
                    <w:rPr>
                      <w:rFonts w:hint="default" w:ascii="Times New Roman" w:hAnsi="Times New Roman" w:cs="Times New Roman"/>
                      <w:color w:val="auto"/>
                      <w:sz w:val="21"/>
                      <w:szCs w:val="21"/>
                      <w:highlight w:val="none"/>
                    </w:rPr>
                    <w:t>动物颅腔、胸腔及腹腔手术</w:t>
                  </w:r>
                  <w:r>
                    <w:rPr>
                      <w:rFonts w:hint="default" w:ascii="Times New Roman" w:hAnsi="Times New Roman" w:cs="Times New Roman"/>
                      <w:color w:val="auto"/>
                      <w:sz w:val="21"/>
                      <w:szCs w:val="21"/>
                      <w:highlight w:val="none"/>
                      <w:lang w:val="en-US" w:eastAsia="zh-CN"/>
                    </w:rPr>
                    <w:t>）和宠物用品销售</w:t>
                  </w:r>
                </w:p>
              </w:tc>
              <w:tc>
                <w:tcPr>
                  <w:tcW w:w="1463" w:type="dxa"/>
                  <w:tcBorders>
                    <w:top w:val="single" w:color="auto" w:sz="4" w:space="0"/>
                    <w:left w:val="single" w:color="auto" w:sz="4" w:space="0"/>
                    <w:bottom w:val="single" w:color="auto" w:sz="12" w:space="0"/>
                    <w:right w:val="single" w:color="auto" w:sz="4" w:space="0"/>
                  </w:tcBorders>
                </w:tcPr>
                <w:p w14:paraId="2D70CD39">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新增动物颅腔、胸腔及腹腔手术</w:t>
                  </w:r>
                </w:p>
              </w:tc>
              <w:tc>
                <w:tcPr>
                  <w:tcW w:w="1837" w:type="dxa"/>
                  <w:tcBorders>
                    <w:top w:val="single" w:color="auto" w:sz="4" w:space="0"/>
                    <w:left w:val="single" w:color="auto" w:sz="4" w:space="0"/>
                    <w:bottom w:val="single" w:color="auto" w:sz="12" w:space="0"/>
                    <w:right w:val="single" w:color="auto" w:sz="4" w:space="0"/>
                  </w:tcBorders>
                </w:tcPr>
                <w:p w14:paraId="30F9740D">
                  <w:pPr>
                    <w:pStyle w:val="19"/>
                    <w:spacing w:after="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动物</w:t>
                  </w:r>
                  <w:r>
                    <w:rPr>
                      <w:rFonts w:hint="default" w:ascii="Times New Roman" w:hAnsi="Times New Roman" w:cs="Times New Roman"/>
                      <w:color w:val="auto"/>
                      <w:sz w:val="21"/>
                      <w:szCs w:val="21"/>
                      <w:highlight w:val="none"/>
                      <w:lang w:val="en-US"/>
                    </w:rPr>
                    <w:t>疾病预防、诊治</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宠物美容洗护，</w:t>
                  </w:r>
                  <w:r>
                    <w:rPr>
                      <w:rFonts w:hint="default" w:ascii="Times New Roman" w:hAnsi="Times New Roman" w:cs="Times New Roman"/>
                      <w:color w:val="auto"/>
                      <w:sz w:val="21"/>
                      <w:szCs w:val="21"/>
                      <w:highlight w:val="none"/>
                      <w:lang w:val="en-US" w:eastAsia="zh-CN"/>
                    </w:rPr>
                    <w:t>手术（含</w:t>
                  </w:r>
                  <w:r>
                    <w:rPr>
                      <w:rFonts w:hint="default" w:ascii="Times New Roman" w:hAnsi="Times New Roman" w:cs="Times New Roman"/>
                      <w:color w:val="auto"/>
                      <w:sz w:val="21"/>
                      <w:szCs w:val="21"/>
                      <w:highlight w:val="none"/>
                    </w:rPr>
                    <w:t>动物颅腔、胸腔及腹腔手术</w:t>
                  </w:r>
                  <w:r>
                    <w:rPr>
                      <w:rFonts w:hint="default" w:ascii="Times New Roman" w:hAnsi="Times New Roman" w:cs="Times New Roman"/>
                      <w:color w:val="auto"/>
                      <w:sz w:val="21"/>
                      <w:szCs w:val="21"/>
                      <w:highlight w:val="none"/>
                      <w:lang w:val="en-US" w:eastAsia="zh-CN"/>
                    </w:rPr>
                    <w:t>）和宠物用品销售</w:t>
                  </w:r>
                </w:p>
              </w:tc>
              <w:tc>
                <w:tcPr>
                  <w:tcW w:w="1479" w:type="dxa"/>
                  <w:tcBorders>
                    <w:top w:val="single" w:color="auto" w:sz="4" w:space="0"/>
                    <w:left w:val="single" w:color="auto" w:sz="4" w:space="0"/>
                    <w:bottom w:val="single" w:color="auto" w:sz="12" w:space="0"/>
                    <w:right w:val="nil"/>
                  </w:tcBorders>
                </w:tcPr>
                <w:p w14:paraId="3759A65D">
                  <w:pPr>
                    <w:pStyle w:val="19"/>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新增动物颅腔、胸腔及腹腔手术</w:t>
                  </w:r>
                </w:p>
              </w:tc>
            </w:tr>
          </w:tbl>
          <w:p w14:paraId="2D0379B0">
            <w:pPr>
              <w:pStyle w:val="12"/>
              <w:rPr>
                <w:rFonts w:hint="default"/>
              </w:rPr>
            </w:pPr>
          </w:p>
          <w:p w14:paraId="20E4108B">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根据《中华人民共和国环境影响评价法》、《建设项目环境保护管理条例》、《建设项目环境影响评价分类管理名录》（2021年1月1日起实施）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本项目属于</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五十、社会事业与服务业，123、动物医院——设有动物颅腔、胸腔或腹腔手术设施的</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（详见表2-</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），该项目需编制环境影响报告表报生态环境部门审批</w:t>
            </w:r>
            <w:r>
              <w:rPr>
                <w:rFonts w:hint="default" w:ascii="Times New Roman" w:hAnsi="Times New Roman" w:cs="Times New Roman"/>
                <w:color w:val="auto"/>
                <w:highlight w:val="none"/>
              </w:rPr>
              <w:t>。因此，建设单位委托本环评单位编制该项目的环境影响报告表（委托书</w:t>
            </w:r>
            <w:r>
              <w:rPr>
                <w:rFonts w:hint="default" w:ascii="Times New Roman" w:hAnsi="Times New Roman" w:cs="Times New Roman"/>
                <w:color w:val="auto"/>
                <w:highlight w:val="none"/>
                <w:lang w:val="en-US" w:eastAsia="zh-CN"/>
              </w:rPr>
              <w:t>见</w:t>
            </w:r>
            <w:r>
              <w:rPr>
                <w:rFonts w:hint="default" w:ascii="Times New Roman" w:hAnsi="Times New Roman" w:cs="Times New Roman"/>
                <w:color w:val="auto"/>
                <w:highlight w:val="none"/>
              </w:rPr>
              <w:t>附件1）。本环评单位接受委托后，派技术人员踏勘现场和收集有关资料，并依照相关规定编写报告表，供建设单位报</w:t>
            </w:r>
            <w:r>
              <w:rPr>
                <w:rFonts w:hint="default" w:ascii="Times New Roman" w:hAnsi="Times New Roman" w:cs="Times New Roman"/>
                <w:color w:val="auto"/>
                <w:highlight w:val="none"/>
                <w:lang w:val="en-US" w:eastAsia="zh-CN"/>
              </w:rPr>
              <w:t>生态环境</w:t>
            </w:r>
            <w:r>
              <w:rPr>
                <w:rFonts w:hint="default" w:ascii="Times New Roman" w:hAnsi="Times New Roman" w:cs="Times New Roman"/>
                <w:color w:val="auto"/>
                <w:highlight w:val="none"/>
              </w:rPr>
              <w:t>主管部门审批和作为污染防治设施建设的依据。</w:t>
            </w:r>
          </w:p>
          <w:p w14:paraId="5471413D">
            <w:pPr>
              <w:pStyle w:val="200"/>
              <w:spacing w:line="240" w:lineRule="auto"/>
              <w:rPr>
                <w:rFonts w:hint="default" w:ascii="Times New Roman" w:hAnsi="Times New Roman" w:cs="Times New Roman"/>
                <w:bCs/>
                <w:color w:val="auto"/>
                <w:szCs w:val="24"/>
                <w:highlight w:val="none"/>
                <w:lang w:bidi="zh-TW"/>
              </w:rPr>
            </w:pPr>
            <w:r>
              <w:rPr>
                <w:rFonts w:hint="default" w:ascii="Times New Roman" w:hAnsi="Times New Roman" w:cs="Times New Roman"/>
                <w:bCs/>
                <w:color w:val="auto"/>
                <w:szCs w:val="24"/>
                <w:highlight w:val="none"/>
                <w:lang w:bidi="zh-TW"/>
              </w:rPr>
              <w:t>表2-</w:t>
            </w:r>
            <w:r>
              <w:rPr>
                <w:rFonts w:hint="eastAsia" w:ascii="Times New Roman" w:hAnsi="Times New Roman" w:cs="Times New Roman"/>
                <w:bCs/>
                <w:color w:val="auto"/>
                <w:szCs w:val="24"/>
                <w:highlight w:val="none"/>
                <w:lang w:val="en-US" w:eastAsia="zh-CN" w:bidi="zh-TW"/>
              </w:rPr>
              <w:t>2</w:t>
            </w:r>
            <w:r>
              <w:rPr>
                <w:rFonts w:hint="default" w:ascii="Times New Roman" w:hAnsi="Times New Roman" w:cs="Times New Roman"/>
                <w:bCs/>
                <w:color w:val="auto"/>
                <w:szCs w:val="24"/>
                <w:highlight w:val="none"/>
                <w:lang w:bidi="zh-TW"/>
              </w:rPr>
              <w:t xml:space="preserve">  建设项目环境影响评价分类管理目录</w:t>
            </w:r>
          </w:p>
          <w:tbl>
            <w:tblPr>
              <w:tblStyle w:val="50"/>
              <w:tblW w:w="86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06"/>
              <w:gridCol w:w="2135"/>
              <w:gridCol w:w="908"/>
              <w:gridCol w:w="2439"/>
              <w:gridCol w:w="1208"/>
            </w:tblGrid>
            <w:tr w14:paraId="7613AB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06" w:type="dxa"/>
                  <w:tcBorders>
                    <w:left w:val="nil"/>
                    <w:bottom w:val="single" w:color="000000" w:sz="4" w:space="0"/>
                    <w:right w:val="single" w:color="000000" w:sz="4" w:space="0"/>
                  </w:tcBorders>
                  <w:vAlign w:val="center"/>
                </w:tcPr>
                <w:p w14:paraId="342C117F">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管理名录</w:t>
                  </w:r>
                </w:p>
              </w:tc>
              <w:tc>
                <w:tcPr>
                  <w:tcW w:w="2135" w:type="dxa"/>
                  <w:tcBorders>
                    <w:left w:val="single" w:color="000000" w:sz="4" w:space="0"/>
                    <w:right w:val="single" w:color="000000" w:sz="4" w:space="0"/>
                    <w:tl2br w:val="single" w:color="000000" w:sz="6" w:space="0"/>
                  </w:tcBorders>
                  <w:vAlign w:val="center"/>
                </w:tcPr>
                <w:p w14:paraId="4F0DE4AD">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环评类别</w:t>
                  </w:r>
                </w:p>
                <w:p w14:paraId="5482FBDC">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项目类别     </w:t>
                  </w:r>
                </w:p>
              </w:tc>
              <w:tc>
                <w:tcPr>
                  <w:tcW w:w="908" w:type="dxa"/>
                  <w:tcBorders>
                    <w:left w:val="single" w:color="000000" w:sz="4" w:space="0"/>
                    <w:right w:val="single" w:color="000000" w:sz="6" w:space="0"/>
                  </w:tcBorders>
                  <w:vAlign w:val="center"/>
                </w:tcPr>
                <w:p w14:paraId="094F1B0C">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报告书</w:t>
                  </w:r>
                </w:p>
              </w:tc>
              <w:tc>
                <w:tcPr>
                  <w:tcW w:w="2439" w:type="dxa"/>
                  <w:tcBorders>
                    <w:left w:val="single" w:color="000000" w:sz="6" w:space="0"/>
                    <w:right w:val="single" w:color="000000" w:sz="4" w:space="0"/>
                  </w:tcBorders>
                  <w:vAlign w:val="center"/>
                </w:tcPr>
                <w:p w14:paraId="77DC2628">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报告表</w:t>
                  </w:r>
                </w:p>
              </w:tc>
              <w:tc>
                <w:tcPr>
                  <w:tcW w:w="1208" w:type="dxa"/>
                  <w:tcBorders>
                    <w:left w:val="single" w:color="000000" w:sz="4" w:space="0"/>
                  </w:tcBorders>
                  <w:vAlign w:val="center"/>
                </w:tcPr>
                <w:p w14:paraId="03E4E965">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登记表</w:t>
                  </w:r>
                </w:p>
              </w:tc>
            </w:tr>
            <w:tr w14:paraId="719EB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006" w:type="dxa"/>
                  <w:vMerge w:val="restart"/>
                  <w:tcBorders>
                    <w:top w:val="single" w:color="000000" w:sz="4" w:space="0"/>
                    <w:left w:val="nil"/>
                    <w:right w:val="single" w:color="000000" w:sz="4" w:space="0"/>
                  </w:tcBorders>
                  <w:shd w:val="clear" w:color="FFFFFF" w:fill="auto"/>
                  <w:vAlign w:val="center"/>
                </w:tcPr>
                <w:p w14:paraId="513E2818">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《建设项目环境影响评价分类管理名录》（2021年1月1日起实施）</w:t>
                  </w:r>
                </w:p>
              </w:tc>
              <w:tc>
                <w:tcPr>
                  <w:tcW w:w="6690" w:type="dxa"/>
                  <w:gridSpan w:val="4"/>
                  <w:tcBorders>
                    <w:left w:val="single" w:color="000000" w:sz="4" w:space="0"/>
                  </w:tcBorders>
                  <w:shd w:val="clear" w:color="FFFFFF" w:fill="auto"/>
                  <w:vAlign w:val="center"/>
                </w:tcPr>
                <w:p w14:paraId="62B2945E">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五十、社会事业与服务业</w:t>
                  </w:r>
                </w:p>
              </w:tc>
            </w:tr>
            <w:tr w14:paraId="5A3920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2006" w:type="dxa"/>
                  <w:vMerge w:val="continue"/>
                  <w:tcBorders>
                    <w:left w:val="nil"/>
                    <w:right w:val="single" w:color="000000" w:sz="4" w:space="0"/>
                  </w:tcBorders>
                  <w:shd w:val="clear" w:color="FFFFFF" w:fill="auto"/>
                  <w:vAlign w:val="center"/>
                </w:tcPr>
                <w:p w14:paraId="10F66743">
                  <w:pPr>
                    <w:pStyle w:val="191"/>
                    <w:spacing w:line="240" w:lineRule="auto"/>
                    <w:rPr>
                      <w:rFonts w:hint="default" w:ascii="Times New Roman" w:hAnsi="Times New Roman" w:eastAsia="宋体" w:cs="Times New Roman"/>
                      <w:color w:val="auto"/>
                      <w:highlight w:val="none"/>
                    </w:rPr>
                  </w:pPr>
                </w:p>
              </w:tc>
              <w:tc>
                <w:tcPr>
                  <w:tcW w:w="2135" w:type="dxa"/>
                  <w:tcBorders>
                    <w:left w:val="single" w:color="000000" w:sz="4" w:space="0"/>
                    <w:right w:val="single" w:color="000000" w:sz="4" w:space="0"/>
                  </w:tcBorders>
                  <w:shd w:val="clear" w:color="FFFFFF" w:fill="auto"/>
                  <w:vAlign w:val="center"/>
                </w:tcPr>
                <w:p w14:paraId="32DC99C4">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123、动物医院</w:t>
                  </w:r>
                </w:p>
              </w:tc>
              <w:tc>
                <w:tcPr>
                  <w:tcW w:w="908" w:type="dxa"/>
                  <w:tcBorders>
                    <w:left w:val="single" w:color="000000" w:sz="4" w:space="0"/>
                    <w:right w:val="single" w:color="000000" w:sz="6" w:space="0"/>
                  </w:tcBorders>
                  <w:shd w:val="clear" w:color="FFFFFF" w:fill="auto"/>
                  <w:vAlign w:val="center"/>
                </w:tcPr>
                <w:p w14:paraId="1F4EF107">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39" w:type="dxa"/>
                  <w:tcBorders>
                    <w:left w:val="single" w:color="000000" w:sz="6" w:space="0"/>
                    <w:right w:val="single" w:color="000000" w:sz="4" w:space="0"/>
                  </w:tcBorders>
                  <w:shd w:val="clear" w:color="FFFFFF" w:fill="auto"/>
                  <w:vAlign w:val="center"/>
                </w:tcPr>
                <w:p w14:paraId="4960CB54">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设有动物颅腔、胸腔或腹腔手术设施的</w:t>
                  </w:r>
                </w:p>
              </w:tc>
              <w:tc>
                <w:tcPr>
                  <w:tcW w:w="1208" w:type="dxa"/>
                  <w:tcBorders>
                    <w:left w:val="single" w:color="000000" w:sz="4" w:space="0"/>
                  </w:tcBorders>
                  <w:shd w:val="clear" w:color="FFFFFF" w:fill="auto"/>
                  <w:vAlign w:val="center"/>
                </w:tcPr>
                <w:p w14:paraId="24230922">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14:paraId="30BDDE7C">
            <w:pPr>
              <w:pStyle w:val="3"/>
              <w:numPr>
                <w:ilvl w:val="1"/>
                <w:numId w:val="0"/>
              </w:numPr>
              <w:rPr>
                <w:rFonts w:hint="default" w:ascii="Times New Roman" w:hAnsi="Times New Roman" w:cs="Times New Roman"/>
                <w:color w:val="auto"/>
                <w:highlight w:val="none"/>
              </w:rPr>
            </w:pPr>
            <w:bookmarkStart w:id="40" w:name="_Toc133251535"/>
            <w:bookmarkStart w:id="41" w:name="_Toc22298"/>
            <w:r>
              <w:rPr>
                <w:rFonts w:hint="eastAsia" w:ascii="Times New Roman" w:hAnsi="Times New Roman" w:eastAsia="宋体" w:cs="宋体"/>
                <w:b/>
                <w:bCs/>
                <w:color w:val="auto"/>
                <w:kern w:val="0"/>
                <w:sz w:val="28"/>
                <w:szCs w:val="28"/>
                <w:lang w:val="en-US" w:eastAsia="zh-CN" w:bidi="ar-SA"/>
              </w:rPr>
              <w:t>2.2</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项目概况</w:t>
            </w:r>
            <w:bookmarkEnd w:id="40"/>
            <w:bookmarkEnd w:id="41"/>
          </w:p>
          <w:p w14:paraId="140C1265">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福清市瑞辰顽皮多格动物医院建设项目</w:t>
            </w:r>
            <w:r>
              <w:rPr>
                <w:rFonts w:hint="default" w:ascii="Times New Roman" w:hAnsi="Times New Roman" w:cs="Times New Roman"/>
                <w:color w:val="auto"/>
                <w:highlight w:val="none"/>
              </w:rPr>
              <w:fldChar w:fldCharType="end"/>
            </w:r>
          </w:p>
          <w:p w14:paraId="6DA0CBCA">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建设单位：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福清市瑞辰顽皮多格动物医院有限公司</w:t>
            </w:r>
            <w:r>
              <w:rPr>
                <w:rFonts w:hint="default" w:ascii="Times New Roman" w:hAnsi="Times New Roman" w:eastAsia="宋体" w:cs="Times New Roman"/>
                <w:color w:val="auto"/>
                <w:szCs w:val="24"/>
                <w:highlight w:val="none"/>
              </w:rPr>
              <w:fldChar w:fldCharType="end"/>
            </w:r>
          </w:p>
          <w:p w14:paraId="537E5627">
            <w:pPr>
              <w:pStyle w:val="159"/>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建设性质：</w:t>
            </w:r>
            <w:r>
              <w:rPr>
                <w:rFonts w:hint="eastAsia" w:ascii="Times New Roman" w:hAnsi="Times New Roman" w:eastAsia="宋体" w:cs="Times New Roman"/>
                <w:color w:val="auto"/>
                <w:highlight w:val="none"/>
                <w:lang w:val="en-US" w:eastAsia="zh-CN"/>
              </w:rPr>
              <w:t>扩建</w:t>
            </w:r>
          </w:p>
          <w:p w14:paraId="2240567E">
            <w:pPr>
              <w:pStyle w:val="159"/>
              <w:ind w:firstLine="480"/>
              <w:rPr>
                <w:rStyle w:val="133"/>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建设地点：</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lang w:eastAsia="zh-CN"/>
              </w:rPr>
              <w:t>。</w:t>
            </w:r>
          </w:p>
          <w:p w14:paraId="74026544">
            <w:pPr>
              <w:pStyle w:val="159"/>
              <w:ind w:firstLine="48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建设规模：项目建筑面积为</w:t>
            </w:r>
            <w:r>
              <w:rPr>
                <w:rFonts w:hint="default" w:ascii="Times New Roman" w:hAnsi="Times New Roman" w:eastAsia="宋体" w:cs="Times New Roman"/>
                <w:color w:val="auto"/>
                <w:highlight w:val="none"/>
                <w:lang w:val="en-US" w:eastAsia="zh-CN"/>
              </w:rPr>
              <w:t>118m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w:t>
            </w:r>
            <w:r>
              <w:rPr>
                <w:rFonts w:ascii="Times New Roman" w:hAnsi="Times New Roman" w:eastAsia="宋体" w:cs="Times New Roman"/>
                <w:color w:val="auto"/>
                <w:szCs w:val="21"/>
              </w:rPr>
              <w:t>本项目不新增占地及建筑面积。</w:t>
            </w:r>
          </w:p>
          <w:p w14:paraId="536F2F78">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经营内容：本项目在原有服务</w:t>
            </w:r>
            <w:r>
              <w:rPr>
                <w:rFonts w:hint="default" w:ascii="Times New Roman" w:hAnsi="Times New Roman" w:eastAsia="宋体" w:cs="Times New Roman"/>
                <w:color w:val="auto"/>
                <w:highlight w:val="none"/>
                <w:lang w:val="en-US" w:eastAsia="zh-CN"/>
              </w:rPr>
              <w:t>基础上</w:t>
            </w:r>
            <w:r>
              <w:rPr>
                <w:rFonts w:hint="default" w:ascii="Times New Roman" w:hAnsi="Times New Roman" w:eastAsia="宋体" w:cs="Times New Roman"/>
                <w:color w:val="auto"/>
                <w:highlight w:val="none"/>
              </w:rPr>
              <w:t>增设动物颅腔、胸腔</w:t>
            </w:r>
            <w:r>
              <w:rPr>
                <w:rFonts w:hint="default"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highlight w:val="none"/>
              </w:rPr>
              <w:t>腹腔手术。</w:t>
            </w:r>
          </w:p>
          <w:p w14:paraId="5272944E">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7）经营</w:t>
            </w:r>
            <w:r>
              <w:rPr>
                <w:rFonts w:hint="default" w:ascii="Times New Roman" w:hAnsi="Times New Roman" w:eastAsia="宋体" w:cs="Times New Roman"/>
                <w:color w:val="auto"/>
                <w:highlight w:val="none"/>
              </w:rPr>
              <w:t>规模：新增</w:t>
            </w:r>
            <w:r>
              <w:rPr>
                <w:rFonts w:hint="default" w:ascii="Times New Roman" w:hAnsi="Times New Roman" w:eastAsia="宋体" w:cs="Times New Roman"/>
                <w:color w:val="auto"/>
                <w:highlight w:val="none"/>
                <w:lang w:val="en-US" w:eastAsia="zh-CN"/>
              </w:rPr>
              <w:t>接待</w:t>
            </w:r>
            <w:r>
              <w:rPr>
                <w:rFonts w:hint="default" w:ascii="Times New Roman" w:hAnsi="Times New Roman" w:eastAsia="宋体" w:cs="Times New Roman"/>
                <w:color w:val="auto"/>
                <w:highlight w:val="none"/>
              </w:rPr>
              <w:t>宠物</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只/天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扩建后平均接待宠物</w:t>
            </w:r>
            <w:r>
              <w:rPr>
                <w:rFonts w:hint="eastAsia" w:ascii="Times New Roman" w:hAnsi="Times New Roman" w:eastAsia="宋体"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只/天。</w:t>
            </w:r>
          </w:p>
          <w:p w14:paraId="35A44F6C">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劳动定员：</w:t>
            </w:r>
            <w:r>
              <w:rPr>
                <w:rFonts w:hint="default" w:ascii="Times New Roman" w:hAnsi="Times New Roman" w:eastAsia="宋体" w:cs="Times New Roman"/>
                <w:color w:val="auto"/>
                <w:highlight w:val="none"/>
                <w:lang w:val="en-US" w:eastAsia="zh-CN"/>
              </w:rPr>
              <w:t>员工18人</w:t>
            </w:r>
            <w:r>
              <w:rPr>
                <w:rFonts w:hint="default" w:ascii="Times New Roman" w:hAnsi="Times New Roman" w:eastAsia="宋体" w:cs="Times New Roman"/>
                <w:color w:val="auto"/>
                <w:highlight w:val="none"/>
              </w:rPr>
              <w:t>，均无住宿</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rPr>
              <w:t>本项目不新增员工人数。</w:t>
            </w:r>
          </w:p>
          <w:p w14:paraId="391EADA6">
            <w:pPr>
              <w:pStyle w:val="159"/>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工作制度：</w:t>
            </w:r>
            <w:r>
              <w:rPr>
                <w:rFonts w:hint="default" w:ascii="Times New Roman" w:hAnsi="Times New Roman" w:eastAsia="宋体" w:cs="Times New Roman"/>
                <w:color w:val="auto"/>
                <w:highlight w:val="none"/>
                <w:lang w:val="en-US" w:eastAsia="zh-CN"/>
              </w:rPr>
              <w:t>年营业365</w:t>
            </w:r>
            <w:r>
              <w:rPr>
                <w:rFonts w:hint="default" w:ascii="Times New Roman" w:hAnsi="Times New Roman" w:eastAsia="宋体" w:cs="Times New Roman"/>
                <w:color w:val="auto"/>
                <w:highlight w:val="none"/>
              </w:rPr>
              <w:t>天，</w:t>
            </w:r>
            <w:r>
              <w:rPr>
                <w:rFonts w:hint="default" w:ascii="Times New Roman" w:hAnsi="Times New Roman" w:eastAsia="宋体" w:cs="Times New Roman"/>
                <w:color w:val="auto"/>
                <w:highlight w:val="none"/>
                <w:lang w:val="en-US" w:eastAsia="zh-CN"/>
              </w:rPr>
              <w:t>每天两</w:t>
            </w:r>
            <w:r>
              <w:rPr>
                <w:rFonts w:hint="default" w:ascii="Times New Roman" w:hAnsi="Times New Roman" w:eastAsia="宋体" w:cs="Times New Roman"/>
                <w:color w:val="auto"/>
                <w:highlight w:val="none"/>
              </w:rPr>
              <w:t>班制，</w:t>
            </w:r>
            <w:r>
              <w:rPr>
                <w:rFonts w:hint="default" w:ascii="Times New Roman" w:hAnsi="Times New Roman" w:eastAsia="宋体" w:cs="Times New Roman"/>
                <w:color w:val="auto"/>
                <w:highlight w:val="none"/>
                <w:lang w:val="en-US" w:eastAsia="zh-CN"/>
              </w:rPr>
              <w:t>每班8</w:t>
            </w:r>
            <w:r>
              <w:rPr>
                <w:rFonts w:hint="default" w:ascii="Times New Roman" w:hAnsi="Times New Roman" w:eastAsia="宋体" w:cs="Times New Roman"/>
                <w:color w:val="auto"/>
                <w:highlight w:val="none"/>
              </w:rPr>
              <w:t>小时</w:t>
            </w:r>
            <w:r>
              <w:rPr>
                <w:rFonts w:hint="default" w:ascii="Times New Roman" w:hAnsi="Times New Roman" w:eastAsia="宋体" w:cs="Times New Roman"/>
                <w:color w:val="auto"/>
                <w:highlight w:val="none"/>
                <w:lang w:eastAsia="zh-CN"/>
              </w:rPr>
              <w:t>。</w:t>
            </w:r>
          </w:p>
          <w:p w14:paraId="3CBE311B">
            <w:pPr>
              <w:pStyle w:val="159"/>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总投资：</w:t>
            </w: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val="en-US" w:eastAsia="zh-CN"/>
              </w:rPr>
              <w:t>项目拟</w:t>
            </w:r>
            <w:r>
              <w:rPr>
                <w:rFonts w:hint="default" w:ascii="Times New Roman" w:hAnsi="Times New Roman" w:eastAsia="宋体" w:cs="Times New Roman"/>
                <w:color w:val="auto"/>
                <w:kern w:val="10"/>
                <w:highlight w:val="none"/>
              </w:rPr>
              <w:t>总投资</w:t>
            </w:r>
            <w:r>
              <w:rPr>
                <w:rFonts w:hint="eastAsia" w:ascii="Times New Roman" w:hAnsi="Times New Roman" w:eastAsia="宋体" w:cs="Times New Roman"/>
                <w:color w:val="auto"/>
                <w:kern w:val="10"/>
                <w:highlight w:val="none"/>
                <w:lang w:val="en-US" w:eastAsia="zh-CN"/>
              </w:rPr>
              <w:t>20</w:t>
            </w:r>
            <w:r>
              <w:rPr>
                <w:rFonts w:hint="default" w:ascii="Times New Roman" w:hAnsi="Times New Roman" w:eastAsia="宋体" w:cs="Times New Roman"/>
                <w:color w:val="auto"/>
                <w:kern w:val="10"/>
                <w:highlight w:val="none"/>
                <w:lang w:val="en-US" w:eastAsia="zh-CN"/>
              </w:rPr>
              <w:t>万</w:t>
            </w:r>
            <w:r>
              <w:rPr>
                <w:rFonts w:hint="default" w:ascii="Times New Roman" w:hAnsi="Times New Roman" w:eastAsia="宋体" w:cs="Times New Roman"/>
                <w:color w:val="auto"/>
                <w:kern w:val="10"/>
                <w:highlight w:val="none"/>
              </w:rPr>
              <w:t>元，</w:t>
            </w:r>
            <w:r>
              <w:rPr>
                <w:rFonts w:hint="default" w:ascii="Times New Roman" w:hAnsi="Times New Roman" w:eastAsia="宋体" w:cs="Times New Roman"/>
                <w:color w:val="auto"/>
                <w:kern w:val="10"/>
                <w:highlight w:val="none"/>
                <w:lang w:val="en-US" w:eastAsia="zh-CN"/>
              </w:rPr>
              <w:t>其中</w:t>
            </w:r>
            <w:r>
              <w:rPr>
                <w:rFonts w:hint="default" w:ascii="Times New Roman" w:hAnsi="Times New Roman" w:eastAsia="宋体" w:cs="Times New Roman"/>
                <w:color w:val="auto"/>
                <w:kern w:val="10"/>
                <w:highlight w:val="none"/>
              </w:rPr>
              <w:t>环保投资</w:t>
            </w:r>
            <w:r>
              <w:rPr>
                <w:rFonts w:hint="eastAsia" w:ascii="Times New Roman" w:hAnsi="Times New Roman" w:eastAsia="宋体" w:cs="Times New Roman"/>
                <w:color w:val="auto"/>
                <w:kern w:val="10"/>
                <w:highlight w:val="none"/>
                <w:lang w:val="en-US" w:eastAsia="zh-CN"/>
              </w:rPr>
              <w:t>2.5</w:t>
            </w:r>
            <w:r>
              <w:rPr>
                <w:rFonts w:hint="default" w:ascii="Times New Roman" w:hAnsi="Times New Roman" w:eastAsia="宋体" w:cs="Times New Roman"/>
                <w:color w:val="auto"/>
                <w:kern w:val="10"/>
                <w:highlight w:val="none"/>
              </w:rPr>
              <w:t>万</w:t>
            </w:r>
            <w:r>
              <w:rPr>
                <w:rFonts w:hint="default" w:ascii="Times New Roman" w:hAnsi="Times New Roman" w:eastAsia="宋体" w:cs="Times New Roman"/>
                <w:color w:val="auto"/>
                <w:kern w:val="10"/>
                <w:highlight w:val="none"/>
                <w:lang w:val="en-US" w:eastAsia="zh-CN"/>
              </w:rPr>
              <w:t>元</w:t>
            </w:r>
            <w:r>
              <w:rPr>
                <w:rFonts w:hint="default" w:ascii="Times New Roman" w:hAnsi="Times New Roman" w:eastAsia="宋体" w:cs="Times New Roman"/>
                <w:color w:val="auto"/>
                <w:kern w:val="10"/>
                <w:highlight w:val="none"/>
              </w:rPr>
              <w:t>，占</w:t>
            </w:r>
            <w:r>
              <w:rPr>
                <w:rFonts w:hint="default" w:ascii="Times New Roman" w:hAnsi="Times New Roman" w:eastAsia="宋体" w:cs="Times New Roman"/>
                <w:color w:val="auto"/>
                <w:kern w:val="10"/>
                <w:highlight w:val="none"/>
                <w:lang w:val="en-US" w:eastAsia="zh-CN"/>
              </w:rPr>
              <w:t>拟</w:t>
            </w:r>
            <w:r>
              <w:rPr>
                <w:rFonts w:hint="default" w:ascii="Times New Roman" w:hAnsi="Times New Roman" w:eastAsia="宋体" w:cs="Times New Roman"/>
                <w:color w:val="auto"/>
                <w:kern w:val="10"/>
                <w:highlight w:val="none"/>
              </w:rPr>
              <w:t>总投资的</w:t>
            </w:r>
            <w:r>
              <w:rPr>
                <w:rFonts w:hint="eastAsia" w:ascii="Times New Roman" w:hAnsi="Times New Roman" w:eastAsia="宋体" w:cs="Times New Roman"/>
                <w:color w:val="auto"/>
                <w:kern w:val="10"/>
                <w:highlight w:val="none"/>
                <w:lang w:val="en-US" w:eastAsia="zh-CN"/>
              </w:rPr>
              <w:t>12.5</w:t>
            </w:r>
            <w:r>
              <w:rPr>
                <w:rFonts w:hint="default" w:ascii="Times New Roman" w:hAnsi="Times New Roman" w:eastAsia="宋体" w:cs="Times New Roman"/>
                <w:color w:val="auto"/>
                <w:kern w:val="10"/>
                <w:highlight w:val="none"/>
              </w:rPr>
              <w:t>%</w:t>
            </w:r>
            <w:r>
              <w:rPr>
                <w:rFonts w:hint="default" w:ascii="Times New Roman" w:hAnsi="Times New Roman" w:eastAsia="宋体" w:cs="Times New Roman"/>
                <w:color w:val="auto"/>
                <w:kern w:val="10"/>
                <w:highlight w:val="none"/>
                <w:lang w:eastAsia="zh-CN"/>
              </w:rPr>
              <w:t>。</w:t>
            </w:r>
          </w:p>
          <w:p w14:paraId="35F03F23">
            <w:pPr>
              <w:pStyle w:val="3"/>
              <w:numPr>
                <w:ilvl w:val="1"/>
                <w:numId w:val="0"/>
              </w:numPr>
              <w:rPr>
                <w:rFonts w:hint="default" w:ascii="Times New Roman" w:hAnsi="Times New Roman" w:cs="Times New Roman"/>
                <w:color w:val="auto"/>
                <w:highlight w:val="none"/>
              </w:rPr>
            </w:pPr>
            <w:bookmarkStart w:id="42" w:name="_Toc14095"/>
            <w:bookmarkStart w:id="43" w:name="_Toc133251536"/>
            <w:bookmarkStart w:id="44" w:name="_Toc19734"/>
            <w:r>
              <w:rPr>
                <w:rFonts w:hint="eastAsia" w:ascii="Times New Roman" w:hAnsi="Times New Roman" w:eastAsia="宋体" w:cs="宋体"/>
                <w:b/>
                <w:bCs/>
                <w:color w:val="auto"/>
                <w:kern w:val="0"/>
                <w:sz w:val="28"/>
                <w:szCs w:val="28"/>
                <w:lang w:val="en-US" w:eastAsia="zh-CN" w:bidi="ar-SA"/>
              </w:rPr>
              <w:t>2.3</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项目组成</w:t>
            </w:r>
            <w:bookmarkEnd w:id="42"/>
            <w:bookmarkEnd w:id="43"/>
            <w:bookmarkEnd w:id="44"/>
          </w:p>
          <w:p w14:paraId="0A462F7D">
            <w:pPr>
              <w:pStyle w:val="159"/>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福清市瑞辰顽皮多格动物医院有限公司</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highlight w:val="none"/>
              </w:rPr>
              <w:t>租赁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福建省福州市福清市宏路街道中联江滨御景5号楼113号，115号，116号门面</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highlight w:val="none"/>
                <w:lang w:val="en-US" w:eastAsia="zh-CN"/>
              </w:rPr>
              <w:t>作为</w:t>
            </w:r>
            <w:r>
              <w:rPr>
                <w:rFonts w:hint="eastAsia" w:ascii="Times New Roman" w:hAnsi="Times New Roman" w:eastAsia="宋体" w:cs="Times New Roman"/>
                <w:color w:val="auto"/>
                <w:highlight w:val="none"/>
                <w:lang w:val="en-US" w:eastAsia="zh-CN"/>
              </w:rPr>
              <w:t>动物</w:t>
            </w:r>
            <w:r>
              <w:rPr>
                <w:rFonts w:hint="default" w:ascii="Times New Roman" w:hAnsi="Times New Roman" w:eastAsia="宋体" w:cs="Times New Roman"/>
                <w:color w:val="auto"/>
                <w:highlight w:val="none"/>
                <w:lang w:val="en-US" w:eastAsia="zh-CN"/>
              </w:rPr>
              <w:t>诊疗</w:t>
            </w:r>
            <w:r>
              <w:rPr>
                <w:rFonts w:hint="default" w:ascii="Times New Roman" w:hAnsi="Times New Roman" w:eastAsia="宋体" w:cs="Times New Roman"/>
                <w:color w:val="auto"/>
                <w:highlight w:val="none"/>
              </w:rPr>
              <w:t>场所（</w:t>
            </w:r>
            <w:r>
              <w:rPr>
                <w:rFonts w:hint="eastAsia" w:ascii="Times New Roman" w:hAnsi="Times New Roman" w:eastAsia="宋体" w:cs="Times New Roman"/>
                <w:color w:val="auto"/>
                <w:highlight w:val="none"/>
                <w:lang w:val="en-US" w:eastAsia="zh-CN"/>
              </w:rPr>
              <w:t>租赁合同见</w:t>
            </w:r>
            <w:r>
              <w:rPr>
                <w:rFonts w:hint="default" w:ascii="Times New Roman" w:hAnsi="Times New Roman" w:eastAsia="宋体" w:cs="Times New Roman"/>
                <w:color w:val="auto"/>
                <w:highlight w:val="none"/>
              </w:rPr>
              <w:t>附件3），租赁建筑面积</w:t>
            </w:r>
            <w:r>
              <w:rPr>
                <w:rFonts w:hint="eastAsia" w:ascii="Times New Roman" w:hAnsi="Times New Roman" w:eastAsia="宋体" w:cs="Times New Roman"/>
                <w:color w:val="auto"/>
                <w:highlight w:val="none"/>
                <w:lang w:val="en-US" w:eastAsia="zh-CN"/>
              </w:rPr>
              <w:t>118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。本项目不新增</w:t>
            </w:r>
            <w:r>
              <w:rPr>
                <w:rFonts w:hint="default" w:ascii="Times New Roman" w:hAnsi="Times New Roman" w:eastAsia="宋体" w:cs="Times New Roman"/>
                <w:color w:val="auto"/>
                <w:highlight w:val="none"/>
                <w:lang w:val="en-US" w:eastAsia="zh-CN"/>
              </w:rPr>
              <w:t>占地</w:t>
            </w:r>
            <w:r>
              <w:rPr>
                <w:rFonts w:hint="default" w:ascii="Times New Roman" w:hAnsi="Times New Roman" w:eastAsia="宋体" w:cs="Times New Roman"/>
                <w:color w:val="auto"/>
                <w:highlight w:val="none"/>
              </w:rPr>
              <w:t>及建筑面积，</w:t>
            </w:r>
            <w:r>
              <w:rPr>
                <w:rFonts w:hint="default" w:ascii="Times New Roman" w:hAnsi="Times New Roman" w:eastAsia="宋体" w:cs="Times New Roman"/>
                <w:color w:val="auto"/>
                <w:highlight w:val="none"/>
                <w:lang w:val="en-US" w:eastAsia="zh-CN"/>
              </w:rPr>
              <w:t>医院内部各功能区进行重新合理布局。</w:t>
            </w:r>
            <w:r>
              <w:rPr>
                <w:rFonts w:hint="default" w:ascii="Times New Roman" w:hAnsi="Times New Roman" w:eastAsia="宋体" w:cs="Times New Roman"/>
                <w:color w:val="auto"/>
                <w:highlight w:val="none"/>
              </w:rPr>
              <w:t>各个分区功能明确，并符合防火、安全、卫生等有关规范。扩建后项目总平面布置基本合理、可行（附图</w:t>
            </w:r>
            <w:r>
              <w:rPr>
                <w:rFonts w:hint="default" w:ascii="Times New Roman" w:hAnsi="Times New Roman" w:eastAsia="宋体" w:cs="Times New Roman"/>
                <w:color w:val="auto"/>
                <w:highlight w:val="none"/>
                <w:lang w:val="en-US" w:eastAsia="zh-CN"/>
              </w:rPr>
              <w:t>4-1，4-2</w:t>
            </w:r>
            <w:r>
              <w:rPr>
                <w:rFonts w:hint="default" w:ascii="Times New Roman" w:hAnsi="Times New Roman" w:eastAsia="宋体" w:cs="Times New Roman"/>
                <w:color w:val="auto"/>
                <w:highlight w:val="none"/>
              </w:rPr>
              <w:t>）。项目的建设内容见表2-3。</w:t>
            </w:r>
          </w:p>
          <w:p w14:paraId="3703A66E">
            <w:pPr>
              <w:pStyle w:val="474"/>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2-3  项目建设内容一览表</w:t>
            </w:r>
          </w:p>
          <w:tbl>
            <w:tblPr>
              <w:tblStyle w:val="50"/>
              <w:tblW w:w="90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9"/>
              <w:gridCol w:w="427"/>
              <w:gridCol w:w="438"/>
              <w:gridCol w:w="2479"/>
              <w:gridCol w:w="2534"/>
              <w:gridCol w:w="1635"/>
              <w:gridCol w:w="1084"/>
            </w:tblGrid>
            <w:tr w14:paraId="55DC9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99" w:type="dxa"/>
                  <w:vMerge w:val="restart"/>
                  <w:vAlign w:val="center"/>
                </w:tcPr>
                <w:p w14:paraId="58CD7515">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工程名称</w:t>
                  </w:r>
                </w:p>
              </w:tc>
              <w:tc>
                <w:tcPr>
                  <w:tcW w:w="7513" w:type="dxa"/>
                  <w:gridSpan w:val="5"/>
                  <w:vAlign w:val="center"/>
                </w:tcPr>
                <w:p w14:paraId="269B8313">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主要建设内容</w:t>
                  </w:r>
                </w:p>
              </w:tc>
              <w:tc>
                <w:tcPr>
                  <w:tcW w:w="1084" w:type="dxa"/>
                  <w:vMerge w:val="restart"/>
                  <w:vAlign w:val="center"/>
                </w:tcPr>
                <w:p w14:paraId="6EAC0BB0">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依托关系</w:t>
                  </w:r>
                </w:p>
              </w:tc>
            </w:tr>
            <w:tr w14:paraId="3D42F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99" w:type="dxa"/>
                  <w:vMerge w:val="continue"/>
                  <w:vAlign w:val="center"/>
                </w:tcPr>
                <w:p w14:paraId="65C527D1">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14:paraId="55457685">
                  <w:pPr>
                    <w:pStyle w:val="191"/>
                    <w:spacing w:line="240" w:lineRule="auto"/>
                    <w:rPr>
                      <w:rFonts w:hint="eastAsia"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rPr>
                    <w:t>指标名称</w:t>
                  </w:r>
                  <w:r>
                    <w:rPr>
                      <w:rFonts w:hint="eastAsia"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eastAsia="zh-CN"/>
                    </w:rPr>
                    <w:t>层数</w:t>
                  </w:r>
                </w:p>
              </w:tc>
              <w:tc>
                <w:tcPr>
                  <w:tcW w:w="2479" w:type="dxa"/>
                  <w:vAlign w:val="center"/>
                </w:tcPr>
                <w:p w14:paraId="708D0B79">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现有项目</w:t>
                  </w:r>
                </w:p>
              </w:tc>
              <w:tc>
                <w:tcPr>
                  <w:tcW w:w="2534" w:type="dxa"/>
                  <w:vAlign w:val="center"/>
                </w:tcPr>
                <w:p w14:paraId="55F986D3">
                  <w:pPr>
                    <w:pStyle w:val="191"/>
                    <w:spacing w:beforeLines="100"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扩建后项目</w:t>
                  </w:r>
                </w:p>
                <w:p w14:paraId="4A95C0BF">
                  <w:pPr>
                    <w:rPr>
                      <w:rFonts w:hint="default" w:ascii="Times New Roman" w:hAnsi="Times New Roman" w:cs="Times New Roman"/>
                      <w:b/>
                      <w:bCs/>
                      <w:color w:val="auto"/>
                      <w:highlight w:val="none"/>
                    </w:rPr>
                  </w:pPr>
                </w:p>
              </w:tc>
              <w:tc>
                <w:tcPr>
                  <w:tcW w:w="1635" w:type="dxa"/>
                  <w:vAlign w:val="center"/>
                </w:tcPr>
                <w:p w14:paraId="4B0D70EC">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本项目</w:t>
                  </w:r>
                </w:p>
              </w:tc>
              <w:tc>
                <w:tcPr>
                  <w:tcW w:w="1084" w:type="dxa"/>
                  <w:vMerge w:val="continue"/>
                  <w:vAlign w:val="center"/>
                </w:tcPr>
                <w:p w14:paraId="18851392">
                  <w:pPr>
                    <w:pStyle w:val="191"/>
                    <w:spacing w:line="240" w:lineRule="auto"/>
                    <w:rPr>
                      <w:rFonts w:hint="default" w:ascii="Times New Roman" w:hAnsi="Times New Roman" w:eastAsia="宋体" w:cs="Times New Roman"/>
                      <w:b/>
                      <w:bCs/>
                      <w:color w:val="auto"/>
                      <w:highlight w:val="none"/>
                    </w:rPr>
                  </w:pPr>
                </w:p>
              </w:tc>
            </w:tr>
            <w:tr w14:paraId="267D0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99" w:type="dxa"/>
                  <w:vMerge w:val="restart"/>
                  <w:vAlign w:val="center"/>
                </w:tcPr>
                <w:p w14:paraId="7FB73ED8">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主体工程</w:t>
                  </w:r>
                </w:p>
              </w:tc>
              <w:tc>
                <w:tcPr>
                  <w:tcW w:w="427" w:type="dxa"/>
                  <w:vMerge w:val="restart"/>
                  <w:vAlign w:val="center"/>
                </w:tcPr>
                <w:p w14:paraId="166C8319">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诊治</w:t>
                  </w:r>
                </w:p>
              </w:tc>
              <w:tc>
                <w:tcPr>
                  <w:tcW w:w="438" w:type="dxa"/>
                  <w:vAlign w:val="center"/>
                </w:tcPr>
                <w:p w14:paraId="4A802811">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1F</w:t>
                  </w:r>
                </w:p>
              </w:tc>
              <w:tc>
                <w:tcPr>
                  <w:tcW w:w="2479" w:type="dxa"/>
                  <w:vAlign w:val="center"/>
                </w:tcPr>
                <w:p w14:paraId="1A5336C1">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美容间、</w:t>
                  </w:r>
                  <w:r>
                    <w:rPr>
                      <w:rFonts w:hint="eastAsia" w:ascii="Times New Roman" w:hAnsi="Times New Roman" w:eastAsia="宋体" w:cs="Times New Roman"/>
                      <w:color w:val="auto"/>
                      <w:highlight w:val="none"/>
                      <w:lang w:val="en-US" w:eastAsia="zh-CN"/>
                    </w:rPr>
                    <w:t>洗澡间、</w:t>
                  </w:r>
                  <w:r>
                    <w:rPr>
                      <w:rFonts w:hint="default" w:ascii="Times New Roman" w:hAnsi="Times New Roman" w:eastAsia="宋体" w:cs="Times New Roman"/>
                      <w:color w:val="auto"/>
                      <w:highlight w:val="none"/>
                      <w:lang w:val="en-US" w:eastAsia="zh-CN"/>
                    </w:rPr>
                    <w:t>预防诊室、犬诊室、犬住院部、化验室、特殊药房、猫诊室、DR室、手术室、手术准备间、中央处置区、商品区</w:t>
                  </w:r>
                </w:p>
              </w:tc>
              <w:tc>
                <w:tcPr>
                  <w:tcW w:w="2534" w:type="dxa"/>
                  <w:vAlign w:val="center"/>
                </w:tcPr>
                <w:p w14:paraId="63C45799">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美容间、</w:t>
                  </w:r>
                  <w:r>
                    <w:rPr>
                      <w:rFonts w:hint="eastAsia" w:ascii="Times New Roman" w:hAnsi="Times New Roman" w:eastAsia="宋体" w:cs="Times New Roman"/>
                      <w:color w:val="auto"/>
                      <w:highlight w:val="none"/>
                      <w:lang w:val="en-US" w:eastAsia="zh-CN"/>
                    </w:rPr>
                    <w:t>洗澡间、</w:t>
                  </w:r>
                  <w:r>
                    <w:rPr>
                      <w:rFonts w:hint="default" w:ascii="Times New Roman" w:hAnsi="Times New Roman" w:eastAsia="宋体" w:cs="Times New Roman"/>
                      <w:color w:val="auto"/>
                      <w:highlight w:val="none"/>
                      <w:lang w:val="en-US" w:eastAsia="zh-CN"/>
                    </w:rPr>
                    <w:t>预防诊室、犬诊室、犬住院部、化验室、特殊药房、猫诊室、DR室、手术室、手术准备间、中央处置区、商品区</w:t>
                  </w:r>
                </w:p>
              </w:tc>
              <w:tc>
                <w:tcPr>
                  <w:tcW w:w="1635" w:type="dxa"/>
                  <w:vMerge w:val="restart"/>
                  <w:vAlign w:val="center"/>
                </w:tcPr>
                <w:p w14:paraId="34C9A7BD">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新增</w:t>
                  </w:r>
                  <w:r>
                    <w:rPr>
                      <w:rFonts w:hint="default" w:ascii="Times New Roman" w:hAnsi="Times New Roman" w:eastAsia="宋体" w:cs="Times New Roman"/>
                      <w:color w:val="auto"/>
                      <w:highlight w:val="none"/>
                      <w:lang w:val="en-US" w:eastAsia="zh-CN"/>
                    </w:rPr>
                    <w:t>手术设施</w:t>
                  </w:r>
                </w:p>
              </w:tc>
              <w:tc>
                <w:tcPr>
                  <w:tcW w:w="1084" w:type="dxa"/>
                  <w:vMerge w:val="restart"/>
                  <w:vAlign w:val="center"/>
                </w:tcPr>
                <w:p w14:paraId="5A7F9F8E">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各功能区重新合理布局</w:t>
                  </w:r>
                </w:p>
              </w:tc>
            </w:tr>
            <w:tr w14:paraId="42DB5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99" w:type="dxa"/>
                  <w:vMerge w:val="continue"/>
                  <w:vAlign w:val="center"/>
                </w:tcPr>
                <w:p w14:paraId="5B351F90">
                  <w:pPr>
                    <w:pStyle w:val="191"/>
                    <w:spacing w:line="240" w:lineRule="auto"/>
                  </w:pPr>
                </w:p>
              </w:tc>
              <w:tc>
                <w:tcPr>
                  <w:tcW w:w="427" w:type="dxa"/>
                  <w:vMerge w:val="continue"/>
                  <w:vAlign w:val="center"/>
                </w:tcPr>
                <w:p w14:paraId="5DD62BE8">
                  <w:pPr>
                    <w:pStyle w:val="191"/>
                    <w:spacing w:line="240" w:lineRule="auto"/>
                    <w:rPr>
                      <w:rFonts w:hint="default" w:ascii="Times New Roman" w:hAnsi="Times New Roman" w:eastAsia="宋体" w:cs="Times New Roman"/>
                      <w:color w:val="auto"/>
                      <w:highlight w:val="none"/>
                      <w:lang w:val="en-US" w:eastAsia="zh-CN"/>
                    </w:rPr>
                  </w:pPr>
                </w:p>
              </w:tc>
              <w:tc>
                <w:tcPr>
                  <w:tcW w:w="438" w:type="dxa"/>
                  <w:vAlign w:val="center"/>
                </w:tcPr>
                <w:p w14:paraId="6BA276C7">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2F</w:t>
                  </w:r>
                </w:p>
              </w:tc>
              <w:tc>
                <w:tcPr>
                  <w:tcW w:w="2479" w:type="dxa"/>
                  <w:vAlign w:val="center"/>
                </w:tcPr>
                <w:p w14:paraId="4898DB0E">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猫住院部、猫寄养、猫洗护、隔离病房、中央处置区</w:t>
                  </w:r>
                </w:p>
              </w:tc>
              <w:tc>
                <w:tcPr>
                  <w:tcW w:w="2534" w:type="dxa"/>
                  <w:vAlign w:val="center"/>
                </w:tcPr>
                <w:p w14:paraId="54BEDE9F">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猫住院部、猫寄养、猫洗护、隔离病房、中央处置区</w:t>
                  </w:r>
                </w:p>
              </w:tc>
              <w:tc>
                <w:tcPr>
                  <w:tcW w:w="1635" w:type="dxa"/>
                  <w:vMerge w:val="continue"/>
                  <w:vAlign w:val="center"/>
                </w:tcPr>
                <w:p w14:paraId="2528EE7E">
                  <w:pPr>
                    <w:pStyle w:val="191"/>
                    <w:spacing w:line="240" w:lineRule="auto"/>
                    <w:rPr>
                      <w:rFonts w:hint="default" w:ascii="Times New Roman" w:hAnsi="Times New Roman" w:eastAsia="宋体" w:cs="Times New Roman"/>
                      <w:color w:val="auto"/>
                      <w:highlight w:val="none"/>
                      <w:lang w:val="en-US" w:eastAsia="zh-CN"/>
                    </w:rPr>
                  </w:pPr>
                </w:p>
              </w:tc>
              <w:tc>
                <w:tcPr>
                  <w:tcW w:w="1084" w:type="dxa"/>
                  <w:vMerge w:val="continue"/>
                  <w:vAlign w:val="center"/>
                </w:tcPr>
                <w:p w14:paraId="3221F35B">
                  <w:pPr>
                    <w:pStyle w:val="191"/>
                    <w:spacing w:line="240" w:lineRule="auto"/>
                    <w:rPr>
                      <w:rFonts w:hint="default" w:ascii="Times New Roman" w:hAnsi="Times New Roman" w:eastAsia="宋体" w:cs="Times New Roman"/>
                      <w:color w:val="auto"/>
                      <w:highlight w:val="none"/>
                      <w:lang w:val="en-US" w:eastAsia="zh-CN"/>
                    </w:rPr>
                  </w:pPr>
                </w:p>
              </w:tc>
            </w:tr>
            <w:tr w14:paraId="6B3AE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99" w:type="dxa"/>
                  <w:vMerge w:val="restart"/>
                  <w:vAlign w:val="center"/>
                </w:tcPr>
                <w:p w14:paraId="35549CE5">
                  <w:pPr>
                    <w:pStyle w:val="191"/>
                    <w:spacing w:line="240" w:lineRule="auto"/>
                    <w:rPr>
                      <w:rFonts w:hint="default" w:ascii="Times New Roman" w:hAnsi="Times New Roman" w:cs="Times New Roman"/>
                    </w:rPr>
                  </w:pPr>
                  <w:r>
                    <w:rPr>
                      <w:rFonts w:hint="default" w:ascii="Times New Roman" w:hAnsi="Times New Roman" w:eastAsia="宋体" w:cs="Times New Roman"/>
                      <w:color w:val="auto"/>
                      <w:highlight w:val="none"/>
                    </w:rPr>
                    <w:t>辅助工程</w:t>
                  </w:r>
                </w:p>
              </w:tc>
              <w:tc>
                <w:tcPr>
                  <w:tcW w:w="865" w:type="dxa"/>
                  <w:gridSpan w:val="2"/>
                  <w:vAlign w:val="center"/>
                </w:tcPr>
                <w:p w14:paraId="23B0A2FA">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1F</w:t>
                  </w:r>
                </w:p>
              </w:tc>
              <w:tc>
                <w:tcPr>
                  <w:tcW w:w="2479" w:type="dxa"/>
                  <w:vAlign w:val="center"/>
                </w:tcPr>
                <w:p w14:paraId="11146066">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前厅、等候区</w:t>
                  </w:r>
                </w:p>
              </w:tc>
              <w:tc>
                <w:tcPr>
                  <w:tcW w:w="2534" w:type="dxa"/>
                  <w:shd w:val="clear" w:color="auto" w:fill="auto"/>
                  <w:vAlign w:val="center"/>
                </w:tcPr>
                <w:p w14:paraId="4A557134">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前厅、等候区</w:t>
                  </w:r>
                </w:p>
              </w:tc>
              <w:tc>
                <w:tcPr>
                  <w:tcW w:w="1635" w:type="dxa"/>
                  <w:vMerge w:val="restart"/>
                  <w:shd w:val="clear" w:color="auto" w:fill="auto"/>
                  <w:vAlign w:val="center"/>
                </w:tcPr>
                <w:p w14:paraId="1B687E53">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现有</w:t>
                  </w:r>
                </w:p>
              </w:tc>
              <w:tc>
                <w:tcPr>
                  <w:tcW w:w="1084" w:type="dxa"/>
                  <w:vMerge w:val="restart"/>
                  <w:shd w:val="clear" w:color="auto" w:fill="auto"/>
                  <w:vAlign w:val="center"/>
                </w:tcPr>
                <w:p w14:paraId="574B7857">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依托现有</w:t>
                  </w:r>
                </w:p>
              </w:tc>
            </w:tr>
            <w:tr w14:paraId="1DA65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9" w:type="dxa"/>
                  <w:vMerge w:val="continue"/>
                  <w:vAlign w:val="center"/>
                </w:tcPr>
                <w:p w14:paraId="26BE8B2B">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14:paraId="310FBFD0">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2F</w:t>
                  </w:r>
                </w:p>
              </w:tc>
              <w:tc>
                <w:tcPr>
                  <w:tcW w:w="2479" w:type="dxa"/>
                  <w:vAlign w:val="center"/>
                </w:tcPr>
                <w:p w14:paraId="3966D3EE">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杂物间、储藏间、卫生间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办公室、会议室</w:t>
                  </w:r>
                  <w:r>
                    <w:rPr>
                      <w:rFonts w:hint="eastAsia" w:ascii="Times New Roman" w:hAnsi="Times New Roman" w:eastAsia="宋体" w:cs="Times New Roman"/>
                      <w:color w:val="auto"/>
                      <w:highlight w:val="none"/>
                      <w:lang w:val="en-US" w:eastAsia="zh-CN"/>
                    </w:rPr>
                    <w:t>、危废间</w:t>
                  </w:r>
                  <w:r>
                    <w:rPr>
                      <w:rFonts w:hint="default" w:ascii="Times New Roman" w:hAnsi="Times New Roman" w:eastAsia="宋体" w:cs="Times New Roman"/>
                      <w:color w:val="auto"/>
                      <w:highlight w:val="none"/>
                      <w:lang w:val="en-US" w:eastAsia="zh-CN"/>
                    </w:rPr>
                    <w:t>、更衣室</w:t>
                  </w:r>
                </w:p>
              </w:tc>
              <w:tc>
                <w:tcPr>
                  <w:tcW w:w="2534" w:type="dxa"/>
                  <w:shd w:val="clear" w:color="auto" w:fill="auto"/>
                  <w:vAlign w:val="center"/>
                </w:tcPr>
                <w:p w14:paraId="7D31DC37">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杂物间、储藏间、卫生间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办公室、会议室</w:t>
                  </w:r>
                  <w:r>
                    <w:rPr>
                      <w:rFonts w:hint="eastAsia" w:ascii="Times New Roman" w:hAnsi="Times New Roman" w:eastAsia="宋体" w:cs="Times New Roman"/>
                      <w:color w:val="auto"/>
                      <w:highlight w:val="none"/>
                      <w:lang w:val="en-US" w:eastAsia="zh-CN"/>
                    </w:rPr>
                    <w:t>、危废间</w:t>
                  </w:r>
                  <w:r>
                    <w:rPr>
                      <w:rFonts w:hint="default" w:ascii="Times New Roman" w:hAnsi="Times New Roman" w:eastAsia="宋体" w:cs="Times New Roman"/>
                      <w:color w:val="auto"/>
                      <w:highlight w:val="none"/>
                      <w:lang w:val="en-US" w:eastAsia="zh-CN"/>
                    </w:rPr>
                    <w:t>、更衣室</w:t>
                  </w:r>
                </w:p>
              </w:tc>
              <w:tc>
                <w:tcPr>
                  <w:tcW w:w="1635" w:type="dxa"/>
                  <w:vMerge w:val="continue"/>
                  <w:vAlign w:val="center"/>
                </w:tcPr>
                <w:p w14:paraId="636B78AA">
                  <w:pPr>
                    <w:pStyle w:val="191"/>
                    <w:spacing w:line="240" w:lineRule="auto"/>
                    <w:rPr>
                      <w:rFonts w:hint="default" w:ascii="Times New Roman" w:hAnsi="Times New Roman" w:eastAsia="宋体" w:cs="Times New Roman"/>
                      <w:color w:val="auto"/>
                      <w:highlight w:val="none"/>
                    </w:rPr>
                  </w:pPr>
                </w:p>
              </w:tc>
              <w:tc>
                <w:tcPr>
                  <w:tcW w:w="1084" w:type="dxa"/>
                  <w:vMerge w:val="continue"/>
                  <w:vAlign w:val="center"/>
                </w:tcPr>
                <w:p w14:paraId="756C3127">
                  <w:pPr>
                    <w:pStyle w:val="191"/>
                    <w:spacing w:line="240" w:lineRule="auto"/>
                    <w:rPr>
                      <w:rFonts w:hint="default" w:ascii="Times New Roman" w:hAnsi="Times New Roman" w:eastAsia="宋体" w:cs="Times New Roman"/>
                      <w:color w:val="auto"/>
                      <w:highlight w:val="none"/>
                    </w:rPr>
                  </w:pPr>
                </w:p>
              </w:tc>
            </w:tr>
            <w:tr w14:paraId="0F7FD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9" w:type="dxa"/>
                  <w:vMerge w:val="restart"/>
                  <w:vAlign w:val="center"/>
                </w:tcPr>
                <w:p w14:paraId="5D9B4A10">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865" w:type="dxa"/>
                  <w:gridSpan w:val="2"/>
                  <w:vAlign w:val="center"/>
                </w:tcPr>
                <w:p w14:paraId="12526E1F">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2479" w:type="dxa"/>
                  <w:vAlign w:val="center"/>
                </w:tcPr>
                <w:p w14:paraId="56D8DB2A">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市政管网给水</w:t>
                  </w:r>
                </w:p>
              </w:tc>
              <w:tc>
                <w:tcPr>
                  <w:tcW w:w="2534" w:type="dxa"/>
                  <w:vAlign w:val="center"/>
                </w:tcPr>
                <w:p w14:paraId="2EF95943">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市政管网给水</w:t>
                  </w:r>
                </w:p>
              </w:tc>
              <w:tc>
                <w:tcPr>
                  <w:tcW w:w="1635" w:type="dxa"/>
                  <w:vAlign w:val="center"/>
                </w:tcPr>
                <w:p w14:paraId="02B6F85E">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市政管网给水</w:t>
                  </w:r>
                </w:p>
              </w:tc>
              <w:tc>
                <w:tcPr>
                  <w:tcW w:w="1084" w:type="dxa"/>
                  <w:vAlign w:val="center"/>
                </w:tcPr>
                <w:p w14:paraId="70A907FB">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14:paraId="46A04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dxa"/>
                  <w:vMerge w:val="continue"/>
                  <w:vAlign w:val="center"/>
                </w:tcPr>
                <w:p w14:paraId="246AE4D7">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14:paraId="67A6C56F">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2479" w:type="dxa"/>
                  <w:vAlign w:val="center"/>
                </w:tcPr>
                <w:p w14:paraId="4A67DAD2">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c>
                <w:tcPr>
                  <w:tcW w:w="2534" w:type="dxa"/>
                  <w:vAlign w:val="center"/>
                </w:tcPr>
                <w:p w14:paraId="01F7B3A2">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c>
                <w:tcPr>
                  <w:tcW w:w="1635" w:type="dxa"/>
                  <w:vAlign w:val="center"/>
                </w:tcPr>
                <w:p w14:paraId="08BE6420">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c>
                <w:tcPr>
                  <w:tcW w:w="1084" w:type="dxa"/>
                  <w:vAlign w:val="center"/>
                </w:tcPr>
                <w:p w14:paraId="696BF305">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14:paraId="03FE0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99" w:type="dxa"/>
                  <w:vMerge w:val="restart"/>
                  <w:vAlign w:val="center"/>
                </w:tcPr>
                <w:p w14:paraId="139AFB2C">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865" w:type="dxa"/>
                  <w:gridSpan w:val="2"/>
                  <w:vAlign w:val="center"/>
                </w:tcPr>
                <w:p w14:paraId="3A30CE85">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2479" w:type="dxa"/>
                  <w:vAlign w:val="center"/>
                </w:tcPr>
                <w:p w14:paraId="2E88CFCB">
                  <w:pPr>
                    <w:pStyle w:val="191"/>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①诊疗废水经消毒设备消毒排入化粪池（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14:paraId="5A9B769C">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sz w:val="21"/>
                      <w:szCs w:val="21"/>
                      <w:highlight w:val="none"/>
                      <w:lang w:val="en-US" w:eastAsia="zh-CN"/>
                    </w:rPr>
                    <w:t>宠物美容废水</w:t>
                  </w:r>
                  <w:r>
                    <w:rPr>
                      <w:rFonts w:hint="default" w:ascii="Times New Roman" w:hAnsi="Times New Roman" w:eastAsia="宋体" w:cs="Times New Roman"/>
                      <w:color w:val="auto"/>
                      <w:highlight w:val="none"/>
                      <w:lang w:eastAsia="zh-CN"/>
                    </w:rPr>
                    <w:t>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14:paraId="737D30D2">
                  <w:pPr>
                    <w:pStyle w:val="61"/>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③生活污水</w:t>
                  </w:r>
                  <w:r>
                    <w:rPr>
                      <w:rFonts w:hint="default" w:ascii="Times New Roman" w:hAnsi="Times New Roman" w:eastAsia="宋体"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default" w:ascii="Times New Roman" w:hAnsi="Times New Roman" w:eastAsia="宋体" w:cs="Times New Roman"/>
                      <w:color w:val="auto"/>
                      <w:sz w:val="21"/>
                      <w:szCs w:val="21"/>
                      <w:highlight w:val="none"/>
                      <w:lang w:val="en-US" w:eastAsia="zh-CN"/>
                    </w:rPr>
                    <w:t>依托小区内原有化粪池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预处理达到纳管标准纳入</w:t>
                  </w:r>
                  <w:r>
                    <w:rPr>
                      <w:rFonts w:hint="default" w:ascii="Times New Roman" w:hAnsi="Times New Roman" w:eastAsia="宋体" w:cs="Times New Roman"/>
                      <w:color w:val="auto"/>
                      <w:sz w:val="21"/>
                      <w:szCs w:val="21"/>
                      <w:highlight w:val="none"/>
                      <w:lang w:eastAsia="zh-CN"/>
                    </w:rPr>
                    <w:t>市政污水管网</w:t>
                  </w:r>
                  <w:r>
                    <w:rPr>
                      <w:rFonts w:hint="eastAsia"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福清市融元污水处理厂集中处理</w:t>
                  </w:r>
                  <w:r>
                    <w:rPr>
                      <w:rFonts w:hint="default" w:ascii="Times New Roman" w:hAnsi="Times New Roman" w:eastAsia="宋体" w:cs="Times New Roman"/>
                      <w:color w:val="auto"/>
                      <w:sz w:val="21"/>
                      <w:szCs w:val="21"/>
                      <w:highlight w:val="none"/>
                      <w:lang w:eastAsia="zh-CN"/>
                    </w:rPr>
                    <w:t>。</w:t>
                  </w:r>
                </w:p>
              </w:tc>
              <w:tc>
                <w:tcPr>
                  <w:tcW w:w="2534" w:type="dxa"/>
                  <w:vAlign w:val="center"/>
                </w:tcPr>
                <w:p w14:paraId="1F892220">
                  <w:pPr>
                    <w:pStyle w:val="191"/>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①诊疗废水经消毒设备消毒排入化粪池（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14:paraId="3CC1C9BC">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sz w:val="21"/>
                      <w:szCs w:val="21"/>
                      <w:highlight w:val="none"/>
                      <w:lang w:val="en-US" w:eastAsia="zh-CN"/>
                    </w:rPr>
                    <w:t>宠物美容废水</w:t>
                  </w:r>
                  <w:r>
                    <w:rPr>
                      <w:rFonts w:hint="default" w:ascii="Times New Roman" w:hAnsi="Times New Roman" w:eastAsia="宋体" w:cs="Times New Roman"/>
                      <w:color w:val="auto"/>
                      <w:highlight w:val="none"/>
                      <w:lang w:eastAsia="zh-CN"/>
                    </w:rPr>
                    <w:t>经消毒设备消毒排入化粪池（</w:t>
                  </w:r>
                  <w:r>
                    <w:rPr>
                      <w:rFonts w:hint="default" w:ascii="Times New Roman" w:hAnsi="Times New Roman" w:eastAsia="宋体" w:cs="Times New Roman"/>
                      <w:color w:val="auto"/>
                      <w:highlight w:val="none"/>
                      <w:lang w:val="en-US" w:eastAsia="zh-CN"/>
                    </w:rPr>
                    <w:t>依托小区内原有化粪池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处理达到纳管标准统一纳入</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，由福清市融元污水处理厂集中处理</w:t>
                  </w:r>
                  <w:r>
                    <w:rPr>
                      <w:rFonts w:hint="default" w:ascii="Times New Roman" w:hAnsi="Times New Roman" w:eastAsia="宋体" w:cs="Times New Roman"/>
                      <w:color w:val="auto"/>
                      <w:highlight w:val="none"/>
                      <w:lang w:eastAsia="zh-CN"/>
                    </w:rPr>
                    <w:t>。</w:t>
                  </w:r>
                </w:p>
                <w:p w14:paraId="126896A5">
                  <w:pPr>
                    <w:pStyle w:val="191"/>
                    <w:spacing w:line="240" w:lineRule="auto"/>
                    <w:jc w:val="both"/>
                    <w:rPr>
                      <w:rFonts w:hint="default" w:ascii="Times New Roman" w:hAnsi="Times New Roman" w:eastAsia="宋体" w:cs="Times New Roman"/>
                      <w:lang w:eastAsia="zh-CN"/>
                    </w:rPr>
                  </w:pPr>
                  <w:r>
                    <w:rPr>
                      <w:rFonts w:hint="default" w:ascii="Times New Roman" w:hAnsi="Times New Roman" w:eastAsia="宋体" w:cs="Times New Roman"/>
                      <w:color w:val="auto"/>
                      <w:sz w:val="21"/>
                      <w:szCs w:val="21"/>
                      <w:highlight w:val="none"/>
                      <w:lang w:eastAsia="zh-CN"/>
                    </w:rPr>
                    <w:t>③生活污水</w:t>
                  </w:r>
                  <w:r>
                    <w:rPr>
                      <w:rFonts w:hint="default" w:ascii="Times New Roman" w:hAnsi="Times New Roman" w:eastAsia="宋体"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default" w:ascii="Times New Roman" w:hAnsi="Times New Roman" w:eastAsia="宋体" w:cs="Times New Roman"/>
                      <w:color w:val="auto"/>
                      <w:sz w:val="21"/>
                      <w:szCs w:val="21"/>
                      <w:highlight w:val="none"/>
                      <w:lang w:val="en-US" w:eastAsia="zh-CN"/>
                    </w:rPr>
                    <w:t>依托小区内原有化粪池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预处理达到纳管标准纳入</w:t>
                  </w:r>
                  <w:r>
                    <w:rPr>
                      <w:rFonts w:hint="default" w:ascii="Times New Roman" w:hAnsi="Times New Roman" w:eastAsia="宋体" w:cs="Times New Roman"/>
                      <w:color w:val="auto"/>
                      <w:sz w:val="21"/>
                      <w:szCs w:val="21"/>
                      <w:highlight w:val="none"/>
                      <w:lang w:eastAsia="zh-CN"/>
                    </w:rPr>
                    <w:t>市政污水管网</w:t>
                  </w:r>
                  <w:r>
                    <w:rPr>
                      <w:rFonts w:hint="eastAsia"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福清市融元污水处理厂集中处理</w:t>
                  </w:r>
                  <w:r>
                    <w:rPr>
                      <w:rFonts w:hint="default" w:ascii="Times New Roman" w:hAnsi="Times New Roman" w:eastAsia="宋体" w:cs="Times New Roman"/>
                      <w:color w:val="auto"/>
                      <w:sz w:val="21"/>
                      <w:szCs w:val="21"/>
                      <w:highlight w:val="none"/>
                      <w:lang w:eastAsia="zh-CN"/>
                    </w:rPr>
                    <w:t>。</w:t>
                  </w:r>
                </w:p>
              </w:tc>
              <w:tc>
                <w:tcPr>
                  <w:tcW w:w="1635" w:type="dxa"/>
                  <w:vAlign w:val="center"/>
                </w:tcPr>
                <w:p w14:paraId="463FB5B3">
                  <w:pPr>
                    <w:pStyle w:val="191"/>
                    <w:spacing w:line="240" w:lineRule="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诊疗废水经消毒设备消毒排入化粪池（依托小区内原有化粪池）处理达到纳管标准统一纳入市政污水管网，由福清市融元污水处理厂集中处理。</w:t>
                  </w:r>
                </w:p>
              </w:tc>
              <w:tc>
                <w:tcPr>
                  <w:tcW w:w="1084" w:type="dxa"/>
                  <w:vAlign w:val="center"/>
                </w:tcPr>
                <w:p w14:paraId="13C52129">
                  <w:pPr>
                    <w:pStyle w:val="191"/>
                    <w:spacing w:line="240" w:lineRule="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依托现有</w:t>
                  </w:r>
                </w:p>
              </w:tc>
            </w:tr>
            <w:tr w14:paraId="47593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99" w:type="dxa"/>
                  <w:vMerge w:val="continue"/>
                  <w:vAlign w:val="center"/>
                </w:tcPr>
                <w:p w14:paraId="3830E76B">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14:paraId="3A0D142F">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2479" w:type="dxa"/>
                  <w:vAlign w:val="center"/>
                </w:tcPr>
                <w:p w14:paraId="2D1965F2">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墙体隔声</w:t>
                  </w:r>
                </w:p>
              </w:tc>
              <w:tc>
                <w:tcPr>
                  <w:tcW w:w="2534" w:type="dxa"/>
                  <w:vAlign w:val="center"/>
                </w:tcPr>
                <w:p w14:paraId="2F9DF51A">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墙体隔声</w:t>
                  </w:r>
                </w:p>
              </w:tc>
              <w:tc>
                <w:tcPr>
                  <w:tcW w:w="1635" w:type="dxa"/>
                  <w:vAlign w:val="center"/>
                </w:tcPr>
                <w:p w14:paraId="6A424A4D">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现有</w:t>
                  </w:r>
                </w:p>
              </w:tc>
              <w:tc>
                <w:tcPr>
                  <w:tcW w:w="1084" w:type="dxa"/>
                  <w:vAlign w:val="center"/>
                </w:tcPr>
                <w:p w14:paraId="170146C7">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14:paraId="59860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99" w:type="dxa"/>
                  <w:vMerge w:val="continue"/>
                  <w:vAlign w:val="center"/>
                </w:tcPr>
                <w:p w14:paraId="37693A31">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14:paraId="6E5BB096">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2479" w:type="dxa"/>
                  <w:vAlign w:val="center"/>
                </w:tcPr>
                <w:p w14:paraId="2C6FF31A">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新风系统</w:t>
                  </w:r>
                  <w:r>
                    <w:rPr>
                      <w:rFonts w:hint="default" w:ascii="Times New Roman" w:hAnsi="Times New Roman" w:eastAsia="宋体" w:cs="Times New Roman"/>
                      <w:color w:val="auto"/>
                      <w:highlight w:val="none"/>
                      <w:lang w:val="en-US" w:eastAsia="zh-CN"/>
                    </w:rPr>
                    <w:t>通风换气</w:t>
                  </w:r>
                  <w:r>
                    <w:rPr>
                      <w:rFonts w:hint="default" w:ascii="Times New Roman" w:hAnsi="Times New Roman" w:eastAsia="宋体" w:cs="Times New Roman"/>
                      <w:color w:val="auto"/>
                      <w:highlight w:val="none"/>
                    </w:rPr>
                    <w:t>、利用喷洒除臭剂等方式，防治恶臭污染。</w:t>
                  </w:r>
                </w:p>
              </w:tc>
              <w:tc>
                <w:tcPr>
                  <w:tcW w:w="2534" w:type="dxa"/>
                  <w:vAlign w:val="center"/>
                </w:tcPr>
                <w:p w14:paraId="350BACE0">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新风系统</w:t>
                  </w:r>
                  <w:r>
                    <w:rPr>
                      <w:rFonts w:hint="default" w:ascii="Times New Roman" w:hAnsi="Times New Roman" w:eastAsia="宋体" w:cs="Times New Roman"/>
                      <w:color w:val="auto"/>
                      <w:highlight w:val="none"/>
                      <w:lang w:val="en-US" w:eastAsia="zh-CN"/>
                    </w:rPr>
                    <w:t>通风换气</w:t>
                  </w:r>
                  <w:r>
                    <w:rPr>
                      <w:rFonts w:hint="default" w:ascii="Times New Roman" w:hAnsi="Times New Roman" w:eastAsia="宋体" w:cs="Times New Roman"/>
                      <w:color w:val="auto"/>
                      <w:highlight w:val="none"/>
                    </w:rPr>
                    <w:t>、利用喷洒除臭剂等方式，防治恶臭污染。</w:t>
                  </w:r>
                </w:p>
              </w:tc>
              <w:tc>
                <w:tcPr>
                  <w:tcW w:w="1635" w:type="dxa"/>
                  <w:vAlign w:val="center"/>
                </w:tcPr>
                <w:p w14:paraId="7B494C1B">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现有</w:t>
                  </w:r>
                </w:p>
              </w:tc>
              <w:tc>
                <w:tcPr>
                  <w:tcW w:w="1084" w:type="dxa"/>
                  <w:vAlign w:val="center"/>
                </w:tcPr>
                <w:p w14:paraId="0DB2A37D">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r w14:paraId="70382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499" w:type="dxa"/>
                  <w:vMerge w:val="continue"/>
                  <w:vAlign w:val="center"/>
                </w:tcPr>
                <w:p w14:paraId="174D5E2A">
                  <w:pPr>
                    <w:pStyle w:val="191"/>
                    <w:spacing w:line="240" w:lineRule="auto"/>
                    <w:rPr>
                      <w:rFonts w:hint="default" w:ascii="Times New Roman" w:hAnsi="Times New Roman" w:eastAsia="宋体" w:cs="Times New Roman"/>
                      <w:color w:val="auto"/>
                      <w:highlight w:val="none"/>
                    </w:rPr>
                  </w:pPr>
                </w:p>
              </w:tc>
              <w:tc>
                <w:tcPr>
                  <w:tcW w:w="865" w:type="dxa"/>
                  <w:gridSpan w:val="2"/>
                  <w:vAlign w:val="center"/>
                </w:tcPr>
                <w:p w14:paraId="10C06E1B">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2479" w:type="dxa"/>
                  <w:vAlign w:val="center"/>
                </w:tcPr>
                <w:p w14:paraId="6DDFE333">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1"/>
                      <w:szCs w:val="21"/>
                      <w:highlight w:val="none"/>
                      <w:lang w:val="en-US" w:eastAsia="zh-CN"/>
                    </w:rPr>
                    <w:t>医院各功能区设置若干垃圾桶，</w:t>
                  </w:r>
                  <w:r>
                    <w:rPr>
                      <w:rFonts w:hint="default" w:ascii="Times New Roman" w:hAnsi="Times New Roman" w:eastAsia="宋体" w:cs="Times New Roman"/>
                      <w:color w:val="auto"/>
                      <w:sz w:val="21"/>
                      <w:szCs w:val="21"/>
                      <w:highlight w:val="none"/>
                    </w:rPr>
                    <w:t>生活垃圾分类收集，由环卫部门</w:t>
                  </w:r>
                  <w:r>
                    <w:rPr>
                      <w:rFonts w:hint="default" w:ascii="Times New Roman" w:hAnsi="Times New Roman" w:eastAsia="宋体" w:cs="Times New Roman"/>
                      <w:color w:val="auto"/>
                      <w:sz w:val="21"/>
                      <w:szCs w:val="21"/>
                      <w:highlight w:val="none"/>
                      <w:lang w:val="en-US" w:eastAsia="zh-CN"/>
                    </w:rPr>
                    <w:t>定期清运</w:t>
                  </w:r>
                  <w:r>
                    <w:rPr>
                      <w:rFonts w:hint="default" w:ascii="Times New Roman" w:hAnsi="Times New Roman" w:eastAsia="宋体" w:cs="Times New Roman"/>
                      <w:color w:val="auto"/>
                      <w:sz w:val="21"/>
                      <w:szCs w:val="21"/>
                      <w:highlight w:val="none"/>
                      <w:lang w:eastAsia="zh-CN"/>
                    </w:rPr>
                    <w:t>。</w:t>
                  </w:r>
                </w:p>
                <w:p w14:paraId="2E00F976">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使用医废垃圾桶分类收集并暂存危废间</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highlight w:val="none"/>
                      <w:lang w:val="en-US" w:eastAsia="zh-CN"/>
                    </w:rPr>
                    <w:t>福建省固体废物处置有限公司</w:t>
                  </w:r>
                  <w:r>
                    <w:rPr>
                      <w:rFonts w:hint="default" w:ascii="Times New Roman" w:hAnsi="Times New Roman" w:eastAsia="宋体" w:cs="Times New Roman"/>
                      <w:color w:val="auto"/>
                      <w:highlight w:val="none"/>
                    </w:rPr>
                    <w:t>定期清运。</w:t>
                  </w:r>
                </w:p>
                <w:p w14:paraId="63D0800D">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w:t>
                  </w:r>
                  <w:r>
                    <w:rPr>
                      <w:rFonts w:hint="default" w:ascii="Times New Roman" w:hAnsi="Times New Roman" w:eastAsia="宋体" w:cs="Times New Roman"/>
                      <w:color w:val="auto"/>
                      <w:sz w:val="21"/>
                      <w:szCs w:val="21"/>
                      <w:highlight w:val="none"/>
                      <w:lang w:val="en-US" w:eastAsia="zh-CN"/>
                    </w:rPr>
                    <w:t>化验废液通过与设备连接的塑料管引入到一次性全封闭塑料袋收集后作危废处理，由福建省固体废物处置有限公司定期清运，不外排。</w:t>
                  </w:r>
                </w:p>
                <w:p w14:paraId="27EAE970">
                  <w:pPr>
                    <w:pStyle w:val="61"/>
                    <w:spacing w:line="240" w:lineRule="auto"/>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④</w:t>
                  </w:r>
                  <w:r>
                    <w:rPr>
                      <w:rFonts w:hint="default" w:ascii="Times New Roman" w:hAnsi="Times New Roman" w:eastAsia="宋体" w:cs="Times New Roman"/>
                      <w:color w:val="auto"/>
                      <w:kern w:val="0"/>
                      <w:sz w:val="21"/>
                      <w:szCs w:val="21"/>
                      <w:highlight w:val="none"/>
                      <w:lang w:eastAsia="zh-CN"/>
                    </w:rPr>
                    <w:t>消毒设备</w:t>
                  </w:r>
                  <w:r>
                    <w:rPr>
                      <w:rFonts w:hint="default" w:ascii="Times New Roman" w:hAnsi="Times New Roman" w:eastAsia="宋体" w:cs="Times New Roman"/>
                      <w:color w:val="auto"/>
                      <w:kern w:val="0"/>
                      <w:sz w:val="21"/>
                      <w:szCs w:val="21"/>
                      <w:highlight w:val="none"/>
                      <w:lang w:val="en-US" w:eastAsia="zh-CN"/>
                    </w:rPr>
                    <w:t>消毒</w:t>
                  </w:r>
                  <w:r>
                    <w:rPr>
                      <w:rFonts w:hint="default" w:ascii="Times New Roman" w:hAnsi="Times New Roman" w:eastAsia="宋体" w:cs="Times New Roman"/>
                      <w:color w:val="auto"/>
                      <w:kern w:val="0"/>
                      <w:sz w:val="21"/>
                      <w:szCs w:val="21"/>
                      <w:highlight w:val="none"/>
                      <w:lang w:eastAsia="zh-CN"/>
                    </w:rPr>
                    <w:t>诊疗废水</w:t>
                  </w:r>
                  <w:r>
                    <w:rPr>
                      <w:rFonts w:hint="default" w:ascii="Times New Roman" w:hAnsi="Times New Roman" w:eastAsia="宋体" w:cs="Times New Roman"/>
                      <w:color w:val="auto"/>
                      <w:kern w:val="0"/>
                      <w:sz w:val="21"/>
                      <w:szCs w:val="21"/>
                      <w:highlight w:val="none"/>
                      <w:lang w:val="en-US" w:eastAsia="zh-CN"/>
                    </w:rPr>
                    <w:t>和宠物美容废水</w:t>
                  </w:r>
                  <w:r>
                    <w:rPr>
                      <w:rFonts w:hint="default" w:ascii="Times New Roman" w:hAnsi="Times New Roman" w:eastAsia="宋体" w:cs="Times New Roman"/>
                      <w:color w:val="auto"/>
                      <w:kern w:val="0"/>
                      <w:sz w:val="21"/>
                      <w:szCs w:val="21"/>
                      <w:highlight w:val="none"/>
                    </w:rPr>
                    <w:t>产生的污泥每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kern w:val="0"/>
                      <w:sz w:val="21"/>
                      <w:szCs w:val="21"/>
                      <w:highlight w:val="none"/>
                      <w:lang w:eastAsia="zh-CN"/>
                    </w:rPr>
                    <w:t>由</w:t>
                  </w:r>
                  <w:r>
                    <w:rPr>
                      <w:rFonts w:hint="default" w:ascii="Times New Roman" w:hAnsi="Times New Roman" w:eastAsia="宋体" w:cs="Times New Roman"/>
                      <w:color w:val="auto"/>
                      <w:kern w:val="0"/>
                      <w:sz w:val="21"/>
                      <w:szCs w:val="21"/>
                      <w:highlight w:val="none"/>
                      <w:lang w:val="en-US" w:eastAsia="zh-CN"/>
                    </w:rPr>
                    <w:t>福建省固体废物处置有限公司</w:t>
                  </w:r>
                  <w:r>
                    <w:rPr>
                      <w:rFonts w:hint="default" w:ascii="Times New Roman" w:hAnsi="Times New Roman" w:eastAsia="宋体" w:cs="Times New Roman"/>
                      <w:color w:val="auto"/>
                      <w:kern w:val="0"/>
                      <w:sz w:val="21"/>
                      <w:szCs w:val="21"/>
                      <w:highlight w:val="none"/>
                    </w:rPr>
                    <w:t>定期清运。</w:t>
                  </w:r>
                </w:p>
                <w:p w14:paraId="41F688B5">
                  <w:pPr>
                    <w:pStyle w:val="61"/>
                    <w:spacing w:line="240" w:lineRule="auto"/>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⑤宠物</w:t>
                  </w:r>
                  <w:r>
                    <w:rPr>
                      <w:rFonts w:hint="eastAsia" w:ascii="宋体" w:hAnsi="宋体" w:eastAsia="宋体" w:cs="宋体"/>
                      <w:color w:val="auto"/>
                      <w:kern w:val="0"/>
                      <w:sz w:val="21"/>
                      <w:szCs w:val="21"/>
                      <w:highlight w:val="none"/>
                      <w:lang w:val="en-US" w:eastAsia="zh-CN"/>
                    </w:rPr>
                    <w:t>排泄物</w:t>
                  </w:r>
                  <w:r>
                    <w:rPr>
                      <w:rFonts w:hint="eastAsia" w:ascii="宋体" w:hAnsi="宋体" w:eastAsia="宋体" w:cs="宋体"/>
                      <w:color w:val="auto"/>
                      <w:kern w:val="0"/>
                      <w:sz w:val="21"/>
                      <w:szCs w:val="21"/>
                      <w:highlight w:val="none"/>
                    </w:rPr>
                    <w:t>消毒后</w:t>
                  </w:r>
                  <w:r>
                    <w:rPr>
                      <w:rFonts w:hint="eastAsia" w:ascii="宋体" w:hAnsi="宋体" w:eastAsia="宋体" w:cs="宋体"/>
                      <w:color w:val="auto"/>
                      <w:kern w:val="0"/>
                      <w:sz w:val="21"/>
                      <w:szCs w:val="21"/>
                      <w:highlight w:val="none"/>
                      <w:lang w:val="en-US" w:eastAsia="zh-CN"/>
                    </w:rPr>
                    <w:t>通过专用</w:t>
                  </w:r>
                  <w:r>
                    <w:rPr>
                      <w:rFonts w:hint="eastAsia" w:ascii="宋体" w:hAnsi="宋体" w:eastAsia="宋体" w:cs="宋体"/>
                      <w:color w:val="auto"/>
                      <w:kern w:val="0"/>
                      <w:sz w:val="21"/>
                      <w:szCs w:val="21"/>
                      <w:highlight w:val="none"/>
                    </w:rPr>
                    <w:t>池</w:t>
                  </w:r>
                  <w:r>
                    <w:rPr>
                      <w:rFonts w:hint="eastAsia" w:ascii="宋体" w:hAnsi="宋体" w:eastAsia="宋体" w:cs="宋体"/>
                      <w:color w:val="auto"/>
                      <w:kern w:val="0"/>
                      <w:sz w:val="21"/>
                      <w:szCs w:val="21"/>
                      <w:highlight w:val="none"/>
                      <w:lang w:val="en-US" w:eastAsia="zh-CN"/>
                    </w:rPr>
                    <w:t>排入化粪池</w:t>
                  </w:r>
                  <w:r>
                    <w:rPr>
                      <w:rFonts w:hint="eastAsia" w:ascii="宋体" w:hAnsi="宋体" w:eastAsia="宋体" w:cs="宋体"/>
                      <w:color w:val="auto"/>
                      <w:kern w:val="0"/>
                      <w:sz w:val="21"/>
                      <w:szCs w:val="21"/>
                      <w:highlight w:val="none"/>
                    </w:rPr>
                    <w:t>处理</w:t>
                  </w:r>
                  <w:r>
                    <w:rPr>
                      <w:rFonts w:hint="eastAsia" w:ascii="宋体" w:hAnsi="宋体" w:eastAsia="宋体" w:cs="宋体"/>
                      <w:color w:val="auto"/>
                      <w:kern w:val="0"/>
                      <w:sz w:val="21"/>
                      <w:szCs w:val="21"/>
                      <w:highlight w:val="none"/>
                      <w:lang w:eastAsia="zh-CN"/>
                    </w:rPr>
                    <w:t>。</w:t>
                  </w:r>
                </w:p>
              </w:tc>
              <w:tc>
                <w:tcPr>
                  <w:tcW w:w="2534" w:type="dxa"/>
                  <w:vAlign w:val="center"/>
                </w:tcPr>
                <w:p w14:paraId="1E6573E9">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lang w:val="en-US" w:eastAsia="zh-CN"/>
                    </w:rPr>
                    <w:t>医院各功能区设置若干垃圾桶，</w:t>
                  </w:r>
                  <w:r>
                    <w:rPr>
                      <w:rFonts w:hint="default" w:ascii="Times New Roman" w:hAnsi="Times New Roman" w:eastAsia="宋体" w:cs="Times New Roman"/>
                      <w:color w:val="auto"/>
                      <w:sz w:val="21"/>
                      <w:szCs w:val="21"/>
                      <w:highlight w:val="none"/>
                    </w:rPr>
                    <w:t>生活垃圾分类收集，由环卫部门</w:t>
                  </w:r>
                  <w:r>
                    <w:rPr>
                      <w:rFonts w:hint="default" w:ascii="Times New Roman" w:hAnsi="Times New Roman" w:eastAsia="宋体" w:cs="Times New Roman"/>
                      <w:color w:val="auto"/>
                      <w:sz w:val="21"/>
                      <w:szCs w:val="21"/>
                      <w:highlight w:val="none"/>
                      <w:lang w:val="en-US" w:eastAsia="zh-CN"/>
                    </w:rPr>
                    <w:t>定期清运</w:t>
                  </w:r>
                  <w:r>
                    <w:rPr>
                      <w:rFonts w:hint="default" w:ascii="Times New Roman" w:hAnsi="Times New Roman" w:eastAsia="宋体" w:cs="Times New Roman"/>
                      <w:color w:val="auto"/>
                      <w:sz w:val="21"/>
                      <w:szCs w:val="21"/>
                      <w:highlight w:val="none"/>
                      <w:lang w:eastAsia="zh-CN"/>
                    </w:rPr>
                    <w:t>。</w:t>
                  </w:r>
                </w:p>
                <w:p w14:paraId="5C0F95FD">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各类</w:t>
                  </w:r>
                  <w:r>
                    <w:rPr>
                      <w:rFonts w:hint="default" w:ascii="Times New Roman" w:hAnsi="Times New Roman" w:eastAsia="宋体"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使用医废垃圾桶分类收集并暂存危废间</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由资质单位定期清运。</w:t>
                  </w:r>
                </w:p>
                <w:p w14:paraId="189DA68E">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w:t>
                  </w:r>
                  <w:r>
                    <w:rPr>
                      <w:rFonts w:hint="default" w:ascii="Times New Roman" w:hAnsi="Times New Roman" w:eastAsia="宋体" w:cs="Times New Roman"/>
                      <w:color w:val="auto"/>
                      <w:kern w:val="0"/>
                      <w:sz w:val="21"/>
                      <w:szCs w:val="21"/>
                      <w:highlight w:val="none"/>
                      <w:lang w:eastAsia="zh-CN"/>
                    </w:rPr>
                    <w:t>化验废液通过与设备连接的塑料管引入到一次性全封闭塑料袋</w:t>
                  </w:r>
                  <w:r>
                    <w:rPr>
                      <w:rFonts w:hint="default" w:ascii="Times New Roman" w:hAnsi="Times New Roman" w:eastAsia="宋体" w:cs="Times New Roman"/>
                      <w:color w:val="auto"/>
                      <w:kern w:val="0"/>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当危废处理，</w:t>
                  </w:r>
                  <w:r>
                    <w:rPr>
                      <w:rFonts w:hint="default" w:ascii="Times New Roman" w:hAnsi="Times New Roman" w:eastAsia="宋体" w:cs="Times New Roman"/>
                      <w:color w:val="auto"/>
                      <w:sz w:val="21"/>
                      <w:szCs w:val="21"/>
                      <w:highlight w:val="none"/>
                      <w:lang w:eastAsia="zh-CN"/>
                    </w:rPr>
                    <w:t>由资质单位定期清运。</w:t>
                  </w:r>
                </w:p>
                <w:p w14:paraId="1F618469">
                  <w:pPr>
                    <w:pStyle w:val="61"/>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④消毒设备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rPr>
                    <w:t>产生的污泥</w:t>
                  </w:r>
                  <w:r>
                    <w:rPr>
                      <w:rFonts w:hint="default" w:ascii="Times New Roman" w:hAnsi="Times New Roman" w:eastAsia="宋体" w:cs="Times New Roman"/>
                      <w:color w:val="auto"/>
                      <w:kern w:val="0"/>
                      <w:sz w:val="21"/>
                      <w:szCs w:val="21"/>
                      <w:highlight w:val="none"/>
                    </w:rPr>
                    <w:t>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定期清运。</w:t>
                  </w:r>
                </w:p>
                <w:p w14:paraId="19327FBB">
                  <w:pPr>
                    <w:pStyle w:val="61"/>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⑤宠物</w:t>
                  </w:r>
                  <w:r>
                    <w:rPr>
                      <w:rFonts w:hint="default" w:ascii="Times New Roman" w:hAnsi="Times New Roman" w:eastAsia="宋体" w:cs="Times New Roman"/>
                      <w:color w:val="auto"/>
                      <w:sz w:val="21"/>
                      <w:szCs w:val="21"/>
                      <w:highlight w:val="none"/>
                      <w:lang w:val="en-US" w:eastAsia="zh-CN"/>
                    </w:rPr>
                    <w:t>排泄物</w:t>
                  </w:r>
                  <w:r>
                    <w:rPr>
                      <w:rFonts w:hint="default" w:ascii="Times New Roman" w:hAnsi="Times New Roman" w:eastAsia="宋体" w:cs="Times New Roman"/>
                      <w:color w:val="auto"/>
                      <w:sz w:val="21"/>
                      <w:szCs w:val="21"/>
                      <w:highlight w:val="none"/>
                    </w:rPr>
                    <w:t>消毒后</w:t>
                  </w:r>
                  <w:r>
                    <w:rPr>
                      <w:rFonts w:hint="default" w:ascii="Times New Roman" w:hAnsi="Times New Roman" w:eastAsia="宋体" w:cs="Times New Roman"/>
                      <w:color w:val="auto"/>
                      <w:sz w:val="21"/>
                      <w:szCs w:val="21"/>
                      <w:highlight w:val="none"/>
                      <w:lang w:val="en-US" w:eastAsia="zh-CN"/>
                    </w:rPr>
                    <w:t>通过专用</w:t>
                  </w:r>
                  <w:r>
                    <w:rPr>
                      <w:rFonts w:hint="default" w:ascii="Times New Roman" w:hAnsi="Times New Roman" w:eastAsia="宋体" w:cs="Times New Roman"/>
                      <w:color w:val="auto"/>
                      <w:sz w:val="21"/>
                      <w:szCs w:val="21"/>
                      <w:highlight w:val="none"/>
                    </w:rPr>
                    <w:t>池</w:t>
                  </w:r>
                  <w:r>
                    <w:rPr>
                      <w:rFonts w:hint="default" w:ascii="Times New Roman" w:hAnsi="Times New Roman" w:eastAsia="宋体" w:cs="Times New Roman"/>
                      <w:color w:val="auto"/>
                      <w:sz w:val="21"/>
                      <w:szCs w:val="21"/>
                      <w:highlight w:val="none"/>
                      <w:lang w:val="en-US" w:eastAsia="zh-CN"/>
                    </w:rPr>
                    <w:t>排入化粪池</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p>
              </w:tc>
              <w:tc>
                <w:tcPr>
                  <w:tcW w:w="1635" w:type="dxa"/>
                  <w:vAlign w:val="center"/>
                </w:tcPr>
                <w:p w14:paraId="051D3376">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使用医废垃圾桶分类收集并暂存危废间</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由资质单位</w:t>
                  </w:r>
                  <w:r>
                    <w:rPr>
                      <w:rFonts w:hint="default" w:ascii="Times New Roman" w:hAnsi="Times New Roman" w:eastAsia="宋体" w:cs="Times New Roman"/>
                      <w:color w:val="auto"/>
                      <w:highlight w:val="none"/>
                    </w:rPr>
                    <w:t>定期清运。</w:t>
                  </w:r>
                </w:p>
                <w:p w14:paraId="678496B5">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lang w:val="en-US" w:eastAsia="zh-CN"/>
                    </w:rPr>
                    <w:t>消毒</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产生的污泥</w:t>
                  </w:r>
                  <w:r>
                    <w:rPr>
                      <w:rFonts w:hint="default" w:ascii="Times New Roman" w:hAnsi="Times New Roman" w:eastAsia="宋体" w:cs="Times New Roman"/>
                      <w:color w:val="auto"/>
                      <w:kern w:val="0"/>
                      <w:highlight w:val="none"/>
                    </w:rPr>
                    <w:t>每</w:t>
                  </w:r>
                  <w:r>
                    <w:rPr>
                      <w:rFonts w:hint="eastAsia" w:ascii="Times New Roman" w:hAnsi="Times New Roman" w:eastAsia="宋体" w:cs="Times New Roman"/>
                      <w:color w:val="auto"/>
                      <w:kern w:val="0"/>
                      <w:highlight w:val="none"/>
                      <w:lang w:val="en-US" w:eastAsia="zh-CN"/>
                    </w:rPr>
                    <w:t>10</w:t>
                  </w:r>
                  <w:r>
                    <w:rPr>
                      <w:rFonts w:hint="default" w:ascii="Times New Roman" w:hAnsi="Times New Roman" w:eastAsia="宋体" w:cs="Times New Roman"/>
                      <w:color w:val="auto"/>
                      <w:kern w:val="0"/>
                      <w:highlight w:val="none"/>
                      <w:lang w:val="en-US" w:eastAsia="zh-CN"/>
                    </w:rPr>
                    <w:t>~</w:t>
                  </w:r>
                  <w:r>
                    <w:rPr>
                      <w:rFonts w:hint="eastAsia" w:ascii="Times New Roman" w:hAnsi="Times New Roman" w:eastAsia="宋体" w:cs="Times New Roman"/>
                      <w:color w:val="auto"/>
                      <w:kern w:val="0"/>
                      <w:highlight w:val="none"/>
                      <w:lang w:val="en-US" w:eastAsia="zh-CN"/>
                    </w:rPr>
                    <w:t>1</w:t>
                  </w:r>
                  <w:r>
                    <w:rPr>
                      <w:rFonts w:hint="default" w:ascii="Times New Roman" w:hAnsi="Times New Roman" w:eastAsia="宋体" w:cs="Times New Roman"/>
                      <w:color w:val="auto"/>
                      <w:kern w:val="0"/>
                      <w:highlight w:val="none"/>
                      <w:lang w:val="en-US" w:eastAsia="zh-CN"/>
                    </w:rPr>
                    <w:t>5</w:t>
                  </w:r>
                  <w:r>
                    <w:rPr>
                      <w:rFonts w:hint="default" w:ascii="Times New Roman" w:hAnsi="Times New Roman" w:eastAsia="宋体" w:cs="Times New Roman"/>
                      <w:color w:val="auto"/>
                      <w:kern w:val="0"/>
                      <w:highlight w:val="none"/>
                      <w:lang w:eastAsia="zh-CN"/>
                    </w:rPr>
                    <w:t>天</w:t>
                  </w:r>
                  <w:r>
                    <w:rPr>
                      <w:rFonts w:hint="default" w:ascii="Times New Roman" w:hAnsi="Times New Roman" w:eastAsia="宋体" w:cs="Times New Roman"/>
                      <w:color w:val="auto"/>
                      <w:kern w:val="0"/>
                      <w:highlight w:val="none"/>
                    </w:rPr>
                    <w:t>清掏一次，</w:t>
                  </w:r>
                  <w:r>
                    <w:rPr>
                      <w:rFonts w:hint="default" w:ascii="Times New Roman" w:hAnsi="Times New Roman" w:eastAsia="宋体" w:cs="Times New Roman"/>
                      <w:color w:val="auto"/>
                      <w:highlight w:val="none"/>
                      <w:lang w:eastAsia="zh-CN"/>
                    </w:rPr>
                    <w:t>由资质单位</w:t>
                  </w:r>
                  <w:r>
                    <w:rPr>
                      <w:rFonts w:hint="default" w:ascii="Times New Roman" w:hAnsi="Times New Roman" w:eastAsia="宋体" w:cs="Times New Roman"/>
                      <w:color w:val="auto"/>
                      <w:highlight w:val="none"/>
                    </w:rPr>
                    <w:t>定期清运。</w:t>
                  </w:r>
                </w:p>
              </w:tc>
              <w:tc>
                <w:tcPr>
                  <w:tcW w:w="1084" w:type="dxa"/>
                  <w:vAlign w:val="center"/>
                </w:tcPr>
                <w:p w14:paraId="213EFDB6">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依托现有</w:t>
                  </w:r>
                </w:p>
              </w:tc>
            </w:tr>
          </w:tbl>
          <w:p w14:paraId="0FDCD6A6">
            <w:pPr>
              <w:pStyle w:val="3"/>
              <w:numPr>
                <w:ilvl w:val="1"/>
                <w:numId w:val="0"/>
              </w:numPr>
              <w:rPr>
                <w:rFonts w:hint="default" w:ascii="Times New Roman" w:hAnsi="Times New Roman" w:cs="Times New Roman"/>
                <w:color w:val="auto"/>
                <w:highlight w:val="none"/>
              </w:rPr>
            </w:pPr>
            <w:bookmarkStart w:id="45" w:name="_Toc133251537"/>
            <w:bookmarkStart w:id="46" w:name="_Toc28331"/>
            <w:bookmarkStart w:id="47" w:name="_Toc10193"/>
            <w:bookmarkStart w:id="48" w:name="_Toc2489"/>
            <w:r>
              <w:rPr>
                <w:rFonts w:hint="eastAsia" w:ascii="Times New Roman" w:hAnsi="Times New Roman" w:eastAsia="宋体" w:cs="宋体"/>
                <w:b/>
                <w:bCs/>
                <w:color w:val="auto"/>
                <w:kern w:val="0"/>
                <w:sz w:val="28"/>
                <w:szCs w:val="28"/>
                <w:lang w:val="en-US" w:eastAsia="zh-CN" w:bidi="ar-SA"/>
              </w:rPr>
              <w:t>2.4</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项目主要</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设备</w:t>
            </w:r>
            <w:bookmarkEnd w:id="45"/>
            <w:bookmarkEnd w:id="46"/>
            <w:bookmarkEnd w:id="47"/>
            <w:bookmarkEnd w:id="48"/>
          </w:p>
          <w:p w14:paraId="26EFA4B3">
            <w:pPr>
              <w:pStyle w:val="473"/>
              <w:spacing w:after="0" w:line="360" w:lineRule="auto"/>
              <w:ind w:firstLine="480" w:firstLineChars="200"/>
              <w:jc w:val="left"/>
              <w:rPr>
                <w:rFonts w:hint="default" w:ascii="Times New Roman" w:hAnsi="Times New Roman" w:cs="Times New Roman"/>
                <w:b/>
                <w:bCs/>
                <w:color w:val="auto"/>
                <w:highlight w:val="none"/>
              </w:rPr>
            </w:pPr>
            <w:r>
              <w:rPr>
                <w:rFonts w:hint="default" w:ascii="Times New Roman" w:hAnsi="Times New Roman" w:cs="Times New Roman"/>
                <w:color w:val="auto"/>
                <w:highlight w:val="none"/>
                <w:lang w:val="en-US" w:eastAsia="zh-CN"/>
              </w:rPr>
              <w:t>扩建前后项目</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涉及的诊疗</w:t>
            </w:r>
            <w:r>
              <w:rPr>
                <w:rFonts w:hint="default" w:ascii="Times New Roman" w:hAnsi="Times New Roman" w:cs="Times New Roman"/>
                <w:color w:val="auto"/>
                <w:highlight w:val="none"/>
              </w:rPr>
              <w:t>设备见表2-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14:paraId="0FF98B00">
            <w:pPr>
              <w:pStyle w:val="473"/>
              <w:spacing w:after="0" w:line="240" w:lineRule="auto"/>
              <w:ind w:firstLine="0"/>
              <w:jc w:val="center"/>
              <w:rPr>
                <w:rFonts w:hint="default" w:ascii="Times New Roman" w:hAnsi="Times New Roman" w:eastAsia="PMingLiU"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bidi="en-US"/>
              </w:rPr>
              <w:t>2-4  项目</w:t>
            </w:r>
            <w:r>
              <w:rPr>
                <w:rFonts w:hint="default" w:ascii="Times New Roman" w:hAnsi="Times New Roman" w:cs="Times New Roman"/>
                <w:b/>
                <w:bCs/>
                <w:color w:val="auto"/>
                <w:highlight w:val="none"/>
              </w:rPr>
              <w:t>主要</w:t>
            </w:r>
            <w:r>
              <w:rPr>
                <w:rFonts w:hint="default" w:ascii="Times New Roman" w:hAnsi="Times New Roman" w:cs="Times New Roman"/>
                <w:b/>
                <w:bCs/>
                <w:color w:val="auto"/>
                <w:highlight w:val="none"/>
                <w:lang w:val="en-US" w:eastAsia="zh-CN"/>
              </w:rPr>
              <w:t>诊疗</w:t>
            </w:r>
            <w:r>
              <w:rPr>
                <w:rFonts w:hint="default" w:ascii="Times New Roman" w:hAnsi="Times New Roman" w:cs="Times New Roman"/>
                <w:b/>
                <w:bCs/>
                <w:color w:val="auto"/>
                <w:highlight w:val="none"/>
              </w:rPr>
              <w:t>设备一览表</w:t>
            </w:r>
          </w:p>
          <w:tbl>
            <w:tblPr>
              <w:tblStyle w:val="50"/>
              <w:tblW w:w="496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6"/>
              <w:gridCol w:w="1760"/>
              <w:gridCol w:w="420"/>
              <w:gridCol w:w="2374"/>
              <w:gridCol w:w="847"/>
              <w:gridCol w:w="879"/>
              <w:gridCol w:w="1100"/>
              <w:gridCol w:w="1147"/>
            </w:tblGrid>
            <w:tr w14:paraId="41AC7E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Merge w:val="restart"/>
                  <w:vAlign w:val="center"/>
                </w:tcPr>
                <w:p w14:paraId="27C72391">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序号</w:t>
                  </w:r>
                </w:p>
              </w:tc>
              <w:tc>
                <w:tcPr>
                  <w:tcW w:w="980" w:type="pct"/>
                  <w:vMerge w:val="restart"/>
                  <w:vAlign w:val="center"/>
                </w:tcPr>
                <w:p w14:paraId="77478ED3">
                  <w:pPr>
                    <w:widowControl/>
                    <w:adjustRightInd w:val="0"/>
                    <w:snapToGrid w:val="0"/>
                    <w:jc w:val="center"/>
                    <w:textAlignment w:val="center"/>
                    <w:rPr>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设备名称</w:t>
                  </w:r>
                </w:p>
              </w:tc>
              <w:tc>
                <w:tcPr>
                  <w:tcW w:w="234" w:type="pct"/>
                  <w:vMerge w:val="restart"/>
                  <w:vAlign w:val="center"/>
                </w:tcPr>
                <w:p w14:paraId="3A339268">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lang w:eastAsia="zh-CN"/>
                    </w:rPr>
                  </w:pPr>
                  <w:r>
                    <w:rPr>
                      <w:rStyle w:val="486"/>
                      <w:rFonts w:hint="default" w:ascii="Times New Roman" w:hAnsi="Times New Roman" w:eastAsia="宋体" w:cs="Times New Roman"/>
                      <w:b/>
                      <w:bCs/>
                      <w:color w:val="auto"/>
                      <w:sz w:val="21"/>
                      <w:szCs w:val="21"/>
                      <w:highlight w:val="none"/>
                      <w:lang w:eastAsia="zh-CN"/>
                    </w:rPr>
                    <w:t>单位</w:t>
                  </w:r>
                </w:p>
              </w:tc>
              <w:tc>
                <w:tcPr>
                  <w:tcW w:w="1322" w:type="pct"/>
                  <w:vMerge w:val="restart"/>
                  <w:vAlign w:val="center"/>
                </w:tcPr>
                <w:p w14:paraId="32BC7D6D">
                  <w:pPr>
                    <w:widowControl/>
                    <w:adjustRightInd w:val="0"/>
                    <w:snapToGrid w:val="0"/>
                    <w:jc w:val="center"/>
                    <w:textAlignment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型设备号</w:t>
                  </w:r>
                </w:p>
              </w:tc>
              <w:tc>
                <w:tcPr>
                  <w:tcW w:w="1574" w:type="pct"/>
                  <w:gridSpan w:val="3"/>
                  <w:vAlign w:val="center"/>
                </w:tcPr>
                <w:p w14:paraId="4E69E7AD">
                  <w:pPr>
                    <w:widowControl/>
                    <w:adjustRightInd w:val="0"/>
                    <w:snapToGrid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639" w:type="pct"/>
                  <w:vMerge w:val="restart"/>
                  <w:vAlign w:val="center"/>
                </w:tcPr>
                <w:p w14:paraId="50BC8F13">
                  <w:pPr>
                    <w:widowControl/>
                    <w:adjustRightInd w:val="0"/>
                    <w:snapToGrid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存放位置</w:t>
                  </w:r>
                </w:p>
              </w:tc>
            </w:tr>
            <w:tr w14:paraId="6CAECA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Merge w:val="continue"/>
                  <w:vAlign w:val="center"/>
                </w:tcPr>
                <w:p w14:paraId="2FE23C1F">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980" w:type="pct"/>
                  <w:vMerge w:val="continue"/>
                  <w:vAlign w:val="center"/>
                </w:tcPr>
                <w:p w14:paraId="6BEFCFD7">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234" w:type="pct"/>
                  <w:vMerge w:val="continue"/>
                  <w:vAlign w:val="center"/>
                </w:tcPr>
                <w:p w14:paraId="52FC85EA">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1322" w:type="pct"/>
                  <w:vMerge w:val="continue"/>
                  <w:vAlign w:val="center"/>
                </w:tcPr>
                <w:p w14:paraId="5F90F40A">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c>
                <w:tcPr>
                  <w:tcW w:w="471" w:type="pct"/>
                  <w:vAlign w:val="center"/>
                </w:tcPr>
                <w:p w14:paraId="74E83004">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现有项目</w:t>
                  </w:r>
                </w:p>
              </w:tc>
              <w:tc>
                <w:tcPr>
                  <w:tcW w:w="489" w:type="pct"/>
                  <w:vAlign w:val="center"/>
                </w:tcPr>
                <w:p w14:paraId="37E85525">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本项目</w:t>
                  </w:r>
                </w:p>
              </w:tc>
              <w:tc>
                <w:tcPr>
                  <w:tcW w:w="612" w:type="pct"/>
                  <w:vAlign w:val="center"/>
                </w:tcPr>
                <w:p w14:paraId="04BBC731">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r>
                    <w:rPr>
                      <w:rStyle w:val="486"/>
                      <w:rFonts w:hint="default" w:ascii="Times New Roman" w:hAnsi="Times New Roman" w:eastAsia="宋体" w:cs="Times New Roman"/>
                      <w:b/>
                      <w:bCs/>
                      <w:color w:val="auto"/>
                      <w:sz w:val="21"/>
                      <w:szCs w:val="21"/>
                      <w:highlight w:val="none"/>
                    </w:rPr>
                    <w:t>扩建后项目</w:t>
                  </w:r>
                </w:p>
              </w:tc>
              <w:tc>
                <w:tcPr>
                  <w:tcW w:w="639" w:type="pct"/>
                  <w:vMerge w:val="continue"/>
                  <w:vAlign w:val="center"/>
                </w:tcPr>
                <w:p w14:paraId="23400D62">
                  <w:pPr>
                    <w:widowControl/>
                    <w:adjustRightInd w:val="0"/>
                    <w:snapToGrid w:val="0"/>
                    <w:jc w:val="center"/>
                    <w:textAlignment w:val="center"/>
                    <w:rPr>
                      <w:rStyle w:val="486"/>
                      <w:rFonts w:hint="default" w:ascii="Times New Roman" w:hAnsi="Times New Roman" w:eastAsia="宋体" w:cs="Times New Roman"/>
                      <w:b/>
                      <w:bCs/>
                      <w:color w:val="auto"/>
                      <w:sz w:val="21"/>
                      <w:szCs w:val="21"/>
                      <w:highlight w:val="none"/>
                    </w:rPr>
                  </w:pPr>
                </w:p>
              </w:tc>
            </w:tr>
            <w:tr w14:paraId="0A9B74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8" w:type="pct"/>
                  <w:vAlign w:val="center"/>
                </w:tcPr>
                <w:p w14:paraId="7E67F749">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w:t>
                  </w:r>
                </w:p>
              </w:tc>
              <w:tc>
                <w:tcPr>
                  <w:tcW w:w="980" w:type="pct"/>
                  <w:shd w:val="clear" w:color="auto" w:fill="auto"/>
                  <w:vAlign w:val="top"/>
                </w:tcPr>
                <w:p w14:paraId="0EA5E01D">
                  <w:pPr>
                    <w:keepNext w:val="0"/>
                    <w:keepLines w:val="0"/>
                    <w:widowControl/>
                    <w:suppressLineNumbers w:val="0"/>
                    <w:spacing w:beforeLines="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显微镜</w:t>
                  </w:r>
                </w:p>
              </w:tc>
              <w:tc>
                <w:tcPr>
                  <w:tcW w:w="234" w:type="pct"/>
                  <w:vAlign w:val="top"/>
                </w:tcPr>
                <w:p w14:paraId="3C4FB81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254806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DM500</w:t>
                  </w:r>
                </w:p>
              </w:tc>
              <w:tc>
                <w:tcPr>
                  <w:tcW w:w="471" w:type="pct"/>
                  <w:shd w:val="clear" w:color="auto" w:fill="auto"/>
                  <w:vAlign w:val="center"/>
                </w:tcPr>
                <w:p w14:paraId="68EC60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tcPr>
                <w:p w14:paraId="37B118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12" w:type="pct"/>
                  <w:vAlign w:val="top"/>
                </w:tcPr>
                <w:p w14:paraId="5F2BC918">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39" w:type="pct"/>
                  <w:vMerge w:val="restart"/>
                  <w:vAlign w:val="top"/>
                </w:tcPr>
                <w:p w14:paraId="08B67BA0">
                  <w:pPr>
                    <w:keepNext w:val="0"/>
                    <w:keepLines w:val="0"/>
                    <w:pageBreakBefore w:val="0"/>
                    <w:widowControl/>
                    <w:suppressLineNumbers w:val="0"/>
                    <w:kinsoku/>
                    <w:wordWrap/>
                    <w:overflowPunct/>
                    <w:topLinePunct w:val="0"/>
                    <w:autoSpaceDE/>
                    <w:autoSpaceDN/>
                    <w:bidi w:val="0"/>
                    <w:adjustRightInd/>
                    <w:snapToGrid/>
                    <w:spacing w:before="2203" w:beforeLines="60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化验室</w:t>
                  </w:r>
                </w:p>
              </w:tc>
            </w:tr>
            <w:tr w14:paraId="7EBB7C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Align w:val="center"/>
                </w:tcPr>
                <w:p w14:paraId="6956265F">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2</w:t>
                  </w:r>
                </w:p>
              </w:tc>
              <w:tc>
                <w:tcPr>
                  <w:tcW w:w="980" w:type="pct"/>
                  <w:shd w:val="clear" w:color="auto" w:fill="auto"/>
                  <w:vAlign w:val="top"/>
                </w:tcPr>
                <w:p w14:paraId="7563071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离心机</w:t>
                  </w:r>
                </w:p>
              </w:tc>
              <w:tc>
                <w:tcPr>
                  <w:tcW w:w="234" w:type="pct"/>
                  <w:vAlign w:val="top"/>
                </w:tcPr>
                <w:p w14:paraId="54F2B60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59F01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P82S</w:t>
                  </w:r>
                </w:p>
              </w:tc>
              <w:tc>
                <w:tcPr>
                  <w:tcW w:w="471" w:type="pct"/>
                  <w:shd w:val="clear" w:color="auto" w:fill="auto"/>
                  <w:vAlign w:val="center"/>
                </w:tcPr>
                <w:p w14:paraId="61D9A9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89" w:type="pct"/>
                </w:tcPr>
                <w:p w14:paraId="3C0A9C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12" w:type="pct"/>
                  <w:vAlign w:val="top"/>
                </w:tcPr>
                <w:p w14:paraId="076B2D05">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639" w:type="pct"/>
                  <w:vMerge w:val="continue"/>
                  <w:vAlign w:val="top"/>
                </w:tcPr>
                <w:p w14:paraId="0F2DA06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A036B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Align w:val="center"/>
                </w:tcPr>
                <w:p w14:paraId="1C685816">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3</w:t>
                  </w:r>
                </w:p>
              </w:tc>
              <w:tc>
                <w:tcPr>
                  <w:tcW w:w="980" w:type="pct"/>
                  <w:shd w:val="clear" w:color="auto" w:fill="auto"/>
                  <w:vAlign w:val="top"/>
                </w:tcPr>
                <w:p w14:paraId="18169EF5">
                  <w:pPr>
                    <w:keepNext w:val="0"/>
                    <w:keepLines w:val="0"/>
                    <w:pageBreakBefore w:val="0"/>
                    <w:widowControl/>
                    <w:suppressLineNumbers w:val="0"/>
                    <w:kinsoku/>
                    <w:wordWrap/>
                    <w:overflowPunct/>
                    <w:topLinePunct w:val="0"/>
                    <w:autoSpaceDE/>
                    <w:autoSpaceDN/>
                    <w:bidi w:val="0"/>
                    <w:adjustRightInd/>
                    <w:snapToGrid/>
                    <w:spacing w:before="368" w:beforeLines="10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全自动生化仪</w:t>
                  </w:r>
                </w:p>
              </w:tc>
              <w:tc>
                <w:tcPr>
                  <w:tcW w:w="234" w:type="pct"/>
                  <w:shd w:val="clear" w:color="auto" w:fill="auto"/>
                  <w:vAlign w:val="top"/>
                </w:tcPr>
                <w:p w14:paraId="36FA2CCD">
                  <w:pPr>
                    <w:keepNext w:val="0"/>
                    <w:keepLines w:val="0"/>
                    <w:pageBreakBefore w:val="0"/>
                    <w:widowControl/>
                    <w:suppressLineNumbers w:val="0"/>
                    <w:kinsoku/>
                    <w:wordWrap/>
                    <w:overflowPunct/>
                    <w:topLinePunct w:val="0"/>
                    <w:autoSpaceDE/>
                    <w:autoSpaceDN/>
                    <w:bidi w:val="0"/>
                    <w:adjustRightInd/>
                    <w:snapToGrid/>
                    <w:spacing w:before="368" w:beforeLines="10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6F3A61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SMT-120V斯玛特/IDEXXCatalystOne爱德士</w:t>
                  </w:r>
                </w:p>
              </w:tc>
              <w:tc>
                <w:tcPr>
                  <w:tcW w:w="471" w:type="pct"/>
                  <w:shd w:val="clear" w:color="auto" w:fill="auto"/>
                  <w:vAlign w:val="center"/>
                </w:tcPr>
                <w:p w14:paraId="61EED8A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89" w:type="pct"/>
                </w:tcPr>
                <w:p w14:paraId="6A4DD66B">
                  <w:pPr>
                    <w:keepNext w:val="0"/>
                    <w:keepLines w:val="0"/>
                    <w:pageBreakBefore w:val="0"/>
                    <w:kinsoku/>
                    <w:wordWrap/>
                    <w:overflowPunct/>
                    <w:topLinePunct w:val="0"/>
                    <w:autoSpaceDE/>
                    <w:autoSpaceDN/>
                    <w:bidi w:val="0"/>
                    <w:adjustRightInd/>
                    <w:snapToGrid/>
                    <w:spacing w:before="368" w:beforeLines="1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12" w:type="pct"/>
                  <w:vAlign w:val="top"/>
                </w:tcPr>
                <w:p w14:paraId="41759DE6">
                  <w:pPr>
                    <w:keepNext w:val="0"/>
                    <w:keepLines w:val="0"/>
                    <w:pageBreakBefore w:val="0"/>
                    <w:widowControl/>
                    <w:suppressLineNumbers w:val="0"/>
                    <w:kinsoku/>
                    <w:wordWrap/>
                    <w:overflowPunct/>
                    <w:topLinePunct w:val="0"/>
                    <w:autoSpaceDE/>
                    <w:autoSpaceDN/>
                    <w:bidi w:val="0"/>
                    <w:adjustRightInd/>
                    <w:snapToGrid/>
                    <w:spacing w:before="368" w:beforeLines="10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39" w:type="pct"/>
                  <w:vMerge w:val="continue"/>
                  <w:vAlign w:val="top"/>
                </w:tcPr>
                <w:p w14:paraId="70F8889F">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D0E7B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Align w:val="center"/>
                </w:tcPr>
                <w:p w14:paraId="1B8F0755">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4</w:t>
                  </w:r>
                </w:p>
              </w:tc>
              <w:tc>
                <w:tcPr>
                  <w:tcW w:w="980" w:type="pct"/>
                  <w:shd w:val="clear" w:color="auto" w:fill="auto"/>
                  <w:vAlign w:val="top"/>
                </w:tcPr>
                <w:p w14:paraId="069A98C8">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疫苗冰箱</w:t>
                  </w:r>
                </w:p>
              </w:tc>
              <w:tc>
                <w:tcPr>
                  <w:tcW w:w="234" w:type="pct"/>
                  <w:shd w:val="clear" w:color="auto" w:fill="auto"/>
                  <w:vAlign w:val="top"/>
                </w:tcPr>
                <w:p w14:paraId="54F96E8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587155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BCD-536WKSIHY</w:t>
                  </w:r>
                </w:p>
              </w:tc>
              <w:tc>
                <w:tcPr>
                  <w:tcW w:w="471" w:type="pct"/>
                  <w:shd w:val="clear" w:color="auto" w:fill="auto"/>
                  <w:vAlign w:val="center"/>
                </w:tcPr>
                <w:p w14:paraId="5A378A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vAlign w:val="top"/>
                </w:tcPr>
                <w:p w14:paraId="3DCF595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612" w:type="pct"/>
                  <w:vAlign w:val="top"/>
                </w:tcPr>
                <w:p w14:paraId="1886ADE6">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639" w:type="pct"/>
                  <w:vMerge w:val="continue"/>
                  <w:vAlign w:val="top"/>
                </w:tcPr>
                <w:p w14:paraId="52B7443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A48D1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Align w:val="center"/>
                </w:tcPr>
                <w:p w14:paraId="0D76ADCF">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5</w:t>
                  </w:r>
                </w:p>
              </w:tc>
              <w:tc>
                <w:tcPr>
                  <w:tcW w:w="980" w:type="pct"/>
                  <w:shd w:val="clear" w:color="auto" w:fill="auto"/>
                  <w:vAlign w:val="top"/>
                </w:tcPr>
                <w:p w14:paraId="13D2761D">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免疫荧光检测仪</w:t>
                  </w:r>
                </w:p>
              </w:tc>
              <w:tc>
                <w:tcPr>
                  <w:tcW w:w="234" w:type="pct"/>
                  <w:shd w:val="clear" w:color="auto" w:fill="auto"/>
                  <w:vAlign w:val="top"/>
                </w:tcPr>
                <w:p w14:paraId="1EF86EB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2932D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基灵Fidx</w:t>
                  </w:r>
                </w:p>
              </w:tc>
              <w:tc>
                <w:tcPr>
                  <w:tcW w:w="471" w:type="pct"/>
                  <w:shd w:val="clear" w:color="auto" w:fill="auto"/>
                  <w:vAlign w:val="center"/>
                </w:tcPr>
                <w:p w14:paraId="0D1FAA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489" w:type="pct"/>
                  <w:vAlign w:val="top"/>
                </w:tcPr>
                <w:p w14:paraId="75714714">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612" w:type="pct"/>
                  <w:vAlign w:val="top"/>
                </w:tcPr>
                <w:p w14:paraId="2E1DB95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639" w:type="pct"/>
                  <w:vMerge w:val="continue"/>
                  <w:vAlign w:val="top"/>
                </w:tcPr>
                <w:p w14:paraId="7E9B1E6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9D41B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8" w:type="pct"/>
                  <w:vAlign w:val="center"/>
                </w:tcPr>
                <w:p w14:paraId="6425374F">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6</w:t>
                  </w:r>
                </w:p>
              </w:tc>
              <w:tc>
                <w:tcPr>
                  <w:tcW w:w="980" w:type="pct"/>
                  <w:shd w:val="clear" w:color="auto" w:fill="auto"/>
                  <w:vAlign w:val="top"/>
                </w:tcPr>
                <w:p w14:paraId="66454D66">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血凝检测仪</w:t>
                  </w:r>
                </w:p>
              </w:tc>
              <w:tc>
                <w:tcPr>
                  <w:tcW w:w="234" w:type="pct"/>
                  <w:shd w:val="clear" w:color="auto" w:fill="auto"/>
                  <w:vAlign w:val="top"/>
                </w:tcPr>
                <w:p w14:paraId="24D2D40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6769D1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w:t>
                  </w:r>
                </w:p>
              </w:tc>
              <w:tc>
                <w:tcPr>
                  <w:tcW w:w="471" w:type="pct"/>
                  <w:shd w:val="clear" w:color="auto" w:fill="auto"/>
                  <w:vAlign w:val="center"/>
                </w:tcPr>
                <w:p w14:paraId="095FEDA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vAlign w:val="top"/>
                </w:tcPr>
                <w:p w14:paraId="2632968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612" w:type="pct"/>
                  <w:vAlign w:val="top"/>
                </w:tcPr>
                <w:p w14:paraId="65CA6686">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39" w:type="pct"/>
                  <w:vMerge w:val="continue"/>
                  <w:vAlign w:val="top"/>
                </w:tcPr>
                <w:p w14:paraId="090EAAD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15F98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8" w:type="pct"/>
                  <w:vAlign w:val="center"/>
                </w:tcPr>
                <w:p w14:paraId="2313B3FD">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7</w:t>
                  </w:r>
                </w:p>
              </w:tc>
              <w:tc>
                <w:tcPr>
                  <w:tcW w:w="980" w:type="pct"/>
                  <w:shd w:val="clear" w:color="auto" w:fill="auto"/>
                  <w:vAlign w:val="top"/>
                </w:tcPr>
                <w:p w14:paraId="46208439">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血常规</w:t>
                  </w:r>
                </w:p>
              </w:tc>
              <w:tc>
                <w:tcPr>
                  <w:tcW w:w="234" w:type="pct"/>
                  <w:shd w:val="clear" w:color="auto" w:fill="auto"/>
                  <w:vAlign w:val="top"/>
                </w:tcPr>
                <w:p w14:paraId="2FB3AAA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52C79F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LinCyto</w:t>
                  </w:r>
                </w:p>
              </w:tc>
              <w:tc>
                <w:tcPr>
                  <w:tcW w:w="471" w:type="pct"/>
                  <w:shd w:val="clear" w:color="auto" w:fill="auto"/>
                  <w:vAlign w:val="center"/>
                </w:tcPr>
                <w:p w14:paraId="3A2ABE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vAlign w:val="top"/>
                </w:tcPr>
                <w:p w14:paraId="502899D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612" w:type="pct"/>
                  <w:vAlign w:val="top"/>
                </w:tcPr>
                <w:p w14:paraId="57019079">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639" w:type="pct"/>
                  <w:vMerge w:val="continue"/>
                  <w:vAlign w:val="top"/>
                </w:tcPr>
                <w:p w14:paraId="162F11E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2EEF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vAlign w:val="center"/>
                </w:tcPr>
                <w:p w14:paraId="337214FD">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8</w:t>
                  </w:r>
                </w:p>
              </w:tc>
              <w:tc>
                <w:tcPr>
                  <w:tcW w:w="980" w:type="pct"/>
                  <w:shd w:val="clear" w:color="auto" w:fill="auto"/>
                  <w:vAlign w:val="top"/>
                </w:tcPr>
                <w:p w14:paraId="2ED6E481">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b超</w:t>
                  </w:r>
                </w:p>
              </w:tc>
              <w:tc>
                <w:tcPr>
                  <w:tcW w:w="234" w:type="pct"/>
                  <w:shd w:val="clear" w:color="auto" w:fill="auto"/>
                  <w:vAlign w:val="top"/>
                </w:tcPr>
                <w:p w14:paraId="5E65DB0A">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3C79FA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Ventus7S</w:t>
                  </w:r>
                </w:p>
              </w:tc>
              <w:tc>
                <w:tcPr>
                  <w:tcW w:w="471" w:type="pct"/>
                  <w:shd w:val="clear" w:color="auto" w:fill="auto"/>
                  <w:vAlign w:val="center"/>
                </w:tcPr>
                <w:p w14:paraId="241488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vAlign w:val="top"/>
                </w:tcPr>
                <w:p w14:paraId="040394B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612" w:type="pct"/>
                  <w:vAlign w:val="top"/>
                </w:tcPr>
                <w:p w14:paraId="3C05D3E7">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39" w:type="pct"/>
                  <w:vMerge w:val="restart"/>
                  <w:vAlign w:val="top"/>
                </w:tcPr>
                <w:p w14:paraId="110EB91D">
                  <w:pPr>
                    <w:keepNext w:val="0"/>
                    <w:keepLines w:val="0"/>
                    <w:pageBreakBefore w:val="0"/>
                    <w:widowControl/>
                    <w:suppressLineNumbers w:val="0"/>
                    <w:kinsoku/>
                    <w:wordWrap/>
                    <w:overflowPunct/>
                    <w:topLinePunct w:val="0"/>
                    <w:autoSpaceDE/>
                    <w:autoSpaceDN/>
                    <w:bidi w:val="0"/>
                    <w:adjustRightInd/>
                    <w:snapToGrid/>
                    <w:spacing w:before="185" w:beforeLines="5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诊室</w:t>
                  </w:r>
                </w:p>
              </w:tc>
            </w:tr>
            <w:tr w14:paraId="25E811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48" w:type="pct"/>
                  <w:vAlign w:val="center"/>
                </w:tcPr>
                <w:p w14:paraId="0EAC5DF2">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9</w:t>
                  </w:r>
                </w:p>
              </w:tc>
              <w:tc>
                <w:tcPr>
                  <w:tcW w:w="980" w:type="pct"/>
                  <w:shd w:val="clear" w:color="auto" w:fill="auto"/>
                  <w:vAlign w:val="top"/>
                </w:tcPr>
                <w:p w14:paraId="398DFDBF">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听诊器</w:t>
                  </w:r>
                </w:p>
              </w:tc>
              <w:tc>
                <w:tcPr>
                  <w:tcW w:w="234" w:type="pct"/>
                  <w:shd w:val="clear" w:color="auto" w:fill="auto"/>
                  <w:vAlign w:val="top"/>
                </w:tcPr>
                <w:p w14:paraId="5044304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75A011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HM-250</w:t>
                  </w:r>
                </w:p>
              </w:tc>
              <w:tc>
                <w:tcPr>
                  <w:tcW w:w="471" w:type="pct"/>
                  <w:shd w:val="clear" w:color="auto" w:fill="auto"/>
                  <w:vAlign w:val="center"/>
                </w:tcPr>
                <w:p w14:paraId="6552D2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489" w:type="pct"/>
                  <w:vAlign w:val="top"/>
                </w:tcPr>
                <w:p w14:paraId="2436752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612" w:type="pct"/>
                  <w:vAlign w:val="top"/>
                </w:tcPr>
                <w:p w14:paraId="5D50605F">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w:t>
                  </w:r>
                </w:p>
              </w:tc>
              <w:tc>
                <w:tcPr>
                  <w:tcW w:w="639" w:type="pct"/>
                  <w:vMerge w:val="continue"/>
                  <w:vAlign w:val="top"/>
                </w:tcPr>
                <w:p w14:paraId="00D97E94">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p>
              </w:tc>
            </w:tr>
            <w:tr w14:paraId="70C089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vAlign w:val="center"/>
                </w:tcPr>
                <w:p w14:paraId="0893FF52">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10</w:t>
                  </w:r>
                </w:p>
              </w:tc>
              <w:tc>
                <w:tcPr>
                  <w:tcW w:w="980" w:type="pct"/>
                  <w:shd w:val="clear" w:color="auto" w:fill="auto"/>
                  <w:vAlign w:val="top"/>
                </w:tcPr>
                <w:p w14:paraId="4790C345">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兽用X射线机</w:t>
                  </w:r>
                </w:p>
              </w:tc>
              <w:tc>
                <w:tcPr>
                  <w:tcW w:w="234" w:type="pct"/>
                  <w:shd w:val="clear" w:color="auto" w:fill="auto"/>
                  <w:vAlign w:val="top"/>
                </w:tcPr>
                <w:p w14:paraId="4F51DEA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483AA8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E7242X</w:t>
                  </w:r>
                </w:p>
              </w:tc>
              <w:tc>
                <w:tcPr>
                  <w:tcW w:w="471" w:type="pct"/>
                  <w:shd w:val="clear" w:color="auto" w:fill="auto"/>
                  <w:vAlign w:val="center"/>
                </w:tcPr>
                <w:p w14:paraId="7B98665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vAlign w:val="top"/>
                </w:tcPr>
                <w:p w14:paraId="2B856FB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612" w:type="pct"/>
                  <w:vAlign w:val="top"/>
                </w:tcPr>
                <w:p w14:paraId="24FD9B3D">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39" w:type="pct"/>
                  <w:vAlign w:val="top"/>
                </w:tcPr>
                <w:p w14:paraId="115F23E4">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DR室</w:t>
                  </w:r>
                </w:p>
              </w:tc>
            </w:tr>
            <w:tr w14:paraId="29CCC9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8" w:type="pct"/>
                  <w:vAlign w:val="center"/>
                </w:tcPr>
                <w:p w14:paraId="598D9568">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11</w:t>
                  </w:r>
                </w:p>
              </w:tc>
              <w:tc>
                <w:tcPr>
                  <w:tcW w:w="980" w:type="pct"/>
                  <w:shd w:val="clear" w:color="auto" w:fill="auto"/>
                  <w:vAlign w:val="top"/>
                </w:tcPr>
                <w:p w14:paraId="78A7DD7C">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高压灭菌锅</w:t>
                  </w:r>
                </w:p>
              </w:tc>
              <w:tc>
                <w:tcPr>
                  <w:tcW w:w="234" w:type="pct"/>
                  <w:shd w:val="clear" w:color="auto" w:fill="auto"/>
                  <w:vAlign w:val="top"/>
                </w:tcPr>
                <w:p w14:paraId="1053D48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34550F1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XFH-30MA</w:t>
                  </w:r>
                </w:p>
              </w:tc>
              <w:tc>
                <w:tcPr>
                  <w:tcW w:w="471" w:type="pct"/>
                  <w:shd w:val="clear" w:color="auto" w:fill="auto"/>
                  <w:vAlign w:val="center"/>
                </w:tcPr>
                <w:p w14:paraId="2EC386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w:t>
                  </w:r>
                </w:p>
              </w:tc>
              <w:tc>
                <w:tcPr>
                  <w:tcW w:w="489" w:type="pct"/>
                  <w:vAlign w:val="center"/>
                </w:tcPr>
                <w:p w14:paraId="4FB514C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612" w:type="pct"/>
                  <w:vAlign w:val="top"/>
                </w:tcPr>
                <w:p w14:paraId="2BBFE77C">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39" w:type="pct"/>
                  <w:vMerge w:val="restart"/>
                  <w:vAlign w:val="top"/>
                </w:tcPr>
                <w:p w14:paraId="54473A0A">
                  <w:pPr>
                    <w:keepNext w:val="0"/>
                    <w:keepLines w:val="0"/>
                    <w:pageBreakBefore w:val="0"/>
                    <w:widowControl/>
                    <w:suppressLineNumbers w:val="0"/>
                    <w:kinsoku/>
                    <w:wordWrap/>
                    <w:overflowPunct/>
                    <w:topLinePunct w:val="0"/>
                    <w:autoSpaceDE/>
                    <w:autoSpaceDN/>
                    <w:bidi w:val="0"/>
                    <w:adjustRightInd/>
                    <w:snapToGrid/>
                    <w:spacing w:before="185" w:beforeLines="5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杂物间</w:t>
                  </w:r>
                </w:p>
              </w:tc>
            </w:tr>
            <w:tr w14:paraId="7345B7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vAlign w:val="center"/>
                </w:tcPr>
                <w:p w14:paraId="3EF2493B">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12</w:t>
                  </w:r>
                </w:p>
              </w:tc>
              <w:tc>
                <w:tcPr>
                  <w:tcW w:w="980" w:type="pct"/>
                  <w:shd w:val="clear" w:color="auto" w:fill="auto"/>
                  <w:vAlign w:val="top"/>
                </w:tcPr>
                <w:p w14:paraId="14D709D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紫外消毒灯</w:t>
                  </w:r>
                </w:p>
              </w:tc>
              <w:tc>
                <w:tcPr>
                  <w:tcW w:w="234" w:type="pct"/>
                  <w:shd w:val="clear" w:color="auto" w:fill="auto"/>
                  <w:vAlign w:val="top"/>
                </w:tcPr>
                <w:p w14:paraId="66AD8045">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56AB4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ST-XD-18</w:t>
                  </w:r>
                </w:p>
              </w:tc>
              <w:tc>
                <w:tcPr>
                  <w:tcW w:w="471" w:type="pct"/>
                  <w:shd w:val="clear" w:color="auto" w:fill="auto"/>
                  <w:vAlign w:val="center"/>
                </w:tcPr>
                <w:p w14:paraId="0E0F83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89" w:type="pct"/>
                  <w:vAlign w:val="center"/>
                </w:tcPr>
                <w:p w14:paraId="2E5C82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1"/>
                      <w:szCs w:val="21"/>
                      <w:highlight w:val="none"/>
                      <w:u w:val="none"/>
                      <w:lang w:val="en-US" w:eastAsia="zh-CN" w:bidi="ar"/>
                    </w:rPr>
                    <w:t>1</w:t>
                  </w:r>
                </w:p>
              </w:tc>
              <w:tc>
                <w:tcPr>
                  <w:tcW w:w="612" w:type="pct"/>
                  <w:vAlign w:val="top"/>
                </w:tcPr>
                <w:p w14:paraId="4A3F5A9E">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639" w:type="pct"/>
                  <w:vMerge w:val="continue"/>
                  <w:vAlign w:val="top"/>
                </w:tcPr>
                <w:p w14:paraId="7FB6C3F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F1CC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vAlign w:val="center"/>
                </w:tcPr>
                <w:p w14:paraId="3E8105E0">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13</w:t>
                  </w:r>
                </w:p>
              </w:tc>
              <w:tc>
                <w:tcPr>
                  <w:tcW w:w="980" w:type="pct"/>
                  <w:shd w:val="clear" w:color="auto" w:fill="auto"/>
                  <w:vAlign w:val="center"/>
                </w:tcPr>
                <w:p w14:paraId="67A255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监护仪</w:t>
                  </w:r>
                </w:p>
              </w:tc>
              <w:tc>
                <w:tcPr>
                  <w:tcW w:w="234" w:type="pct"/>
                  <w:shd w:val="clear" w:color="auto" w:fill="auto"/>
                  <w:vAlign w:val="top"/>
                </w:tcPr>
                <w:p w14:paraId="0DF6A2D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028869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STAR8000F-V/ND12-V</w:t>
                  </w:r>
                </w:p>
              </w:tc>
              <w:tc>
                <w:tcPr>
                  <w:tcW w:w="471" w:type="pct"/>
                  <w:shd w:val="clear" w:color="auto" w:fill="auto"/>
                  <w:vAlign w:val="center"/>
                </w:tcPr>
                <w:p w14:paraId="34CDB2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489" w:type="pct"/>
                  <w:vAlign w:val="center"/>
                </w:tcPr>
                <w:p w14:paraId="68B38C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000000"/>
                      <w:kern w:val="0"/>
                      <w:sz w:val="21"/>
                      <w:szCs w:val="21"/>
                      <w:highlight w:val="none"/>
                      <w:u w:val="none"/>
                      <w:lang w:val="en-US" w:eastAsia="zh-CN" w:bidi="ar"/>
                    </w:rPr>
                    <w:t>1</w:t>
                  </w:r>
                </w:p>
              </w:tc>
              <w:tc>
                <w:tcPr>
                  <w:tcW w:w="612" w:type="pct"/>
                  <w:vAlign w:val="top"/>
                </w:tcPr>
                <w:p w14:paraId="09BA477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p>
              </w:tc>
              <w:tc>
                <w:tcPr>
                  <w:tcW w:w="639" w:type="pct"/>
                  <w:vMerge w:val="restart"/>
                  <w:vAlign w:val="top"/>
                </w:tcPr>
                <w:p w14:paraId="2A54F39A">
                  <w:pPr>
                    <w:keepNext w:val="0"/>
                    <w:keepLines w:val="0"/>
                    <w:pageBreakBefore w:val="0"/>
                    <w:widowControl/>
                    <w:suppressLineNumbers w:val="0"/>
                    <w:kinsoku/>
                    <w:wordWrap/>
                    <w:overflowPunct/>
                    <w:topLinePunct w:val="0"/>
                    <w:autoSpaceDE/>
                    <w:autoSpaceDN/>
                    <w:bidi w:val="0"/>
                    <w:adjustRightInd/>
                    <w:snapToGrid/>
                    <w:spacing w:before="1102" w:beforeLines="30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手术室</w:t>
                  </w:r>
                </w:p>
              </w:tc>
            </w:tr>
            <w:tr w14:paraId="5EF916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tcPr>
                <w:p w14:paraId="10867040">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eastAsia="宋体" w:cs="Times New Roman"/>
                      <w:color w:val="auto"/>
                      <w:sz w:val="21"/>
                      <w:szCs w:val="21"/>
                      <w:highlight w:val="none"/>
                      <w:lang w:val="en-US" w:eastAsia="zh-CN"/>
                    </w:rPr>
                    <w:t>14</w:t>
                  </w:r>
                </w:p>
              </w:tc>
              <w:tc>
                <w:tcPr>
                  <w:tcW w:w="980" w:type="pct"/>
                  <w:shd w:val="clear" w:color="auto" w:fill="auto"/>
                  <w:vAlign w:val="center"/>
                </w:tcPr>
                <w:p w14:paraId="699C502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呼吸麻醉机</w:t>
                  </w:r>
                </w:p>
              </w:tc>
              <w:tc>
                <w:tcPr>
                  <w:tcW w:w="234" w:type="pct"/>
                  <w:shd w:val="clear" w:color="auto" w:fill="auto"/>
                  <w:vAlign w:val="top"/>
                </w:tcPr>
                <w:p w14:paraId="47C1CFD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0D5947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Veta5/ARK7</w:t>
                  </w:r>
                </w:p>
              </w:tc>
              <w:tc>
                <w:tcPr>
                  <w:tcW w:w="471" w:type="pct"/>
                  <w:shd w:val="clear" w:color="auto" w:fill="auto"/>
                  <w:vAlign w:val="center"/>
                </w:tcPr>
                <w:p w14:paraId="3C5942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489" w:type="pct"/>
                  <w:vAlign w:val="center"/>
                </w:tcPr>
                <w:p w14:paraId="25B4A3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1</w:t>
                  </w:r>
                </w:p>
              </w:tc>
              <w:tc>
                <w:tcPr>
                  <w:tcW w:w="612" w:type="pct"/>
                  <w:vAlign w:val="top"/>
                </w:tcPr>
                <w:p w14:paraId="0A6BA882">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p>
              </w:tc>
              <w:tc>
                <w:tcPr>
                  <w:tcW w:w="639" w:type="pct"/>
                  <w:vMerge w:val="continue"/>
                  <w:vAlign w:val="top"/>
                </w:tcPr>
                <w:p w14:paraId="35B2346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12435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tcPr>
                <w:p w14:paraId="60203425">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eastAsia="宋体" w:cs="Times New Roman"/>
                      <w:color w:val="auto"/>
                      <w:sz w:val="21"/>
                      <w:szCs w:val="21"/>
                      <w:highlight w:val="none"/>
                      <w:lang w:val="en-US" w:eastAsia="zh-CN"/>
                    </w:rPr>
                    <w:t>15</w:t>
                  </w:r>
                </w:p>
              </w:tc>
              <w:tc>
                <w:tcPr>
                  <w:tcW w:w="980" w:type="pct"/>
                  <w:shd w:val="clear" w:color="auto" w:fill="auto"/>
                  <w:vAlign w:val="center"/>
                </w:tcPr>
                <w:p w14:paraId="0020A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手术台</w:t>
                  </w:r>
                </w:p>
              </w:tc>
              <w:tc>
                <w:tcPr>
                  <w:tcW w:w="234" w:type="pct"/>
                  <w:shd w:val="clear" w:color="auto" w:fill="auto"/>
                  <w:vAlign w:val="top"/>
                </w:tcPr>
                <w:p w14:paraId="2414C073">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6C336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SY7-1</w:t>
                  </w:r>
                </w:p>
              </w:tc>
              <w:tc>
                <w:tcPr>
                  <w:tcW w:w="471" w:type="pct"/>
                  <w:shd w:val="clear" w:color="auto" w:fill="auto"/>
                  <w:vAlign w:val="center"/>
                </w:tcPr>
                <w:p w14:paraId="6B8E6A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489" w:type="pct"/>
                  <w:shd w:val="clear" w:color="auto" w:fill="auto"/>
                  <w:vAlign w:val="center"/>
                </w:tcPr>
                <w:p w14:paraId="0CC71D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612" w:type="pct"/>
                  <w:vAlign w:val="center"/>
                </w:tcPr>
                <w:p w14:paraId="416EF9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39" w:type="pct"/>
                  <w:vMerge w:val="continue"/>
                  <w:vAlign w:val="center"/>
                </w:tcPr>
                <w:p w14:paraId="46EA11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9ED38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tcPr>
                <w:p w14:paraId="322D2C78">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eastAsia="宋体" w:cs="Times New Roman"/>
                      <w:color w:val="auto"/>
                      <w:sz w:val="21"/>
                      <w:szCs w:val="21"/>
                      <w:highlight w:val="none"/>
                      <w:lang w:val="en-US" w:eastAsia="zh-CN"/>
                    </w:rPr>
                    <w:t>16</w:t>
                  </w:r>
                </w:p>
              </w:tc>
              <w:tc>
                <w:tcPr>
                  <w:tcW w:w="980" w:type="pct"/>
                  <w:shd w:val="clear" w:color="auto" w:fill="auto"/>
                  <w:vAlign w:val="center"/>
                </w:tcPr>
                <w:p w14:paraId="5F84AC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胃镜</w:t>
                  </w:r>
                </w:p>
              </w:tc>
              <w:tc>
                <w:tcPr>
                  <w:tcW w:w="234" w:type="pct"/>
                  <w:shd w:val="clear" w:color="auto" w:fill="auto"/>
                  <w:vAlign w:val="top"/>
                </w:tcPr>
                <w:p w14:paraId="5CC4587E">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0506C8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VET-OR1200HD</w:t>
                  </w:r>
                </w:p>
              </w:tc>
              <w:tc>
                <w:tcPr>
                  <w:tcW w:w="471" w:type="pct"/>
                  <w:shd w:val="clear" w:color="auto" w:fill="auto"/>
                  <w:vAlign w:val="center"/>
                </w:tcPr>
                <w:p w14:paraId="3E494B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489" w:type="pct"/>
                  <w:shd w:val="clear" w:color="auto" w:fill="auto"/>
                  <w:vAlign w:val="center"/>
                </w:tcPr>
                <w:p w14:paraId="570CB7E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w:t>
                  </w:r>
                </w:p>
              </w:tc>
              <w:tc>
                <w:tcPr>
                  <w:tcW w:w="612" w:type="pct"/>
                  <w:vAlign w:val="center"/>
                </w:tcPr>
                <w:p w14:paraId="3631BA1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639" w:type="pct"/>
                  <w:vMerge w:val="continue"/>
                  <w:vAlign w:val="center"/>
                </w:tcPr>
                <w:p w14:paraId="3A2E1D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59A8F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tcPr>
                <w:p w14:paraId="3686CBAC">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lang w:val="en-US" w:eastAsia="zh-CN"/>
                    </w:rPr>
                  </w:pPr>
                  <w:r>
                    <w:rPr>
                      <w:rStyle w:val="486"/>
                      <w:rFonts w:hint="default" w:ascii="Times New Roman" w:hAnsi="Times New Roman" w:cs="Times New Roman"/>
                      <w:color w:val="auto"/>
                      <w:sz w:val="21"/>
                      <w:szCs w:val="21"/>
                      <w:highlight w:val="none"/>
                      <w:lang w:val="en-US" w:eastAsia="zh-CN"/>
                    </w:rPr>
                    <w:t>17</w:t>
                  </w:r>
                </w:p>
              </w:tc>
              <w:tc>
                <w:tcPr>
                  <w:tcW w:w="980" w:type="pct"/>
                  <w:shd w:val="clear" w:color="auto" w:fill="auto"/>
                  <w:vAlign w:val="center"/>
                </w:tcPr>
                <w:p w14:paraId="52405F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腹腔镜</w:t>
                  </w:r>
                </w:p>
              </w:tc>
              <w:tc>
                <w:tcPr>
                  <w:tcW w:w="234" w:type="pct"/>
                  <w:vAlign w:val="top"/>
                </w:tcPr>
                <w:p w14:paraId="704205F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667A89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VFV504190</w:t>
                  </w:r>
                </w:p>
              </w:tc>
              <w:tc>
                <w:tcPr>
                  <w:tcW w:w="471" w:type="pct"/>
                  <w:shd w:val="clear" w:color="auto" w:fill="auto"/>
                  <w:vAlign w:val="center"/>
                </w:tcPr>
                <w:p w14:paraId="4B7BD6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89" w:type="pct"/>
                  <w:shd w:val="clear" w:color="auto" w:fill="auto"/>
                  <w:vAlign w:val="center"/>
                </w:tcPr>
                <w:p w14:paraId="7E6442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12" w:type="pct"/>
                  <w:vAlign w:val="center"/>
                </w:tcPr>
                <w:p w14:paraId="1E9C8B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39" w:type="pct"/>
                  <w:vMerge w:val="continue"/>
                  <w:vAlign w:val="center"/>
                </w:tcPr>
                <w:p w14:paraId="42D1E6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F760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tcPr>
                <w:p w14:paraId="6E6B75CF">
                  <w:pPr>
                    <w:widowControl/>
                    <w:adjustRightInd w:val="0"/>
                    <w:snapToGrid w:val="0"/>
                    <w:jc w:val="center"/>
                    <w:textAlignment w:val="center"/>
                    <w:rPr>
                      <w:rStyle w:val="486"/>
                      <w:rFonts w:hint="default" w:ascii="Times New Roman" w:hAnsi="Times New Roman" w:cs="Times New Roman"/>
                      <w:color w:val="auto"/>
                      <w:sz w:val="21"/>
                      <w:szCs w:val="21"/>
                      <w:highlight w:val="none"/>
                      <w:lang w:val="en-US" w:eastAsia="zh-CN"/>
                    </w:rPr>
                  </w:pPr>
                  <w:r>
                    <w:rPr>
                      <w:rStyle w:val="486"/>
                      <w:rFonts w:hint="default" w:ascii="Times New Roman" w:hAnsi="Times New Roman" w:cs="Times New Roman"/>
                      <w:color w:val="auto"/>
                      <w:sz w:val="21"/>
                      <w:szCs w:val="21"/>
                      <w:highlight w:val="none"/>
                      <w:lang w:val="en-US" w:eastAsia="zh-CN"/>
                    </w:rPr>
                    <w:t>18</w:t>
                  </w:r>
                </w:p>
              </w:tc>
              <w:tc>
                <w:tcPr>
                  <w:tcW w:w="980" w:type="pct"/>
                  <w:shd w:val="clear" w:color="auto" w:fill="auto"/>
                  <w:vAlign w:val="center"/>
                </w:tcPr>
                <w:p w14:paraId="0DEE4E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无影灯</w:t>
                  </w:r>
                </w:p>
              </w:tc>
              <w:tc>
                <w:tcPr>
                  <w:tcW w:w="234" w:type="pct"/>
                  <w:shd w:val="clear" w:color="auto" w:fill="auto"/>
                  <w:vAlign w:val="top"/>
                </w:tcPr>
                <w:p w14:paraId="7C65A810">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03426C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CHGLED700/500</w:t>
                  </w:r>
                </w:p>
              </w:tc>
              <w:tc>
                <w:tcPr>
                  <w:tcW w:w="471" w:type="pct"/>
                  <w:shd w:val="clear" w:color="auto" w:fill="auto"/>
                  <w:vAlign w:val="center"/>
                </w:tcPr>
                <w:p w14:paraId="5B62F0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489" w:type="pct"/>
                  <w:shd w:val="clear" w:color="auto" w:fill="auto"/>
                  <w:vAlign w:val="center"/>
                </w:tcPr>
                <w:p w14:paraId="490E5B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12" w:type="pct"/>
                  <w:vAlign w:val="center"/>
                </w:tcPr>
                <w:p w14:paraId="06718494">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39" w:type="pct"/>
                  <w:vMerge w:val="continue"/>
                  <w:vAlign w:val="center"/>
                </w:tcPr>
                <w:p w14:paraId="537A81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EC94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248" w:type="pct"/>
                </w:tcPr>
                <w:p w14:paraId="0475D8A5">
                  <w:pPr>
                    <w:keepNext w:val="0"/>
                    <w:keepLines w:val="0"/>
                    <w:pageBreakBefore w:val="0"/>
                    <w:widowControl/>
                    <w:kinsoku/>
                    <w:wordWrap/>
                    <w:overflowPunct/>
                    <w:topLinePunct w:val="0"/>
                    <w:autoSpaceDE/>
                    <w:autoSpaceDN/>
                    <w:bidi w:val="0"/>
                    <w:adjustRightInd w:val="0"/>
                    <w:snapToGrid w:val="0"/>
                    <w:spacing w:before="185" w:beforeLines="50"/>
                    <w:jc w:val="center"/>
                    <w:textAlignment w:val="center"/>
                    <w:rPr>
                      <w:rStyle w:val="486"/>
                      <w:rFonts w:hint="default" w:ascii="Times New Roman" w:hAnsi="Times New Roman" w:cs="Times New Roman"/>
                      <w:color w:val="auto"/>
                      <w:sz w:val="21"/>
                      <w:szCs w:val="21"/>
                      <w:highlight w:val="none"/>
                      <w:lang w:val="en-US" w:eastAsia="zh-CN"/>
                    </w:rPr>
                  </w:pPr>
                  <w:r>
                    <w:rPr>
                      <w:rStyle w:val="486"/>
                      <w:rFonts w:hint="default" w:ascii="Times New Roman" w:hAnsi="Times New Roman" w:cs="Times New Roman"/>
                      <w:color w:val="auto"/>
                      <w:sz w:val="21"/>
                      <w:szCs w:val="21"/>
                      <w:highlight w:val="none"/>
                      <w:lang w:val="en-US" w:eastAsia="zh-CN"/>
                    </w:rPr>
                    <w:t>19</w:t>
                  </w:r>
                </w:p>
              </w:tc>
              <w:tc>
                <w:tcPr>
                  <w:tcW w:w="980" w:type="pct"/>
                  <w:shd w:val="clear" w:color="auto" w:fill="auto"/>
                  <w:vAlign w:val="center"/>
                </w:tcPr>
                <w:p w14:paraId="30B46C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消毒设备</w:t>
                  </w:r>
                </w:p>
              </w:tc>
              <w:tc>
                <w:tcPr>
                  <w:tcW w:w="234" w:type="pct"/>
                  <w:shd w:val="clear" w:color="auto" w:fill="auto"/>
                  <w:vAlign w:val="top"/>
                </w:tcPr>
                <w:p w14:paraId="49B112D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1322" w:type="pct"/>
                  <w:shd w:val="clear" w:color="auto" w:fill="auto"/>
                  <w:vAlign w:val="center"/>
                </w:tcPr>
                <w:p w14:paraId="79E2B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HB-50</w:t>
                  </w:r>
                </w:p>
              </w:tc>
              <w:tc>
                <w:tcPr>
                  <w:tcW w:w="471" w:type="pct"/>
                  <w:shd w:val="clear" w:color="auto" w:fill="auto"/>
                  <w:vAlign w:val="center"/>
                </w:tcPr>
                <w:p w14:paraId="372E78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489" w:type="pct"/>
                  <w:shd w:val="clear" w:color="auto" w:fill="auto"/>
                  <w:vAlign w:val="center"/>
                </w:tcPr>
                <w:p w14:paraId="41BA7F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12" w:type="pct"/>
                  <w:vAlign w:val="center"/>
                </w:tcPr>
                <w:p w14:paraId="3E129C45">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39" w:type="pct"/>
                  <w:vAlign w:val="center"/>
                </w:tcPr>
                <w:p w14:paraId="1BDFFE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手术室、美容间</w:t>
                  </w:r>
                </w:p>
              </w:tc>
            </w:tr>
          </w:tbl>
          <w:p w14:paraId="5FCD3B73">
            <w:pPr>
              <w:keepNext/>
              <w:keepLines/>
              <w:adjustRightInd w:val="0"/>
              <w:snapToGrid w:val="0"/>
              <w:spacing w:line="360" w:lineRule="auto"/>
              <w:ind w:firstLine="480" w:firstLineChars="200"/>
              <w:outlineLvl w:val="9"/>
              <w:rPr>
                <w:rFonts w:hint="eastAsia" w:ascii="Times New Roman" w:hAnsi="Times New Roman" w:eastAsia="宋体" w:cs="宋体"/>
                <w:b w:val="0"/>
                <w:bCs w:val="0"/>
                <w:color w:val="auto"/>
                <w:kern w:val="0"/>
                <w:sz w:val="24"/>
                <w:szCs w:val="24"/>
                <w:lang w:val="en-US" w:eastAsia="zh-CN" w:bidi="ar-SA"/>
              </w:rPr>
            </w:pPr>
            <w:bookmarkStart w:id="49" w:name="_Toc14655_WPSOffice_Level2"/>
            <w:bookmarkStart w:id="50" w:name="_Toc22386"/>
            <w:bookmarkStart w:id="51" w:name="_Toc26832"/>
            <w:bookmarkStart w:id="52" w:name="_Toc11858"/>
            <w:bookmarkStart w:id="53" w:name="_Toc15806"/>
            <w:bookmarkStart w:id="54" w:name="_Toc133251538"/>
            <w:r>
              <w:rPr>
                <w:rFonts w:hint="eastAsia" w:cs="Times New Roman"/>
                <w:color w:val="auto"/>
                <w:highlight w:val="none"/>
                <w:lang w:val="en-US" w:eastAsia="zh-CN"/>
              </w:rPr>
              <w:t>建设单位</w:t>
            </w:r>
            <w:r>
              <w:rPr>
                <w:rFonts w:hint="eastAsia" w:ascii="Times New Roman" w:hAnsi="Times New Roman" w:eastAsia="宋体" w:cs="宋体"/>
                <w:b w:val="0"/>
                <w:bCs w:val="0"/>
                <w:color w:val="auto"/>
                <w:kern w:val="0"/>
                <w:sz w:val="24"/>
                <w:szCs w:val="24"/>
                <w:lang w:val="en-US" w:eastAsia="zh-CN" w:bidi="ar-SA"/>
              </w:rPr>
              <w:t>使用的兽用X射线装置已按照国家有关辐射环境管理规定和环境保护主管部门的要求取得辐射安全许可证（</w:t>
            </w:r>
            <w:r>
              <w:rPr>
                <w:rFonts w:hint="eastAsia" w:cs="宋体"/>
                <w:b w:val="0"/>
                <w:bCs w:val="0"/>
                <w:color w:val="auto"/>
                <w:kern w:val="0"/>
                <w:sz w:val="24"/>
                <w:szCs w:val="24"/>
                <w:lang w:val="en-US" w:eastAsia="zh-CN" w:bidi="ar-SA"/>
              </w:rPr>
              <w:t>见附件6，</w:t>
            </w:r>
            <w:r>
              <w:rPr>
                <w:rFonts w:hint="eastAsia" w:ascii="Times New Roman" w:hAnsi="Times New Roman" w:eastAsia="宋体" w:cs="宋体"/>
                <w:b w:val="0"/>
                <w:bCs w:val="0"/>
                <w:color w:val="auto"/>
                <w:kern w:val="0"/>
                <w:sz w:val="24"/>
                <w:szCs w:val="24"/>
                <w:lang w:val="en-US" w:eastAsia="zh-CN" w:bidi="ar-SA"/>
              </w:rPr>
              <w:t>证书编号：闽环辐证[A0590]）</w:t>
            </w:r>
            <w:r>
              <w:rPr>
                <w:rFonts w:hint="eastAsia" w:cs="宋体"/>
                <w:b w:val="0"/>
                <w:bCs w:val="0"/>
                <w:color w:val="auto"/>
                <w:kern w:val="0"/>
                <w:sz w:val="24"/>
                <w:szCs w:val="24"/>
                <w:lang w:val="en-US" w:eastAsia="zh-CN" w:bidi="ar-SA"/>
              </w:rPr>
              <w:t>。</w:t>
            </w:r>
          </w:p>
          <w:p w14:paraId="176FB5E7">
            <w:pPr>
              <w:pStyle w:val="3"/>
              <w:numPr>
                <w:ilvl w:val="1"/>
                <w:numId w:val="0"/>
              </w:numPr>
              <w:rPr>
                <w:rFonts w:hint="default" w:ascii="Times New Roman" w:hAnsi="Times New Roman" w:cs="Times New Roman"/>
                <w:color w:val="auto"/>
                <w:highlight w:val="none"/>
              </w:rPr>
            </w:pPr>
            <w:r>
              <w:rPr>
                <w:rFonts w:hint="eastAsia" w:ascii="Times New Roman" w:hAnsi="Times New Roman" w:eastAsia="宋体" w:cs="宋体"/>
                <w:b/>
                <w:bCs/>
                <w:color w:val="auto"/>
                <w:kern w:val="0"/>
                <w:sz w:val="28"/>
                <w:szCs w:val="28"/>
                <w:lang w:val="en-US" w:eastAsia="zh-CN" w:bidi="ar-SA"/>
              </w:rPr>
              <w:t>2.5</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项目</w:t>
            </w:r>
            <w:bookmarkEnd w:id="49"/>
            <w:bookmarkEnd w:id="50"/>
            <w:bookmarkEnd w:id="51"/>
            <w:bookmarkEnd w:id="52"/>
            <w:r>
              <w:rPr>
                <w:rFonts w:hint="default" w:ascii="Times New Roman" w:hAnsi="Times New Roman" w:cs="Times New Roman"/>
                <w:color w:val="auto"/>
                <w:highlight w:val="none"/>
              </w:rPr>
              <w:t>所用药剂情况</w:t>
            </w:r>
            <w:bookmarkEnd w:id="53"/>
            <w:bookmarkEnd w:id="54"/>
          </w:p>
          <w:p w14:paraId="65BBE071">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扩建前后项目运营期所用药剂</w:t>
            </w:r>
            <w:r>
              <w:rPr>
                <w:rFonts w:hint="default" w:ascii="Times New Roman" w:hAnsi="Times New Roman" w:eastAsia="宋体" w:cs="Times New Roman"/>
                <w:color w:val="auto"/>
                <w:highlight w:val="none"/>
              </w:rPr>
              <w:t>见表2-5。</w:t>
            </w:r>
          </w:p>
          <w:p w14:paraId="0D2136F8">
            <w:pPr>
              <w:pStyle w:val="20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项目所用药剂一览表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013"/>
              <w:gridCol w:w="1329"/>
              <w:gridCol w:w="1060"/>
              <w:gridCol w:w="849"/>
              <w:gridCol w:w="1271"/>
              <w:gridCol w:w="1419"/>
            </w:tblGrid>
            <w:tr w14:paraId="36D4B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Merge w:val="restart"/>
                  <w:vAlign w:val="center"/>
                </w:tcPr>
                <w:p w14:paraId="626F21EA">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13" w:type="dxa"/>
                  <w:vMerge w:val="restart"/>
                  <w:vAlign w:val="center"/>
                </w:tcPr>
                <w:p w14:paraId="7B14E03D">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药剂名称</w:t>
                  </w:r>
                </w:p>
              </w:tc>
              <w:tc>
                <w:tcPr>
                  <w:tcW w:w="1329" w:type="dxa"/>
                  <w:vMerge w:val="restart"/>
                  <w:vAlign w:val="center"/>
                </w:tcPr>
                <w:p w14:paraId="0B646FA2">
                  <w:pPr>
                    <w:pStyle w:val="191"/>
                    <w:spacing w:line="240" w:lineRule="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规格/</w:t>
                  </w:r>
                  <w:r>
                    <w:rPr>
                      <w:rFonts w:hint="eastAsia" w:ascii="Times New Roman" w:hAnsi="Times New Roman" w:eastAsia="宋体" w:cs="Times New Roman"/>
                      <w:b/>
                      <w:bCs/>
                      <w:color w:val="auto"/>
                      <w:sz w:val="21"/>
                      <w:szCs w:val="21"/>
                      <w:highlight w:val="none"/>
                      <w:lang w:eastAsia="zh-CN"/>
                    </w:rPr>
                    <w:t>单位</w:t>
                  </w:r>
                </w:p>
              </w:tc>
              <w:tc>
                <w:tcPr>
                  <w:tcW w:w="3180" w:type="dxa"/>
                  <w:gridSpan w:val="3"/>
                  <w:vAlign w:val="center"/>
                </w:tcPr>
                <w:p w14:paraId="07A4C666">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年消耗量</w:t>
                  </w:r>
                </w:p>
              </w:tc>
              <w:tc>
                <w:tcPr>
                  <w:tcW w:w="1419" w:type="dxa"/>
                  <w:vMerge w:val="restart"/>
                  <w:vAlign w:val="center"/>
                </w:tcPr>
                <w:p w14:paraId="24677935">
                  <w:pPr>
                    <w:pStyle w:val="191"/>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r>
            <w:tr w14:paraId="63128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21B20C22">
                  <w:pPr>
                    <w:pStyle w:val="191"/>
                    <w:spacing w:line="240" w:lineRule="auto"/>
                    <w:rPr>
                      <w:rFonts w:hint="default" w:ascii="Times New Roman" w:hAnsi="Times New Roman" w:eastAsia="宋体" w:cs="Times New Roman"/>
                      <w:b/>
                      <w:bCs/>
                      <w:color w:val="auto"/>
                      <w:sz w:val="21"/>
                      <w:szCs w:val="21"/>
                      <w:highlight w:val="none"/>
                    </w:rPr>
                  </w:pPr>
                </w:p>
              </w:tc>
              <w:tc>
                <w:tcPr>
                  <w:tcW w:w="2013" w:type="dxa"/>
                  <w:vMerge w:val="continue"/>
                  <w:vAlign w:val="center"/>
                </w:tcPr>
                <w:p w14:paraId="0565FDBE">
                  <w:pPr>
                    <w:pStyle w:val="191"/>
                    <w:spacing w:line="240" w:lineRule="auto"/>
                    <w:rPr>
                      <w:rFonts w:hint="default" w:ascii="Times New Roman" w:hAnsi="Times New Roman" w:eastAsia="宋体" w:cs="Times New Roman"/>
                      <w:b/>
                      <w:bCs/>
                      <w:color w:val="auto"/>
                      <w:sz w:val="21"/>
                      <w:szCs w:val="21"/>
                      <w:highlight w:val="none"/>
                    </w:rPr>
                  </w:pPr>
                </w:p>
              </w:tc>
              <w:tc>
                <w:tcPr>
                  <w:tcW w:w="1329" w:type="dxa"/>
                  <w:vMerge w:val="continue"/>
                  <w:vAlign w:val="center"/>
                </w:tcPr>
                <w:p w14:paraId="7E2A4BF6">
                  <w:pPr>
                    <w:pStyle w:val="191"/>
                    <w:spacing w:line="240" w:lineRule="auto"/>
                    <w:rPr>
                      <w:rFonts w:hint="default" w:ascii="Times New Roman" w:hAnsi="Times New Roman" w:eastAsia="宋体" w:cs="Times New Roman"/>
                      <w:b/>
                      <w:bCs/>
                      <w:color w:val="auto"/>
                      <w:sz w:val="21"/>
                      <w:szCs w:val="21"/>
                      <w:highlight w:val="none"/>
                    </w:rPr>
                  </w:pPr>
                </w:p>
              </w:tc>
              <w:tc>
                <w:tcPr>
                  <w:tcW w:w="1060" w:type="dxa"/>
                  <w:vAlign w:val="center"/>
                </w:tcPr>
                <w:p w14:paraId="14FA0559">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现有项目</w:t>
                  </w:r>
                </w:p>
              </w:tc>
              <w:tc>
                <w:tcPr>
                  <w:tcW w:w="849" w:type="dxa"/>
                  <w:vAlign w:val="center"/>
                </w:tcPr>
                <w:p w14:paraId="54783207">
                  <w:pPr>
                    <w:pStyle w:val="191"/>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1271" w:type="dxa"/>
                  <w:vAlign w:val="center"/>
                </w:tcPr>
                <w:p w14:paraId="5866C2D5">
                  <w:pPr>
                    <w:pStyle w:val="191"/>
                    <w:spacing w:line="240" w:lineRule="auto"/>
                    <w:rPr>
                      <w:rFonts w:hint="default" w:ascii="Times New Roman" w:hAnsi="Times New Roman" w:eastAsia="宋体" w:cs="Times New Roman"/>
                      <w:b/>
                      <w:bCs/>
                      <w:color w:val="0000FF"/>
                      <w:sz w:val="21"/>
                      <w:szCs w:val="21"/>
                      <w:highlight w:val="none"/>
                    </w:rPr>
                  </w:pPr>
                  <w:r>
                    <w:rPr>
                      <w:rFonts w:hint="default" w:ascii="Times New Roman" w:hAnsi="Times New Roman" w:eastAsia="宋体" w:cs="Times New Roman"/>
                      <w:b/>
                      <w:bCs/>
                      <w:color w:val="auto"/>
                      <w:sz w:val="21"/>
                      <w:szCs w:val="21"/>
                      <w:highlight w:val="none"/>
                    </w:rPr>
                    <w:t>扩建后</w:t>
                  </w:r>
                  <w:r>
                    <w:rPr>
                      <w:rStyle w:val="486"/>
                      <w:rFonts w:hint="default" w:ascii="Times New Roman" w:hAnsi="Times New Roman" w:eastAsia="宋体" w:cs="Times New Roman"/>
                      <w:b/>
                      <w:bCs/>
                      <w:color w:val="auto"/>
                      <w:sz w:val="21"/>
                      <w:szCs w:val="21"/>
                      <w:highlight w:val="none"/>
                    </w:rPr>
                    <w:t>项目</w:t>
                  </w:r>
                </w:p>
              </w:tc>
              <w:tc>
                <w:tcPr>
                  <w:tcW w:w="1419" w:type="dxa"/>
                  <w:vMerge w:val="continue"/>
                  <w:vAlign w:val="center"/>
                </w:tcPr>
                <w:p w14:paraId="2DAABF1B">
                  <w:pPr>
                    <w:pStyle w:val="191"/>
                    <w:spacing w:line="240" w:lineRule="auto"/>
                    <w:rPr>
                      <w:rFonts w:hint="default" w:ascii="Times New Roman" w:hAnsi="Times New Roman" w:eastAsia="宋体" w:cs="Times New Roman"/>
                      <w:b/>
                      <w:bCs/>
                      <w:color w:val="auto"/>
                      <w:sz w:val="21"/>
                      <w:szCs w:val="21"/>
                      <w:highlight w:val="none"/>
                      <w:lang w:val="en-US" w:eastAsia="zh-CN"/>
                    </w:rPr>
                  </w:pPr>
                </w:p>
              </w:tc>
            </w:tr>
            <w:tr w14:paraId="4C310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95" w:type="dxa"/>
                  <w:vAlign w:val="center"/>
                </w:tcPr>
                <w:p w14:paraId="64EDEBC7">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w:t>
                  </w:r>
                </w:p>
              </w:tc>
              <w:tc>
                <w:tcPr>
                  <w:tcW w:w="2013" w:type="dxa"/>
                  <w:shd w:val="clear" w:color="auto" w:fill="auto"/>
                  <w:vAlign w:val="center"/>
                </w:tcPr>
                <w:p w14:paraId="267A58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拜有利注射液</w:t>
                  </w:r>
                </w:p>
              </w:tc>
              <w:tc>
                <w:tcPr>
                  <w:tcW w:w="1329" w:type="dxa"/>
                  <w:shd w:val="clear" w:color="auto" w:fill="auto"/>
                  <w:vAlign w:val="center"/>
                </w:tcPr>
                <w:p w14:paraId="086545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50ml/瓶</w:t>
                  </w:r>
                </w:p>
              </w:tc>
              <w:tc>
                <w:tcPr>
                  <w:tcW w:w="1060" w:type="dxa"/>
                  <w:shd w:val="clear" w:color="auto" w:fill="auto"/>
                  <w:vAlign w:val="center"/>
                </w:tcPr>
                <w:p w14:paraId="6DC49B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849" w:type="dxa"/>
                  <w:shd w:val="clear" w:color="auto" w:fill="auto"/>
                  <w:vAlign w:val="center"/>
                </w:tcPr>
                <w:p w14:paraId="337D04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1" w:type="dxa"/>
                  <w:shd w:val="clear" w:color="auto" w:fill="auto"/>
                  <w:vAlign w:val="center"/>
                </w:tcPr>
                <w:p w14:paraId="28FE5D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19" w:type="dxa"/>
                  <w:shd w:val="clear" w:color="auto" w:fill="auto"/>
                  <w:vAlign w:val="center"/>
                </w:tcPr>
                <w:p w14:paraId="225AC6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3136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3FCB35A2">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2</w:t>
                  </w:r>
                </w:p>
              </w:tc>
              <w:tc>
                <w:tcPr>
                  <w:tcW w:w="2013" w:type="dxa"/>
                  <w:shd w:val="clear" w:color="auto" w:fill="auto"/>
                  <w:vAlign w:val="center"/>
                </w:tcPr>
                <w:p w14:paraId="37E18A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美洛昔康注射液</w:t>
                  </w:r>
                </w:p>
              </w:tc>
              <w:tc>
                <w:tcPr>
                  <w:tcW w:w="1329" w:type="dxa"/>
                  <w:shd w:val="clear" w:color="auto" w:fill="auto"/>
                  <w:vAlign w:val="center"/>
                </w:tcPr>
                <w:p w14:paraId="04B5DE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10ml/瓶</w:t>
                  </w:r>
                </w:p>
              </w:tc>
              <w:tc>
                <w:tcPr>
                  <w:tcW w:w="1060" w:type="dxa"/>
                  <w:shd w:val="clear" w:color="auto" w:fill="auto"/>
                  <w:vAlign w:val="center"/>
                </w:tcPr>
                <w:p w14:paraId="172366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49" w:type="dxa"/>
                  <w:shd w:val="clear" w:color="auto" w:fill="auto"/>
                  <w:vAlign w:val="center"/>
                </w:tcPr>
                <w:p w14:paraId="0AFDE2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71" w:type="dxa"/>
                  <w:shd w:val="clear" w:color="auto" w:fill="auto"/>
                  <w:vAlign w:val="center"/>
                </w:tcPr>
                <w:p w14:paraId="537802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419" w:type="dxa"/>
                  <w:shd w:val="clear" w:color="auto" w:fill="auto"/>
                  <w:vAlign w:val="center"/>
                </w:tcPr>
                <w:p w14:paraId="5A37DD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996D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52760FC1">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3</w:t>
                  </w:r>
                </w:p>
              </w:tc>
              <w:tc>
                <w:tcPr>
                  <w:tcW w:w="2013" w:type="dxa"/>
                  <w:shd w:val="clear" w:color="auto" w:fill="auto"/>
                  <w:vAlign w:val="center"/>
                </w:tcPr>
                <w:p w14:paraId="420C24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赛瑞宁注射液</w:t>
                  </w:r>
                </w:p>
              </w:tc>
              <w:tc>
                <w:tcPr>
                  <w:tcW w:w="1329" w:type="dxa"/>
                  <w:shd w:val="clear" w:color="auto" w:fill="auto"/>
                  <w:vAlign w:val="center"/>
                </w:tcPr>
                <w:p w14:paraId="187E69B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20ml/瓶</w:t>
                  </w:r>
                </w:p>
              </w:tc>
              <w:tc>
                <w:tcPr>
                  <w:tcW w:w="1060" w:type="dxa"/>
                  <w:shd w:val="clear" w:color="auto" w:fill="auto"/>
                  <w:vAlign w:val="center"/>
                </w:tcPr>
                <w:p w14:paraId="1DED199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49" w:type="dxa"/>
                  <w:shd w:val="clear" w:color="auto" w:fill="auto"/>
                  <w:vAlign w:val="center"/>
                </w:tcPr>
                <w:p w14:paraId="436D94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71" w:type="dxa"/>
                  <w:shd w:val="clear" w:color="auto" w:fill="auto"/>
                  <w:vAlign w:val="center"/>
                </w:tcPr>
                <w:p w14:paraId="196975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419" w:type="dxa"/>
                  <w:shd w:val="clear" w:color="auto" w:fill="auto"/>
                  <w:vAlign w:val="center"/>
                </w:tcPr>
                <w:p w14:paraId="489C9C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F1C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 w:type="dxa"/>
                  <w:vAlign w:val="center"/>
                </w:tcPr>
                <w:p w14:paraId="1736DCEE">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4</w:t>
                  </w:r>
                </w:p>
              </w:tc>
              <w:tc>
                <w:tcPr>
                  <w:tcW w:w="2013" w:type="dxa"/>
                  <w:shd w:val="clear" w:color="auto" w:fill="auto"/>
                  <w:vAlign w:val="center"/>
                </w:tcPr>
                <w:p w14:paraId="6061419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爱波克</w:t>
                  </w:r>
                </w:p>
              </w:tc>
              <w:tc>
                <w:tcPr>
                  <w:tcW w:w="1329" w:type="dxa"/>
                  <w:shd w:val="clear" w:color="auto" w:fill="auto"/>
                  <w:vAlign w:val="center"/>
                </w:tcPr>
                <w:p w14:paraId="13B7B7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5.4mg/瓶</w:t>
                  </w:r>
                </w:p>
              </w:tc>
              <w:tc>
                <w:tcPr>
                  <w:tcW w:w="1060" w:type="dxa"/>
                  <w:shd w:val="clear" w:color="auto" w:fill="auto"/>
                  <w:vAlign w:val="center"/>
                </w:tcPr>
                <w:p w14:paraId="40A663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49" w:type="dxa"/>
                  <w:vAlign w:val="center"/>
                </w:tcPr>
                <w:p w14:paraId="588484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71" w:type="dxa"/>
                  <w:shd w:val="clear" w:color="auto" w:fill="auto"/>
                  <w:vAlign w:val="center"/>
                </w:tcPr>
                <w:p w14:paraId="7DC43F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19" w:type="dxa"/>
                  <w:shd w:val="clear" w:color="auto" w:fill="auto"/>
                  <w:vAlign w:val="center"/>
                </w:tcPr>
                <w:p w14:paraId="55267C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2FC4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 w:type="dxa"/>
                  <w:vAlign w:val="center"/>
                </w:tcPr>
                <w:p w14:paraId="1B0F3976">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5</w:t>
                  </w:r>
                </w:p>
              </w:tc>
              <w:tc>
                <w:tcPr>
                  <w:tcW w:w="2013" w:type="dxa"/>
                  <w:shd w:val="clear" w:color="auto" w:fill="auto"/>
                  <w:vAlign w:val="center"/>
                </w:tcPr>
                <w:p w14:paraId="7F48D7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阿米卡星注射液</w:t>
                  </w:r>
                </w:p>
              </w:tc>
              <w:tc>
                <w:tcPr>
                  <w:tcW w:w="1329" w:type="dxa"/>
                  <w:shd w:val="clear" w:color="auto" w:fill="auto"/>
                  <w:vAlign w:val="center"/>
                </w:tcPr>
                <w:p w14:paraId="6D7CB7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0.1g/支</w:t>
                  </w:r>
                </w:p>
              </w:tc>
              <w:tc>
                <w:tcPr>
                  <w:tcW w:w="1060" w:type="dxa"/>
                  <w:shd w:val="clear" w:color="auto" w:fill="auto"/>
                  <w:vAlign w:val="center"/>
                </w:tcPr>
                <w:p w14:paraId="6678241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14:paraId="1CDB1B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14:paraId="52C851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14:paraId="59FC4E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40FE0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 w:type="dxa"/>
                  <w:vAlign w:val="center"/>
                </w:tcPr>
                <w:p w14:paraId="25745F33">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6</w:t>
                  </w:r>
                </w:p>
              </w:tc>
              <w:tc>
                <w:tcPr>
                  <w:tcW w:w="2013" w:type="dxa"/>
                  <w:shd w:val="clear" w:color="auto" w:fill="auto"/>
                  <w:vAlign w:val="center"/>
                </w:tcPr>
                <w:p w14:paraId="342EAA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葡萄酸钙注射液</w:t>
                  </w:r>
                </w:p>
              </w:tc>
              <w:tc>
                <w:tcPr>
                  <w:tcW w:w="1329" w:type="dxa"/>
                  <w:shd w:val="clear" w:color="auto" w:fill="auto"/>
                  <w:vAlign w:val="center"/>
                </w:tcPr>
                <w:p w14:paraId="51D21A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1060" w:type="dxa"/>
                  <w:shd w:val="clear" w:color="auto" w:fill="auto"/>
                  <w:vAlign w:val="center"/>
                </w:tcPr>
                <w:p w14:paraId="7895AC1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14:paraId="7FB607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14:paraId="06C03C6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14:paraId="6D7695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r w14:paraId="43EC0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1ED7C791">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7</w:t>
                  </w:r>
                </w:p>
              </w:tc>
              <w:tc>
                <w:tcPr>
                  <w:tcW w:w="2013" w:type="dxa"/>
                  <w:shd w:val="clear" w:color="auto" w:fill="auto"/>
                  <w:vAlign w:val="center"/>
                </w:tcPr>
                <w:p w14:paraId="0EF1F7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维生素C注射液</w:t>
                  </w:r>
                </w:p>
              </w:tc>
              <w:tc>
                <w:tcPr>
                  <w:tcW w:w="1329" w:type="dxa"/>
                  <w:shd w:val="clear" w:color="auto" w:fill="auto"/>
                  <w:vAlign w:val="center"/>
                </w:tcPr>
                <w:p w14:paraId="3965471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1060" w:type="dxa"/>
                  <w:shd w:val="clear" w:color="auto" w:fill="auto"/>
                  <w:vAlign w:val="center"/>
                </w:tcPr>
                <w:p w14:paraId="2A716E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14:paraId="169E4D4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14:paraId="03E287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14:paraId="5CEA6C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14:paraId="1A3C6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5" w:type="dxa"/>
                  <w:vAlign w:val="center"/>
                </w:tcPr>
                <w:p w14:paraId="296B40C3">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8</w:t>
                  </w:r>
                </w:p>
              </w:tc>
              <w:tc>
                <w:tcPr>
                  <w:tcW w:w="2013" w:type="dxa"/>
                  <w:shd w:val="clear" w:color="auto" w:fill="auto"/>
                  <w:vAlign w:val="center"/>
                </w:tcPr>
                <w:p w14:paraId="1F45B3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头孢氨苄</w:t>
                  </w:r>
                </w:p>
              </w:tc>
              <w:tc>
                <w:tcPr>
                  <w:tcW w:w="1329" w:type="dxa"/>
                  <w:shd w:val="clear" w:color="auto" w:fill="auto"/>
                  <w:vAlign w:val="center"/>
                </w:tcPr>
                <w:p w14:paraId="7D8723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300mg/片</w:t>
                  </w:r>
                </w:p>
              </w:tc>
              <w:tc>
                <w:tcPr>
                  <w:tcW w:w="1060" w:type="dxa"/>
                  <w:shd w:val="clear" w:color="auto" w:fill="auto"/>
                  <w:vAlign w:val="center"/>
                </w:tcPr>
                <w:p w14:paraId="6745CA2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849" w:type="dxa"/>
                  <w:vAlign w:val="center"/>
                </w:tcPr>
                <w:p w14:paraId="1266A3E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271" w:type="dxa"/>
                  <w:shd w:val="clear" w:color="auto" w:fill="auto"/>
                  <w:vAlign w:val="center"/>
                </w:tcPr>
                <w:p w14:paraId="5BE3C5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480</w:t>
                  </w:r>
                </w:p>
              </w:tc>
              <w:tc>
                <w:tcPr>
                  <w:tcW w:w="1419" w:type="dxa"/>
                  <w:shd w:val="clear" w:color="auto" w:fill="auto"/>
                  <w:vAlign w:val="center"/>
                </w:tcPr>
                <w:p w14:paraId="6CC42B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r>
            <w:tr w14:paraId="6B564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48D087F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013" w:type="dxa"/>
                  <w:shd w:val="clear" w:color="auto" w:fill="auto"/>
                  <w:vAlign w:val="center"/>
                </w:tcPr>
                <w:p w14:paraId="4CE656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329" w:type="dxa"/>
                  <w:shd w:val="clear" w:color="auto" w:fill="auto"/>
                  <w:vAlign w:val="center"/>
                </w:tcPr>
                <w:p w14:paraId="31CF50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50mg/片</w:t>
                  </w:r>
                </w:p>
              </w:tc>
              <w:tc>
                <w:tcPr>
                  <w:tcW w:w="1060" w:type="dxa"/>
                  <w:shd w:val="clear" w:color="auto" w:fill="auto"/>
                  <w:vAlign w:val="center"/>
                </w:tcPr>
                <w:p w14:paraId="59CBCD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849" w:type="dxa"/>
                  <w:vAlign w:val="center"/>
                </w:tcPr>
                <w:p w14:paraId="5F97DB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271" w:type="dxa"/>
                  <w:shd w:val="clear" w:color="auto" w:fill="auto"/>
                  <w:vAlign w:val="center"/>
                </w:tcPr>
                <w:p w14:paraId="4E55A65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419" w:type="dxa"/>
                  <w:shd w:val="clear" w:color="auto" w:fill="auto"/>
                  <w:vAlign w:val="center"/>
                </w:tcPr>
                <w:p w14:paraId="212B52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196</w:t>
                  </w:r>
                </w:p>
              </w:tc>
            </w:tr>
            <w:tr w14:paraId="62C86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03FEB2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013" w:type="dxa"/>
                  <w:shd w:val="clear" w:color="auto" w:fill="auto"/>
                  <w:vAlign w:val="center"/>
                </w:tcPr>
                <w:p w14:paraId="738F1E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329" w:type="dxa"/>
                  <w:shd w:val="clear" w:color="auto" w:fill="auto"/>
                  <w:vAlign w:val="center"/>
                </w:tcPr>
                <w:p w14:paraId="30C7A1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250mg/片</w:t>
                  </w:r>
                </w:p>
              </w:tc>
              <w:tc>
                <w:tcPr>
                  <w:tcW w:w="1060" w:type="dxa"/>
                  <w:shd w:val="clear" w:color="auto" w:fill="auto"/>
                  <w:vAlign w:val="center"/>
                </w:tcPr>
                <w:p w14:paraId="300860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14:paraId="000422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14:paraId="137E1A1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14:paraId="54F3EB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r>
            <w:tr w14:paraId="0DE76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0DAAB2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013" w:type="dxa"/>
                  <w:shd w:val="clear" w:color="auto" w:fill="auto"/>
                  <w:vAlign w:val="center"/>
                </w:tcPr>
                <w:p w14:paraId="08ECFF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329" w:type="dxa"/>
                  <w:shd w:val="clear" w:color="auto" w:fill="auto"/>
                  <w:vAlign w:val="center"/>
                </w:tcPr>
                <w:p w14:paraId="1989FB1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500mg/片</w:t>
                  </w:r>
                </w:p>
              </w:tc>
              <w:tc>
                <w:tcPr>
                  <w:tcW w:w="1060" w:type="dxa"/>
                  <w:shd w:val="clear" w:color="auto" w:fill="auto"/>
                  <w:vAlign w:val="center"/>
                </w:tcPr>
                <w:p w14:paraId="3CBE89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14:paraId="03D2D90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14:paraId="0E5CEC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14:paraId="3C5906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r>
            <w:tr w14:paraId="75C07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0499B9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013" w:type="dxa"/>
                  <w:shd w:val="clear" w:color="auto" w:fill="auto"/>
                  <w:vAlign w:val="center"/>
                </w:tcPr>
                <w:p w14:paraId="4AD5A1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氯化钾</w:t>
                  </w:r>
                </w:p>
              </w:tc>
              <w:tc>
                <w:tcPr>
                  <w:tcW w:w="1329" w:type="dxa"/>
                  <w:shd w:val="clear" w:color="auto" w:fill="auto"/>
                  <w:vAlign w:val="center"/>
                </w:tcPr>
                <w:p w14:paraId="46D275E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1060" w:type="dxa"/>
                  <w:shd w:val="clear" w:color="auto" w:fill="auto"/>
                  <w:vAlign w:val="center"/>
                </w:tcPr>
                <w:p w14:paraId="5FFBD6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14:paraId="34E26F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14:paraId="4F35C9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14:paraId="685CD65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14:paraId="546BB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5" w:type="dxa"/>
                  <w:vAlign w:val="center"/>
                </w:tcPr>
                <w:p w14:paraId="4F5FC5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013" w:type="dxa"/>
                  <w:shd w:val="clear" w:color="auto" w:fill="auto"/>
                  <w:vAlign w:val="center"/>
                </w:tcPr>
                <w:p w14:paraId="1B118A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葡萄糖注射液</w:t>
                  </w:r>
                </w:p>
              </w:tc>
              <w:tc>
                <w:tcPr>
                  <w:tcW w:w="1329" w:type="dxa"/>
                  <w:shd w:val="clear" w:color="auto" w:fill="auto"/>
                  <w:vAlign w:val="center"/>
                </w:tcPr>
                <w:p w14:paraId="07D80BF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20g/支</w:t>
                  </w:r>
                </w:p>
              </w:tc>
              <w:tc>
                <w:tcPr>
                  <w:tcW w:w="1060" w:type="dxa"/>
                  <w:shd w:val="clear" w:color="auto" w:fill="auto"/>
                  <w:vAlign w:val="center"/>
                </w:tcPr>
                <w:p w14:paraId="64A4210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14:paraId="711E68E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14:paraId="7A9A62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14:paraId="6E54AE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14:paraId="432DA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63E657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013" w:type="dxa"/>
                  <w:shd w:val="clear" w:color="auto" w:fill="auto"/>
                  <w:vAlign w:val="center"/>
                </w:tcPr>
                <w:p w14:paraId="7F8477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呋塞米</w:t>
                  </w:r>
                </w:p>
              </w:tc>
              <w:tc>
                <w:tcPr>
                  <w:tcW w:w="1329" w:type="dxa"/>
                  <w:shd w:val="clear" w:color="auto" w:fill="auto"/>
                  <w:vAlign w:val="center"/>
                </w:tcPr>
                <w:p w14:paraId="6EC55F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20mg/支</w:t>
                  </w:r>
                </w:p>
              </w:tc>
              <w:tc>
                <w:tcPr>
                  <w:tcW w:w="1060" w:type="dxa"/>
                  <w:shd w:val="clear" w:color="auto" w:fill="auto"/>
                  <w:vAlign w:val="center"/>
                </w:tcPr>
                <w:p w14:paraId="375AC87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c>
                <w:tcPr>
                  <w:tcW w:w="849" w:type="dxa"/>
                  <w:vAlign w:val="center"/>
                </w:tcPr>
                <w:p w14:paraId="45D20B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71" w:type="dxa"/>
                  <w:shd w:val="clear" w:color="auto" w:fill="auto"/>
                  <w:vAlign w:val="center"/>
                </w:tcPr>
                <w:p w14:paraId="30F851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14:paraId="63C3CE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14:paraId="36CC7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36F95C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013" w:type="dxa"/>
                  <w:shd w:val="clear" w:color="auto" w:fill="auto"/>
                  <w:vAlign w:val="center"/>
                </w:tcPr>
                <w:p w14:paraId="4819AB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地塞米松磷酸钠注射液</w:t>
                  </w:r>
                </w:p>
              </w:tc>
              <w:tc>
                <w:tcPr>
                  <w:tcW w:w="1329" w:type="dxa"/>
                  <w:shd w:val="clear" w:color="auto" w:fill="auto"/>
                  <w:vAlign w:val="center"/>
                </w:tcPr>
                <w:p w14:paraId="7F4A14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1mg/支</w:t>
                  </w:r>
                </w:p>
              </w:tc>
              <w:tc>
                <w:tcPr>
                  <w:tcW w:w="1060" w:type="dxa"/>
                  <w:shd w:val="clear" w:color="auto" w:fill="auto"/>
                  <w:vAlign w:val="center"/>
                </w:tcPr>
                <w:p w14:paraId="260F74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14:paraId="2B0255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14:paraId="651A50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14:paraId="478FF0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14:paraId="7D988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207FF2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013" w:type="dxa"/>
                  <w:shd w:val="clear" w:color="auto" w:fill="auto"/>
                  <w:vAlign w:val="center"/>
                </w:tcPr>
                <w:p w14:paraId="7BA9CDA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止血敏</w:t>
                  </w:r>
                </w:p>
              </w:tc>
              <w:tc>
                <w:tcPr>
                  <w:tcW w:w="1329" w:type="dxa"/>
                  <w:shd w:val="clear" w:color="auto" w:fill="auto"/>
                  <w:vAlign w:val="center"/>
                </w:tcPr>
                <w:p w14:paraId="131DB89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1060" w:type="dxa"/>
                  <w:shd w:val="clear" w:color="auto" w:fill="auto"/>
                  <w:vAlign w:val="center"/>
                </w:tcPr>
                <w:p w14:paraId="7378AC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8</w:t>
                  </w:r>
                </w:p>
              </w:tc>
              <w:tc>
                <w:tcPr>
                  <w:tcW w:w="849" w:type="dxa"/>
                  <w:vAlign w:val="center"/>
                </w:tcPr>
                <w:p w14:paraId="1E5DD2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i w:val="0"/>
                      <w:iCs w:val="0"/>
                      <w:color w:val="000000"/>
                      <w:kern w:val="0"/>
                      <w:sz w:val="21"/>
                      <w:szCs w:val="21"/>
                      <w:u w:val="none"/>
                      <w:lang w:val="en-US" w:eastAsia="zh-CN" w:bidi="ar"/>
                    </w:rPr>
                    <w:t>12</w:t>
                  </w:r>
                </w:p>
              </w:tc>
              <w:tc>
                <w:tcPr>
                  <w:tcW w:w="1271" w:type="dxa"/>
                  <w:shd w:val="clear" w:color="auto" w:fill="auto"/>
                  <w:vAlign w:val="center"/>
                </w:tcPr>
                <w:p w14:paraId="7E05EE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419" w:type="dxa"/>
                  <w:shd w:val="clear" w:color="auto" w:fill="auto"/>
                  <w:vAlign w:val="center"/>
                </w:tcPr>
                <w:p w14:paraId="6AC53D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22ADC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4A5E27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013" w:type="dxa"/>
                  <w:shd w:val="clear" w:color="auto" w:fill="auto"/>
                  <w:vAlign w:val="center"/>
                </w:tcPr>
                <w:p w14:paraId="677068C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5%葡萄糖注射液</w:t>
                  </w:r>
                </w:p>
              </w:tc>
              <w:tc>
                <w:tcPr>
                  <w:tcW w:w="1329" w:type="dxa"/>
                  <w:shd w:val="clear" w:color="auto" w:fill="auto"/>
                  <w:vAlign w:val="center"/>
                </w:tcPr>
                <w:p w14:paraId="479D52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1060" w:type="dxa"/>
                  <w:shd w:val="clear" w:color="auto" w:fill="auto"/>
                  <w:vAlign w:val="center"/>
                </w:tcPr>
                <w:p w14:paraId="0F4F52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14:paraId="03B00C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14:paraId="3C30F39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14:paraId="4445E5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14:paraId="29558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767142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013" w:type="dxa"/>
                  <w:shd w:val="clear" w:color="auto" w:fill="auto"/>
                  <w:vAlign w:val="center"/>
                </w:tcPr>
                <w:p w14:paraId="5C3DE1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0.9%氯化钠注射液</w:t>
                  </w:r>
                </w:p>
              </w:tc>
              <w:tc>
                <w:tcPr>
                  <w:tcW w:w="1329" w:type="dxa"/>
                  <w:shd w:val="clear" w:color="auto" w:fill="auto"/>
                  <w:vAlign w:val="center"/>
                </w:tcPr>
                <w:p w14:paraId="086233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500ml/瓶</w:t>
                  </w:r>
                </w:p>
              </w:tc>
              <w:tc>
                <w:tcPr>
                  <w:tcW w:w="1060" w:type="dxa"/>
                  <w:shd w:val="clear" w:color="auto" w:fill="auto"/>
                  <w:vAlign w:val="center"/>
                </w:tcPr>
                <w:p w14:paraId="343DD7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49" w:type="dxa"/>
                  <w:vAlign w:val="center"/>
                </w:tcPr>
                <w:p w14:paraId="76E780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71" w:type="dxa"/>
                  <w:shd w:val="clear" w:color="auto" w:fill="auto"/>
                  <w:vAlign w:val="center"/>
                </w:tcPr>
                <w:p w14:paraId="0E5E22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419" w:type="dxa"/>
                  <w:shd w:val="clear" w:color="auto" w:fill="auto"/>
                  <w:vAlign w:val="center"/>
                </w:tcPr>
                <w:p w14:paraId="45C4B8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80 </w:t>
                  </w:r>
                </w:p>
              </w:tc>
            </w:tr>
            <w:tr w14:paraId="306DE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7333B6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2013" w:type="dxa"/>
                  <w:shd w:val="clear" w:color="auto" w:fill="auto"/>
                  <w:vAlign w:val="center"/>
                </w:tcPr>
                <w:p w14:paraId="164F37D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乳酸格林注射液</w:t>
                  </w:r>
                </w:p>
              </w:tc>
              <w:tc>
                <w:tcPr>
                  <w:tcW w:w="1329" w:type="dxa"/>
                  <w:shd w:val="clear" w:color="auto" w:fill="auto"/>
                  <w:vAlign w:val="center"/>
                </w:tcPr>
                <w:p w14:paraId="00789C4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1060" w:type="dxa"/>
                  <w:shd w:val="clear" w:color="auto" w:fill="auto"/>
                  <w:vAlign w:val="center"/>
                </w:tcPr>
                <w:p w14:paraId="453FA7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49" w:type="dxa"/>
                  <w:vAlign w:val="center"/>
                </w:tcPr>
                <w:p w14:paraId="5C3E1F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71" w:type="dxa"/>
                  <w:shd w:val="clear" w:color="auto" w:fill="auto"/>
                  <w:vAlign w:val="center"/>
                </w:tcPr>
                <w:p w14:paraId="09356E3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419" w:type="dxa"/>
                  <w:shd w:val="clear" w:color="auto" w:fill="auto"/>
                  <w:vAlign w:val="center"/>
                </w:tcPr>
                <w:p w14:paraId="40AA94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r>
            <w:tr w14:paraId="46557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1281F03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013" w:type="dxa"/>
                  <w:shd w:val="clear" w:color="auto" w:fill="auto"/>
                  <w:vAlign w:val="center"/>
                </w:tcPr>
                <w:p w14:paraId="581189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一次性输液管</w:t>
                  </w:r>
                </w:p>
              </w:tc>
              <w:tc>
                <w:tcPr>
                  <w:tcW w:w="1329" w:type="dxa"/>
                  <w:shd w:val="clear" w:color="auto" w:fill="auto"/>
                  <w:vAlign w:val="center"/>
                </w:tcPr>
                <w:p w14:paraId="78CFEE23">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根</w:t>
                  </w:r>
                </w:p>
              </w:tc>
              <w:tc>
                <w:tcPr>
                  <w:tcW w:w="1060" w:type="dxa"/>
                  <w:shd w:val="clear" w:color="auto" w:fill="auto"/>
                  <w:vAlign w:val="center"/>
                </w:tcPr>
                <w:p w14:paraId="5946762C">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c>
                <w:tcPr>
                  <w:tcW w:w="849" w:type="dxa"/>
                  <w:vAlign w:val="center"/>
                </w:tcPr>
                <w:p w14:paraId="04B8CE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271" w:type="dxa"/>
                  <w:shd w:val="clear" w:color="auto" w:fill="auto"/>
                  <w:vAlign w:val="center"/>
                </w:tcPr>
                <w:p w14:paraId="24331B6B">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w:t>
                  </w:r>
                </w:p>
              </w:tc>
              <w:tc>
                <w:tcPr>
                  <w:tcW w:w="1419" w:type="dxa"/>
                  <w:shd w:val="clear" w:color="auto" w:fill="auto"/>
                  <w:vAlign w:val="center"/>
                </w:tcPr>
                <w:p w14:paraId="4BEB899B">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300</w:t>
                  </w:r>
                </w:p>
              </w:tc>
            </w:tr>
            <w:tr w14:paraId="36830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05A4643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2013" w:type="dxa"/>
                  <w:shd w:val="clear" w:color="auto" w:fill="auto"/>
                  <w:vAlign w:val="center"/>
                </w:tcPr>
                <w:p w14:paraId="63CDBF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针管</w:t>
                  </w:r>
                </w:p>
              </w:tc>
              <w:tc>
                <w:tcPr>
                  <w:tcW w:w="1329" w:type="dxa"/>
                  <w:shd w:val="clear" w:color="auto" w:fill="auto"/>
                  <w:vAlign w:val="center"/>
                </w:tcPr>
                <w:p w14:paraId="1C20B60C">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个</w:t>
                  </w:r>
                </w:p>
              </w:tc>
              <w:tc>
                <w:tcPr>
                  <w:tcW w:w="1060" w:type="dxa"/>
                  <w:shd w:val="clear" w:color="auto" w:fill="auto"/>
                  <w:vAlign w:val="center"/>
                </w:tcPr>
                <w:p w14:paraId="4C1A1539">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c>
                <w:tcPr>
                  <w:tcW w:w="849" w:type="dxa"/>
                  <w:vAlign w:val="center"/>
                </w:tcPr>
                <w:p w14:paraId="13D101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271" w:type="dxa"/>
                  <w:shd w:val="clear" w:color="auto" w:fill="auto"/>
                  <w:vAlign w:val="center"/>
                </w:tcPr>
                <w:p w14:paraId="7C4E78F5">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w:t>
                  </w:r>
                </w:p>
              </w:tc>
              <w:tc>
                <w:tcPr>
                  <w:tcW w:w="1419" w:type="dxa"/>
                  <w:shd w:val="clear" w:color="auto" w:fill="auto"/>
                  <w:vAlign w:val="center"/>
                </w:tcPr>
                <w:p w14:paraId="26617110">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w:t>
                  </w:r>
                </w:p>
              </w:tc>
            </w:tr>
            <w:tr w14:paraId="5D942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14:paraId="55F8FB9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2013" w:type="dxa"/>
                  <w:shd w:val="clear" w:color="auto" w:fill="auto"/>
                  <w:vAlign w:val="center"/>
                </w:tcPr>
                <w:p w14:paraId="78C53D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医用棉球</w:t>
                  </w:r>
                </w:p>
              </w:tc>
              <w:tc>
                <w:tcPr>
                  <w:tcW w:w="1329" w:type="dxa"/>
                  <w:shd w:val="clear" w:color="auto" w:fill="auto"/>
                  <w:vAlign w:val="center"/>
                </w:tcPr>
                <w:p w14:paraId="798FFF10">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1060" w:type="dxa"/>
                  <w:shd w:val="clear" w:color="auto" w:fill="auto"/>
                  <w:vAlign w:val="center"/>
                </w:tcPr>
                <w:p w14:paraId="39B10F9A">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849" w:type="dxa"/>
                  <w:vAlign w:val="center"/>
                </w:tcPr>
                <w:p w14:paraId="6856F09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271" w:type="dxa"/>
                  <w:shd w:val="clear" w:color="auto" w:fill="auto"/>
                  <w:vAlign w:val="center"/>
                </w:tcPr>
                <w:p w14:paraId="14FE6541">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p>
              </w:tc>
              <w:tc>
                <w:tcPr>
                  <w:tcW w:w="1419" w:type="dxa"/>
                  <w:shd w:val="clear" w:color="auto" w:fill="auto"/>
                  <w:vAlign w:val="center"/>
                </w:tcPr>
                <w:p w14:paraId="5834FEB7">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300</w:t>
                  </w:r>
                </w:p>
              </w:tc>
            </w:tr>
            <w:tr w14:paraId="2CEBC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95" w:type="dxa"/>
                  <w:vAlign w:val="center"/>
                </w:tcPr>
                <w:p w14:paraId="43022D1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2013" w:type="dxa"/>
                  <w:shd w:val="clear" w:color="auto" w:fill="auto"/>
                  <w:vAlign w:val="center"/>
                </w:tcPr>
                <w:p w14:paraId="376893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纱布</w:t>
                  </w:r>
                </w:p>
              </w:tc>
              <w:tc>
                <w:tcPr>
                  <w:tcW w:w="1329" w:type="dxa"/>
                  <w:shd w:val="clear" w:color="auto" w:fill="auto"/>
                  <w:vAlign w:val="center"/>
                </w:tcPr>
                <w:p w14:paraId="1F3CDAEC">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1060" w:type="dxa"/>
                  <w:shd w:val="clear" w:color="auto" w:fill="auto"/>
                  <w:vAlign w:val="center"/>
                </w:tcPr>
                <w:p w14:paraId="03BEC635">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849" w:type="dxa"/>
                  <w:vAlign w:val="center"/>
                </w:tcPr>
                <w:p w14:paraId="62BF04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271" w:type="dxa"/>
                  <w:shd w:val="clear" w:color="auto" w:fill="auto"/>
                  <w:vAlign w:val="center"/>
                </w:tcPr>
                <w:p w14:paraId="1AE46083">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p>
              </w:tc>
              <w:tc>
                <w:tcPr>
                  <w:tcW w:w="1419" w:type="dxa"/>
                  <w:shd w:val="clear" w:color="auto" w:fill="auto"/>
                  <w:vAlign w:val="center"/>
                </w:tcPr>
                <w:p w14:paraId="5908416B">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w:t>
                  </w:r>
                </w:p>
              </w:tc>
            </w:tr>
            <w:tr w14:paraId="7FBA3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95" w:type="dxa"/>
                  <w:vAlign w:val="center"/>
                </w:tcPr>
                <w:p w14:paraId="2413BFD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2013" w:type="dxa"/>
                  <w:shd w:val="clear" w:color="auto" w:fill="auto"/>
                  <w:vAlign w:val="center"/>
                </w:tcPr>
                <w:p w14:paraId="45D15E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缓释氯片</w:t>
                  </w:r>
                </w:p>
              </w:tc>
              <w:tc>
                <w:tcPr>
                  <w:tcW w:w="1329" w:type="dxa"/>
                  <w:shd w:val="clear" w:color="auto" w:fill="auto"/>
                  <w:vAlign w:val="center"/>
                </w:tcPr>
                <w:p w14:paraId="3CB9D405">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片</w:t>
                  </w:r>
                </w:p>
              </w:tc>
              <w:tc>
                <w:tcPr>
                  <w:tcW w:w="1060" w:type="dxa"/>
                  <w:shd w:val="clear" w:color="auto" w:fill="auto"/>
                  <w:vAlign w:val="center"/>
                </w:tcPr>
                <w:p w14:paraId="68EB95CF">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849" w:type="dxa"/>
                  <w:vAlign w:val="center"/>
                </w:tcPr>
                <w:p w14:paraId="30AB78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w:t>
                  </w:r>
                </w:p>
              </w:tc>
              <w:tc>
                <w:tcPr>
                  <w:tcW w:w="1271" w:type="dxa"/>
                  <w:shd w:val="clear" w:color="auto" w:fill="auto"/>
                  <w:vAlign w:val="center"/>
                </w:tcPr>
                <w:p w14:paraId="5C0EF9BE">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1419" w:type="dxa"/>
                  <w:shd w:val="clear" w:color="auto" w:fill="auto"/>
                  <w:vAlign w:val="center"/>
                </w:tcPr>
                <w:p w14:paraId="4E5FD57E">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r>
          </w:tbl>
          <w:p w14:paraId="14E36DC4">
            <w:pPr>
              <w:keepNext/>
              <w:keepLines/>
              <w:adjustRightInd w:val="0"/>
              <w:snapToGrid w:val="0"/>
              <w:spacing w:line="360" w:lineRule="auto"/>
              <w:ind w:firstLine="480" w:firstLineChars="200"/>
              <w:jc w:val="both"/>
              <w:outlineLvl w:val="9"/>
              <w:rPr>
                <w:rFonts w:hint="default" w:ascii="Times New Roman" w:hAnsi="Times New Roman" w:eastAsia="宋体" w:cs="宋体"/>
                <w:b w:val="0"/>
                <w:bCs w:val="0"/>
                <w:color w:val="auto"/>
                <w:kern w:val="0"/>
                <w:sz w:val="24"/>
                <w:szCs w:val="24"/>
                <w:lang w:val="en-US" w:eastAsia="zh-CN" w:bidi="ar-SA"/>
              </w:rPr>
            </w:pPr>
            <w:bookmarkStart w:id="55" w:name="_Toc133251539"/>
            <w:bookmarkStart w:id="56" w:name="_Toc21202"/>
            <w:r>
              <w:rPr>
                <w:rFonts w:hint="eastAsia" w:cs="宋体"/>
                <w:b w:val="0"/>
                <w:bCs w:val="0"/>
                <w:color w:val="auto"/>
                <w:kern w:val="0"/>
                <w:sz w:val="24"/>
                <w:szCs w:val="24"/>
                <w:lang w:val="en-US" w:eastAsia="zh-CN" w:bidi="ar-SA"/>
              </w:rPr>
              <w:t>建设单位主要从事动物诊疗服务，不属于生物医药、化工等工业项目，使用的药剂均符合国家有关兽药安全使用规定，不含涉重药品。</w:t>
            </w:r>
          </w:p>
          <w:p w14:paraId="1C561814">
            <w:pPr>
              <w:pStyle w:val="3"/>
              <w:numPr>
                <w:ilvl w:val="1"/>
                <w:numId w:val="0"/>
              </w:numPr>
              <w:rPr>
                <w:rFonts w:hint="default" w:ascii="Times New Roman" w:hAnsi="Times New Roman" w:cs="Times New Roman"/>
                <w:color w:val="auto"/>
                <w:highlight w:val="none"/>
              </w:rPr>
            </w:pPr>
            <w:r>
              <w:rPr>
                <w:rFonts w:hint="eastAsia" w:ascii="Times New Roman" w:hAnsi="Times New Roman" w:eastAsia="宋体" w:cs="宋体"/>
                <w:b/>
                <w:bCs/>
                <w:color w:val="auto"/>
                <w:kern w:val="0"/>
                <w:sz w:val="28"/>
                <w:szCs w:val="28"/>
                <w:lang w:val="en-US" w:eastAsia="zh-CN" w:bidi="ar-SA"/>
              </w:rPr>
              <w:t>2.6</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给排水</w:t>
            </w:r>
            <w:bookmarkEnd w:id="55"/>
            <w:bookmarkEnd w:id="56"/>
          </w:p>
          <w:p w14:paraId="714E981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zCs w:val="32"/>
                <w:highlight w:val="none"/>
              </w:rPr>
            </w:pPr>
            <w:r>
              <w:rPr>
                <w:rFonts w:hint="default" w:ascii="Times New Roman" w:hAnsi="Times New Roman" w:cs="Times New Roman"/>
                <w:b/>
                <w:bCs w:val="0"/>
                <w:color w:val="auto"/>
                <w:szCs w:val="32"/>
                <w:highlight w:val="none"/>
                <w:lang w:val="en-US" w:eastAsia="zh-CN"/>
              </w:rPr>
              <w:t xml:space="preserve">2.6.1 给水工程 </w:t>
            </w:r>
          </w:p>
          <w:p w14:paraId="040430A7">
            <w:pPr>
              <w:adjustRightInd w:val="0"/>
              <w:snapToGrid w:val="0"/>
              <w:spacing w:line="360" w:lineRule="auto"/>
              <w:ind w:firstLine="480" w:firstLineChars="200"/>
              <w:rPr>
                <w:rFonts w:hint="default" w:ascii="Times New Roman" w:hAnsi="Times New Roman" w:cs="Times New Roman"/>
                <w:bCs/>
                <w:color w:val="auto"/>
                <w:szCs w:val="32"/>
                <w:highlight w:val="none"/>
                <w:lang w:val="en-US" w:eastAsia="zh-CN"/>
              </w:rPr>
            </w:pPr>
            <w:r>
              <w:rPr>
                <w:rFonts w:ascii="Times New Roman" w:hAnsi="Times New Roman" w:cs="Times New Roman"/>
                <w:color w:val="auto"/>
                <w:highlight w:val="none"/>
              </w:rPr>
              <w:t>本</w:t>
            </w:r>
            <w:r>
              <w:rPr>
                <w:rFonts w:hint="default" w:ascii="Times New Roman" w:hAnsi="Times New Roman" w:cs="Times New Roman"/>
                <w:bCs/>
                <w:color w:val="auto"/>
                <w:szCs w:val="32"/>
                <w:highlight w:val="none"/>
                <w:lang w:val="en-US" w:eastAsia="zh-CN"/>
              </w:rPr>
              <w:t>项目供水水源为城市自来水，</w:t>
            </w:r>
            <w:r>
              <w:rPr>
                <w:rFonts w:hint="eastAsia" w:cs="Times New Roman"/>
                <w:color w:val="auto"/>
                <w:highlight w:val="none"/>
                <w:lang w:val="en-US" w:eastAsia="zh-CN"/>
              </w:rPr>
              <w:t>新增</w:t>
            </w:r>
            <w:r>
              <w:rPr>
                <w:rFonts w:hint="default" w:ascii="Times New Roman" w:hAnsi="Times New Roman" w:cs="Times New Roman"/>
                <w:color w:val="auto"/>
                <w:highlight w:val="none"/>
              </w:rPr>
              <w:t>用水主要为</w:t>
            </w:r>
            <w:r>
              <w:rPr>
                <w:rFonts w:hint="default" w:ascii="Times New Roman" w:hAnsi="Times New Roman" w:eastAsia="宋体" w:cs="Times New Roman"/>
                <w:color w:val="auto"/>
                <w:highlight w:val="none"/>
              </w:rPr>
              <w:t>宠物</w:t>
            </w:r>
            <w:r>
              <w:rPr>
                <w:rFonts w:hint="default" w:ascii="Times New Roman" w:hAnsi="Times New Roman" w:eastAsia="宋体" w:cs="Times New Roman"/>
                <w:color w:val="auto"/>
                <w:szCs w:val="24"/>
                <w:highlight w:val="none"/>
                <w:lang w:eastAsia="zh-CN"/>
              </w:rPr>
              <w:t>诊疗</w:t>
            </w:r>
            <w:r>
              <w:rPr>
                <w:rFonts w:hint="default" w:ascii="Times New Roman" w:hAnsi="Times New Roman" w:cs="Times New Roman"/>
                <w:color w:val="auto"/>
                <w:highlight w:val="none"/>
              </w:rPr>
              <w:t>用水。</w:t>
            </w:r>
          </w:p>
          <w:p w14:paraId="4EEADA7D">
            <w:pPr>
              <w:pStyle w:val="6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2.6.2 排水工程 </w:t>
            </w:r>
          </w:p>
          <w:p w14:paraId="1413D73D">
            <w:pPr>
              <w:pStyle w:val="6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val="en-US" w:eastAsia="zh-CN"/>
              </w:rPr>
              <w:t>新增</w:t>
            </w:r>
            <w:r>
              <w:rPr>
                <w:rFonts w:hint="default" w:ascii="Times New Roman" w:hAnsi="Times New Roman" w:eastAsia="宋体" w:cs="Times New Roman"/>
                <w:color w:val="auto"/>
                <w:highlight w:val="none"/>
              </w:rPr>
              <w:t>废水主要是宠物</w:t>
            </w:r>
            <w:r>
              <w:rPr>
                <w:rFonts w:hint="default" w:ascii="Times New Roman" w:hAnsi="Times New Roman" w:eastAsia="宋体" w:cs="Times New Roman"/>
                <w:color w:val="auto"/>
                <w:szCs w:val="24"/>
                <w:highlight w:val="none"/>
                <w:lang w:eastAsia="zh-CN"/>
              </w:rPr>
              <w:t>诊疗废水</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lang w:val="en-US" w:eastAsia="zh-CN"/>
              </w:rPr>
              <w:t>诊疗废水</w:t>
            </w:r>
            <w:r>
              <w:rPr>
                <w:rFonts w:hint="eastAsia" w:ascii="Times New Roman" w:hAnsi="Times New Roman"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lang w:val="en-US" w:eastAsia="zh-CN"/>
              </w:rPr>
              <w:t>消毒设备消毒</w:t>
            </w:r>
            <w:r>
              <w:rPr>
                <w:rFonts w:hint="eastAsia" w:ascii="Times New Roman" w:hAnsi="Times New Roman" w:eastAsia="宋体" w:cs="Times New Roman"/>
                <w:color w:val="auto"/>
                <w:sz w:val="24"/>
                <w:highlight w:val="none"/>
                <w:lang w:val="en-US" w:eastAsia="zh-CN"/>
              </w:rPr>
              <w:t>排入</w:t>
            </w:r>
            <w:r>
              <w:rPr>
                <w:rFonts w:hint="default" w:ascii="Times New Roman" w:hAnsi="Times New Roman" w:eastAsia="宋体" w:cs="Times New Roman"/>
                <w:color w:val="auto"/>
                <w:sz w:val="24"/>
                <w:highlight w:val="none"/>
                <w:lang w:eastAsia="zh-CN"/>
              </w:rPr>
              <w:t>化粪池处理</w:t>
            </w:r>
            <w:r>
              <w:rPr>
                <w:rFonts w:hint="eastAsia" w:ascii="Times New Roman" w:hAnsi="Times New Roman" w:eastAsia="宋体" w:cs="Times New Roman"/>
                <w:color w:val="auto"/>
                <w:sz w:val="24"/>
                <w:highlight w:val="none"/>
                <w:lang w:val="en-US" w:eastAsia="zh-CN"/>
              </w:rPr>
              <w:t>后统一纳入</w:t>
            </w:r>
            <w:r>
              <w:rPr>
                <w:rFonts w:hint="default" w:ascii="Times New Roman" w:hAnsi="Times New Roman" w:eastAsia="宋体" w:cs="Times New Roman"/>
                <w:color w:val="auto"/>
                <w:sz w:val="24"/>
                <w:highlight w:val="none"/>
              </w:rPr>
              <w:t>市政污水管网</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由</w:t>
            </w:r>
            <w:r>
              <w:rPr>
                <w:rFonts w:hint="default" w:ascii="Times New Roman" w:hAnsi="Times New Roman" w:eastAsia="宋体" w:cs="Times New Roman"/>
                <w:color w:val="auto"/>
                <w:sz w:val="24"/>
                <w:highlight w:val="none"/>
                <w:lang w:val="en-US" w:eastAsia="zh-CN"/>
              </w:rPr>
              <w:t>福清市融元污水处理厂集中处理</w:t>
            </w:r>
            <w:r>
              <w:rPr>
                <w:rFonts w:hint="default" w:ascii="Times New Roman" w:hAnsi="Times New Roman" w:eastAsia="宋体" w:cs="Times New Roman"/>
                <w:color w:val="auto"/>
                <w:sz w:val="24"/>
                <w:highlight w:val="none"/>
              </w:rPr>
              <w:t>。</w:t>
            </w:r>
          </w:p>
          <w:p w14:paraId="09C2511A">
            <w:pPr>
              <w:pStyle w:val="6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2.6.3 水平衡 </w:t>
            </w:r>
          </w:p>
          <w:p w14:paraId="1C5E4BA4">
            <w:pPr>
              <w:pStyle w:val="492"/>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宠物诊疗用水</w:t>
            </w:r>
          </w:p>
          <w:p w14:paraId="69B888A9">
            <w:pPr>
              <w:keepNext w:val="0"/>
              <w:keepLines w:val="0"/>
              <w:pageBreakBefore w:val="0"/>
              <w:widowControl w:val="0"/>
              <w:kinsoku/>
              <w:overflowPunct/>
              <w:topLinePunct w:val="0"/>
              <w:bidi w:val="0"/>
              <w:spacing w:line="360" w:lineRule="auto"/>
              <w:ind w:firstLine="480"/>
              <w:textAlignment w:val="auto"/>
              <w:rPr>
                <w:rFonts w:hint="default" w:ascii="Times New Roman" w:hAnsi="Times New Roman" w:cs="Times New Roman"/>
                <w:color w:val="auto"/>
                <w:highlight w:val="none"/>
                <w:lang w:val="en-US" w:eastAsia="zh-CN"/>
              </w:rPr>
            </w:pPr>
            <w:r>
              <w:rPr>
                <w:rFonts w:ascii="Times New Roman" w:hAnsi="Times New Roman" w:cs="Times New Roman"/>
                <w:bCs/>
                <w:color w:val="auto"/>
                <w:szCs w:val="32"/>
                <w:highlight w:val="none"/>
              </w:rPr>
              <w:t>本次环评宠物</w:t>
            </w:r>
            <w:r>
              <w:rPr>
                <w:rFonts w:hint="default" w:ascii="Times New Roman" w:hAnsi="Times New Roman" w:cs="Times New Roman"/>
                <w:bCs/>
                <w:color w:val="auto"/>
                <w:szCs w:val="32"/>
                <w:highlight w:val="none"/>
                <w:lang w:val="en-US" w:eastAsia="zh-CN"/>
              </w:rPr>
              <w:t>诊疗用水</w:t>
            </w:r>
            <w:r>
              <w:rPr>
                <w:rFonts w:ascii="Times New Roman" w:hAnsi="Times New Roman" w:cs="Times New Roman"/>
                <w:bCs/>
                <w:color w:val="auto"/>
                <w:szCs w:val="32"/>
                <w:highlight w:val="none"/>
              </w:rPr>
              <w:t>参考《</w:t>
            </w:r>
            <w:r>
              <w:rPr>
                <w:rFonts w:hint="eastAsia" w:ascii="Times New Roman" w:hAnsi="Times New Roman" w:cs="Times New Roman"/>
                <w:bCs/>
                <w:color w:val="auto"/>
                <w:szCs w:val="32"/>
                <w:highlight w:val="none"/>
              </w:rPr>
              <w:t>福州市晋安区青鸟动物医院</w:t>
            </w:r>
            <w:r>
              <w:rPr>
                <w:rFonts w:ascii="Times New Roman" w:hAnsi="Times New Roman" w:cs="Times New Roman"/>
                <w:bCs/>
                <w:color w:val="auto"/>
                <w:szCs w:val="32"/>
                <w:highlight w:val="none"/>
              </w:rPr>
              <w:t>项目竣工环境保护验收监测报告》（2024年</w:t>
            </w:r>
            <w:r>
              <w:rPr>
                <w:rFonts w:hint="eastAsia" w:cs="Times New Roman"/>
                <w:bCs/>
                <w:color w:val="auto"/>
                <w:szCs w:val="32"/>
                <w:highlight w:val="none"/>
                <w:lang w:val="en-US" w:eastAsia="zh-CN"/>
              </w:rPr>
              <w:t>10</w:t>
            </w:r>
            <w:r>
              <w:rPr>
                <w:rFonts w:ascii="Times New Roman" w:hAnsi="Times New Roman" w:cs="Times New Roman"/>
                <w:bCs/>
                <w:color w:val="auto"/>
                <w:szCs w:val="32"/>
                <w:highlight w:val="none"/>
              </w:rPr>
              <w:t>月）中项目运营期实际用水情况。此项目日接待10只宠物</w:t>
            </w:r>
            <w:r>
              <w:rPr>
                <w:rFonts w:hint="default" w:ascii="Times New Roman" w:hAnsi="Times New Roman" w:cs="Times New Roman"/>
                <w:bCs/>
                <w:color w:val="auto"/>
                <w:szCs w:val="32"/>
                <w:highlight w:val="none"/>
                <w:lang w:val="en-US" w:eastAsia="zh-CN"/>
              </w:rPr>
              <w:t>诊疗</w:t>
            </w:r>
            <w:r>
              <w:rPr>
                <w:rFonts w:ascii="Times New Roman" w:hAnsi="Times New Roman" w:cs="Times New Roman"/>
                <w:bCs/>
                <w:color w:val="auto"/>
                <w:szCs w:val="32"/>
                <w:highlight w:val="none"/>
              </w:rPr>
              <w:t>，年营业360天，每天12小时，宠物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为54t/a，则宠物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约15L/只。</w:t>
            </w:r>
          </w:p>
          <w:p w14:paraId="7241C81B">
            <w:pPr>
              <w:keepNext w:val="0"/>
              <w:keepLines w:val="0"/>
              <w:pageBreakBefore w:val="0"/>
              <w:widowControl w:val="0"/>
              <w:kinsoku/>
              <w:overflowPunct/>
              <w:topLinePunct w:val="0"/>
              <w:bidi w:val="0"/>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highlight w:val="none"/>
              </w:rPr>
              <w:t>本项目建成</w:t>
            </w:r>
            <w:r>
              <w:rPr>
                <w:rFonts w:hint="default" w:ascii="Times New Roman" w:hAnsi="Times New Roman" w:cs="Times New Roman"/>
                <w:color w:val="auto"/>
                <w:highlight w:val="none"/>
                <w:lang w:val="en-US" w:eastAsia="zh-CN"/>
              </w:rPr>
              <w:t>开始</w:t>
            </w:r>
            <w:r>
              <w:rPr>
                <w:rFonts w:hint="default" w:ascii="Times New Roman" w:hAnsi="Times New Roman" w:cs="Times New Roman"/>
                <w:color w:val="auto"/>
                <w:highlight w:val="none"/>
              </w:rPr>
              <w:t>运营后</w:t>
            </w:r>
            <w:r>
              <w:rPr>
                <w:rFonts w:hint="default" w:ascii="Times New Roman" w:hAnsi="Times New Roman" w:cs="Times New Roman"/>
                <w:color w:val="auto"/>
                <w:highlight w:val="none"/>
                <w:lang w:val="en-US" w:eastAsia="zh-CN"/>
              </w:rPr>
              <w:t>拟新增诊治宠物</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只</w:t>
            </w:r>
            <w:r>
              <w:rPr>
                <w:rFonts w:ascii="Times New Roman" w:hAnsi="Times New Roman" w:cs="Times New Roman"/>
                <w:color w:val="auto"/>
                <w:highlight w:val="none"/>
              </w:rPr>
              <w:t>/d，</w:t>
            </w:r>
            <w:r>
              <w:rPr>
                <w:rFonts w:hint="default" w:ascii="Times New Roman" w:hAnsi="Times New Roman" w:cs="Times New Roman"/>
                <w:color w:val="auto"/>
                <w:highlight w:val="none"/>
                <w:lang w:val="en-US" w:eastAsia="zh-CN"/>
              </w:rPr>
              <w:t>年营业</w:t>
            </w:r>
            <w:r>
              <w:rPr>
                <w:rFonts w:ascii="Times New Roman" w:hAnsi="Times New Roman" w:cs="Times New Roman"/>
                <w:color w:val="auto"/>
                <w:highlight w:val="none"/>
              </w:rPr>
              <w:t>36</w:t>
            </w:r>
            <w:r>
              <w:rPr>
                <w:rFonts w:hint="default" w:ascii="Times New Roman" w:hAnsi="Times New Roman" w:cs="Times New Roman"/>
                <w:color w:val="auto"/>
                <w:highlight w:val="none"/>
                <w:lang w:val="en-US" w:eastAsia="zh-CN"/>
              </w:rPr>
              <w:t>5</w:t>
            </w:r>
            <w:r>
              <w:rPr>
                <w:rFonts w:ascii="Times New Roman" w:hAnsi="Times New Roman" w:cs="Times New Roman"/>
                <w:color w:val="auto"/>
                <w:highlight w:val="none"/>
              </w:rPr>
              <w:t>天，则</w:t>
            </w:r>
            <w:r>
              <w:rPr>
                <w:rFonts w:hint="default" w:ascii="Times New Roman" w:hAnsi="Times New Roman" w:cs="Times New Roman"/>
                <w:color w:val="auto"/>
                <w:highlight w:val="none"/>
                <w:lang w:eastAsia="zh-CN"/>
              </w:rPr>
              <w:t>宠物诊疗用水</w:t>
            </w:r>
            <w:r>
              <w:rPr>
                <w:rFonts w:ascii="Times New Roman" w:hAnsi="Times New Roman" w:cs="Times New Roman"/>
                <w:color w:val="auto"/>
                <w:highlight w:val="none"/>
              </w:rPr>
              <w:t>量约0</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07</w:t>
            </w:r>
            <w:r>
              <w:rPr>
                <w:rFonts w:hint="default" w:ascii="Times New Roman" w:hAnsi="Times New Roman" w:cs="Times New Roman"/>
                <w:color w:val="auto"/>
                <w:highlight w:val="none"/>
                <w:lang w:val="en-US" w:eastAsia="zh-CN"/>
              </w:rPr>
              <w:t>5t</w:t>
            </w:r>
            <w:r>
              <w:rPr>
                <w:rFonts w:ascii="Times New Roman" w:hAnsi="Times New Roman" w:cs="Times New Roman"/>
                <w:color w:val="auto"/>
                <w:highlight w:val="none"/>
              </w:rPr>
              <w:t>/d（</w:t>
            </w:r>
            <w:r>
              <w:rPr>
                <w:rFonts w:hint="eastAsia" w:cs="Times New Roman"/>
                <w:color w:val="auto"/>
                <w:highlight w:val="none"/>
                <w:lang w:val="en-US" w:eastAsia="zh-CN"/>
              </w:rPr>
              <w:t>27.375</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排污系数取0.9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则</w:t>
            </w:r>
            <w:r>
              <w:rPr>
                <w:rFonts w:hint="default" w:ascii="Times New Roman" w:hAnsi="Times New Roman" w:cs="Times New Roman"/>
                <w:color w:val="auto"/>
                <w:highlight w:val="none"/>
                <w:lang w:val="en-US" w:eastAsia="zh-CN"/>
              </w:rPr>
              <w:t>宠物诊疗废水约为0.</w:t>
            </w:r>
            <w:r>
              <w:rPr>
                <w:rFonts w:hint="eastAsia" w:cs="Times New Roman"/>
                <w:color w:val="auto"/>
                <w:highlight w:val="none"/>
                <w:lang w:val="en-US" w:eastAsia="zh-CN"/>
              </w:rPr>
              <w:t>0675</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/d（</w:t>
            </w:r>
            <w:r>
              <w:rPr>
                <w:rFonts w:hint="eastAsia" w:cs="Times New Roman"/>
                <w:color w:val="auto"/>
                <w:highlight w:val="none"/>
                <w:lang w:val="en-US" w:eastAsia="zh-CN"/>
              </w:rPr>
              <w:t>24.6375</w:t>
            </w:r>
            <w:r>
              <w:rPr>
                <w:rFonts w:hint="default" w:ascii="Times New Roman" w:hAnsi="Times New Roman" w:cs="Times New Roman"/>
                <w:color w:val="auto"/>
                <w:highlight w:val="none"/>
                <w:lang w:val="en-US" w:eastAsia="zh-CN"/>
              </w:rPr>
              <w:t>t</w:t>
            </w:r>
            <w:r>
              <w:rPr>
                <w:rFonts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highlight w:val="none"/>
                <w:lang w:val="en-US" w:eastAsia="zh-CN"/>
              </w:rPr>
              <w:t>诊疗废水</w:t>
            </w:r>
            <w:r>
              <w:rPr>
                <w:rFonts w:hint="eastAsia" w:ascii="Times New Roman" w:hAnsi="Times New Roman"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lang w:val="en-US" w:eastAsia="zh-CN"/>
              </w:rPr>
              <w:t>消毒设备消毒</w:t>
            </w:r>
            <w:r>
              <w:rPr>
                <w:rFonts w:hint="eastAsia" w:ascii="Times New Roman" w:hAnsi="Times New Roman" w:eastAsia="宋体" w:cs="Times New Roman"/>
                <w:color w:val="auto"/>
                <w:sz w:val="24"/>
                <w:highlight w:val="none"/>
                <w:lang w:val="en-US" w:eastAsia="zh-CN"/>
              </w:rPr>
              <w:t>排入</w:t>
            </w:r>
            <w:r>
              <w:rPr>
                <w:rFonts w:hint="default" w:ascii="Times New Roman" w:hAnsi="Times New Roman" w:eastAsia="宋体" w:cs="Times New Roman"/>
                <w:color w:val="auto"/>
                <w:sz w:val="24"/>
                <w:highlight w:val="none"/>
                <w:lang w:eastAsia="zh-CN"/>
              </w:rPr>
              <w:t>化粪池处理</w:t>
            </w:r>
            <w:r>
              <w:rPr>
                <w:rFonts w:hint="eastAsia" w:ascii="Times New Roman" w:hAnsi="Times New Roman" w:eastAsia="宋体" w:cs="Times New Roman"/>
                <w:color w:val="auto"/>
                <w:sz w:val="24"/>
                <w:highlight w:val="none"/>
                <w:lang w:val="en-US" w:eastAsia="zh-CN"/>
              </w:rPr>
              <w:t>后统一纳入</w:t>
            </w:r>
            <w:r>
              <w:rPr>
                <w:rFonts w:hint="default" w:ascii="Times New Roman" w:hAnsi="Times New Roman" w:eastAsia="宋体" w:cs="Times New Roman"/>
                <w:color w:val="auto"/>
                <w:sz w:val="24"/>
                <w:highlight w:val="none"/>
              </w:rPr>
              <w:t>市政污水管网</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由</w:t>
            </w:r>
            <w:r>
              <w:rPr>
                <w:rFonts w:hint="default" w:ascii="Times New Roman" w:hAnsi="Times New Roman" w:eastAsia="宋体" w:cs="Times New Roman"/>
                <w:color w:val="auto"/>
                <w:sz w:val="24"/>
                <w:highlight w:val="none"/>
                <w:lang w:val="en-US" w:eastAsia="zh-CN"/>
              </w:rPr>
              <w:t>福清市融元污水处理厂集中处理</w:t>
            </w:r>
            <w:r>
              <w:rPr>
                <w:rFonts w:hint="default" w:ascii="Times New Roman" w:hAnsi="Times New Roman" w:eastAsia="宋体" w:cs="Times New Roman"/>
                <w:color w:val="auto"/>
                <w:sz w:val="24"/>
                <w:highlight w:val="none"/>
              </w:rPr>
              <w:t>。</w:t>
            </w:r>
          </w:p>
          <w:p w14:paraId="0E523A8C">
            <w:pPr>
              <w:pStyle w:val="6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本项目水平衡图详见图2-1。</w:t>
            </w:r>
          </w:p>
          <w:p w14:paraId="1735DD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highlight w:val="none"/>
              </w:rPr>
            </w:pPr>
            <w:r>
              <w:drawing>
                <wp:inline distT="0" distB="0" distL="114300" distR="114300">
                  <wp:extent cx="5728335" cy="1082675"/>
                  <wp:effectExtent l="0" t="0" r="5715"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5728335" cy="1082675"/>
                          </a:xfrm>
                          <a:prstGeom prst="rect">
                            <a:avLst/>
                          </a:prstGeom>
                          <a:noFill/>
                          <a:ln>
                            <a:noFill/>
                          </a:ln>
                        </pic:spPr>
                      </pic:pic>
                    </a:graphicData>
                  </a:graphic>
                </wp:inline>
              </w:drawing>
            </w:r>
          </w:p>
          <w:p w14:paraId="51152045">
            <w:pPr>
              <w:pStyle w:val="61"/>
              <w:ind w:firstLine="482"/>
              <w:jc w:val="center"/>
              <w:rPr>
                <w:rFonts w:hint="default" w:ascii="Times New Roman" w:hAnsi="Times New Roman" w:cs="Times New Roman"/>
                <w:color w:val="auto"/>
                <w:highlight w:val="none"/>
              </w:rPr>
            </w:pPr>
            <w:r>
              <w:rPr>
                <w:rFonts w:hint="default" w:ascii="Times New Roman" w:hAnsi="Times New Roman" w:eastAsia="宋体" w:cs="Times New Roman"/>
                <w:b/>
                <w:bCs/>
                <w:color w:val="auto"/>
                <w:highlight w:val="none"/>
              </w:rPr>
              <w:t>图2-</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color w:val="auto"/>
                <w:highlight w:val="none"/>
              </w:rPr>
              <w:t xml:space="preserve"> </w:t>
            </w:r>
            <w:r>
              <w:rPr>
                <w:rFonts w:hint="default" w:ascii="Times New Roman" w:hAnsi="Times New Roman" w:eastAsia="宋体" w:cs="Times New Roman"/>
                <w:b/>
                <w:bCs/>
                <w:color w:val="auto"/>
                <w:highlight w:val="none"/>
                <w:lang w:val="en-US" w:eastAsia="zh-CN"/>
              </w:rPr>
              <w:t>本项目</w:t>
            </w:r>
            <w:r>
              <w:rPr>
                <w:rFonts w:hint="default" w:ascii="Times New Roman" w:hAnsi="Times New Roman" w:eastAsia="宋体" w:cs="Times New Roman"/>
                <w:b/>
                <w:bCs/>
                <w:color w:val="auto"/>
                <w:highlight w:val="none"/>
              </w:rPr>
              <w:t>水平衡（t/a）</w:t>
            </w:r>
          </w:p>
          <w:p w14:paraId="3E929C53">
            <w:pPr>
              <w:adjustRightInd w:val="0"/>
              <w:snapToGrid w:val="0"/>
              <w:spacing w:line="360" w:lineRule="auto"/>
              <w:ind w:firstLine="480" w:firstLineChars="200"/>
              <w:rPr>
                <w:rFonts w:hint="default" w:ascii="Times New Roman" w:hAnsi="Times New Roman" w:cs="Times New Roman"/>
                <w:color w:val="auto"/>
                <w:highlight w:val="none"/>
              </w:rPr>
            </w:pPr>
            <w:bookmarkStart w:id="57" w:name="_Hlk84693531"/>
            <w:bookmarkEnd w:id="57"/>
            <w:r>
              <w:rPr>
                <w:rFonts w:hint="default" w:ascii="Times New Roman" w:hAnsi="Times New Roman" w:cs="Times New Roman"/>
                <w:color w:val="auto"/>
                <w:highlight w:val="none"/>
              </w:rPr>
              <w:t>扩建后，整个医院用水量为现有项目用水量和扩建项目用水量，全院水平衡见图2-2。</w:t>
            </w:r>
          </w:p>
          <w:p w14:paraId="4B8E7D2A">
            <w:pPr>
              <w:pStyle w:val="322"/>
              <w:ind w:firstLine="0" w:firstLineChars="0"/>
              <w:jc w:val="center"/>
              <w:rPr>
                <w:rFonts w:hint="default" w:ascii="Times New Roman" w:hAnsi="Times New Roman" w:cs="Times New Roman"/>
                <w:color w:val="auto"/>
                <w:highlight w:val="none"/>
              </w:rPr>
            </w:pPr>
            <w:r>
              <w:drawing>
                <wp:inline distT="0" distB="0" distL="114300" distR="114300">
                  <wp:extent cx="5859780" cy="3554730"/>
                  <wp:effectExtent l="0" t="0" r="7620" b="7620"/>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24"/>
                          <a:stretch>
                            <a:fillRect/>
                          </a:stretch>
                        </pic:blipFill>
                        <pic:spPr>
                          <a:xfrm>
                            <a:off x="0" y="0"/>
                            <a:ext cx="5859780" cy="3554730"/>
                          </a:xfrm>
                          <a:prstGeom prst="rect">
                            <a:avLst/>
                          </a:prstGeom>
                          <a:noFill/>
                          <a:ln>
                            <a:noFill/>
                          </a:ln>
                        </pic:spPr>
                      </pic:pic>
                    </a:graphicData>
                  </a:graphic>
                </wp:inline>
              </w:drawing>
            </w:r>
          </w:p>
          <w:p w14:paraId="5A263436">
            <w:pPr>
              <w:snapToGrid w:val="0"/>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图2-</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hint="eastAsia" w:cs="Times New Roman"/>
                <w:b/>
                <w:bCs/>
                <w:color w:val="auto"/>
                <w:highlight w:val="none"/>
                <w:lang w:val="en-US" w:eastAsia="zh-CN"/>
              </w:rPr>
              <w:t>扩建后</w:t>
            </w:r>
            <w:r>
              <w:rPr>
                <w:rFonts w:hint="default" w:ascii="Times New Roman" w:hAnsi="Times New Roman" w:cs="Times New Roman"/>
                <w:b/>
                <w:bCs/>
                <w:color w:val="auto"/>
                <w:highlight w:val="none"/>
              </w:rPr>
              <w:t>项目水平衡图   单位：t/a</w:t>
            </w:r>
          </w:p>
        </w:tc>
      </w:tr>
      <w:tr w14:paraId="5EFB52F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608" w:type="dxa"/>
            <w:tcBorders>
              <w:tl2br w:val="nil"/>
              <w:tr2bl w:val="nil"/>
            </w:tcBorders>
            <w:vAlign w:val="center"/>
          </w:tcPr>
          <w:p w14:paraId="2E1691BD">
            <w:pPr>
              <w:pStyle w:val="45"/>
              <w:adjustRightInd w:val="0"/>
              <w:snapToGrid w:val="0"/>
              <w:jc w:val="center"/>
              <w:rPr>
                <w:rFonts w:hint="default" w:ascii="Times New Roman" w:hAnsi="Times New Roman" w:cs="Times New Roman"/>
                <w:color w:val="auto"/>
                <w:sz w:val="21"/>
                <w:szCs w:val="21"/>
                <w:highlight w:val="none"/>
              </w:rPr>
            </w:pPr>
          </w:p>
        </w:tc>
        <w:tc>
          <w:tcPr>
            <w:tcW w:w="9244" w:type="dxa"/>
            <w:tcBorders>
              <w:tl2br w:val="nil"/>
              <w:tr2bl w:val="nil"/>
            </w:tcBorders>
          </w:tcPr>
          <w:p w14:paraId="57B55376">
            <w:pPr>
              <w:pStyle w:val="3"/>
              <w:numPr>
                <w:ilvl w:val="1"/>
                <w:numId w:val="0"/>
              </w:numPr>
              <w:rPr>
                <w:rFonts w:hint="default" w:ascii="Times New Roman" w:hAnsi="Times New Roman" w:cs="Times New Roman"/>
                <w:color w:val="auto"/>
                <w:highlight w:val="none"/>
              </w:rPr>
            </w:pPr>
            <w:bookmarkStart w:id="58" w:name="_Toc24071"/>
            <w:bookmarkStart w:id="59" w:name="_Toc133251540"/>
            <w:bookmarkStart w:id="60" w:name="_Toc29532"/>
            <w:r>
              <w:rPr>
                <w:rFonts w:hint="eastAsia" w:ascii="Times New Roman" w:hAnsi="Times New Roman" w:eastAsia="宋体" w:cs="宋体"/>
                <w:b/>
                <w:bCs/>
                <w:color w:val="auto"/>
                <w:kern w:val="0"/>
                <w:sz w:val="28"/>
                <w:szCs w:val="28"/>
                <w:lang w:val="en-US" w:eastAsia="zh-CN" w:bidi="ar-SA"/>
              </w:rPr>
              <w:t>2.7</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流程及产污环节</w:t>
            </w:r>
            <w:bookmarkEnd w:id="58"/>
            <w:bookmarkEnd w:id="59"/>
            <w:bookmarkEnd w:id="60"/>
          </w:p>
          <w:p w14:paraId="5BDA43E8">
            <w:pPr>
              <w:widowControl/>
              <w:adjustRightInd w:val="0"/>
              <w:snapToGrid w:val="0"/>
              <w:spacing w:line="360" w:lineRule="auto"/>
              <w:ind w:firstLine="480"/>
              <w:rPr>
                <w:rFonts w:ascii="Times New Roman" w:hAnsi="Times New Roman" w:cs="Times New Roman"/>
                <w:bCs/>
                <w:color w:val="auto"/>
                <w:highlight w:val="none"/>
              </w:rPr>
            </w:pPr>
            <w:r>
              <w:rPr>
                <w:rFonts w:hint="default" w:ascii="Times New Roman" w:hAnsi="Times New Roman" w:cs="Times New Roman"/>
                <w:bCs/>
                <w:color w:val="auto"/>
                <w:highlight w:val="none"/>
              </w:rPr>
              <w:t>现有项目主要</w:t>
            </w:r>
            <w:r>
              <w:rPr>
                <w:rFonts w:hint="default" w:ascii="Times New Roman" w:hAnsi="Times New Roman" w:cs="Times New Roman"/>
                <w:bCs/>
                <w:color w:val="auto"/>
                <w:highlight w:val="none"/>
                <w:lang w:val="en-US" w:eastAsia="zh-CN"/>
              </w:rPr>
              <w:t>经营范围有</w:t>
            </w:r>
            <w:r>
              <w:rPr>
                <w:rFonts w:hint="default" w:ascii="Times New Roman" w:hAnsi="Times New Roman" w:cs="Times New Roman"/>
                <w:bCs/>
                <w:color w:val="auto"/>
                <w:highlight w:val="none"/>
              </w:rPr>
              <w:t>宠物</w:t>
            </w:r>
            <w:r>
              <w:rPr>
                <w:rFonts w:hint="default" w:ascii="Times New Roman" w:hAnsi="Times New Roman" w:cs="Times New Roman"/>
                <w:color w:val="auto"/>
                <w:highlight w:val="none"/>
                <w:lang w:eastAsia="zh-CN"/>
              </w:rPr>
              <w:t>疾病预防</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eastAsia="zh-CN"/>
              </w:rPr>
              <w:t>诊治</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手术</w:t>
            </w:r>
            <w:r>
              <w:rPr>
                <w:rFonts w:hint="eastAsia" w:cs="Times New Roman"/>
                <w:color w:val="auto"/>
                <w:highlight w:val="none"/>
                <w:lang w:val="en-US" w:eastAsia="zh-CN"/>
              </w:rPr>
              <w:t>（不含动物颅腔、胸腔和腹腔手术）</w:t>
            </w:r>
            <w:r>
              <w:rPr>
                <w:rFonts w:hint="default" w:ascii="Times New Roman" w:hAnsi="Times New Roman" w:cs="Times New Roman"/>
                <w:color w:val="auto"/>
                <w:highlight w:val="none"/>
                <w:lang w:val="en-US" w:eastAsia="zh-CN"/>
              </w:rPr>
              <w:t>，宠物美容洗护</w:t>
            </w:r>
            <w:r>
              <w:rPr>
                <w:rFonts w:hint="default" w:ascii="Times New Roman" w:hAnsi="Times New Roman" w:cs="Times New Roman"/>
                <w:bCs/>
                <w:color w:val="auto"/>
                <w:highlight w:val="none"/>
              </w:rPr>
              <w:t>和宠物用品销售</w:t>
            </w:r>
            <w:r>
              <w:rPr>
                <w:rFonts w:hint="default" w:ascii="Times New Roman" w:hAnsi="Times New Roman" w:cs="Times New Roman"/>
                <w:bCs/>
                <w:color w:val="auto"/>
                <w:highlight w:val="none"/>
                <w:lang w:val="en-US" w:eastAsia="zh-CN"/>
              </w:rPr>
              <w:t>等服务</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lang w:eastAsia="zh-CN"/>
              </w:rPr>
              <w:t>宠物疾病预防</w:t>
            </w:r>
            <w:r>
              <w:rPr>
                <w:rFonts w:hint="default" w:ascii="Times New Roman" w:hAnsi="Times New Roman" w:cs="Times New Roman"/>
                <w:color w:val="auto"/>
                <w:highlight w:val="none"/>
                <w:lang w:val="en-US" w:eastAsia="zh-CN"/>
              </w:rPr>
              <w:t>包括体检，疫苗接种等。</w:t>
            </w:r>
            <w:r>
              <w:rPr>
                <w:rFonts w:hint="default" w:ascii="Times New Roman" w:hAnsi="Times New Roman" w:eastAsia="宋体" w:cs="Times New Roman"/>
                <w:color w:val="auto"/>
                <w:highlight w:val="none"/>
              </w:rPr>
              <w:t>宠物诊</w:t>
            </w:r>
            <w:r>
              <w:rPr>
                <w:rFonts w:hint="default" w:ascii="Times New Roman" w:hAnsi="Times New Roman" w:eastAsia="宋体" w:cs="Times New Roman"/>
                <w:color w:val="auto"/>
                <w:highlight w:val="none"/>
                <w:lang w:val="en-US" w:eastAsia="zh-CN"/>
              </w:rPr>
              <w:t>治</w:t>
            </w:r>
            <w:r>
              <w:rPr>
                <w:rFonts w:hint="default" w:ascii="Times New Roman" w:hAnsi="Times New Roman" w:cs="Times New Roman"/>
                <w:bCs/>
                <w:color w:val="auto"/>
                <w:highlight w:val="none"/>
              </w:rPr>
              <w:t>包括给宠物一般临床检查</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血、尿、便等常规的检验</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highlight w:val="none"/>
              </w:rPr>
              <w:t>皮肤科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内科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传染科等</w:t>
            </w:r>
            <w:r>
              <w:rPr>
                <w:rFonts w:hint="default" w:ascii="Times New Roman" w:hAnsi="Times New Roman" w:cs="Times New Roman"/>
                <w:bCs/>
                <w:color w:val="auto"/>
                <w:highlight w:val="none"/>
                <w:lang w:val="en-US" w:eastAsia="zh-CN"/>
              </w:rPr>
              <w:t>常见</w:t>
            </w:r>
            <w:r>
              <w:rPr>
                <w:rFonts w:hint="default" w:ascii="Times New Roman" w:hAnsi="Times New Roman" w:cs="Times New Roman"/>
                <w:bCs/>
                <w:color w:val="auto"/>
                <w:highlight w:val="none"/>
              </w:rPr>
              <w:t>疾病的诊治</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宠物美容</w:t>
            </w:r>
            <w:r>
              <w:rPr>
                <w:rFonts w:hint="default" w:ascii="Times New Roman" w:hAnsi="Times New Roman" w:cs="Times New Roman"/>
                <w:bCs/>
                <w:color w:val="auto"/>
                <w:highlight w:val="none"/>
                <w:lang w:val="en-US" w:eastAsia="zh-CN"/>
              </w:rPr>
              <w:t>洗护</w:t>
            </w:r>
            <w:r>
              <w:rPr>
                <w:rFonts w:hint="default" w:ascii="Times New Roman" w:hAnsi="Times New Roman" w:cs="Times New Roman"/>
                <w:bCs/>
                <w:color w:val="auto"/>
                <w:highlight w:val="none"/>
              </w:rPr>
              <w:t>包括宠物基本洗浴、烘干等。本项目在原有服务基础上增设</w:t>
            </w:r>
            <w:r>
              <w:rPr>
                <w:rFonts w:hint="default" w:ascii="Times New Roman" w:hAnsi="Times New Roman" w:cs="Times New Roman"/>
                <w:color w:val="auto"/>
                <w:highlight w:val="none"/>
                <w:lang w:eastAsia="zh-CN"/>
              </w:rPr>
              <w:t>动物颅腔、胸腔和腹腔手术</w:t>
            </w:r>
            <w:r>
              <w:rPr>
                <w:rFonts w:hint="default" w:ascii="Times New Roman" w:hAnsi="Times New Roman" w:cs="Times New Roman"/>
                <w:bCs/>
                <w:color w:val="auto"/>
                <w:highlight w:val="none"/>
              </w:rPr>
              <w:t>等。</w:t>
            </w:r>
          </w:p>
          <w:p w14:paraId="3CB2908E">
            <w:pPr>
              <w:pStyle w:val="61"/>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Cs w:val="32"/>
                <w:highlight w:val="none"/>
                <w:lang w:val="en-US" w:eastAsia="zh-CN"/>
              </w:rPr>
              <w:t>（1）宠物就诊服务</w:t>
            </w:r>
          </w:p>
          <w:p w14:paraId="0767129F">
            <w:pPr>
              <w:pStyle w:val="61"/>
              <w:ind w:left="0" w:leftChars="0" w:firstLine="0" w:firstLineChars="0"/>
              <w:jc w:val="center"/>
              <w:rPr>
                <w:rFonts w:hint="default" w:ascii="Times New Roman" w:hAnsi="Times New Roman" w:cs="Times New Roman"/>
                <w:color w:val="auto"/>
                <w:highlight w:val="none"/>
              </w:rPr>
            </w:pPr>
            <w:r>
              <w:rPr>
                <w:color w:val="auto"/>
                <w:highlight w:val="none"/>
              </w:rPr>
              <w:drawing>
                <wp:inline distT="0" distB="0" distL="114300" distR="114300">
                  <wp:extent cx="5761990" cy="3734435"/>
                  <wp:effectExtent l="0" t="0" r="10160" b="1841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25"/>
                          <a:stretch>
                            <a:fillRect/>
                          </a:stretch>
                        </pic:blipFill>
                        <pic:spPr>
                          <a:xfrm>
                            <a:off x="0" y="0"/>
                            <a:ext cx="5761990" cy="3734435"/>
                          </a:xfrm>
                          <a:prstGeom prst="rect">
                            <a:avLst/>
                          </a:prstGeom>
                          <a:noFill/>
                          <a:ln>
                            <a:noFill/>
                          </a:ln>
                        </pic:spPr>
                      </pic:pic>
                    </a:graphicData>
                  </a:graphic>
                </wp:inline>
              </w:drawing>
            </w:r>
          </w:p>
          <w:p w14:paraId="410E157D">
            <w:pPr>
              <w:pStyle w:val="61"/>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图2-</w:t>
            </w:r>
            <w:r>
              <w:rPr>
                <w:rFonts w:hint="default" w:ascii="Times New Roman" w:hAnsi="Times New Roman" w:eastAsia="宋体" w:cs="Times New Roman"/>
                <w:b/>
                <w:bCs/>
                <w:color w:val="auto"/>
                <w:kern w:val="2"/>
                <w:szCs w:val="32"/>
                <w:highlight w:val="none"/>
                <w:lang w:val="en-US" w:eastAsia="zh-CN"/>
              </w:rPr>
              <w:t>2</w:t>
            </w:r>
            <w:r>
              <w:rPr>
                <w:rFonts w:hint="default" w:ascii="Times New Roman" w:hAnsi="Times New Roman" w:eastAsia="宋体" w:cs="Times New Roman"/>
                <w:b/>
                <w:bCs/>
                <w:color w:val="auto"/>
                <w:kern w:val="2"/>
                <w:szCs w:val="32"/>
                <w:highlight w:val="none"/>
              </w:rPr>
              <w:t xml:space="preserve"> </w:t>
            </w:r>
            <w:r>
              <w:rPr>
                <w:rFonts w:hint="default" w:ascii="Times New Roman" w:hAnsi="Times New Roman" w:eastAsia="宋体" w:cs="Times New Roman"/>
                <w:b/>
                <w:bCs/>
                <w:color w:val="auto"/>
                <w:kern w:val="2"/>
                <w:szCs w:val="32"/>
                <w:highlight w:val="none"/>
                <w:lang w:val="en-US" w:eastAsia="zh-CN"/>
              </w:rPr>
              <w:t xml:space="preserve"> 诊疗</w:t>
            </w:r>
            <w:r>
              <w:rPr>
                <w:rFonts w:hint="default" w:ascii="Times New Roman" w:hAnsi="Times New Roman" w:eastAsia="宋体" w:cs="Times New Roman"/>
                <w:b/>
                <w:bCs/>
                <w:color w:val="auto"/>
                <w:kern w:val="2"/>
                <w:szCs w:val="32"/>
                <w:highlight w:val="none"/>
              </w:rPr>
              <w:t>流程及产污环节图</w:t>
            </w:r>
          </w:p>
          <w:p w14:paraId="04313700">
            <w:pPr>
              <w:pStyle w:val="61"/>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lang w:val="en-US" w:eastAsia="zh-CN"/>
              </w:rPr>
              <w:t>诊疗流程简述：</w:t>
            </w:r>
          </w:p>
          <w:p w14:paraId="3AA59FA0">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①挂号</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顾客携带患病宠物到</w:t>
            </w:r>
            <w:r>
              <w:rPr>
                <w:rFonts w:hint="default" w:ascii="Times New Roman" w:hAnsi="Times New Roman" w:eastAsia="宋体" w:cs="Times New Roman"/>
                <w:b w:val="0"/>
                <w:bCs w:val="0"/>
                <w:color w:val="auto"/>
                <w:kern w:val="2"/>
                <w:szCs w:val="32"/>
                <w:highlight w:val="none"/>
                <w:lang w:val="en-US" w:eastAsia="zh-CN"/>
              </w:rPr>
              <w:t>前台</w:t>
            </w:r>
            <w:r>
              <w:rPr>
                <w:rFonts w:hint="default" w:ascii="Times New Roman" w:hAnsi="Times New Roman" w:eastAsia="宋体" w:cs="Times New Roman"/>
                <w:b w:val="0"/>
                <w:bCs w:val="0"/>
                <w:color w:val="auto"/>
                <w:kern w:val="2"/>
                <w:szCs w:val="32"/>
                <w:highlight w:val="none"/>
              </w:rPr>
              <w:t>挂号，并进行初步了解，如发现患病动物染疫或疑似染疫，及时向有关部门报备，并采取隔离措施。</w:t>
            </w:r>
          </w:p>
          <w:p w14:paraId="0F8CD272">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②就诊</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宠物挂号完成后，符合治疗条件的患病宠物带至</w:t>
            </w:r>
            <w:r>
              <w:rPr>
                <w:rFonts w:hint="default" w:ascii="Times New Roman" w:hAnsi="Times New Roman" w:eastAsia="宋体" w:cs="Times New Roman"/>
                <w:b w:val="0"/>
                <w:bCs w:val="0"/>
                <w:color w:val="auto"/>
                <w:kern w:val="2"/>
                <w:szCs w:val="32"/>
                <w:highlight w:val="none"/>
                <w:lang w:val="en-US" w:eastAsia="zh-CN"/>
              </w:rPr>
              <w:t>诊</w:t>
            </w:r>
            <w:r>
              <w:rPr>
                <w:rFonts w:hint="default" w:ascii="Times New Roman" w:hAnsi="Times New Roman" w:eastAsia="宋体" w:cs="Times New Roman"/>
                <w:b w:val="0"/>
                <w:bCs w:val="0"/>
                <w:color w:val="auto"/>
                <w:kern w:val="2"/>
                <w:szCs w:val="32"/>
                <w:highlight w:val="none"/>
              </w:rPr>
              <w:t>室由医生进行诊治。医生详细了解宠物病情，进行临床检查，并告知顾客</w:t>
            </w:r>
            <w:r>
              <w:rPr>
                <w:rFonts w:hint="default" w:ascii="Times New Roman" w:hAnsi="Times New Roman" w:eastAsia="宋体" w:cs="Times New Roman"/>
                <w:b w:val="0"/>
                <w:bCs w:val="0"/>
                <w:color w:val="auto"/>
                <w:kern w:val="2"/>
                <w:szCs w:val="32"/>
                <w:highlight w:val="none"/>
                <w:lang w:val="en-US" w:eastAsia="zh-CN"/>
              </w:rPr>
              <w:t>其</w:t>
            </w:r>
            <w:r>
              <w:rPr>
                <w:rFonts w:hint="default" w:ascii="Times New Roman" w:hAnsi="Times New Roman" w:eastAsia="宋体" w:cs="Times New Roman"/>
                <w:b w:val="0"/>
                <w:bCs w:val="0"/>
                <w:color w:val="auto"/>
                <w:kern w:val="2"/>
                <w:szCs w:val="32"/>
                <w:highlight w:val="none"/>
              </w:rPr>
              <w:t>患病宠物</w:t>
            </w:r>
            <w:r>
              <w:rPr>
                <w:rFonts w:hint="default" w:ascii="Times New Roman" w:hAnsi="Times New Roman" w:eastAsia="宋体" w:cs="Times New Roman"/>
                <w:b w:val="0"/>
                <w:bCs w:val="0"/>
                <w:color w:val="auto"/>
                <w:kern w:val="2"/>
                <w:szCs w:val="32"/>
                <w:highlight w:val="none"/>
                <w:lang w:val="en-US" w:eastAsia="zh-CN"/>
              </w:rPr>
              <w:t>需要</w:t>
            </w:r>
            <w:r>
              <w:rPr>
                <w:rFonts w:hint="default" w:ascii="Times New Roman" w:hAnsi="Times New Roman" w:eastAsia="宋体" w:cs="Times New Roman"/>
                <w:b w:val="0"/>
                <w:bCs w:val="0"/>
                <w:color w:val="auto"/>
                <w:kern w:val="2"/>
                <w:szCs w:val="32"/>
                <w:highlight w:val="none"/>
              </w:rPr>
              <w:t>做</w:t>
            </w:r>
            <w:r>
              <w:rPr>
                <w:rFonts w:hint="default" w:ascii="Times New Roman" w:hAnsi="Times New Roman" w:eastAsia="宋体" w:cs="Times New Roman"/>
                <w:b w:val="0"/>
                <w:bCs w:val="0"/>
                <w:color w:val="auto"/>
                <w:kern w:val="2"/>
                <w:szCs w:val="32"/>
                <w:highlight w:val="none"/>
                <w:lang w:val="en-US" w:eastAsia="zh-CN"/>
              </w:rPr>
              <w:t>的</w:t>
            </w:r>
            <w:r>
              <w:rPr>
                <w:rFonts w:hint="default" w:ascii="Times New Roman" w:hAnsi="Times New Roman" w:eastAsia="宋体" w:cs="Times New Roman"/>
                <w:b w:val="0"/>
                <w:bCs w:val="0"/>
                <w:color w:val="auto"/>
                <w:kern w:val="2"/>
                <w:szCs w:val="32"/>
                <w:highlight w:val="none"/>
              </w:rPr>
              <w:t>化验检查。</w:t>
            </w:r>
          </w:p>
          <w:p w14:paraId="61D07FD5">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③化验</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对患病宠物进行血、便、尿等常规化验，如有需要则进行对X光诊疗检查。检测项目主要包括血常规、生化、血气、寄生虫、影像、B超等，病毒检测均采用试纸检测，血样制成试剂片，由仪器进行检测。</w:t>
            </w:r>
          </w:p>
          <w:p w14:paraId="455C8CB3">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④诊断</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医生根据化验结果或影像结果对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病情进行诊断，根据病情建议顾客选择治疗或不需治疗。</w:t>
            </w:r>
          </w:p>
          <w:p w14:paraId="23D555A3">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⑤治疗</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根据患病</w:t>
            </w:r>
            <w:r>
              <w:rPr>
                <w:rFonts w:hint="default" w:ascii="Times New Roman" w:hAnsi="Times New Roman" w:eastAsia="宋体" w:cs="Times New Roman"/>
                <w:b w:val="0"/>
                <w:bCs w:val="0"/>
                <w:color w:val="auto"/>
                <w:kern w:val="2"/>
                <w:szCs w:val="32"/>
                <w:highlight w:val="none"/>
                <w:lang w:val="en-US" w:eastAsia="zh-CN"/>
              </w:rPr>
              <w:t>宠物病</w:t>
            </w:r>
            <w:r>
              <w:rPr>
                <w:rFonts w:hint="default" w:ascii="Times New Roman" w:hAnsi="Times New Roman" w:eastAsia="宋体" w:cs="Times New Roman"/>
                <w:b w:val="0"/>
                <w:bCs w:val="0"/>
                <w:color w:val="auto"/>
                <w:kern w:val="2"/>
                <w:szCs w:val="32"/>
                <w:highlight w:val="none"/>
              </w:rPr>
              <w:t>情严重程度，对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进行用药、输液或治疗，治疗完成后可离开。</w:t>
            </w:r>
          </w:p>
          <w:p w14:paraId="7273ED9B">
            <w:pPr>
              <w:pStyle w:val="61"/>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rPr>
              <w:t>⑥手术</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color w:val="auto"/>
                <w:kern w:val="2"/>
                <w:szCs w:val="32"/>
                <w:highlight w:val="none"/>
              </w:rPr>
              <w:t>根据门诊</w:t>
            </w:r>
            <w:r>
              <w:rPr>
                <w:rFonts w:hint="default" w:ascii="Times New Roman" w:hAnsi="Times New Roman" w:eastAsia="宋体" w:cs="Times New Roman"/>
                <w:color w:val="auto"/>
                <w:kern w:val="2"/>
                <w:szCs w:val="32"/>
                <w:highlight w:val="none"/>
                <w:lang w:val="en-US" w:eastAsia="zh-CN"/>
              </w:rPr>
              <w:t>诊治</w:t>
            </w:r>
            <w:r>
              <w:rPr>
                <w:rFonts w:hint="default" w:ascii="Times New Roman" w:hAnsi="Times New Roman" w:eastAsia="宋体" w:cs="Times New Roman"/>
                <w:color w:val="auto"/>
                <w:kern w:val="2"/>
                <w:szCs w:val="32"/>
                <w:highlight w:val="none"/>
              </w:rPr>
              <w:t>情况，</w:t>
            </w:r>
            <w:r>
              <w:rPr>
                <w:rFonts w:hint="default" w:ascii="Times New Roman" w:hAnsi="Times New Roman" w:eastAsia="宋体" w:cs="Times New Roman"/>
                <w:color w:val="auto"/>
                <w:kern w:val="2"/>
                <w:szCs w:val="32"/>
                <w:highlight w:val="none"/>
                <w:lang w:val="en-US" w:eastAsia="zh-CN"/>
              </w:rPr>
              <w:t>病情严重的</w:t>
            </w:r>
            <w:r>
              <w:rPr>
                <w:rFonts w:hint="default" w:ascii="Times New Roman" w:hAnsi="Times New Roman" w:eastAsia="宋体" w:cs="Times New Roman"/>
                <w:color w:val="auto"/>
                <w:kern w:val="2"/>
                <w:szCs w:val="32"/>
                <w:highlight w:val="none"/>
              </w:rPr>
              <w:t>宠物</w:t>
            </w:r>
            <w:r>
              <w:rPr>
                <w:rFonts w:hint="default" w:ascii="Times New Roman" w:hAnsi="Times New Roman" w:eastAsia="宋体" w:cs="Times New Roman"/>
                <w:color w:val="auto"/>
                <w:kern w:val="2"/>
                <w:szCs w:val="32"/>
                <w:highlight w:val="none"/>
                <w:lang w:val="en-US" w:eastAsia="zh-CN"/>
              </w:rPr>
              <w:t>需住院</w:t>
            </w:r>
            <w:r>
              <w:rPr>
                <w:rFonts w:hint="default" w:ascii="Times New Roman" w:hAnsi="Times New Roman" w:eastAsia="宋体" w:cs="Times New Roman"/>
                <w:color w:val="auto"/>
                <w:kern w:val="2"/>
                <w:szCs w:val="32"/>
                <w:highlight w:val="none"/>
              </w:rPr>
              <w:t>手术治疗，宠物手术流程如下：</w:t>
            </w:r>
          </w:p>
          <w:p w14:paraId="1868226A">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a</w:t>
            </w:r>
            <w:r>
              <w:rPr>
                <w:rFonts w:ascii="Times New Roman" w:hAnsi="Times New Roman" w:eastAsia="宋体" w:cs="Times New Roman"/>
                <w:color w:val="auto"/>
                <w:kern w:val="2"/>
                <w:szCs w:val="32"/>
                <w:highlight w:val="none"/>
              </w:rPr>
              <w:t xml:space="preserve">.术前确认手术类型； </w:t>
            </w:r>
          </w:p>
          <w:p w14:paraId="55A21829">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b</w:t>
            </w:r>
            <w:r>
              <w:rPr>
                <w:rFonts w:ascii="Times New Roman" w:hAnsi="Times New Roman" w:eastAsia="宋体" w:cs="Times New Roman"/>
                <w:color w:val="auto"/>
                <w:kern w:val="2"/>
                <w:szCs w:val="32"/>
                <w:highlight w:val="none"/>
              </w:rPr>
              <w:t xml:space="preserve">.给予患病宠物提前补充预防性抗生素等措施； </w:t>
            </w:r>
          </w:p>
          <w:p w14:paraId="12441B28">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c</w:t>
            </w:r>
            <w:r>
              <w:rPr>
                <w:rFonts w:ascii="Times New Roman" w:hAnsi="Times New Roman" w:eastAsia="宋体" w:cs="Times New Roman"/>
                <w:color w:val="auto"/>
                <w:kern w:val="2"/>
                <w:szCs w:val="32"/>
                <w:highlight w:val="none"/>
              </w:rPr>
              <w:t xml:space="preserve">.对于患病宠物诱导麻醉后，进行气管插管； </w:t>
            </w:r>
          </w:p>
          <w:p w14:paraId="2357E0E7">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d</w:t>
            </w:r>
            <w:r>
              <w:rPr>
                <w:rFonts w:ascii="Times New Roman" w:hAnsi="Times New Roman" w:eastAsia="宋体" w:cs="Times New Roman"/>
                <w:color w:val="auto"/>
                <w:kern w:val="2"/>
                <w:szCs w:val="32"/>
                <w:highlight w:val="none"/>
              </w:rPr>
              <w:t xml:space="preserve">.将患病宠物患处毛发剔除，患处皮肤消毒； </w:t>
            </w:r>
          </w:p>
          <w:p w14:paraId="4C0F6FB1">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e</w:t>
            </w:r>
            <w:r>
              <w:rPr>
                <w:rFonts w:ascii="Times New Roman" w:hAnsi="Times New Roman" w:eastAsia="宋体" w:cs="Times New Roman"/>
                <w:color w:val="auto"/>
                <w:kern w:val="2"/>
                <w:szCs w:val="32"/>
                <w:highlight w:val="none"/>
              </w:rPr>
              <w:t xml:space="preserve">.进行术前准备：中性肥皂刷手，喷干式刷手液；穿手术衣，戴手套，戴口罩，戴帽子；打开手术包，铺设创巾； </w:t>
            </w:r>
          </w:p>
          <w:p w14:paraId="738FA786">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f</w:t>
            </w:r>
            <w:r>
              <w:rPr>
                <w:rFonts w:ascii="Times New Roman" w:hAnsi="Times New Roman" w:eastAsia="宋体" w:cs="Times New Roman"/>
                <w:color w:val="auto"/>
                <w:kern w:val="2"/>
                <w:szCs w:val="32"/>
                <w:highlight w:val="none"/>
              </w:rPr>
              <w:t xml:space="preserve">.进行手术； </w:t>
            </w:r>
          </w:p>
          <w:p w14:paraId="7DDA392B">
            <w:pPr>
              <w:pStyle w:val="61"/>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g</w:t>
            </w:r>
            <w:r>
              <w:rPr>
                <w:rFonts w:ascii="Times New Roman" w:hAnsi="Times New Roman" w:eastAsia="宋体" w:cs="Times New Roman"/>
                <w:color w:val="auto"/>
                <w:kern w:val="2"/>
                <w:szCs w:val="32"/>
                <w:highlight w:val="none"/>
              </w:rPr>
              <w:t>.手术完毕后对</w:t>
            </w:r>
            <w:r>
              <w:rPr>
                <w:rFonts w:hint="eastAsia" w:ascii="Times New Roman" w:hAnsi="Times New Roman" w:eastAsia="宋体" w:cs="Times New Roman"/>
                <w:color w:val="auto"/>
                <w:kern w:val="2"/>
                <w:szCs w:val="32"/>
                <w:highlight w:val="none"/>
                <w:lang w:val="en-US" w:eastAsia="zh-CN"/>
              </w:rPr>
              <w:t>手术器械</w:t>
            </w:r>
            <w:r>
              <w:rPr>
                <w:rFonts w:ascii="Times New Roman" w:hAnsi="Times New Roman" w:eastAsia="宋体" w:cs="Times New Roman"/>
                <w:color w:val="auto"/>
                <w:kern w:val="2"/>
                <w:szCs w:val="32"/>
                <w:highlight w:val="none"/>
              </w:rPr>
              <w:t>、手术台等进行清理及消毒。</w:t>
            </w:r>
          </w:p>
          <w:p w14:paraId="168C9D30">
            <w:pPr>
              <w:pStyle w:val="61"/>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kern w:val="2"/>
                <w:szCs w:val="32"/>
                <w:highlight w:val="none"/>
                <w:lang w:val="en-US" w:eastAsia="zh-CN"/>
              </w:rPr>
            </w:pPr>
            <w:r>
              <w:rPr>
                <w:rFonts w:hint="default" w:ascii="Times New Roman" w:hAnsi="Times New Roman" w:eastAsia="宋体" w:cs="Times New Roman"/>
                <w:b/>
                <w:bCs/>
                <w:color w:val="auto"/>
                <w:kern w:val="2"/>
                <w:szCs w:val="32"/>
                <w:highlight w:val="none"/>
                <w:lang w:val="en-US" w:eastAsia="zh-CN"/>
              </w:rPr>
              <w:t>（</w:t>
            </w:r>
            <w:r>
              <w:rPr>
                <w:rFonts w:hint="eastAsia" w:ascii="Times New Roman" w:hAnsi="Times New Roman" w:eastAsia="宋体" w:cs="Times New Roman"/>
                <w:b/>
                <w:bCs/>
                <w:color w:val="auto"/>
                <w:kern w:val="2"/>
                <w:szCs w:val="32"/>
                <w:highlight w:val="none"/>
                <w:lang w:val="en-US" w:eastAsia="zh-CN"/>
              </w:rPr>
              <w:t>2</w:t>
            </w:r>
            <w:r>
              <w:rPr>
                <w:rFonts w:hint="default" w:ascii="Times New Roman" w:hAnsi="Times New Roman" w:eastAsia="宋体" w:cs="Times New Roman"/>
                <w:b/>
                <w:bCs/>
                <w:color w:val="auto"/>
                <w:kern w:val="2"/>
                <w:szCs w:val="32"/>
                <w:highlight w:val="none"/>
                <w:lang w:val="en-US" w:eastAsia="zh-CN"/>
              </w:rPr>
              <w:t>）产污情况</w:t>
            </w:r>
          </w:p>
          <w:p w14:paraId="762F5DE4">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①废水：</w:t>
            </w:r>
            <w:r>
              <w:rPr>
                <w:rFonts w:hint="default" w:ascii="Times New Roman" w:hAnsi="Times New Roman" w:cs="Times New Roman"/>
                <w:bCs/>
                <w:color w:val="auto"/>
                <w:highlight w:val="none"/>
              </w:rPr>
              <w:t>新增</w:t>
            </w:r>
            <w:r>
              <w:rPr>
                <w:rFonts w:hint="default" w:ascii="Times New Roman" w:hAnsi="Times New Roman" w:cs="Times New Roman"/>
                <w:bCs/>
                <w:color w:val="auto"/>
                <w:highlight w:val="none"/>
                <w:lang w:val="en-US" w:eastAsia="zh-CN"/>
              </w:rPr>
              <w:t>宠物诊疗废水</w:t>
            </w:r>
            <w:r>
              <w:rPr>
                <w:rFonts w:hint="default" w:ascii="Times New Roman" w:hAnsi="Times New Roman" w:cs="Times New Roman"/>
                <w:bCs/>
                <w:color w:val="auto"/>
                <w:highlight w:val="none"/>
              </w:rPr>
              <w:t>；</w:t>
            </w:r>
          </w:p>
          <w:p w14:paraId="22F321FD">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②废气：经营过程中</w:t>
            </w:r>
            <w:r>
              <w:rPr>
                <w:rFonts w:hint="default" w:ascii="Times New Roman" w:hAnsi="Times New Roman" w:cs="Times New Roman"/>
                <w:bCs/>
                <w:color w:val="auto"/>
                <w:highlight w:val="none"/>
                <w:lang w:eastAsia="zh-CN"/>
              </w:rPr>
              <w:t>消毒设备</w:t>
            </w:r>
            <w:r>
              <w:rPr>
                <w:rFonts w:hint="default" w:ascii="Times New Roman" w:hAnsi="Times New Roman" w:eastAsia="宋体" w:cs="Times New Roman"/>
                <w:bCs/>
                <w:color w:val="auto"/>
                <w:highlight w:val="none"/>
              </w:rPr>
              <w:t>运行及宠物就诊</w:t>
            </w:r>
            <w:r>
              <w:rPr>
                <w:rFonts w:hint="default" w:ascii="Times New Roman" w:hAnsi="Times New Roman" w:cs="Times New Roman"/>
                <w:bCs/>
                <w:color w:val="auto"/>
                <w:highlight w:val="none"/>
                <w:lang w:val="en-US" w:eastAsia="zh-CN"/>
              </w:rPr>
              <w:t>过程</w:t>
            </w:r>
            <w:r>
              <w:rPr>
                <w:rFonts w:hint="default" w:ascii="Times New Roman" w:hAnsi="Times New Roman" w:eastAsia="宋体" w:cs="Times New Roman"/>
                <w:bCs/>
                <w:color w:val="auto"/>
                <w:highlight w:val="none"/>
              </w:rPr>
              <w:t xml:space="preserve">产生少量异味； </w:t>
            </w:r>
          </w:p>
          <w:p w14:paraId="07F584CB">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 xml:space="preserve">③噪声：经营过程中产生的噪声主要来自宠物叫声，具有不定时性和突发性； </w:t>
            </w:r>
          </w:p>
          <w:p w14:paraId="27503356">
            <w:pPr>
              <w:pStyle w:val="61"/>
              <w:keepNext w:val="0"/>
              <w:keepLines w:val="0"/>
              <w:pageBreakBefore w:val="0"/>
              <w:widowControl w:val="0"/>
              <w:numPr>
                <w:ilvl w:val="-1"/>
                <w:numId w:val="0"/>
              </w:numPr>
              <w:kinsoku/>
              <w:wordWrap/>
              <w:overflowPunct/>
              <w:topLinePunct w:val="0"/>
              <w:autoSpaceDE/>
              <w:autoSpaceDN/>
              <w:bidi w:val="0"/>
              <w:adjustRightInd/>
              <w:snapToGrid/>
              <w:ind w:left="0" w:firstLine="480" w:firstLineChars="200"/>
              <w:jc w:val="both"/>
              <w:textAlignment w:val="auto"/>
              <w:rPr>
                <w:rFonts w:hint="eastAsia" w:ascii="宋体" w:hAnsi="宋体" w:eastAsia="宋体" w:cs="宋体"/>
                <w:bCs/>
                <w:color w:val="auto"/>
                <w:highlight w:val="none"/>
              </w:rPr>
            </w:pPr>
            <w:r>
              <w:rPr>
                <w:rFonts w:hint="default" w:ascii="Times New Roman" w:hAnsi="Times New Roman" w:eastAsia="宋体" w:cs="Times New Roman"/>
                <w:bCs/>
                <w:color w:val="auto"/>
                <w:highlight w:val="none"/>
              </w:rPr>
              <w:t>④固废：</w:t>
            </w:r>
            <w:r>
              <w:rPr>
                <w:rFonts w:hint="default" w:ascii="Times New Roman" w:hAnsi="Times New Roman" w:eastAsia="宋体" w:cs="Times New Roman"/>
                <w:bCs/>
                <w:color w:val="auto"/>
                <w:highlight w:val="none"/>
                <w:lang w:val="en-US" w:eastAsia="zh-CN"/>
              </w:rPr>
              <w:t>诊疗废物</w:t>
            </w:r>
            <w:r>
              <w:rPr>
                <w:rFonts w:hint="default" w:ascii="Times New Roman" w:hAnsi="Times New Roman" w:eastAsia="宋体" w:cs="Times New Roman"/>
                <w:bCs/>
                <w:color w:val="auto"/>
                <w:highlight w:val="none"/>
              </w:rPr>
              <w:t>主要为动物毛发（主要为宠物手术剃毛</w:t>
            </w:r>
            <w:r>
              <w:rPr>
                <w:rFonts w:hint="default" w:ascii="Times New Roman" w:hAnsi="Times New Roman" w:eastAsia="宋体" w:cs="Times New Roman"/>
                <w:bCs/>
                <w:color w:val="auto"/>
                <w:highlight w:val="none"/>
                <w:lang w:val="en-US" w:eastAsia="zh-CN"/>
              </w:rPr>
              <w:t>或洗浴</w:t>
            </w:r>
            <w:r>
              <w:rPr>
                <w:rFonts w:hint="default" w:ascii="Times New Roman" w:hAnsi="Times New Roman" w:eastAsia="宋体" w:cs="Times New Roman"/>
                <w:bCs/>
                <w:color w:val="auto"/>
                <w:highlight w:val="none"/>
              </w:rPr>
              <w:t>产生）</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动物组织（宠物在治疗过程会产生一定量的动物组织）</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废弃或过期的药品，使用后的棉签、棉球、纱布及其他各种敷料</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使用后的</w:t>
            </w:r>
            <w:r>
              <w:rPr>
                <w:rFonts w:hint="default" w:ascii="Times New Roman" w:hAnsi="Times New Roman" w:eastAsia="宋体" w:cs="Times New Roman"/>
                <w:bCs/>
                <w:color w:val="auto"/>
                <w:highlight w:val="none"/>
              </w:rPr>
              <w:t>一次性</w:t>
            </w:r>
            <w:r>
              <w:rPr>
                <w:rFonts w:hint="default" w:ascii="Times New Roman" w:hAnsi="Times New Roman" w:eastAsia="宋体" w:cs="Times New Roman"/>
                <w:bCs/>
                <w:color w:val="auto"/>
                <w:highlight w:val="none"/>
                <w:lang w:val="en-US" w:eastAsia="zh-CN"/>
              </w:rPr>
              <w:t>诊疗</w:t>
            </w:r>
            <w:r>
              <w:rPr>
                <w:rFonts w:hint="default" w:ascii="Times New Roman" w:hAnsi="Times New Roman" w:eastAsia="宋体" w:cs="Times New Roman"/>
                <w:bCs/>
                <w:color w:val="auto"/>
                <w:highlight w:val="none"/>
              </w:rPr>
              <w:t>用品（一次性注射器、一次性注射针头、一次性试剂片等）</w:t>
            </w:r>
            <w:r>
              <w:rPr>
                <w:rFonts w:hint="default" w:ascii="Times New Roman" w:hAnsi="Times New Roman" w:eastAsia="宋体" w:cs="Times New Roman"/>
                <w:bCs/>
                <w:color w:val="auto"/>
                <w:highlight w:val="none"/>
                <w:lang w:eastAsia="zh-CN"/>
              </w:rPr>
              <w:t>；</w:t>
            </w:r>
            <w:r>
              <w:rPr>
                <w:rFonts w:hint="eastAsia" w:ascii="宋体" w:hAnsi="宋体" w:eastAsia="宋体" w:cs="宋体"/>
                <w:bCs/>
                <w:color w:val="auto"/>
                <w:kern w:val="24"/>
                <w:szCs w:val="22"/>
                <w:highlight w:val="none"/>
                <w:lang w:eastAsia="zh-CN"/>
              </w:rPr>
              <w:t>消毒设备</w:t>
            </w:r>
            <w:r>
              <w:rPr>
                <w:rFonts w:hint="eastAsia" w:ascii="宋体" w:hAnsi="宋体" w:eastAsia="宋体" w:cs="宋体"/>
                <w:bCs/>
                <w:color w:val="auto"/>
                <w:kern w:val="24"/>
                <w:szCs w:val="22"/>
                <w:highlight w:val="none"/>
                <w:lang w:val="en-US" w:eastAsia="zh-CN"/>
              </w:rPr>
              <w:t>消毒</w:t>
            </w:r>
            <w:r>
              <w:rPr>
                <w:rFonts w:hint="eastAsia" w:ascii="宋体" w:hAnsi="宋体" w:eastAsia="宋体" w:cs="宋体"/>
                <w:bCs/>
                <w:color w:val="auto"/>
                <w:kern w:val="24"/>
                <w:szCs w:val="22"/>
                <w:highlight w:val="none"/>
                <w:lang w:eastAsia="zh-CN"/>
              </w:rPr>
              <w:t>诊疗废水</w:t>
            </w:r>
            <w:r>
              <w:rPr>
                <w:rFonts w:hint="eastAsia" w:ascii="宋体" w:hAnsi="宋体" w:eastAsia="宋体" w:cs="宋体"/>
                <w:bCs/>
                <w:color w:val="auto"/>
                <w:kern w:val="24"/>
                <w:szCs w:val="22"/>
                <w:highlight w:val="none"/>
              </w:rPr>
              <w:t>产生的污泥。</w:t>
            </w:r>
          </w:p>
          <w:p w14:paraId="5FCC0E1D">
            <w:pPr>
              <w:pStyle w:val="61"/>
              <w:rPr>
                <w:rFonts w:hint="default" w:ascii="Times New Roman" w:hAnsi="Times New Roman" w:eastAsia="宋体" w:cs="Times New Roman"/>
                <w:color w:val="auto"/>
                <w:kern w:val="2"/>
                <w:szCs w:val="32"/>
                <w:highlight w:val="none"/>
              </w:rPr>
            </w:pPr>
            <w:r>
              <w:rPr>
                <w:rFonts w:hint="default" w:ascii="Times New Roman" w:hAnsi="Times New Roman" w:eastAsia="宋体" w:cs="Times New Roman"/>
                <w:bCs/>
                <w:color w:val="auto"/>
                <w:highlight w:val="none"/>
              </w:rPr>
              <w:t>本项目产污环节及污染治理措施详见表2-6。</w:t>
            </w:r>
          </w:p>
          <w:p w14:paraId="51631A2F">
            <w:pPr>
              <w:pStyle w:val="61"/>
              <w:spacing w:line="240" w:lineRule="auto"/>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表2-6  本项目新增产污环节及污染物清单</w:t>
            </w:r>
          </w:p>
          <w:tbl>
            <w:tblPr>
              <w:tblStyle w:val="51"/>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011"/>
              <w:gridCol w:w="2658"/>
              <w:gridCol w:w="3534"/>
            </w:tblGrid>
            <w:tr w14:paraId="50A7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12" w:space="0"/>
                    <w:left w:val="nil"/>
                    <w:bottom w:val="single" w:color="auto" w:sz="4" w:space="0"/>
                    <w:right w:val="single" w:color="auto" w:sz="4" w:space="0"/>
                  </w:tcBorders>
                  <w:vAlign w:val="center"/>
                </w:tcPr>
                <w:p w14:paraId="0CD3E682">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1122" w:type="pct"/>
                  <w:tcBorders>
                    <w:top w:val="single" w:color="auto" w:sz="12" w:space="0"/>
                    <w:left w:val="single" w:color="auto" w:sz="4" w:space="0"/>
                    <w:bottom w:val="single" w:color="auto" w:sz="4" w:space="0"/>
                    <w:right w:val="single" w:color="auto" w:sz="4" w:space="0"/>
                  </w:tcBorders>
                  <w:vAlign w:val="center"/>
                </w:tcPr>
                <w:p w14:paraId="3FF5843E">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污染源或污染工序</w:t>
                  </w:r>
                </w:p>
              </w:tc>
              <w:tc>
                <w:tcPr>
                  <w:tcW w:w="1483" w:type="pct"/>
                  <w:tcBorders>
                    <w:top w:val="single" w:color="auto" w:sz="12" w:space="0"/>
                    <w:left w:val="single" w:color="auto" w:sz="4" w:space="0"/>
                    <w:bottom w:val="single" w:color="auto" w:sz="4" w:space="0"/>
                    <w:right w:val="single" w:color="auto" w:sz="4" w:space="0"/>
                  </w:tcBorders>
                  <w:vAlign w:val="center"/>
                </w:tcPr>
                <w:p w14:paraId="5C752063">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污染因子</w:t>
                  </w:r>
                </w:p>
              </w:tc>
              <w:tc>
                <w:tcPr>
                  <w:tcW w:w="1972" w:type="pct"/>
                  <w:tcBorders>
                    <w:top w:val="single" w:color="auto" w:sz="12" w:space="0"/>
                    <w:left w:val="single" w:color="auto" w:sz="4" w:space="0"/>
                    <w:bottom w:val="single" w:color="auto" w:sz="4" w:space="0"/>
                    <w:right w:val="nil"/>
                  </w:tcBorders>
                  <w:vAlign w:val="center"/>
                </w:tcPr>
                <w:p w14:paraId="565E3EE1">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治理措施及排放去向</w:t>
                  </w:r>
                </w:p>
              </w:tc>
            </w:tr>
            <w:tr w14:paraId="3004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4" w:space="0"/>
                    <w:left w:val="nil"/>
                    <w:right w:val="single" w:color="auto" w:sz="4" w:space="0"/>
                  </w:tcBorders>
                  <w:vAlign w:val="center"/>
                </w:tcPr>
                <w:p w14:paraId="6DEFD14D">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1122" w:type="pct"/>
                  <w:tcBorders>
                    <w:top w:val="single" w:color="auto" w:sz="4" w:space="0"/>
                    <w:left w:val="single" w:color="auto" w:sz="4" w:space="0"/>
                    <w:right w:val="single" w:color="auto" w:sz="4" w:space="0"/>
                  </w:tcBorders>
                  <w:vAlign w:val="center"/>
                </w:tcPr>
                <w:p w14:paraId="785DB801">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诊疗废水</w:t>
                  </w:r>
                </w:p>
              </w:tc>
              <w:tc>
                <w:tcPr>
                  <w:tcW w:w="1483" w:type="pct"/>
                  <w:tcBorders>
                    <w:top w:val="single" w:color="auto" w:sz="4" w:space="0"/>
                    <w:left w:val="single" w:color="auto" w:sz="4" w:space="0"/>
                    <w:right w:val="single" w:color="auto" w:sz="4" w:space="0"/>
                  </w:tcBorders>
                  <w:vAlign w:val="center"/>
                </w:tcPr>
                <w:p w14:paraId="7CF4D17B">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pH、COD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-N、SS、粪大肠菌群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总余氯</w:t>
                  </w:r>
                </w:p>
              </w:tc>
              <w:tc>
                <w:tcPr>
                  <w:tcW w:w="1972" w:type="pct"/>
                  <w:tcBorders>
                    <w:top w:val="single" w:color="auto" w:sz="4" w:space="0"/>
                    <w:left w:val="single" w:color="auto" w:sz="4" w:space="0"/>
                    <w:right w:val="nil"/>
                  </w:tcBorders>
                  <w:vAlign w:val="center"/>
                </w:tcPr>
                <w:p w14:paraId="4826FA59">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经</w:t>
                  </w: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rPr>
                    <w:t>消毒排入化粪池处理</w:t>
                  </w:r>
                  <w:r>
                    <w:rPr>
                      <w:rFonts w:hint="eastAsia" w:ascii="Times New Roman" w:hAnsi="Times New Roman" w:eastAsia="宋体" w:cs="Times New Roman"/>
                      <w:color w:val="auto"/>
                      <w:kern w:val="2"/>
                      <w:sz w:val="21"/>
                      <w:szCs w:val="21"/>
                      <w:highlight w:val="none"/>
                      <w:lang w:val="en-US" w:eastAsia="zh-CN"/>
                    </w:rPr>
                    <w:t>后统一纳入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福清市融元污水处理厂</w:t>
                  </w:r>
                  <w:r>
                    <w:rPr>
                      <w:rFonts w:hint="default" w:ascii="Times New Roman" w:hAnsi="Times New Roman" w:eastAsia="宋体" w:cs="Times New Roman"/>
                      <w:color w:val="auto"/>
                      <w:kern w:val="2"/>
                      <w:sz w:val="21"/>
                      <w:szCs w:val="21"/>
                      <w:highlight w:val="none"/>
                      <w:lang w:val="en-US" w:eastAsia="zh-CN"/>
                    </w:rPr>
                    <w:t>集中处理</w:t>
                  </w:r>
                </w:p>
              </w:tc>
            </w:tr>
            <w:tr w14:paraId="2B8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1" w:type="pct"/>
                  <w:tcBorders>
                    <w:left w:val="nil"/>
                  </w:tcBorders>
                  <w:vAlign w:val="center"/>
                </w:tcPr>
                <w:p w14:paraId="719159A3">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1122" w:type="pct"/>
                </w:tcPr>
                <w:p w14:paraId="2C8F0C16">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0"/>
                      <w:highlight w:val="none"/>
                    </w:rPr>
                    <w:t>宠物就诊产生少量异味，</w:t>
                  </w:r>
                  <w:r>
                    <w:rPr>
                      <w:rFonts w:hint="default" w:ascii="Times New Roman" w:hAnsi="Times New Roman" w:eastAsia="宋体" w:cs="Times New Roman"/>
                      <w:color w:val="auto"/>
                      <w:sz w:val="21"/>
                      <w:szCs w:val="20"/>
                      <w:highlight w:val="none"/>
                      <w:lang w:eastAsia="zh-CN"/>
                    </w:rPr>
                    <w:t>诊疗废水</w:t>
                  </w:r>
                  <w:r>
                    <w:rPr>
                      <w:rFonts w:hint="default" w:ascii="Times New Roman" w:hAnsi="Times New Roman" w:eastAsia="宋体" w:cs="Times New Roman"/>
                      <w:color w:val="auto"/>
                      <w:sz w:val="21"/>
                      <w:szCs w:val="20"/>
                      <w:highlight w:val="none"/>
                    </w:rPr>
                    <w:t>处理过程产生少量异味</w:t>
                  </w:r>
                </w:p>
              </w:tc>
              <w:tc>
                <w:tcPr>
                  <w:tcW w:w="1483" w:type="pct"/>
                </w:tcPr>
                <w:p w14:paraId="648FFD05">
                  <w:pPr>
                    <w:pStyle w:val="61"/>
                    <w:spacing w:beforeLines="1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臭气浓度、H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S、NH</w:t>
                  </w:r>
                  <w:r>
                    <w:rPr>
                      <w:rFonts w:hint="default" w:ascii="Times New Roman" w:hAnsi="Times New Roman" w:eastAsia="宋体" w:cs="Times New Roman"/>
                      <w:color w:val="auto"/>
                      <w:kern w:val="2"/>
                      <w:sz w:val="21"/>
                      <w:szCs w:val="21"/>
                      <w:highlight w:val="none"/>
                      <w:vertAlign w:val="subscript"/>
                    </w:rPr>
                    <w:t>3</w:t>
                  </w:r>
                </w:p>
              </w:tc>
              <w:tc>
                <w:tcPr>
                  <w:tcW w:w="1972" w:type="pct"/>
                  <w:tcBorders>
                    <w:right w:val="nil"/>
                  </w:tcBorders>
                </w:tcPr>
                <w:p w14:paraId="16D50F43">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新风系统</w:t>
                  </w:r>
                  <w:r>
                    <w:rPr>
                      <w:rFonts w:hint="default" w:ascii="Times New Roman" w:hAnsi="Times New Roman" w:eastAsia="宋体" w:cs="Times New Roman"/>
                      <w:color w:val="auto"/>
                      <w:kern w:val="2"/>
                      <w:sz w:val="21"/>
                      <w:szCs w:val="21"/>
                      <w:highlight w:val="none"/>
                      <w:lang w:val="en-US" w:eastAsia="zh-CN"/>
                    </w:rPr>
                    <w:t>通风换气</w:t>
                  </w:r>
                  <w:r>
                    <w:rPr>
                      <w:rFonts w:hint="default" w:ascii="Times New Roman" w:hAnsi="Times New Roman" w:eastAsia="宋体" w:cs="Times New Roman"/>
                      <w:color w:val="auto"/>
                      <w:kern w:val="2"/>
                      <w:sz w:val="21"/>
                      <w:szCs w:val="21"/>
                      <w:highlight w:val="none"/>
                    </w:rPr>
                    <w:t>，喷洒宠物除臭剂</w:t>
                  </w:r>
                </w:p>
              </w:tc>
            </w:tr>
            <w:tr w14:paraId="3CE5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1" w:type="pct"/>
                  <w:vMerge w:val="restart"/>
                  <w:tcBorders>
                    <w:left w:val="nil"/>
                    <w:right w:val="single" w:color="auto" w:sz="4" w:space="0"/>
                  </w:tcBorders>
                  <w:vAlign w:val="center"/>
                </w:tcPr>
                <w:p w14:paraId="304FDC93">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固体废物</w:t>
                  </w:r>
                </w:p>
              </w:tc>
              <w:tc>
                <w:tcPr>
                  <w:tcW w:w="1122" w:type="pct"/>
                  <w:tcBorders>
                    <w:left w:val="single" w:color="auto" w:sz="4" w:space="0"/>
                    <w:right w:val="single" w:color="auto" w:sz="4" w:space="0"/>
                  </w:tcBorders>
                  <w:vAlign w:val="center"/>
                </w:tcPr>
                <w:p w14:paraId="1A2B025A">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诊疗废物</w:t>
                  </w:r>
                </w:p>
              </w:tc>
              <w:tc>
                <w:tcPr>
                  <w:tcW w:w="1483" w:type="pct"/>
                  <w:tcBorders>
                    <w:left w:val="single" w:color="auto" w:sz="4" w:space="0"/>
                    <w:right w:val="single" w:color="auto" w:sz="4" w:space="0"/>
                  </w:tcBorders>
                  <w:vAlign w:val="center"/>
                </w:tcPr>
                <w:p w14:paraId="0D5A83FA">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废检测试剂盒、一次性输液管、针管、医用棉球、纱布、废弃药品、手术废弃组织等</w:t>
                  </w:r>
                  <w:r>
                    <w:rPr>
                      <w:rFonts w:hint="default" w:ascii="Times New Roman" w:hAnsi="Times New Roman" w:eastAsia="宋体" w:cs="Times New Roman"/>
                      <w:color w:val="auto"/>
                      <w:kern w:val="2"/>
                      <w:sz w:val="21"/>
                      <w:szCs w:val="21"/>
                      <w:highlight w:val="none"/>
                      <w:lang w:eastAsia="zh-CN"/>
                    </w:rPr>
                    <w:t>诊疗废物</w:t>
                  </w:r>
                  <w:r>
                    <w:rPr>
                      <w:rFonts w:hint="default" w:ascii="Times New Roman" w:hAnsi="Times New Roman" w:eastAsia="宋体" w:cs="Times New Roman"/>
                      <w:color w:val="auto"/>
                      <w:kern w:val="2"/>
                      <w:sz w:val="21"/>
                      <w:szCs w:val="21"/>
                      <w:highlight w:val="none"/>
                    </w:rPr>
                    <w:t>；动物组织、动物毛发</w:t>
                  </w:r>
                </w:p>
              </w:tc>
              <w:tc>
                <w:tcPr>
                  <w:tcW w:w="1972" w:type="pct"/>
                  <w:tcBorders>
                    <w:left w:val="single" w:color="auto" w:sz="4" w:space="0"/>
                    <w:right w:val="nil"/>
                  </w:tcBorders>
                  <w:vAlign w:val="center"/>
                </w:tcPr>
                <w:p w14:paraId="560A0EE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使用医废垃圾桶分类收集，暂存危废间，</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统一处置（宠物在医院内死亡，由饲养者带回处置）</w:t>
                  </w:r>
                </w:p>
              </w:tc>
            </w:tr>
            <w:tr w14:paraId="5EF3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1" w:type="pct"/>
                  <w:vMerge w:val="continue"/>
                  <w:tcBorders>
                    <w:left w:val="nil"/>
                    <w:right w:val="single" w:color="auto" w:sz="4" w:space="0"/>
                  </w:tcBorders>
                  <w:vAlign w:val="center"/>
                </w:tcPr>
                <w:p w14:paraId="125FC94A">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122" w:type="pct"/>
                  <w:tcBorders>
                    <w:left w:val="single" w:color="auto" w:sz="4" w:space="0"/>
                    <w:right w:val="single" w:color="auto" w:sz="4" w:space="0"/>
                  </w:tcBorders>
                  <w:vAlign w:val="center"/>
                </w:tcPr>
                <w:p w14:paraId="3AC96813">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lang w:val="en-US" w:eastAsia="zh-CN"/>
                    </w:rPr>
                    <w:t>消毒</w:t>
                  </w: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产生的污泥</w:t>
                  </w:r>
                </w:p>
              </w:tc>
              <w:tc>
                <w:tcPr>
                  <w:tcW w:w="1483" w:type="pct"/>
                  <w:tcBorders>
                    <w:left w:val="single" w:color="auto" w:sz="4" w:space="0"/>
                    <w:right w:val="single" w:color="auto" w:sz="4" w:space="0"/>
                  </w:tcBorders>
                  <w:vAlign w:val="center"/>
                </w:tcPr>
                <w:p w14:paraId="2ADB2AA4">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污泥</w:t>
                  </w:r>
                </w:p>
              </w:tc>
              <w:tc>
                <w:tcPr>
                  <w:tcW w:w="1972" w:type="pct"/>
                  <w:tcBorders>
                    <w:left w:val="single" w:color="auto" w:sz="4" w:space="0"/>
                    <w:right w:val="nil"/>
                  </w:tcBorders>
                  <w:vAlign w:val="center"/>
                </w:tcPr>
                <w:p w14:paraId="19327E15">
                  <w:pPr>
                    <w:widowControl/>
                    <w:spacing w:beforeLines="5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每</w:t>
                  </w:r>
                  <w:r>
                    <w:rPr>
                      <w:rFonts w:hint="default" w:ascii="Times New Roman" w:hAnsi="Times New Roman" w:cs="Times New Roman"/>
                      <w:color w:val="auto"/>
                      <w:kern w:val="0"/>
                      <w:sz w:val="21"/>
                      <w:szCs w:val="21"/>
                      <w:highlight w:val="none"/>
                      <w:lang w:val="en-US" w:eastAsia="zh-CN"/>
                    </w:rPr>
                    <w:t>10~15</w:t>
                  </w:r>
                  <w:r>
                    <w:rPr>
                      <w:rFonts w:hint="default" w:ascii="Times New Roman" w:hAnsi="Times New Roman" w:cs="Times New Roman"/>
                      <w:color w:val="auto"/>
                      <w:kern w:val="0"/>
                      <w:sz w:val="21"/>
                      <w:szCs w:val="21"/>
                      <w:highlight w:val="none"/>
                      <w:lang w:eastAsia="zh-CN"/>
                    </w:rPr>
                    <w:t>天</w:t>
                  </w:r>
                  <w:r>
                    <w:rPr>
                      <w:rFonts w:hint="default" w:ascii="Times New Roman" w:hAnsi="Times New Roman" w:cs="Times New Roman"/>
                      <w:color w:val="auto"/>
                      <w:kern w:val="0"/>
                      <w:sz w:val="21"/>
                      <w:szCs w:val="21"/>
                      <w:highlight w:val="none"/>
                    </w:rPr>
                    <w:t>清掏一次，</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定期清运</w:t>
                  </w:r>
                </w:p>
              </w:tc>
            </w:tr>
            <w:tr w14:paraId="2D8B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1" w:type="pct"/>
                  <w:tcBorders>
                    <w:left w:val="nil"/>
                    <w:bottom w:val="single" w:color="auto" w:sz="12" w:space="0"/>
                    <w:right w:val="single" w:color="auto" w:sz="4" w:space="0"/>
                  </w:tcBorders>
                </w:tcPr>
                <w:p w14:paraId="5D4CE14E">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1122" w:type="pct"/>
                  <w:tcBorders>
                    <w:left w:val="single" w:color="auto" w:sz="4" w:space="0"/>
                    <w:bottom w:val="single" w:color="auto" w:sz="12" w:space="0"/>
                    <w:right w:val="single" w:color="auto" w:sz="4" w:space="0"/>
                  </w:tcBorders>
                </w:tcPr>
                <w:p w14:paraId="6D7E00F9">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偶发性宠物叫声</w:t>
                  </w:r>
                </w:p>
              </w:tc>
              <w:tc>
                <w:tcPr>
                  <w:tcW w:w="1483" w:type="pct"/>
                  <w:tcBorders>
                    <w:left w:val="single" w:color="auto" w:sz="4" w:space="0"/>
                    <w:bottom w:val="single" w:color="auto" w:sz="12" w:space="0"/>
                    <w:right w:val="single" w:color="auto" w:sz="4" w:space="0"/>
                  </w:tcBorders>
                </w:tcPr>
                <w:p w14:paraId="7CE79990">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Leq（A）</w:t>
                  </w:r>
                </w:p>
              </w:tc>
              <w:tc>
                <w:tcPr>
                  <w:tcW w:w="1972" w:type="pct"/>
                  <w:tcBorders>
                    <w:left w:val="single" w:color="auto" w:sz="4" w:space="0"/>
                    <w:bottom w:val="single" w:color="auto" w:sz="12" w:space="0"/>
                    <w:right w:val="nil"/>
                  </w:tcBorders>
                </w:tcPr>
                <w:p w14:paraId="10ED1FD8">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墙体隔声</w:t>
                  </w:r>
                </w:p>
              </w:tc>
            </w:tr>
          </w:tbl>
          <w:p w14:paraId="5E47675C">
            <w:pPr>
              <w:widowControl/>
              <w:adjustRightInd w:val="0"/>
              <w:snapToGrid w:val="0"/>
              <w:spacing w:line="360" w:lineRule="auto"/>
              <w:rPr>
                <w:rFonts w:hint="default" w:ascii="Times New Roman" w:hAnsi="Times New Roman" w:cs="Times New Roman"/>
                <w:color w:val="auto"/>
                <w:highlight w:val="none"/>
              </w:rPr>
            </w:pPr>
          </w:p>
        </w:tc>
      </w:tr>
      <w:tr w14:paraId="20ABE17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331" w:hRule="atLeast"/>
          <w:jc w:val="center"/>
        </w:trPr>
        <w:tc>
          <w:tcPr>
            <w:tcW w:w="608" w:type="dxa"/>
            <w:tcBorders>
              <w:tl2br w:val="nil"/>
              <w:tr2bl w:val="nil"/>
            </w:tcBorders>
            <w:vAlign w:val="center"/>
          </w:tcPr>
          <w:p w14:paraId="13CAE50D">
            <w:pPr>
              <w:pStyle w:val="45"/>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highlight w:val="none"/>
              </w:rPr>
              <w:t>与项目有关的原有环境污染问题</w:t>
            </w:r>
          </w:p>
        </w:tc>
        <w:tc>
          <w:tcPr>
            <w:tcW w:w="9244" w:type="dxa"/>
            <w:tcBorders>
              <w:tl2br w:val="nil"/>
              <w:tr2bl w:val="nil"/>
            </w:tcBorders>
            <w:vAlign w:val="center"/>
          </w:tcPr>
          <w:p w14:paraId="4BC59373">
            <w:pPr>
              <w:widowControl/>
              <w:adjustRightInd w:val="0"/>
              <w:snapToGrid w:val="0"/>
              <w:spacing w:line="360" w:lineRule="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2.8 与项目有关的原有环境污染问题</w:t>
            </w:r>
          </w:p>
          <w:p w14:paraId="6705BF97">
            <w:pPr>
              <w:pStyle w:val="1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2.8.1 现有项目基本情况</w:t>
            </w:r>
          </w:p>
          <w:p w14:paraId="3263A801">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福清市瑞辰顽皮多格动物医院有限公司</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成立于20</w:t>
            </w:r>
            <w:r>
              <w:rPr>
                <w:rFonts w:hint="eastAsia" w:cs="Times New Roman"/>
                <w:color w:val="auto"/>
                <w:highlight w:val="none"/>
                <w:lang w:val="en-US" w:eastAsia="zh-CN"/>
              </w:rPr>
              <w:t>21</w:t>
            </w:r>
            <w:r>
              <w:rPr>
                <w:rFonts w:hint="default" w:ascii="Times New Roman" w:hAnsi="Times New Roman" w:cs="Times New Roman"/>
                <w:color w:val="auto"/>
                <w:highlight w:val="none"/>
              </w:rPr>
              <w:t>年</w:t>
            </w:r>
            <w:r>
              <w:rPr>
                <w:rFonts w:hint="eastAsia" w:cs="Times New Roman"/>
                <w:color w:val="auto"/>
                <w:highlight w:val="none"/>
                <w:lang w:val="en-US" w:eastAsia="zh-CN"/>
              </w:rPr>
              <w:t>10</w:t>
            </w:r>
            <w:r>
              <w:rPr>
                <w:rFonts w:hint="default" w:ascii="Times New Roman" w:hAnsi="Times New Roman" w:cs="Times New Roman"/>
                <w:color w:val="auto"/>
                <w:highlight w:val="none"/>
              </w:rPr>
              <w:t>月</w:t>
            </w:r>
            <w:r>
              <w:rPr>
                <w:rFonts w:hint="eastAsia" w:cs="Times New Roman"/>
                <w:color w:val="auto"/>
                <w:highlight w:val="none"/>
                <w:lang w:val="en-US" w:eastAsia="zh-CN"/>
              </w:rPr>
              <w:t>12</w:t>
            </w:r>
            <w:r>
              <w:rPr>
                <w:rFonts w:hint="default" w:ascii="Times New Roman" w:hAnsi="Times New Roman" w:cs="Times New Roman"/>
                <w:color w:val="auto"/>
                <w:highlight w:val="none"/>
              </w:rPr>
              <w:t>日，现有项目</w:t>
            </w:r>
            <w:r>
              <w:rPr>
                <w:rFonts w:hint="eastAsia" w:cs="Times New Roman"/>
                <w:color w:val="auto"/>
                <w:highlight w:val="none"/>
                <w:lang w:val="en-US" w:eastAsia="zh-CN"/>
              </w:rPr>
              <w:t>诊疗场所选址</w:t>
            </w:r>
            <w:r>
              <w:rPr>
                <w:rFonts w:hint="default" w:ascii="Times New Roman" w:hAnsi="Times New Roman" w:cs="Times New Roman"/>
                <w:color w:val="auto"/>
                <w:highlight w:val="none"/>
              </w:rPr>
              <w:t>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福建省福清市宏路清盛大道21号中联江滨御景5号楼113号，115号，116号，117号，118号</w:t>
            </w:r>
            <w:r>
              <w:rPr>
                <w:rFonts w:hint="default" w:ascii="Times New Roman" w:hAnsi="Times New Roman" w:cs="Times New Roman"/>
                <w:color w:val="auto"/>
                <w:highlight w:val="none"/>
              </w:rPr>
              <w:fldChar w:fldCharType="end"/>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建筑</w:t>
            </w:r>
            <w:r>
              <w:rPr>
                <w:rFonts w:hint="default" w:ascii="Times New Roman" w:hAnsi="Times New Roman" w:cs="Times New Roman"/>
                <w:color w:val="auto"/>
                <w:highlight w:val="none"/>
              </w:rPr>
              <w:t>面积为</w:t>
            </w:r>
            <w:r>
              <w:rPr>
                <w:rFonts w:hint="eastAsia" w:cs="Times New Roman"/>
                <w:color w:val="auto"/>
                <w:highlight w:val="none"/>
                <w:lang w:val="en-US" w:eastAsia="zh-CN"/>
              </w:rPr>
              <w:t>118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eastAsia" w:cs="Times New Roman"/>
                <w:color w:val="auto"/>
                <w:highlight w:val="none"/>
                <w:lang w:val="en-US" w:eastAsia="zh-CN"/>
              </w:rPr>
              <w:t>法定代表人</w:t>
            </w:r>
            <w:r>
              <w:rPr>
                <w:rFonts w:hint="default" w:ascii="Times New Roman" w:hAnsi="Times New Roman" w:cs="Times New Roman"/>
                <w:color w:val="auto"/>
                <w:highlight w:val="none"/>
              </w:rPr>
              <w:t>为</w:t>
            </w:r>
            <w:r>
              <w:rPr>
                <w:rFonts w:hint="eastAsia" w:cs="Times New Roman"/>
                <w:color w:val="auto"/>
                <w:highlight w:val="none"/>
                <w:lang w:eastAsia="zh-CN"/>
              </w:rPr>
              <w:t>陈玲玲</w:t>
            </w:r>
            <w:r>
              <w:rPr>
                <w:rFonts w:hint="default" w:ascii="Times New Roman" w:hAnsi="Times New Roman" w:cs="Times New Roman"/>
                <w:color w:val="auto"/>
                <w:highlight w:val="none"/>
              </w:rPr>
              <w:t>。现有项目</w:t>
            </w:r>
            <w:r>
              <w:rPr>
                <w:rFonts w:hint="default" w:ascii="Times New Roman" w:hAnsi="Times New Roman" w:cs="Times New Roman"/>
                <w:color w:val="auto"/>
                <w:kern w:val="0"/>
                <w:highlight w:val="none"/>
              </w:rPr>
              <w:t>主要经营范围</w:t>
            </w:r>
            <w:r>
              <w:rPr>
                <w:rFonts w:hint="eastAsia" w:cs="Times New Roman"/>
                <w:color w:val="auto"/>
                <w:kern w:val="0"/>
                <w:highlight w:val="none"/>
                <w:lang w:val="en-US" w:eastAsia="zh-CN"/>
              </w:rPr>
              <w:t>有</w:t>
            </w:r>
            <w:r>
              <w:rPr>
                <w:rFonts w:hint="eastAsia" w:cs="Times New Roman"/>
                <w:color w:val="auto"/>
                <w:highlight w:val="none"/>
                <w:lang w:val="en-US" w:eastAsia="zh-CN"/>
              </w:rPr>
              <w:t>动物</w:t>
            </w:r>
            <w:r>
              <w:rPr>
                <w:rFonts w:hint="eastAsia" w:ascii="Times New Roman" w:hAnsi="Times New Roman" w:eastAsia="宋体" w:cs="Times New Roman"/>
                <w:color w:val="auto"/>
                <w:highlight w:val="none"/>
              </w:rPr>
              <w:t>疾病预防、诊治</w:t>
            </w:r>
            <w:r>
              <w:rPr>
                <w:rFonts w:hint="eastAsia" w:cs="Times New Roman"/>
                <w:color w:val="auto"/>
                <w:highlight w:val="none"/>
                <w:lang w:val="en-US" w:eastAsia="zh-CN"/>
              </w:rPr>
              <w:t>，宠物美容洗护，</w:t>
            </w:r>
            <w:r>
              <w:rPr>
                <w:rFonts w:hint="default" w:ascii="Times New Roman" w:hAnsi="Times New Roman" w:cs="Times New Roman"/>
                <w:color w:val="auto"/>
                <w:highlight w:val="none"/>
                <w:lang w:val="en-US" w:eastAsia="zh-CN"/>
              </w:rPr>
              <w:t>手术（不含动物颅腔、胸腔和腹腔手术）</w:t>
            </w:r>
            <w:r>
              <w:rPr>
                <w:rFonts w:hint="default" w:ascii="Times New Roman" w:hAnsi="Times New Roman" w:eastAsia="宋体" w:cs="Times New Roman"/>
                <w:color w:val="auto"/>
                <w:highlight w:val="none"/>
                <w:lang w:val="en-US" w:eastAsia="zh-CN"/>
              </w:rPr>
              <w:t>和宠物用品销售等服务</w:t>
            </w:r>
            <w:r>
              <w:rPr>
                <w:rFonts w:hint="eastAsia"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rPr>
              <w:t>属于其他动物诊疗机构，不纳入环境影响评价管理。</w:t>
            </w:r>
          </w:p>
          <w:p w14:paraId="4DE589D2">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w:t>
            </w:r>
            <w:r>
              <w:rPr>
                <w:rFonts w:hint="eastAsia" w:cs="Times New Roman"/>
                <w:color w:val="auto"/>
                <w:highlight w:val="none"/>
                <w:lang w:eastAsia="zh-CN"/>
              </w:rPr>
              <w:t>射线装置</w:t>
            </w:r>
            <w:r>
              <w:rPr>
                <w:rFonts w:hint="default" w:ascii="Times New Roman" w:hAnsi="Times New Roman" w:cs="Times New Roman"/>
                <w:color w:val="auto"/>
                <w:highlight w:val="none"/>
              </w:rPr>
              <w:t>已按照国家有关辐射环境管理规定和环境保护主管部门的要求</w:t>
            </w:r>
            <w:r>
              <w:rPr>
                <w:rFonts w:hint="default" w:ascii="Times New Roman" w:hAnsi="Times New Roman" w:cs="Times New Roman"/>
                <w:color w:val="auto"/>
                <w:highlight w:val="none"/>
                <w:lang w:val="en-US" w:eastAsia="zh-CN"/>
              </w:rPr>
              <w:t>取得辐射安全许可证</w:t>
            </w:r>
            <w:r>
              <w:rPr>
                <w:rFonts w:hint="default" w:ascii="Times New Roman" w:hAnsi="Times New Roman" w:cs="Times New Roman"/>
                <w:color w:val="auto"/>
                <w:highlight w:val="none"/>
              </w:rPr>
              <w:t>（</w:t>
            </w:r>
            <w:r>
              <w:rPr>
                <w:rFonts w:hint="default" w:ascii="Times New Roman" w:hAnsi="Times New Roman" w:eastAsia="宋体" w:cs="Times New Roman"/>
                <w:color w:val="auto"/>
                <w:szCs w:val="24"/>
                <w:highlight w:val="none"/>
                <w:lang w:val="en-US" w:eastAsia="zh-CN"/>
              </w:rPr>
              <w:t>证书编号：闽环辐证</w:t>
            </w:r>
            <w:r>
              <w:rPr>
                <w:rFonts w:hint="eastAsia" w:cs="Times New Roman"/>
                <w:color w:val="auto"/>
                <w:szCs w:val="24"/>
                <w:highlight w:val="none"/>
                <w:lang w:val="en-US" w:eastAsia="zh-CN"/>
              </w:rPr>
              <w:t>[A0590]</w:t>
            </w:r>
            <w:r>
              <w:rPr>
                <w:rFonts w:hint="default" w:ascii="Times New Roman" w:hAnsi="Times New Roman" w:cs="Times New Roman"/>
                <w:color w:val="auto"/>
                <w:highlight w:val="none"/>
              </w:rPr>
              <w:t>）。</w:t>
            </w:r>
          </w:p>
          <w:p w14:paraId="6EE7B8D2">
            <w:pPr>
              <w:pStyle w:val="19"/>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2.8.2 现有项目建设内容</w:t>
            </w:r>
          </w:p>
          <w:p w14:paraId="4CAD36FA">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现有项目建设内容见下表2-7。</w:t>
            </w:r>
          </w:p>
          <w:p w14:paraId="74266EE5">
            <w:pPr>
              <w:pStyle w:val="19"/>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表2-7  现有项目建设内容一览表</w:t>
            </w:r>
          </w:p>
          <w:tbl>
            <w:tblPr>
              <w:tblStyle w:val="50"/>
              <w:tblW w:w="870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52"/>
              <w:gridCol w:w="6915"/>
            </w:tblGrid>
            <w:tr w14:paraId="4235B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42" w:type="dxa"/>
                  <w:vAlign w:val="center"/>
                </w:tcPr>
                <w:p w14:paraId="5CEE7EE9">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工程名称</w:t>
                  </w:r>
                </w:p>
              </w:tc>
              <w:tc>
                <w:tcPr>
                  <w:tcW w:w="7567" w:type="dxa"/>
                  <w:gridSpan w:val="2"/>
                  <w:vAlign w:val="center"/>
                </w:tcPr>
                <w:p w14:paraId="485F0A1C">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主要建设内容</w:t>
                  </w:r>
                </w:p>
              </w:tc>
            </w:tr>
            <w:tr w14:paraId="2CF6F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2" w:type="dxa"/>
                  <w:vMerge w:val="restart"/>
                  <w:vAlign w:val="center"/>
                </w:tcPr>
                <w:p w14:paraId="0FE44635">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主体工程</w:t>
                  </w:r>
                </w:p>
              </w:tc>
              <w:tc>
                <w:tcPr>
                  <w:tcW w:w="652" w:type="dxa"/>
                  <w:vAlign w:val="center"/>
                </w:tcPr>
                <w:p w14:paraId="209282DF">
                  <w:pPr>
                    <w:pStyle w:val="191"/>
                    <w:spacing w:line="240" w:lineRule="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1F</w:t>
                  </w:r>
                </w:p>
              </w:tc>
              <w:tc>
                <w:tcPr>
                  <w:tcW w:w="6915" w:type="dxa"/>
                  <w:vAlign w:val="center"/>
                </w:tcPr>
                <w:p w14:paraId="110D9045">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美容间、</w:t>
                  </w:r>
                  <w:r>
                    <w:rPr>
                      <w:rFonts w:hint="eastAsia" w:ascii="Times New Roman" w:hAnsi="Times New Roman" w:eastAsia="宋体" w:cs="Times New Roman"/>
                      <w:color w:val="auto"/>
                      <w:highlight w:val="none"/>
                      <w:lang w:val="en-US" w:eastAsia="zh-CN"/>
                    </w:rPr>
                    <w:t>洗澡间、</w:t>
                  </w:r>
                  <w:r>
                    <w:rPr>
                      <w:rFonts w:hint="default" w:ascii="Times New Roman" w:hAnsi="Times New Roman" w:eastAsia="宋体" w:cs="Times New Roman"/>
                      <w:color w:val="auto"/>
                      <w:highlight w:val="none"/>
                      <w:lang w:val="en-US" w:eastAsia="zh-CN"/>
                    </w:rPr>
                    <w:t>预防诊室、犬诊室、犬住院部、化验室、特殊药房、猫诊室、DR室、手术室、手术准备间、中央处置区、商品区</w:t>
                  </w:r>
                </w:p>
              </w:tc>
            </w:tr>
            <w:tr w14:paraId="72B54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2" w:type="dxa"/>
                  <w:vMerge w:val="continue"/>
                  <w:vAlign w:val="center"/>
                </w:tcPr>
                <w:p w14:paraId="282D4D4F">
                  <w:pPr>
                    <w:pStyle w:val="191"/>
                    <w:spacing w:line="240" w:lineRule="auto"/>
                    <w:rPr>
                      <w:rFonts w:ascii="Times New Roman" w:hAnsi="Times New Roman" w:cs="Times New Roman"/>
                      <w:color w:val="auto"/>
                      <w:highlight w:val="none"/>
                    </w:rPr>
                  </w:pPr>
                </w:p>
              </w:tc>
              <w:tc>
                <w:tcPr>
                  <w:tcW w:w="652" w:type="dxa"/>
                  <w:vAlign w:val="center"/>
                </w:tcPr>
                <w:p w14:paraId="4602250C">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2F</w:t>
                  </w:r>
                </w:p>
              </w:tc>
              <w:tc>
                <w:tcPr>
                  <w:tcW w:w="6915" w:type="dxa"/>
                  <w:vAlign w:val="center"/>
                </w:tcPr>
                <w:p w14:paraId="29755B6C">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猫住院部、猫寄养、猫洗护、隔离病房、中央处置区</w:t>
                  </w:r>
                </w:p>
              </w:tc>
            </w:tr>
            <w:tr w14:paraId="5697C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2" w:type="dxa"/>
                  <w:vMerge w:val="restart"/>
                  <w:vAlign w:val="center"/>
                </w:tcPr>
                <w:p w14:paraId="7F3EF9DB">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辅助工程</w:t>
                  </w:r>
                </w:p>
              </w:tc>
              <w:tc>
                <w:tcPr>
                  <w:tcW w:w="652" w:type="dxa"/>
                  <w:vAlign w:val="center"/>
                </w:tcPr>
                <w:p w14:paraId="5D795212">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1F</w:t>
                  </w:r>
                </w:p>
              </w:tc>
              <w:tc>
                <w:tcPr>
                  <w:tcW w:w="6915" w:type="dxa"/>
                  <w:vAlign w:val="center"/>
                </w:tcPr>
                <w:p w14:paraId="0788442D">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前厅、等候区</w:t>
                  </w:r>
                </w:p>
              </w:tc>
            </w:tr>
            <w:tr w14:paraId="09D87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2" w:type="dxa"/>
                  <w:vMerge w:val="continue"/>
                  <w:vAlign w:val="center"/>
                </w:tcPr>
                <w:p w14:paraId="6E9A9457">
                  <w:pPr>
                    <w:pStyle w:val="191"/>
                    <w:spacing w:line="240" w:lineRule="auto"/>
                  </w:pPr>
                </w:p>
              </w:tc>
              <w:tc>
                <w:tcPr>
                  <w:tcW w:w="652" w:type="dxa"/>
                  <w:vAlign w:val="center"/>
                </w:tcPr>
                <w:p w14:paraId="1CD765E9">
                  <w:pPr>
                    <w:pStyle w:val="191"/>
                    <w:spacing w:line="240" w:lineRule="auto"/>
                  </w:pPr>
                  <w:r>
                    <w:rPr>
                      <w:rFonts w:hint="eastAsia" w:ascii="Times New Roman" w:hAnsi="Times New Roman" w:eastAsia="宋体" w:cs="Times New Roman"/>
                      <w:color w:val="auto"/>
                      <w:highlight w:val="none"/>
                      <w:lang w:val="en-US" w:eastAsia="zh-CN"/>
                    </w:rPr>
                    <w:t>2F</w:t>
                  </w:r>
                </w:p>
              </w:tc>
              <w:tc>
                <w:tcPr>
                  <w:tcW w:w="6915" w:type="dxa"/>
                  <w:vAlign w:val="center"/>
                </w:tcPr>
                <w:p w14:paraId="3A152E90">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杂物间、储藏间、卫生间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办公室、会议室</w:t>
                  </w:r>
                  <w:r>
                    <w:rPr>
                      <w:rFonts w:hint="eastAsia" w:ascii="Times New Roman" w:hAnsi="Times New Roman" w:eastAsia="宋体" w:cs="Times New Roman"/>
                      <w:color w:val="auto"/>
                      <w:highlight w:val="none"/>
                      <w:lang w:val="en-US" w:eastAsia="zh-CN"/>
                    </w:rPr>
                    <w:t>、危废间</w:t>
                  </w:r>
                  <w:r>
                    <w:rPr>
                      <w:rFonts w:hint="default" w:ascii="Times New Roman" w:hAnsi="Times New Roman" w:eastAsia="宋体" w:cs="Times New Roman"/>
                      <w:color w:val="auto"/>
                      <w:highlight w:val="none"/>
                      <w:lang w:val="en-US" w:eastAsia="zh-CN"/>
                    </w:rPr>
                    <w:t>、更衣室</w:t>
                  </w:r>
                </w:p>
              </w:tc>
            </w:tr>
            <w:tr w14:paraId="0A8D4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Merge w:val="restart"/>
                  <w:vAlign w:val="center"/>
                </w:tcPr>
                <w:p w14:paraId="2606CA94">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652" w:type="dxa"/>
                  <w:vAlign w:val="center"/>
                </w:tcPr>
                <w:p w14:paraId="58B9C4EC">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6915" w:type="dxa"/>
                  <w:vAlign w:val="center"/>
                </w:tcPr>
                <w:p w14:paraId="18B8C868">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市政管网</w:t>
                  </w:r>
                  <w:r>
                    <w:rPr>
                      <w:rFonts w:hint="default" w:ascii="Times New Roman" w:hAnsi="Times New Roman" w:eastAsia="宋体" w:cs="Times New Roman"/>
                      <w:color w:val="auto"/>
                      <w:highlight w:val="none"/>
                    </w:rPr>
                    <w:t>给水</w:t>
                  </w:r>
                </w:p>
              </w:tc>
            </w:tr>
            <w:tr w14:paraId="5C74C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Merge w:val="continue"/>
                  <w:vAlign w:val="center"/>
                </w:tcPr>
                <w:p w14:paraId="7B54987B">
                  <w:pPr>
                    <w:pStyle w:val="191"/>
                    <w:spacing w:line="240" w:lineRule="auto"/>
                    <w:rPr>
                      <w:rFonts w:hint="default" w:ascii="Times New Roman" w:hAnsi="Times New Roman" w:eastAsia="宋体" w:cs="Times New Roman"/>
                      <w:color w:val="auto"/>
                      <w:highlight w:val="none"/>
                    </w:rPr>
                  </w:pPr>
                </w:p>
              </w:tc>
              <w:tc>
                <w:tcPr>
                  <w:tcW w:w="652" w:type="dxa"/>
                  <w:vAlign w:val="center"/>
                </w:tcPr>
                <w:p w14:paraId="689BF1B8">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6915" w:type="dxa"/>
                  <w:vAlign w:val="center"/>
                </w:tcPr>
                <w:p w14:paraId="19F9A586">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r>
            <w:tr w14:paraId="27E6E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1142" w:type="dxa"/>
                  <w:vMerge w:val="restart"/>
                  <w:vAlign w:val="center"/>
                </w:tcPr>
                <w:p w14:paraId="07D2E454">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652" w:type="dxa"/>
                  <w:vAlign w:val="center"/>
                </w:tcPr>
                <w:p w14:paraId="032F42F1">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6915" w:type="dxa"/>
                  <w:vAlign w:val="center"/>
                </w:tcPr>
                <w:p w14:paraId="6D8461B1">
                  <w:pPr>
                    <w:pStyle w:val="191"/>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①诊疗废水经消毒设备消毒排入化粪池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依托小区内原有化粪池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w:t>
                  </w:r>
                  <w:r>
                    <w:rPr>
                      <w:rFonts w:hint="eastAsia" w:ascii="Times New Roman" w:hAnsi="Times New Roman" w:eastAsia="宋体" w:cs="Times New Roman"/>
                      <w:color w:val="auto"/>
                      <w:highlight w:val="none"/>
                      <w:lang w:val="en-US" w:eastAsia="zh-CN"/>
                    </w:rPr>
                    <w:t>后统一</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福清市融元污水处理厂集中处理</w:t>
                  </w:r>
                  <w:r>
                    <w:rPr>
                      <w:rFonts w:hint="default" w:ascii="Times New Roman" w:hAnsi="Times New Roman" w:eastAsia="宋体" w:cs="Times New Roman"/>
                      <w:color w:val="auto"/>
                      <w:highlight w:val="none"/>
                      <w:lang w:eastAsia="zh-CN"/>
                    </w:rPr>
                    <w:t>。</w:t>
                  </w:r>
                </w:p>
                <w:p w14:paraId="282D7A8F">
                  <w:pPr>
                    <w:pStyle w:val="191"/>
                    <w:spacing w:line="240" w:lineRule="auto"/>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sz w:val="21"/>
                      <w:szCs w:val="21"/>
                      <w:highlight w:val="none"/>
                      <w:lang w:val="en-US" w:eastAsia="zh-CN"/>
                    </w:rPr>
                    <w:t>宠物美容废水</w:t>
                  </w:r>
                  <w:r>
                    <w:rPr>
                      <w:rFonts w:hint="default" w:ascii="Times New Roman" w:hAnsi="Times New Roman" w:eastAsia="宋体" w:cs="Times New Roman"/>
                      <w:color w:val="auto"/>
                      <w:highlight w:val="none"/>
                      <w:lang w:eastAsia="zh-CN"/>
                    </w:rPr>
                    <w:t>经消毒设备消毒排入化粪池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依托小区内原有化粪池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w:t>
                  </w:r>
                  <w:r>
                    <w:rPr>
                      <w:rFonts w:hint="eastAsia" w:ascii="Times New Roman" w:hAnsi="Times New Roman" w:eastAsia="宋体" w:cs="Times New Roman"/>
                      <w:color w:val="auto"/>
                      <w:highlight w:val="none"/>
                      <w:lang w:val="en-US" w:eastAsia="zh-CN"/>
                    </w:rPr>
                    <w:t>后统一</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福清市融元污水处理厂集中处理</w:t>
                  </w:r>
                  <w:r>
                    <w:rPr>
                      <w:rFonts w:hint="default" w:ascii="Times New Roman" w:hAnsi="Times New Roman" w:eastAsia="宋体" w:cs="Times New Roman"/>
                      <w:color w:val="auto"/>
                      <w:highlight w:val="none"/>
                      <w:lang w:eastAsia="zh-CN"/>
                    </w:rPr>
                    <w:t>。</w:t>
                  </w:r>
                </w:p>
                <w:p w14:paraId="34E59D61">
                  <w:pPr>
                    <w:pStyle w:val="19"/>
                    <w:spacing w:after="0"/>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③生活污水</w:t>
                  </w:r>
                  <w:r>
                    <w:rPr>
                      <w:rFonts w:hint="default" w:ascii="Times New Roman" w:hAnsi="Times New Roman"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default" w:ascii="Times New Roman" w:hAnsi="Times New Roman" w:eastAsia="宋体" w:cs="Times New Roman"/>
                      <w:color w:val="auto"/>
                      <w:sz w:val="21"/>
                      <w:szCs w:val="21"/>
                      <w:highlight w:val="none"/>
                      <w:lang w:val="en-US" w:eastAsia="zh-CN"/>
                    </w:rPr>
                    <w:t>依托小区内原有化粪池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预处理达到纳管标准后统一纳入</w:t>
                  </w:r>
                  <w:r>
                    <w:rPr>
                      <w:rFonts w:hint="default" w:ascii="Times New Roman" w:hAnsi="Times New Roman" w:eastAsia="宋体" w:cs="Times New Roman"/>
                      <w:color w:val="auto"/>
                      <w:sz w:val="21"/>
                      <w:szCs w:val="21"/>
                      <w:highlight w:val="none"/>
                      <w:lang w:eastAsia="zh-CN"/>
                    </w:rPr>
                    <w:t>市政污水管网</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val="en-US" w:eastAsia="zh-CN"/>
                    </w:rPr>
                    <w:t>福清市融元污水处理厂</w:t>
                  </w:r>
                  <w:r>
                    <w:rPr>
                      <w:rFonts w:hint="default" w:ascii="Times New Roman" w:hAnsi="Times New Roman" w:eastAsia="宋体" w:cs="Times New Roman"/>
                      <w:color w:val="auto"/>
                      <w:sz w:val="21"/>
                      <w:szCs w:val="21"/>
                      <w:highlight w:val="none"/>
                      <w:lang w:val="en-US" w:eastAsia="zh-CN"/>
                    </w:rPr>
                    <w:t>集中处理</w:t>
                  </w:r>
                  <w:r>
                    <w:rPr>
                      <w:rFonts w:hint="default" w:ascii="Times New Roman" w:hAnsi="Times New Roman" w:eastAsia="宋体" w:cs="Times New Roman"/>
                      <w:color w:val="auto"/>
                      <w:sz w:val="21"/>
                      <w:szCs w:val="21"/>
                      <w:highlight w:val="none"/>
                      <w:lang w:eastAsia="zh-CN"/>
                    </w:rPr>
                    <w:t>。</w:t>
                  </w:r>
                </w:p>
              </w:tc>
            </w:tr>
            <w:tr w14:paraId="2E9CC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42" w:type="dxa"/>
                  <w:vMerge w:val="continue"/>
                  <w:vAlign w:val="center"/>
                </w:tcPr>
                <w:p w14:paraId="69746E27">
                  <w:pPr>
                    <w:pStyle w:val="191"/>
                    <w:spacing w:line="240" w:lineRule="auto"/>
                    <w:rPr>
                      <w:rFonts w:hint="default" w:ascii="Times New Roman" w:hAnsi="Times New Roman" w:eastAsia="宋体" w:cs="Times New Roman"/>
                      <w:color w:val="auto"/>
                      <w:highlight w:val="none"/>
                    </w:rPr>
                  </w:pPr>
                </w:p>
              </w:tc>
              <w:tc>
                <w:tcPr>
                  <w:tcW w:w="652" w:type="dxa"/>
                  <w:vAlign w:val="center"/>
                </w:tcPr>
                <w:p w14:paraId="7F03C14B">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6915" w:type="dxa"/>
                  <w:vAlign w:val="center"/>
                </w:tcPr>
                <w:p w14:paraId="21FDFFAA">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合理布局、</w:t>
                  </w:r>
                  <w:r>
                    <w:rPr>
                      <w:rFonts w:hint="default" w:ascii="Times New Roman" w:hAnsi="Times New Roman" w:eastAsia="宋体" w:cs="Times New Roman"/>
                      <w:color w:val="auto"/>
                      <w:highlight w:val="none"/>
                    </w:rPr>
                    <w:t>墙体隔声</w:t>
                  </w:r>
                </w:p>
              </w:tc>
            </w:tr>
            <w:tr w14:paraId="7390D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42" w:type="dxa"/>
                  <w:vMerge w:val="continue"/>
                  <w:vAlign w:val="center"/>
                </w:tcPr>
                <w:p w14:paraId="5CF09701">
                  <w:pPr>
                    <w:pStyle w:val="191"/>
                    <w:spacing w:line="240" w:lineRule="auto"/>
                    <w:rPr>
                      <w:rFonts w:hint="default" w:ascii="Times New Roman" w:hAnsi="Times New Roman" w:eastAsia="宋体" w:cs="Times New Roman"/>
                      <w:color w:val="auto"/>
                      <w:highlight w:val="none"/>
                    </w:rPr>
                  </w:pPr>
                </w:p>
              </w:tc>
              <w:tc>
                <w:tcPr>
                  <w:tcW w:w="652" w:type="dxa"/>
                  <w:vAlign w:val="center"/>
                </w:tcPr>
                <w:p w14:paraId="4ABD05A2">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6915" w:type="dxa"/>
                  <w:vAlign w:val="center"/>
                </w:tcPr>
                <w:p w14:paraId="09822A4E">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打开新风系统加强通风换气、喷洒除臭剂等方式，防治恶臭污染。</w:t>
                  </w:r>
                </w:p>
              </w:tc>
            </w:tr>
            <w:tr w14:paraId="1186D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1142" w:type="dxa"/>
                  <w:vMerge w:val="continue"/>
                  <w:vAlign w:val="center"/>
                </w:tcPr>
                <w:p w14:paraId="25CC3EB4">
                  <w:pPr>
                    <w:pStyle w:val="191"/>
                    <w:spacing w:line="240" w:lineRule="auto"/>
                    <w:rPr>
                      <w:rFonts w:hint="default" w:ascii="Times New Roman" w:hAnsi="Times New Roman" w:eastAsia="宋体" w:cs="Times New Roman"/>
                      <w:color w:val="auto"/>
                      <w:highlight w:val="none"/>
                    </w:rPr>
                  </w:pPr>
                </w:p>
              </w:tc>
              <w:tc>
                <w:tcPr>
                  <w:tcW w:w="652" w:type="dxa"/>
                  <w:vAlign w:val="center"/>
                </w:tcPr>
                <w:p w14:paraId="7142ECE1">
                  <w:pPr>
                    <w:pStyle w:val="191"/>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6915" w:type="dxa"/>
                  <w:vAlign w:val="center"/>
                </w:tcPr>
                <w:p w14:paraId="047B2DA1">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14:paraId="02992ED3">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val="en-US" w:eastAsia="zh-CN"/>
                    </w:rPr>
                    <w:t>医院设置一间危废暂存间（2m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），各类</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使用医废垃圾桶分类收集并暂存危废间，</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highlight w:val="none"/>
                      <w:lang w:eastAsia="zh-CN"/>
                    </w:rPr>
                    <w:t>定期清运。</w:t>
                  </w:r>
                </w:p>
                <w:p w14:paraId="03F9E662">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③</w:t>
                  </w:r>
                  <w:r>
                    <w:rPr>
                      <w:rFonts w:hint="default" w:ascii="Times New Roman" w:hAnsi="Times New Roman" w:eastAsia="宋体" w:cs="Times New Roman"/>
                      <w:color w:val="auto"/>
                      <w:kern w:val="0"/>
                      <w:sz w:val="21"/>
                      <w:szCs w:val="21"/>
                      <w:highlight w:val="none"/>
                      <w:lang w:eastAsia="zh-CN"/>
                    </w:rPr>
                    <w:t>化验废液通过与设备连接的塑料管引入到一次性全封闭塑料袋</w:t>
                  </w:r>
                  <w:r>
                    <w:rPr>
                      <w:rFonts w:hint="default" w:ascii="Times New Roman" w:hAnsi="Times New Roman" w:eastAsia="宋体" w:cs="Times New Roman"/>
                      <w:color w:val="auto"/>
                      <w:kern w:val="0"/>
                      <w:sz w:val="21"/>
                      <w:szCs w:val="21"/>
                      <w:highlight w:val="none"/>
                      <w:lang w:val="en-US" w:eastAsia="zh-CN"/>
                    </w:rPr>
                    <w:t>，收集后</w:t>
                  </w:r>
                  <w:r>
                    <w:rPr>
                      <w:rFonts w:hint="default" w:ascii="Times New Roman" w:hAnsi="Times New Roman" w:eastAsia="宋体" w:cs="Times New Roman"/>
                      <w:color w:val="auto"/>
                      <w:highlight w:val="none"/>
                      <w:lang w:val="en-US" w:eastAsia="zh-CN"/>
                    </w:rPr>
                    <w:t>当危废处理，</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highlight w:val="none"/>
                      <w:lang w:eastAsia="zh-CN"/>
                    </w:rPr>
                    <w:t>定期清运。</w:t>
                  </w:r>
                </w:p>
                <w:p w14:paraId="4495C08D">
                  <w:pPr>
                    <w:pStyle w:val="191"/>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④消毒设备</w:t>
                  </w:r>
                  <w:r>
                    <w:rPr>
                      <w:rFonts w:hint="default" w:ascii="Times New Roman" w:hAnsi="Times New Roman" w:eastAsia="宋体" w:cs="Times New Roman"/>
                      <w:color w:val="auto"/>
                      <w:highlight w:val="none"/>
                      <w:lang w:val="en-US" w:eastAsia="zh-CN"/>
                    </w:rPr>
                    <w:t>消毒</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lang w:val="en-US" w:eastAsia="zh-CN"/>
                    </w:rPr>
                    <w:t>和宠物美容废水</w:t>
                  </w:r>
                  <w:r>
                    <w:rPr>
                      <w:rFonts w:hint="default" w:ascii="Times New Roman" w:hAnsi="Times New Roman" w:eastAsia="宋体" w:cs="Times New Roman"/>
                      <w:color w:val="auto"/>
                      <w:highlight w:val="none"/>
                    </w:rPr>
                    <w:t>产生的污泥</w:t>
                  </w:r>
                  <w:r>
                    <w:rPr>
                      <w:rFonts w:hint="default" w:ascii="Times New Roman" w:hAnsi="Times New Roman" w:eastAsia="宋体" w:cs="Times New Roman"/>
                      <w:color w:val="auto"/>
                      <w:kern w:val="0"/>
                      <w:highlight w:val="none"/>
                    </w:rPr>
                    <w:t>每</w:t>
                  </w:r>
                  <w:r>
                    <w:rPr>
                      <w:rFonts w:hint="default" w:ascii="Times New Roman" w:hAnsi="Times New Roman" w:eastAsia="宋体" w:cs="Times New Roman"/>
                      <w:color w:val="auto"/>
                      <w:kern w:val="0"/>
                      <w:highlight w:val="none"/>
                      <w:lang w:val="en-US" w:eastAsia="zh-CN"/>
                    </w:rPr>
                    <w:t>10~15天</w:t>
                  </w:r>
                  <w:r>
                    <w:rPr>
                      <w:rFonts w:hint="default" w:ascii="Times New Roman" w:hAnsi="Times New Roman" w:eastAsia="宋体" w:cs="Times New Roman"/>
                      <w:color w:val="auto"/>
                      <w:kern w:val="0"/>
                      <w:highlight w:val="none"/>
                    </w:rPr>
                    <w:t>清掏一次，</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highlight w:val="none"/>
                    </w:rPr>
                    <w:t>定期清运。</w:t>
                  </w:r>
                </w:p>
                <w:p w14:paraId="70C567B5">
                  <w:pPr>
                    <w:pStyle w:val="19"/>
                    <w:rPr>
                      <w:rFonts w:hint="default"/>
                    </w:rPr>
                  </w:pPr>
                  <w:r>
                    <w:rPr>
                      <w:rFonts w:hint="eastAsia" w:ascii="宋体" w:hAnsi="宋体" w:eastAsia="宋体" w:cs="宋体"/>
                      <w:color w:val="auto"/>
                      <w:kern w:val="0"/>
                      <w:sz w:val="21"/>
                      <w:szCs w:val="21"/>
                      <w:highlight w:val="none"/>
                    </w:rPr>
                    <w:t>⑤宠物</w:t>
                  </w:r>
                  <w:r>
                    <w:rPr>
                      <w:rFonts w:hint="eastAsia" w:ascii="宋体" w:hAnsi="宋体" w:eastAsia="宋体" w:cs="宋体"/>
                      <w:color w:val="auto"/>
                      <w:kern w:val="0"/>
                      <w:sz w:val="21"/>
                      <w:szCs w:val="21"/>
                      <w:highlight w:val="none"/>
                      <w:lang w:val="en-US" w:eastAsia="zh-CN"/>
                    </w:rPr>
                    <w:t>排泄物</w:t>
                  </w:r>
                  <w:r>
                    <w:rPr>
                      <w:rFonts w:hint="eastAsia" w:ascii="宋体" w:hAnsi="宋体" w:eastAsia="宋体" w:cs="宋体"/>
                      <w:color w:val="auto"/>
                      <w:kern w:val="0"/>
                      <w:sz w:val="21"/>
                      <w:szCs w:val="21"/>
                      <w:highlight w:val="none"/>
                    </w:rPr>
                    <w:t>消毒后</w:t>
                  </w:r>
                  <w:r>
                    <w:rPr>
                      <w:rFonts w:hint="eastAsia" w:ascii="宋体" w:hAnsi="宋体" w:eastAsia="宋体" w:cs="宋体"/>
                      <w:color w:val="auto"/>
                      <w:kern w:val="0"/>
                      <w:sz w:val="21"/>
                      <w:szCs w:val="21"/>
                      <w:highlight w:val="none"/>
                      <w:lang w:val="en-US" w:eastAsia="zh-CN"/>
                    </w:rPr>
                    <w:t>通过专用</w:t>
                  </w:r>
                  <w:r>
                    <w:rPr>
                      <w:rFonts w:hint="eastAsia" w:ascii="宋体" w:hAnsi="宋体" w:eastAsia="宋体" w:cs="宋体"/>
                      <w:color w:val="auto"/>
                      <w:kern w:val="0"/>
                      <w:sz w:val="21"/>
                      <w:szCs w:val="21"/>
                      <w:highlight w:val="none"/>
                    </w:rPr>
                    <w:t>池</w:t>
                  </w:r>
                  <w:r>
                    <w:rPr>
                      <w:rFonts w:hint="eastAsia" w:ascii="宋体" w:hAnsi="宋体" w:eastAsia="宋体" w:cs="宋体"/>
                      <w:color w:val="auto"/>
                      <w:kern w:val="0"/>
                      <w:sz w:val="21"/>
                      <w:szCs w:val="21"/>
                      <w:highlight w:val="none"/>
                      <w:lang w:val="en-US" w:eastAsia="zh-CN"/>
                    </w:rPr>
                    <w:t>排入化粪池</w:t>
                  </w:r>
                  <w:r>
                    <w:rPr>
                      <w:rFonts w:hint="eastAsia" w:ascii="宋体" w:hAnsi="宋体" w:eastAsia="宋体" w:cs="宋体"/>
                      <w:color w:val="auto"/>
                      <w:kern w:val="0"/>
                      <w:sz w:val="21"/>
                      <w:szCs w:val="21"/>
                      <w:highlight w:val="none"/>
                    </w:rPr>
                    <w:t>处理</w:t>
                  </w:r>
                  <w:r>
                    <w:rPr>
                      <w:rFonts w:hint="eastAsia" w:ascii="宋体" w:hAnsi="宋体" w:eastAsia="宋体" w:cs="宋体"/>
                      <w:color w:val="auto"/>
                      <w:kern w:val="0"/>
                      <w:sz w:val="21"/>
                      <w:szCs w:val="21"/>
                      <w:highlight w:val="none"/>
                      <w:lang w:eastAsia="zh-CN"/>
                    </w:rPr>
                    <w:t>。</w:t>
                  </w:r>
                </w:p>
              </w:tc>
            </w:tr>
          </w:tbl>
          <w:p w14:paraId="3969ACF8">
            <w:pPr>
              <w:pStyle w:val="12"/>
              <w:rPr>
                <w:rFonts w:hint="default"/>
              </w:rPr>
            </w:pPr>
          </w:p>
          <w:p w14:paraId="21A76432">
            <w:pPr>
              <w:pStyle w:val="19"/>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2.8.3 现有项目</w:t>
            </w:r>
            <w:r>
              <w:rPr>
                <w:rFonts w:hint="eastAsia" w:cs="Times New Roman"/>
                <w:b/>
                <w:bCs/>
                <w:color w:val="auto"/>
                <w:highlight w:val="none"/>
                <w:lang w:val="en-US" w:eastAsia="zh-CN"/>
              </w:rPr>
              <w:t>诊疗</w:t>
            </w:r>
            <w:r>
              <w:rPr>
                <w:rFonts w:hint="default" w:ascii="Times New Roman" w:hAnsi="Times New Roman" w:cs="Times New Roman"/>
                <w:b/>
                <w:bCs/>
                <w:color w:val="auto"/>
                <w:highlight w:val="none"/>
              </w:rPr>
              <w:t>设备情况</w:t>
            </w:r>
          </w:p>
          <w:p w14:paraId="1DCBBFB4">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根据建设单位提供资料，</w:t>
            </w:r>
            <w:r>
              <w:rPr>
                <w:rFonts w:hint="eastAsia" w:cs="Times New Roman"/>
                <w:color w:val="auto"/>
                <w:highlight w:val="none"/>
                <w:lang w:val="en-US" w:eastAsia="zh-CN"/>
              </w:rPr>
              <w:t>诊疗场所</w:t>
            </w:r>
            <w:r>
              <w:rPr>
                <w:rFonts w:hint="default" w:ascii="Times New Roman" w:hAnsi="Times New Roman" w:cs="Times New Roman"/>
                <w:color w:val="auto"/>
                <w:highlight w:val="none"/>
              </w:rPr>
              <w:t>现有</w:t>
            </w:r>
            <w:r>
              <w:rPr>
                <w:rFonts w:hint="eastAsia" w:cs="Times New Roman"/>
                <w:color w:val="auto"/>
                <w:highlight w:val="none"/>
                <w:lang w:eastAsia="zh-CN"/>
              </w:rPr>
              <w:t>诊疗设备</w:t>
            </w:r>
            <w:r>
              <w:rPr>
                <w:rFonts w:hint="default" w:ascii="Times New Roman" w:hAnsi="Times New Roman" w:cs="Times New Roman"/>
                <w:color w:val="auto"/>
                <w:highlight w:val="none"/>
              </w:rPr>
              <w:t>情况见表2-8。</w:t>
            </w:r>
          </w:p>
          <w:p w14:paraId="3616C319">
            <w:pPr>
              <w:pStyle w:val="19"/>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表2-8  现有项目</w:t>
            </w:r>
            <w:r>
              <w:rPr>
                <w:rFonts w:hint="eastAsia" w:cs="Times New Roman"/>
                <w:b/>
                <w:bCs/>
                <w:color w:val="auto"/>
                <w:highlight w:val="none"/>
                <w:lang w:val="en-US" w:eastAsia="zh-CN"/>
              </w:rPr>
              <w:t>诊疗设备</w:t>
            </w:r>
            <w:r>
              <w:rPr>
                <w:rFonts w:hint="default" w:ascii="Times New Roman" w:hAnsi="Times New Roman" w:cs="Times New Roman"/>
                <w:b/>
                <w:bCs/>
                <w:color w:val="auto"/>
                <w:highlight w:val="none"/>
              </w:rPr>
              <w:t>情况一览表</w:t>
            </w:r>
          </w:p>
          <w:tbl>
            <w:tblPr>
              <w:tblStyle w:val="50"/>
              <w:tblW w:w="482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10"/>
              <w:gridCol w:w="4256"/>
              <w:gridCol w:w="759"/>
              <w:gridCol w:w="1793"/>
            </w:tblGrid>
            <w:tr w14:paraId="54FB9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center"/>
                </w:tcPr>
                <w:p w14:paraId="3431A8B2">
                  <w:pPr>
                    <w:widowControl/>
                    <w:adjustRightInd w:val="0"/>
                    <w:snapToGrid w:val="0"/>
                    <w:jc w:val="center"/>
                    <w:textAlignment w:val="center"/>
                    <w:rPr>
                      <w:rStyle w:val="486"/>
                      <w:rFonts w:hint="default" w:ascii="Times New Roman" w:hAnsi="Times New Roman" w:eastAsia="宋体"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设备名称</w:t>
                  </w:r>
                </w:p>
              </w:tc>
              <w:tc>
                <w:tcPr>
                  <w:tcW w:w="2441" w:type="pct"/>
                  <w:vAlign w:val="center"/>
                </w:tcPr>
                <w:p w14:paraId="2C062636">
                  <w:pPr>
                    <w:widowControl/>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设备型号</w:t>
                  </w:r>
                </w:p>
              </w:tc>
              <w:tc>
                <w:tcPr>
                  <w:tcW w:w="435" w:type="pct"/>
                  <w:vAlign w:val="center"/>
                </w:tcPr>
                <w:p w14:paraId="0EC0A589">
                  <w:pPr>
                    <w:widowControl/>
                    <w:adjustRightInd w:val="0"/>
                    <w:snapToGrid w:val="0"/>
                    <w:jc w:val="center"/>
                    <w:textAlignment w:val="center"/>
                    <w:rPr>
                      <w:rStyle w:val="486"/>
                      <w:rFonts w:hint="eastAsia" w:ascii="宋体" w:hAnsi="宋体" w:eastAsia="宋体" w:cs="宋体"/>
                      <w:color w:val="auto"/>
                      <w:sz w:val="21"/>
                      <w:szCs w:val="21"/>
                      <w:highlight w:val="none"/>
                    </w:rPr>
                  </w:pPr>
                  <w:r>
                    <w:rPr>
                      <w:rStyle w:val="486"/>
                      <w:rFonts w:hint="eastAsia" w:ascii="宋体" w:hAnsi="宋体" w:eastAsia="宋体" w:cs="宋体"/>
                      <w:color w:val="auto"/>
                      <w:sz w:val="21"/>
                      <w:szCs w:val="21"/>
                      <w:highlight w:val="none"/>
                    </w:rPr>
                    <w:t>数量（台）</w:t>
                  </w:r>
                </w:p>
              </w:tc>
              <w:tc>
                <w:tcPr>
                  <w:tcW w:w="1028" w:type="pct"/>
                  <w:vAlign w:val="center"/>
                </w:tcPr>
                <w:p w14:paraId="7473167C">
                  <w:pPr>
                    <w:widowControl/>
                    <w:adjustRightInd w:val="0"/>
                    <w:snapToGrid w:val="0"/>
                    <w:jc w:val="center"/>
                    <w:textAlignment w:val="center"/>
                    <w:rPr>
                      <w:rStyle w:val="486"/>
                      <w:rFonts w:hint="eastAsia" w:ascii="宋体" w:hAnsi="宋体" w:eastAsia="宋体" w:cs="宋体"/>
                      <w:color w:val="auto"/>
                      <w:sz w:val="21"/>
                      <w:szCs w:val="21"/>
                      <w:highlight w:val="none"/>
                      <w:lang w:val="en-US" w:eastAsia="zh-CN"/>
                    </w:rPr>
                  </w:pPr>
                  <w:r>
                    <w:rPr>
                      <w:rStyle w:val="486"/>
                      <w:rFonts w:hint="eastAsia" w:ascii="宋体" w:hAnsi="宋体" w:eastAsia="宋体" w:cs="宋体"/>
                      <w:color w:val="auto"/>
                      <w:sz w:val="21"/>
                      <w:szCs w:val="21"/>
                      <w:highlight w:val="none"/>
                      <w:lang w:val="en-US" w:eastAsia="zh-CN"/>
                    </w:rPr>
                    <w:t>存放位置</w:t>
                  </w:r>
                </w:p>
              </w:tc>
            </w:tr>
            <w:tr w14:paraId="7DBEC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5" w:type="pct"/>
                  <w:vAlign w:val="top"/>
                </w:tcPr>
                <w:p w14:paraId="642111E9">
                  <w:pPr>
                    <w:keepNext w:val="0"/>
                    <w:keepLines w:val="0"/>
                    <w:widowControl/>
                    <w:suppressLineNumbers w:val="0"/>
                    <w:spacing w:beforeLines="0"/>
                    <w:jc w:val="center"/>
                    <w:textAlignment w:val="top"/>
                    <w:rPr>
                      <w:rStyle w:val="48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显微镜</w:t>
                  </w:r>
                </w:p>
              </w:tc>
              <w:tc>
                <w:tcPr>
                  <w:tcW w:w="2441" w:type="pct"/>
                  <w:shd w:val="clear" w:color="auto" w:fill="auto"/>
                  <w:vAlign w:val="center"/>
                </w:tcPr>
                <w:p w14:paraId="31D229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DM500</w:t>
                  </w:r>
                </w:p>
              </w:tc>
              <w:tc>
                <w:tcPr>
                  <w:tcW w:w="435" w:type="pct"/>
                  <w:shd w:val="clear" w:color="auto" w:fill="auto"/>
                  <w:vAlign w:val="center"/>
                </w:tcPr>
                <w:p w14:paraId="2799077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vMerge w:val="restart"/>
                  <w:shd w:val="clear" w:color="auto" w:fill="auto"/>
                  <w:vAlign w:val="center"/>
                </w:tcPr>
                <w:p w14:paraId="3C95A8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化验室</w:t>
                  </w:r>
                </w:p>
              </w:tc>
            </w:tr>
            <w:tr w14:paraId="05092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1095" w:type="pct"/>
                  <w:vAlign w:val="top"/>
                </w:tcPr>
                <w:p w14:paraId="34D4DEF9">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离心机</w:t>
                  </w:r>
                </w:p>
              </w:tc>
              <w:tc>
                <w:tcPr>
                  <w:tcW w:w="2441" w:type="pct"/>
                  <w:shd w:val="clear" w:color="auto" w:fill="auto"/>
                  <w:vAlign w:val="center"/>
                </w:tcPr>
                <w:p w14:paraId="1D173D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P82S</w:t>
                  </w:r>
                </w:p>
              </w:tc>
              <w:tc>
                <w:tcPr>
                  <w:tcW w:w="435" w:type="pct"/>
                  <w:shd w:val="clear" w:color="auto" w:fill="auto"/>
                  <w:vAlign w:val="center"/>
                </w:tcPr>
                <w:p w14:paraId="7DCAC10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028" w:type="pct"/>
                  <w:vMerge w:val="continue"/>
                  <w:shd w:val="clear" w:color="auto" w:fill="auto"/>
                  <w:vAlign w:val="center"/>
                </w:tcPr>
                <w:p w14:paraId="5804A0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7BBD4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2AD21270">
                  <w:pPr>
                    <w:keepNext w:val="0"/>
                    <w:keepLines w:val="0"/>
                    <w:pageBreakBefore w:val="0"/>
                    <w:widowControl/>
                    <w:suppressLineNumbers w:val="0"/>
                    <w:kinsoku/>
                    <w:wordWrap/>
                    <w:overflowPunct/>
                    <w:topLinePunct w:val="0"/>
                    <w:autoSpaceDE/>
                    <w:autoSpaceDN/>
                    <w:bidi w:val="0"/>
                    <w:adjustRightInd/>
                    <w:snapToGrid/>
                    <w:jc w:val="center"/>
                    <w:textAlignment w:val="top"/>
                    <w:rPr>
                      <w:rStyle w:val="486"/>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全自动生化仪</w:t>
                  </w:r>
                </w:p>
              </w:tc>
              <w:tc>
                <w:tcPr>
                  <w:tcW w:w="2441" w:type="pct"/>
                  <w:shd w:val="clear" w:color="auto" w:fill="auto"/>
                  <w:vAlign w:val="center"/>
                </w:tcPr>
                <w:p w14:paraId="222FCF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SMT-120V斯玛特/IDEXXCatalystOne爱德士</w:t>
                  </w:r>
                </w:p>
              </w:tc>
              <w:tc>
                <w:tcPr>
                  <w:tcW w:w="435" w:type="pct"/>
                  <w:shd w:val="clear" w:color="auto" w:fill="auto"/>
                  <w:vAlign w:val="center"/>
                </w:tcPr>
                <w:p w14:paraId="2F13BA9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028" w:type="pct"/>
                  <w:vMerge w:val="continue"/>
                  <w:shd w:val="clear" w:color="auto" w:fill="auto"/>
                  <w:vAlign w:val="center"/>
                </w:tcPr>
                <w:p w14:paraId="1947DD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B9B5C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1435B22A">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疫苗冰箱</w:t>
                  </w:r>
                </w:p>
              </w:tc>
              <w:tc>
                <w:tcPr>
                  <w:tcW w:w="2441" w:type="pct"/>
                  <w:shd w:val="clear" w:color="auto" w:fill="auto"/>
                  <w:vAlign w:val="center"/>
                </w:tcPr>
                <w:p w14:paraId="402CC8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BCD-536WKSIHY</w:t>
                  </w:r>
                </w:p>
              </w:tc>
              <w:tc>
                <w:tcPr>
                  <w:tcW w:w="435" w:type="pct"/>
                  <w:shd w:val="clear" w:color="auto" w:fill="auto"/>
                  <w:vAlign w:val="center"/>
                </w:tcPr>
                <w:p w14:paraId="31332C3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009449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75590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5" w:type="pct"/>
                  <w:vAlign w:val="top"/>
                </w:tcPr>
                <w:p w14:paraId="3628056F">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免疫荧光检测仪</w:t>
                  </w:r>
                </w:p>
              </w:tc>
              <w:tc>
                <w:tcPr>
                  <w:tcW w:w="2441" w:type="pct"/>
                  <w:shd w:val="clear" w:color="auto" w:fill="auto"/>
                  <w:vAlign w:val="center"/>
                </w:tcPr>
                <w:p w14:paraId="7C1E9F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基灵Fidx</w:t>
                  </w:r>
                </w:p>
              </w:tc>
              <w:tc>
                <w:tcPr>
                  <w:tcW w:w="435" w:type="pct"/>
                  <w:shd w:val="clear" w:color="auto" w:fill="auto"/>
                  <w:vAlign w:val="center"/>
                </w:tcPr>
                <w:p w14:paraId="4DD479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091128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auto"/>
                      <w:kern w:val="0"/>
                      <w:sz w:val="21"/>
                      <w:szCs w:val="21"/>
                      <w:highlight w:val="none"/>
                      <w:u w:val="none"/>
                      <w:lang w:val="en-US" w:eastAsia="zh-CN" w:bidi="ar"/>
                    </w:rPr>
                  </w:pPr>
                </w:p>
              </w:tc>
            </w:tr>
            <w:tr w14:paraId="79986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641332E7">
                  <w:pPr>
                    <w:keepNext w:val="0"/>
                    <w:keepLines w:val="0"/>
                    <w:widowControl/>
                    <w:suppressLineNumbers w:val="0"/>
                    <w:jc w:val="center"/>
                    <w:textAlignment w:val="top"/>
                    <w:rPr>
                      <w:rStyle w:val="486"/>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血凝检测仪</w:t>
                  </w:r>
                </w:p>
              </w:tc>
              <w:tc>
                <w:tcPr>
                  <w:tcW w:w="2441" w:type="pct"/>
                  <w:shd w:val="clear" w:color="auto" w:fill="auto"/>
                  <w:vAlign w:val="center"/>
                </w:tcPr>
                <w:p w14:paraId="1BA46E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SMT-120V斯玛特</w:t>
                  </w:r>
                </w:p>
              </w:tc>
              <w:tc>
                <w:tcPr>
                  <w:tcW w:w="435" w:type="pct"/>
                  <w:shd w:val="clear" w:color="auto" w:fill="auto"/>
                  <w:vAlign w:val="center"/>
                </w:tcPr>
                <w:p w14:paraId="5383603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59161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88F2A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6DF38636">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血常规</w:t>
                  </w:r>
                </w:p>
              </w:tc>
              <w:tc>
                <w:tcPr>
                  <w:tcW w:w="2441" w:type="pct"/>
                  <w:shd w:val="clear" w:color="auto" w:fill="auto"/>
                  <w:vAlign w:val="center"/>
                </w:tcPr>
                <w:p w14:paraId="4FA8B1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LinCyto</w:t>
                  </w:r>
                </w:p>
              </w:tc>
              <w:tc>
                <w:tcPr>
                  <w:tcW w:w="435" w:type="pct"/>
                  <w:shd w:val="clear" w:color="auto" w:fill="auto"/>
                  <w:vAlign w:val="center"/>
                </w:tcPr>
                <w:p w14:paraId="68AB140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072119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3846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593CB5E1">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b超</w:t>
                  </w:r>
                </w:p>
              </w:tc>
              <w:tc>
                <w:tcPr>
                  <w:tcW w:w="2441" w:type="pct"/>
                  <w:shd w:val="clear" w:color="auto" w:fill="auto"/>
                  <w:vAlign w:val="center"/>
                </w:tcPr>
                <w:p w14:paraId="454AD5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Ventus7S</w:t>
                  </w:r>
                </w:p>
              </w:tc>
              <w:tc>
                <w:tcPr>
                  <w:tcW w:w="435" w:type="pct"/>
                  <w:shd w:val="clear" w:color="auto" w:fill="auto"/>
                  <w:vAlign w:val="center"/>
                </w:tcPr>
                <w:p w14:paraId="7753ADC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vMerge w:val="restart"/>
                  <w:shd w:val="clear" w:color="auto" w:fill="auto"/>
                  <w:vAlign w:val="center"/>
                </w:tcPr>
                <w:p w14:paraId="71E7F0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诊室</w:t>
                  </w:r>
                </w:p>
              </w:tc>
            </w:tr>
            <w:tr w14:paraId="1BAF56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439CDDD2">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听诊器</w:t>
                  </w:r>
                </w:p>
              </w:tc>
              <w:tc>
                <w:tcPr>
                  <w:tcW w:w="2441" w:type="pct"/>
                  <w:shd w:val="clear" w:color="auto" w:fill="auto"/>
                  <w:vAlign w:val="center"/>
                </w:tcPr>
                <w:p w14:paraId="0321F5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HM-250</w:t>
                  </w:r>
                </w:p>
              </w:tc>
              <w:tc>
                <w:tcPr>
                  <w:tcW w:w="435" w:type="pct"/>
                  <w:shd w:val="clear" w:color="auto" w:fill="auto"/>
                  <w:vAlign w:val="center"/>
                </w:tcPr>
                <w:p w14:paraId="79CAB32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028" w:type="pct"/>
                  <w:vMerge w:val="continue"/>
                  <w:shd w:val="clear" w:color="auto" w:fill="auto"/>
                  <w:vAlign w:val="center"/>
                </w:tcPr>
                <w:p w14:paraId="6DF48BD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318000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95" w:type="pct"/>
                  <w:vAlign w:val="top"/>
                </w:tcPr>
                <w:p w14:paraId="71904AE4">
                  <w:pPr>
                    <w:keepNext w:val="0"/>
                    <w:keepLines w:val="0"/>
                    <w:widowControl/>
                    <w:suppressLineNumbers w:val="0"/>
                    <w:jc w:val="center"/>
                    <w:textAlignment w:val="top"/>
                    <w:rPr>
                      <w:rStyle w:val="486"/>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兽用X射线机</w:t>
                  </w:r>
                </w:p>
              </w:tc>
              <w:tc>
                <w:tcPr>
                  <w:tcW w:w="2441" w:type="pct"/>
                  <w:shd w:val="clear" w:color="auto" w:fill="auto"/>
                  <w:vAlign w:val="center"/>
                </w:tcPr>
                <w:p w14:paraId="74EC59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E7242X</w:t>
                  </w:r>
                </w:p>
              </w:tc>
              <w:tc>
                <w:tcPr>
                  <w:tcW w:w="435" w:type="pct"/>
                  <w:shd w:val="clear" w:color="auto" w:fill="auto"/>
                  <w:vAlign w:val="center"/>
                </w:tcPr>
                <w:p w14:paraId="1F4B92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shd w:val="clear" w:color="auto" w:fill="auto"/>
                  <w:vAlign w:val="center"/>
                </w:tcPr>
                <w:p w14:paraId="09E4B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DR室</w:t>
                  </w:r>
                </w:p>
              </w:tc>
            </w:tr>
            <w:tr w14:paraId="067CC4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vAlign w:val="top"/>
                </w:tcPr>
                <w:p w14:paraId="5DF3C81F">
                  <w:pPr>
                    <w:keepNext w:val="0"/>
                    <w:keepLines w:val="0"/>
                    <w:widowControl/>
                    <w:suppressLineNumbers w:val="0"/>
                    <w:jc w:val="center"/>
                    <w:textAlignment w:val="top"/>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紫外消毒灯</w:t>
                  </w:r>
                </w:p>
              </w:tc>
              <w:tc>
                <w:tcPr>
                  <w:tcW w:w="2441" w:type="pct"/>
                  <w:shd w:val="clear" w:color="auto" w:fill="auto"/>
                  <w:vAlign w:val="center"/>
                </w:tcPr>
                <w:p w14:paraId="6D909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ST-XD-18</w:t>
                  </w:r>
                </w:p>
              </w:tc>
              <w:tc>
                <w:tcPr>
                  <w:tcW w:w="435" w:type="pct"/>
                  <w:shd w:val="clear" w:color="auto" w:fill="auto"/>
                  <w:vAlign w:val="center"/>
                </w:tcPr>
                <w:p w14:paraId="6408FE3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028" w:type="pct"/>
                  <w:shd w:val="clear" w:color="auto" w:fill="auto"/>
                  <w:vAlign w:val="center"/>
                </w:tcPr>
                <w:p w14:paraId="7F600288">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杂物间</w:t>
                  </w:r>
                </w:p>
              </w:tc>
            </w:tr>
            <w:tr w14:paraId="63FA6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vAlign w:val="center"/>
                </w:tcPr>
                <w:p w14:paraId="747FF04D">
                  <w:pPr>
                    <w:keepNext w:val="0"/>
                    <w:keepLines w:val="0"/>
                    <w:widowControl/>
                    <w:suppressLineNumbers w:val="0"/>
                    <w:jc w:val="center"/>
                    <w:textAlignment w:val="center"/>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监护仪</w:t>
                  </w:r>
                </w:p>
              </w:tc>
              <w:tc>
                <w:tcPr>
                  <w:tcW w:w="2441" w:type="pct"/>
                  <w:shd w:val="clear" w:color="auto" w:fill="auto"/>
                  <w:vAlign w:val="center"/>
                </w:tcPr>
                <w:p w14:paraId="45D86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STAR8000F-V/ND12-V</w:t>
                  </w:r>
                </w:p>
              </w:tc>
              <w:tc>
                <w:tcPr>
                  <w:tcW w:w="435" w:type="pct"/>
                  <w:shd w:val="clear" w:color="auto" w:fill="auto"/>
                  <w:vAlign w:val="center"/>
                </w:tcPr>
                <w:p w14:paraId="7AA134A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028" w:type="pct"/>
                  <w:vMerge w:val="restart"/>
                  <w:shd w:val="clear" w:color="auto" w:fill="auto"/>
                  <w:vAlign w:val="center"/>
                </w:tcPr>
                <w:p w14:paraId="063FDBC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手术室</w:t>
                  </w:r>
                </w:p>
              </w:tc>
            </w:tr>
            <w:tr w14:paraId="47645B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095" w:type="pct"/>
                  <w:vAlign w:val="center"/>
                </w:tcPr>
                <w:p w14:paraId="21F45474">
                  <w:pPr>
                    <w:keepNext w:val="0"/>
                    <w:keepLines w:val="0"/>
                    <w:widowControl/>
                    <w:suppressLineNumbers w:val="0"/>
                    <w:jc w:val="center"/>
                    <w:textAlignment w:val="center"/>
                    <w:rPr>
                      <w:rStyle w:val="486"/>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呼吸麻醉机</w:t>
                  </w:r>
                </w:p>
              </w:tc>
              <w:tc>
                <w:tcPr>
                  <w:tcW w:w="2441" w:type="pct"/>
                  <w:shd w:val="clear" w:color="auto" w:fill="auto"/>
                  <w:vAlign w:val="center"/>
                </w:tcPr>
                <w:p w14:paraId="4E50D0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Veta5/ARK7</w:t>
                  </w:r>
                </w:p>
              </w:tc>
              <w:tc>
                <w:tcPr>
                  <w:tcW w:w="435" w:type="pct"/>
                  <w:shd w:val="clear" w:color="auto" w:fill="auto"/>
                  <w:vAlign w:val="center"/>
                </w:tcPr>
                <w:p w14:paraId="2379024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028" w:type="pct"/>
                  <w:vMerge w:val="continue"/>
                  <w:shd w:val="clear" w:color="auto" w:fill="auto"/>
                  <w:vAlign w:val="center"/>
                </w:tcPr>
                <w:p w14:paraId="783BE8F5">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71C057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shd w:val="clear" w:color="auto" w:fill="auto"/>
                  <w:vAlign w:val="center"/>
                </w:tcPr>
                <w:p w14:paraId="17F823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手术台</w:t>
                  </w:r>
                </w:p>
              </w:tc>
              <w:tc>
                <w:tcPr>
                  <w:tcW w:w="2441" w:type="pct"/>
                  <w:shd w:val="clear" w:color="auto" w:fill="auto"/>
                  <w:vAlign w:val="center"/>
                </w:tcPr>
                <w:p w14:paraId="706FA45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SY7-1</w:t>
                  </w:r>
                </w:p>
              </w:tc>
              <w:tc>
                <w:tcPr>
                  <w:tcW w:w="435" w:type="pct"/>
                  <w:shd w:val="clear" w:color="auto" w:fill="auto"/>
                  <w:vAlign w:val="center"/>
                </w:tcPr>
                <w:p w14:paraId="5131142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16C35C80">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1CF454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shd w:val="clear" w:color="auto" w:fill="auto"/>
                  <w:vAlign w:val="center"/>
                </w:tcPr>
                <w:p w14:paraId="0B3099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胃镜</w:t>
                  </w:r>
                </w:p>
              </w:tc>
              <w:tc>
                <w:tcPr>
                  <w:tcW w:w="2441" w:type="pct"/>
                  <w:shd w:val="clear" w:color="auto" w:fill="auto"/>
                  <w:vAlign w:val="center"/>
                </w:tcPr>
                <w:p w14:paraId="2676347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VET-OR1200HD</w:t>
                  </w:r>
                </w:p>
              </w:tc>
              <w:tc>
                <w:tcPr>
                  <w:tcW w:w="435" w:type="pct"/>
                  <w:shd w:val="clear" w:color="auto" w:fill="auto"/>
                  <w:vAlign w:val="center"/>
                </w:tcPr>
                <w:p w14:paraId="5485EB4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1FD416BA">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50792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shd w:val="clear" w:color="auto" w:fill="auto"/>
                  <w:vAlign w:val="center"/>
                </w:tcPr>
                <w:p w14:paraId="6AB2F9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腹腔镜</w:t>
                  </w:r>
                </w:p>
              </w:tc>
              <w:tc>
                <w:tcPr>
                  <w:tcW w:w="2441" w:type="pct"/>
                  <w:shd w:val="clear" w:color="auto" w:fill="auto"/>
                  <w:vAlign w:val="center"/>
                </w:tcPr>
                <w:p w14:paraId="7868AAA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VFV504190</w:t>
                  </w:r>
                </w:p>
              </w:tc>
              <w:tc>
                <w:tcPr>
                  <w:tcW w:w="435" w:type="pct"/>
                  <w:shd w:val="clear" w:color="auto" w:fill="auto"/>
                  <w:vAlign w:val="center"/>
                </w:tcPr>
                <w:p w14:paraId="6C94B55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28" w:type="pct"/>
                  <w:vMerge w:val="continue"/>
                  <w:shd w:val="clear" w:color="auto" w:fill="auto"/>
                  <w:vAlign w:val="center"/>
                </w:tcPr>
                <w:p w14:paraId="13F464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F65B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shd w:val="clear" w:color="auto" w:fill="auto"/>
                  <w:vAlign w:val="center"/>
                </w:tcPr>
                <w:p w14:paraId="672F1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无影灯</w:t>
                  </w:r>
                </w:p>
              </w:tc>
              <w:tc>
                <w:tcPr>
                  <w:tcW w:w="2441" w:type="pct"/>
                  <w:shd w:val="clear" w:color="auto" w:fill="auto"/>
                  <w:vAlign w:val="center"/>
                </w:tcPr>
                <w:p w14:paraId="0CDD322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CHGLED700/500</w:t>
                  </w:r>
                </w:p>
              </w:tc>
              <w:tc>
                <w:tcPr>
                  <w:tcW w:w="435" w:type="pct"/>
                  <w:shd w:val="clear" w:color="auto" w:fill="auto"/>
                  <w:vAlign w:val="center"/>
                </w:tcPr>
                <w:p w14:paraId="070EA29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p>
              </w:tc>
              <w:tc>
                <w:tcPr>
                  <w:tcW w:w="1028" w:type="pct"/>
                  <w:vMerge w:val="continue"/>
                  <w:shd w:val="clear" w:color="auto" w:fill="auto"/>
                  <w:vAlign w:val="center"/>
                </w:tcPr>
                <w:p w14:paraId="46508FE0">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6D6B41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095" w:type="pct"/>
                  <w:shd w:val="clear" w:color="auto" w:fill="auto"/>
                  <w:vAlign w:val="center"/>
                </w:tcPr>
                <w:p w14:paraId="50DF4D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消毒设备</w:t>
                  </w:r>
                </w:p>
              </w:tc>
              <w:tc>
                <w:tcPr>
                  <w:tcW w:w="2441" w:type="pct"/>
                  <w:shd w:val="clear" w:color="auto" w:fill="auto"/>
                  <w:vAlign w:val="center"/>
                </w:tcPr>
                <w:p w14:paraId="45465AC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HB-50</w:t>
                  </w:r>
                </w:p>
              </w:tc>
              <w:tc>
                <w:tcPr>
                  <w:tcW w:w="435" w:type="pct"/>
                  <w:shd w:val="clear" w:color="auto" w:fill="auto"/>
                  <w:vAlign w:val="center"/>
                </w:tcPr>
                <w:p w14:paraId="05F8EF7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1028" w:type="pct"/>
                  <w:shd w:val="clear" w:color="auto" w:fill="auto"/>
                  <w:vAlign w:val="center"/>
                </w:tcPr>
                <w:p w14:paraId="2C1C091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手术室、美容间</w:t>
                  </w:r>
                </w:p>
              </w:tc>
            </w:tr>
          </w:tbl>
          <w:p w14:paraId="1EBFCDC3">
            <w:pPr>
              <w:pStyle w:val="12"/>
              <w:rPr>
                <w:rFonts w:hint="default"/>
              </w:rPr>
            </w:pPr>
          </w:p>
          <w:p w14:paraId="23AE8602">
            <w:pPr>
              <w:pStyle w:val="19"/>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2.8.4 现有项目使用药剂</w:t>
            </w:r>
          </w:p>
          <w:p w14:paraId="29C9E9AC">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根据建设单位提供资料，</w:t>
            </w:r>
            <w:r>
              <w:rPr>
                <w:rFonts w:hint="eastAsia" w:cs="Times New Roman"/>
                <w:color w:val="auto"/>
                <w:highlight w:val="none"/>
                <w:lang w:val="en-US" w:eastAsia="zh-CN"/>
              </w:rPr>
              <w:t>诊疗场所</w:t>
            </w:r>
            <w:r>
              <w:rPr>
                <w:rFonts w:hint="default" w:ascii="Times New Roman" w:hAnsi="Times New Roman" w:cs="Times New Roman"/>
                <w:color w:val="auto"/>
                <w:highlight w:val="none"/>
              </w:rPr>
              <w:t>现有使用药剂</w:t>
            </w:r>
            <w:r>
              <w:rPr>
                <w:rFonts w:hint="eastAsia" w:cs="Times New Roman"/>
                <w:color w:val="auto"/>
                <w:highlight w:val="none"/>
                <w:lang w:val="en-US" w:eastAsia="zh-CN"/>
              </w:rPr>
              <w:t>明细</w:t>
            </w:r>
            <w:r>
              <w:rPr>
                <w:rFonts w:hint="default" w:ascii="Times New Roman" w:hAnsi="Times New Roman" w:cs="Times New Roman"/>
                <w:color w:val="auto"/>
                <w:highlight w:val="none"/>
              </w:rPr>
              <w:t>见表2-9。</w:t>
            </w:r>
          </w:p>
          <w:p w14:paraId="4D156A1B">
            <w:pPr>
              <w:pStyle w:val="19"/>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表2-9  现有项目使用药剂情况一览表</w:t>
            </w:r>
          </w:p>
          <w:tbl>
            <w:tblPr>
              <w:tblStyle w:val="50"/>
              <w:tblW w:w="87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760"/>
              <w:gridCol w:w="1496"/>
              <w:gridCol w:w="3285"/>
            </w:tblGrid>
            <w:tr w14:paraId="19BB9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00" w:type="dxa"/>
                  <w:vAlign w:val="center"/>
                </w:tcPr>
                <w:p w14:paraId="6B6ADF7C">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2760" w:type="dxa"/>
                  <w:vAlign w:val="center"/>
                </w:tcPr>
                <w:p w14:paraId="65B96AA6">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药剂名称</w:t>
                  </w:r>
                </w:p>
              </w:tc>
              <w:tc>
                <w:tcPr>
                  <w:tcW w:w="1496" w:type="dxa"/>
                  <w:vAlign w:val="center"/>
                </w:tcPr>
                <w:p w14:paraId="44A8CBA6">
                  <w:pPr>
                    <w:pStyle w:val="191"/>
                    <w:spacing w:line="240" w:lineRule="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规格/单位</w:t>
                  </w:r>
                </w:p>
              </w:tc>
              <w:tc>
                <w:tcPr>
                  <w:tcW w:w="3285" w:type="dxa"/>
                  <w:vAlign w:val="center"/>
                </w:tcPr>
                <w:p w14:paraId="6DE705F6">
                  <w:pPr>
                    <w:pStyle w:val="191"/>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年消耗量</w:t>
                  </w:r>
                </w:p>
              </w:tc>
            </w:tr>
            <w:tr w14:paraId="3FEDA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37434617">
                  <w:pPr>
                    <w:widowControl/>
                    <w:adjustRightInd w:val="0"/>
                    <w:snapToGrid w:val="0"/>
                    <w:jc w:val="center"/>
                    <w:textAlignment w:val="center"/>
                    <w:rPr>
                      <w:rFonts w:hint="default" w:ascii="Times New Roman" w:hAnsi="Times New Roman" w:cs="Times New Roman"/>
                      <w:color w:val="auto"/>
                      <w:sz w:val="21"/>
                      <w:szCs w:val="21"/>
                      <w:highlight w:val="none"/>
                    </w:rPr>
                  </w:pPr>
                  <w:r>
                    <w:rPr>
                      <w:rStyle w:val="486"/>
                      <w:rFonts w:hint="default" w:ascii="Times New Roman" w:hAnsi="Times New Roman" w:eastAsia="宋体" w:cs="Times New Roman"/>
                      <w:color w:val="auto"/>
                      <w:sz w:val="21"/>
                      <w:szCs w:val="21"/>
                      <w:highlight w:val="none"/>
                    </w:rPr>
                    <w:t>1</w:t>
                  </w:r>
                </w:p>
              </w:tc>
              <w:tc>
                <w:tcPr>
                  <w:tcW w:w="2760" w:type="dxa"/>
                  <w:shd w:val="clear" w:color="auto" w:fill="auto"/>
                  <w:vAlign w:val="center"/>
                </w:tcPr>
                <w:p w14:paraId="5AD45B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拜有利注射液</w:t>
                  </w:r>
                </w:p>
              </w:tc>
              <w:tc>
                <w:tcPr>
                  <w:tcW w:w="1496" w:type="dxa"/>
                  <w:shd w:val="clear" w:color="auto" w:fill="auto"/>
                  <w:vAlign w:val="center"/>
                </w:tcPr>
                <w:p w14:paraId="3F2A9F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50ml/瓶</w:t>
                  </w:r>
                </w:p>
              </w:tc>
              <w:tc>
                <w:tcPr>
                  <w:tcW w:w="3285" w:type="dxa"/>
                  <w:shd w:val="clear" w:color="auto" w:fill="auto"/>
                  <w:vAlign w:val="center"/>
                </w:tcPr>
                <w:p w14:paraId="7158F9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14:paraId="287E5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00" w:type="dxa"/>
                  <w:vAlign w:val="center"/>
                </w:tcPr>
                <w:p w14:paraId="5D5E75FF">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2</w:t>
                  </w:r>
                </w:p>
              </w:tc>
              <w:tc>
                <w:tcPr>
                  <w:tcW w:w="2760" w:type="dxa"/>
                  <w:shd w:val="clear" w:color="auto" w:fill="auto"/>
                  <w:vAlign w:val="center"/>
                </w:tcPr>
                <w:p w14:paraId="55D46F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美洛昔康注射液</w:t>
                  </w:r>
                </w:p>
              </w:tc>
              <w:tc>
                <w:tcPr>
                  <w:tcW w:w="1496" w:type="dxa"/>
                  <w:shd w:val="clear" w:color="auto" w:fill="auto"/>
                  <w:vAlign w:val="center"/>
                </w:tcPr>
                <w:p w14:paraId="53C278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10ml/瓶</w:t>
                  </w:r>
                </w:p>
              </w:tc>
              <w:tc>
                <w:tcPr>
                  <w:tcW w:w="3285" w:type="dxa"/>
                  <w:shd w:val="clear" w:color="auto" w:fill="auto"/>
                  <w:vAlign w:val="center"/>
                </w:tcPr>
                <w:p w14:paraId="351AF1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5ACAF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200" w:type="dxa"/>
                  <w:vAlign w:val="center"/>
                </w:tcPr>
                <w:p w14:paraId="3B6B79FC">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3</w:t>
                  </w:r>
                </w:p>
              </w:tc>
              <w:tc>
                <w:tcPr>
                  <w:tcW w:w="2760" w:type="dxa"/>
                  <w:shd w:val="clear" w:color="auto" w:fill="auto"/>
                  <w:vAlign w:val="center"/>
                </w:tcPr>
                <w:p w14:paraId="0E8A5E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赛瑞宁注射液</w:t>
                  </w:r>
                </w:p>
              </w:tc>
              <w:tc>
                <w:tcPr>
                  <w:tcW w:w="1496" w:type="dxa"/>
                  <w:shd w:val="clear" w:color="auto" w:fill="auto"/>
                  <w:vAlign w:val="center"/>
                </w:tcPr>
                <w:p w14:paraId="46689F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20ml/瓶</w:t>
                  </w:r>
                </w:p>
              </w:tc>
              <w:tc>
                <w:tcPr>
                  <w:tcW w:w="3285" w:type="dxa"/>
                  <w:shd w:val="clear" w:color="auto" w:fill="auto"/>
                  <w:vAlign w:val="center"/>
                </w:tcPr>
                <w:p w14:paraId="6641E4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1D58C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46C75CEA">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4</w:t>
                  </w:r>
                </w:p>
              </w:tc>
              <w:tc>
                <w:tcPr>
                  <w:tcW w:w="2760" w:type="dxa"/>
                  <w:shd w:val="clear" w:color="auto" w:fill="auto"/>
                  <w:vAlign w:val="center"/>
                </w:tcPr>
                <w:p w14:paraId="400E71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爱波克</w:t>
                  </w:r>
                </w:p>
              </w:tc>
              <w:tc>
                <w:tcPr>
                  <w:tcW w:w="1496" w:type="dxa"/>
                  <w:shd w:val="clear" w:color="auto" w:fill="auto"/>
                  <w:vAlign w:val="center"/>
                </w:tcPr>
                <w:p w14:paraId="4BA1CC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5.4mg/瓶</w:t>
                  </w:r>
                </w:p>
              </w:tc>
              <w:tc>
                <w:tcPr>
                  <w:tcW w:w="3285" w:type="dxa"/>
                  <w:shd w:val="clear" w:color="auto" w:fill="auto"/>
                  <w:vAlign w:val="center"/>
                </w:tcPr>
                <w:p w14:paraId="6933A0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5920F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6DCFD403">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5</w:t>
                  </w:r>
                </w:p>
              </w:tc>
              <w:tc>
                <w:tcPr>
                  <w:tcW w:w="2760" w:type="dxa"/>
                  <w:shd w:val="clear" w:color="auto" w:fill="auto"/>
                  <w:vAlign w:val="center"/>
                </w:tcPr>
                <w:p w14:paraId="3E2A8A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阿米卡星注射液</w:t>
                  </w:r>
                </w:p>
              </w:tc>
              <w:tc>
                <w:tcPr>
                  <w:tcW w:w="1496" w:type="dxa"/>
                  <w:shd w:val="clear" w:color="auto" w:fill="auto"/>
                  <w:vAlign w:val="center"/>
                </w:tcPr>
                <w:p w14:paraId="0A43BEB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0.1g/支</w:t>
                  </w:r>
                </w:p>
              </w:tc>
              <w:tc>
                <w:tcPr>
                  <w:tcW w:w="3285" w:type="dxa"/>
                  <w:shd w:val="clear" w:color="auto" w:fill="auto"/>
                  <w:vAlign w:val="center"/>
                </w:tcPr>
                <w:p w14:paraId="6A64841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5EB55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00" w:type="dxa"/>
                  <w:vAlign w:val="center"/>
                </w:tcPr>
                <w:p w14:paraId="281A243C">
                  <w:pPr>
                    <w:widowControl/>
                    <w:adjustRightInd w:val="0"/>
                    <w:snapToGrid w:val="0"/>
                    <w:jc w:val="center"/>
                    <w:textAlignment w:val="center"/>
                    <w:rPr>
                      <w:rFonts w:hint="default" w:ascii="Times New Roman" w:hAnsi="Times New Roman" w:eastAsia="宋体" w:cs="Times New Roman"/>
                      <w:color w:val="auto"/>
                      <w:sz w:val="21"/>
                      <w:szCs w:val="21"/>
                      <w:highlight w:val="none"/>
                      <w:lang w:eastAsia="zh-CN"/>
                    </w:rPr>
                  </w:pPr>
                  <w:r>
                    <w:rPr>
                      <w:rStyle w:val="486"/>
                      <w:rFonts w:hint="default" w:ascii="Times New Roman" w:hAnsi="Times New Roman" w:cs="Times New Roman"/>
                      <w:color w:val="auto"/>
                      <w:sz w:val="21"/>
                      <w:szCs w:val="21"/>
                      <w:highlight w:val="none"/>
                      <w:lang w:val="en-US" w:eastAsia="zh-CN"/>
                    </w:rPr>
                    <w:t>6</w:t>
                  </w:r>
                </w:p>
              </w:tc>
              <w:tc>
                <w:tcPr>
                  <w:tcW w:w="2760" w:type="dxa"/>
                  <w:shd w:val="clear" w:color="auto" w:fill="auto"/>
                  <w:vAlign w:val="center"/>
                </w:tcPr>
                <w:p w14:paraId="5E17DF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葡萄酸钙注射液</w:t>
                  </w:r>
                </w:p>
              </w:tc>
              <w:tc>
                <w:tcPr>
                  <w:tcW w:w="1496" w:type="dxa"/>
                  <w:shd w:val="clear" w:color="auto" w:fill="auto"/>
                  <w:vAlign w:val="center"/>
                </w:tcPr>
                <w:p w14:paraId="07F1AD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3285" w:type="dxa"/>
                  <w:shd w:val="clear" w:color="auto" w:fill="auto"/>
                  <w:vAlign w:val="center"/>
                </w:tcPr>
                <w:p w14:paraId="2CC5ECF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36127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1BA809DA">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7</w:t>
                  </w:r>
                </w:p>
              </w:tc>
              <w:tc>
                <w:tcPr>
                  <w:tcW w:w="2760" w:type="dxa"/>
                  <w:shd w:val="clear" w:color="auto" w:fill="auto"/>
                  <w:vAlign w:val="center"/>
                </w:tcPr>
                <w:p w14:paraId="7CE78B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维生素C注射液</w:t>
                  </w:r>
                </w:p>
              </w:tc>
              <w:tc>
                <w:tcPr>
                  <w:tcW w:w="1496" w:type="dxa"/>
                  <w:shd w:val="clear" w:color="auto" w:fill="auto"/>
                  <w:vAlign w:val="center"/>
                </w:tcPr>
                <w:p w14:paraId="3FE49E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3285" w:type="dxa"/>
                  <w:shd w:val="clear" w:color="auto" w:fill="auto"/>
                  <w:vAlign w:val="center"/>
                </w:tcPr>
                <w:p w14:paraId="52BD749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14:paraId="5699D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15ED61B2">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8</w:t>
                  </w:r>
                </w:p>
              </w:tc>
              <w:tc>
                <w:tcPr>
                  <w:tcW w:w="2760" w:type="dxa"/>
                  <w:shd w:val="clear" w:color="auto" w:fill="auto"/>
                  <w:vAlign w:val="center"/>
                </w:tcPr>
                <w:p w14:paraId="2A5A994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头孢氨苄</w:t>
                  </w:r>
                </w:p>
              </w:tc>
              <w:tc>
                <w:tcPr>
                  <w:tcW w:w="1496" w:type="dxa"/>
                  <w:shd w:val="clear" w:color="auto" w:fill="auto"/>
                  <w:vAlign w:val="center"/>
                </w:tcPr>
                <w:p w14:paraId="61447B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300mg/片</w:t>
                  </w:r>
                </w:p>
              </w:tc>
              <w:tc>
                <w:tcPr>
                  <w:tcW w:w="3285" w:type="dxa"/>
                  <w:shd w:val="clear" w:color="auto" w:fill="auto"/>
                  <w:vAlign w:val="center"/>
                </w:tcPr>
                <w:p w14:paraId="368BF0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360</w:t>
                  </w:r>
                </w:p>
              </w:tc>
            </w:tr>
            <w:tr w14:paraId="0AE9C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32710AD2">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9</w:t>
                  </w:r>
                </w:p>
              </w:tc>
              <w:tc>
                <w:tcPr>
                  <w:tcW w:w="2760" w:type="dxa"/>
                  <w:shd w:val="clear" w:color="auto" w:fill="auto"/>
                  <w:vAlign w:val="center"/>
                </w:tcPr>
                <w:p w14:paraId="65A42DB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496" w:type="dxa"/>
                  <w:shd w:val="clear" w:color="auto" w:fill="auto"/>
                  <w:vAlign w:val="center"/>
                </w:tcPr>
                <w:p w14:paraId="5F7804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50mg/片</w:t>
                  </w:r>
                </w:p>
              </w:tc>
              <w:tc>
                <w:tcPr>
                  <w:tcW w:w="3285" w:type="dxa"/>
                  <w:shd w:val="clear" w:color="auto" w:fill="auto"/>
                  <w:vAlign w:val="center"/>
                </w:tcPr>
                <w:p w14:paraId="36BC26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p>
              </w:tc>
            </w:tr>
            <w:tr w14:paraId="7D509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68CEEA7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760" w:type="dxa"/>
                  <w:shd w:val="clear" w:color="auto" w:fill="auto"/>
                  <w:vAlign w:val="center"/>
                </w:tcPr>
                <w:p w14:paraId="37987F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496" w:type="dxa"/>
                  <w:shd w:val="clear" w:color="auto" w:fill="auto"/>
                  <w:vAlign w:val="center"/>
                </w:tcPr>
                <w:p w14:paraId="6DCF868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250mg/片</w:t>
                  </w:r>
                </w:p>
              </w:tc>
              <w:tc>
                <w:tcPr>
                  <w:tcW w:w="3285" w:type="dxa"/>
                  <w:shd w:val="clear" w:color="auto" w:fill="auto"/>
                  <w:vAlign w:val="center"/>
                </w:tcPr>
                <w:p w14:paraId="2FAFD0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02AB6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7D7967D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2760" w:type="dxa"/>
                  <w:shd w:val="clear" w:color="auto" w:fill="auto"/>
                  <w:vAlign w:val="center"/>
                </w:tcPr>
                <w:p w14:paraId="72DA95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克维舒</w:t>
                  </w:r>
                </w:p>
              </w:tc>
              <w:tc>
                <w:tcPr>
                  <w:tcW w:w="1496" w:type="dxa"/>
                  <w:shd w:val="clear" w:color="auto" w:fill="auto"/>
                  <w:vAlign w:val="center"/>
                </w:tcPr>
                <w:p w14:paraId="54BA21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500mg/片</w:t>
                  </w:r>
                </w:p>
              </w:tc>
              <w:tc>
                <w:tcPr>
                  <w:tcW w:w="3285" w:type="dxa"/>
                  <w:shd w:val="clear" w:color="auto" w:fill="auto"/>
                  <w:vAlign w:val="center"/>
                </w:tcPr>
                <w:p w14:paraId="403BF8E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2397C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780DD56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2760" w:type="dxa"/>
                  <w:shd w:val="clear" w:color="auto" w:fill="auto"/>
                  <w:vAlign w:val="center"/>
                </w:tcPr>
                <w:p w14:paraId="55C643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氯化钾</w:t>
                  </w:r>
                </w:p>
              </w:tc>
              <w:tc>
                <w:tcPr>
                  <w:tcW w:w="1496" w:type="dxa"/>
                  <w:shd w:val="clear" w:color="auto" w:fill="auto"/>
                  <w:vAlign w:val="center"/>
                </w:tcPr>
                <w:p w14:paraId="0EE760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1g/支</w:t>
                  </w:r>
                </w:p>
              </w:tc>
              <w:tc>
                <w:tcPr>
                  <w:tcW w:w="3285" w:type="dxa"/>
                  <w:shd w:val="clear" w:color="auto" w:fill="auto"/>
                  <w:vAlign w:val="center"/>
                </w:tcPr>
                <w:p w14:paraId="6F2BE2D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14:paraId="30CF5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4ABA7CB0">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13</w:t>
                  </w:r>
                </w:p>
              </w:tc>
              <w:tc>
                <w:tcPr>
                  <w:tcW w:w="2760" w:type="dxa"/>
                  <w:shd w:val="clear" w:color="auto" w:fill="auto"/>
                  <w:vAlign w:val="center"/>
                </w:tcPr>
                <w:p w14:paraId="51FFB3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葡萄糖注射液</w:t>
                  </w:r>
                </w:p>
              </w:tc>
              <w:tc>
                <w:tcPr>
                  <w:tcW w:w="1496" w:type="dxa"/>
                  <w:shd w:val="clear" w:color="auto" w:fill="auto"/>
                  <w:vAlign w:val="center"/>
                </w:tcPr>
                <w:p w14:paraId="5217CF1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20g/支</w:t>
                  </w:r>
                </w:p>
              </w:tc>
              <w:tc>
                <w:tcPr>
                  <w:tcW w:w="3285" w:type="dxa"/>
                  <w:shd w:val="clear" w:color="auto" w:fill="auto"/>
                  <w:vAlign w:val="center"/>
                </w:tcPr>
                <w:p w14:paraId="168ADE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14:paraId="770FF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2068102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2760" w:type="dxa"/>
                  <w:shd w:val="clear" w:color="auto" w:fill="auto"/>
                  <w:vAlign w:val="center"/>
                </w:tcPr>
                <w:p w14:paraId="755491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呋塞米</w:t>
                  </w:r>
                </w:p>
              </w:tc>
              <w:tc>
                <w:tcPr>
                  <w:tcW w:w="1496" w:type="dxa"/>
                  <w:shd w:val="clear" w:color="auto" w:fill="auto"/>
                  <w:vAlign w:val="center"/>
                </w:tcPr>
                <w:p w14:paraId="0606E8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20mg/支</w:t>
                  </w:r>
                </w:p>
              </w:tc>
              <w:tc>
                <w:tcPr>
                  <w:tcW w:w="3285" w:type="dxa"/>
                  <w:shd w:val="clear" w:color="auto" w:fill="auto"/>
                  <w:vAlign w:val="center"/>
                </w:tcPr>
                <w:p w14:paraId="55A8EA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7</w:t>
                  </w:r>
                </w:p>
              </w:tc>
            </w:tr>
            <w:tr w14:paraId="161A6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628EF9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2760" w:type="dxa"/>
                  <w:shd w:val="clear" w:color="auto" w:fill="auto"/>
                  <w:vAlign w:val="center"/>
                </w:tcPr>
                <w:p w14:paraId="35970C7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地塞米松磷酸钠注射液</w:t>
                  </w:r>
                </w:p>
              </w:tc>
              <w:tc>
                <w:tcPr>
                  <w:tcW w:w="1496" w:type="dxa"/>
                  <w:shd w:val="clear" w:color="auto" w:fill="auto"/>
                  <w:vAlign w:val="center"/>
                </w:tcPr>
                <w:p w14:paraId="71A97C3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1mg/支</w:t>
                  </w:r>
                </w:p>
              </w:tc>
              <w:tc>
                <w:tcPr>
                  <w:tcW w:w="3285" w:type="dxa"/>
                  <w:shd w:val="clear" w:color="auto" w:fill="auto"/>
                  <w:vAlign w:val="center"/>
                </w:tcPr>
                <w:p w14:paraId="35F1CE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3445F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6474BAE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2760" w:type="dxa"/>
                  <w:shd w:val="clear" w:color="auto" w:fill="auto"/>
                  <w:vAlign w:val="center"/>
                </w:tcPr>
                <w:p w14:paraId="63E6EB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止血敏</w:t>
                  </w:r>
                </w:p>
              </w:tc>
              <w:tc>
                <w:tcPr>
                  <w:tcW w:w="1496" w:type="dxa"/>
                  <w:shd w:val="clear" w:color="auto" w:fill="auto"/>
                  <w:vAlign w:val="center"/>
                </w:tcPr>
                <w:p w14:paraId="1AB027A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0.25g/支</w:t>
                  </w:r>
                </w:p>
              </w:tc>
              <w:tc>
                <w:tcPr>
                  <w:tcW w:w="3285" w:type="dxa"/>
                  <w:shd w:val="clear" w:color="auto" w:fill="auto"/>
                  <w:vAlign w:val="center"/>
                </w:tcPr>
                <w:p w14:paraId="448B538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8</w:t>
                  </w:r>
                </w:p>
              </w:tc>
            </w:tr>
            <w:tr w14:paraId="7FEFE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0BD228B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2760" w:type="dxa"/>
                  <w:shd w:val="clear" w:color="auto" w:fill="auto"/>
                  <w:vAlign w:val="center"/>
                </w:tcPr>
                <w:p w14:paraId="17EFE0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5%葡萄糖注射液</w:t>
                  </w:r>
                </w:p>
              </w:tc>
              <w:tc>
                <w:tcPr>
                  <w:tcW w:w="1496" w:type="dxa"/>
                  <w:shd w:val="clear" w:color="auto" w:fill="auto"/>
                  <w:vAlign w:val="center"/>
                </w:tcPr>
                <w:p w14:paraId="4A5816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3285" w:type="dxa"/>
                  <w:shd w:val="clear" w:color="auto" w:fill="auto"/>
                  <w:vAlign w:val="center"/>
                </w:tcPr>
                <w:p w14:paraId="358BAE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6CD9E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60D2C58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2760" w:type="dxa"/>
                  <w:shd w:val="clear" w:color="auto" w:fill="auto"/>
                  <w:vAlign w:val="center"/>
                </w:tcPr>
                <w:p w14:paraId="633DF7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0.9%氯化钠注射液</w:t>
                  </w:r>
                </w:p>
              </w:tc>
              <w:tc>
                <w:tcPr>
                  <w:tcW w:w="1496" w:type="dxa"/>
                  <w:shd w:val="clear" w:color="auto" w:fill="auto"/>
                  <w:vAlign w:val="center"/>
                </w:tcPr>
                <w:p w14:paraId="417A54C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500ml/瓶</w:t>
                  </w:r>
                </w:p>
              </w:tc>
              <w:tc>
                <w:tcPr>
                  <w:tcW w:w="3285" w:type="dxa"/>
                  <w:shd w:val="clear" w:color="auto" w:fill="auto"/>
                  <w:vAlign w:val="center"/>
                </w:tcPr>
                <w:p w14:paraId="49D184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1DB3F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7CB98D9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2760" w:type="dxa"/>
                  <w:shd w:val="clear" w:color="auto" w:fill="auto"/>
                  <w:vAlign w:val="center"/>
                </w:tcPr>
                <w:p w14:paraId="0F60DF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乳酸格林注射液</w:t>
                  </w:r>
                </w:p>
              </w:tc>
              <w:tc>
                <w:tcPr>
                  <w:tcW w:w="1496" w:type="dxa"/>
                  <w:shd w:val="clear" w:color="auto" w:fill="auto"/>
                  <w:vAlign w:val="center"/>
                </w:tcPr>
                <w:p w14:paraId="35085BB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100ml/瓶</w:t>
                  </w:r>
                </w:p>
              </w:tc>
              <w:tc>
                <w:tcPr>
                  <w:tcW w:w="3285" w:type="dxa"/>
                  <w:shd w:val="clear" w:color="auto" w:fill="auto"/>
                  <w:vAlign w:val="center"/>
                </w:tcPr>
                <w:p w14:paraId="3525A3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41937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3BEB30E3">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760" w:type="dxa"/>
                  <w:shd w:val="clear" w:color="auto" w:fill="auto"/>
                  <w:vAlign w:val="center"/>
                </w:tcPr>
                <w:p w14:paraId="6514FEF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一次性输液管</w:t>
                  </w:r>
                </w:p>
              </w:tc>
              <w:tc>
                <w:tcPr>
                  <w:tcW w:w="1496" w:type="dxa"/>
                  <w:shd w:val="clear" w:color="auto" w:fill="auto"/>
                  <w:vAlign w:val="center"/>
                </w:tcPr>
                <w:p w14:paraId="065DFB82">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根</w:t>
                  </w:r>
                </w:p>
              </w:tc>
              <w:tc>
                <w:tcPr>
                  <w:tcW w:w="3285" w:type="dxa"/>
                  <w:shd w:val="clear" w:color="auto" w:fill="auto"/>
                  <w:vAlign w:val="center"/>
                </w:tcPr>
                <w:p w14:paraId="2CBFD0BA">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r>
            <w:tr w14:paraId="1CF65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5334149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2760" w:type="dxa"/>
                  <w:shd w:val="clear" w:color="auto" w:fill="auto"/>
                  <w:vAlign w:val="center"/>
                </w:tcPr>
                <w:p w14:paraId="4E892F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针管</w:t>
                  </w:r>
                </w:p>
              </w:tc>
              <w:tc>
                <w:tcPr>
                  <w:tcW w:w="1496" w:type="dxa"/>
                  <w:shd w:val="clear" w:color="auto" w:fill="auto"/>
                  <w:vAlign w:val="center"/>
                </w:tcPr>
                <w:p w14:paraId="032C522A">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个</w:t>
                  </w:r>
                </w:p>
              </w:tc>
              <w:tc>
                <w:tcPr>
                  <w:tcW w:w="3285" w:type="dxa"/>
                  <w:shd w:val="clear" w:color="auto" w:fill="auto"/>
                  <w:vAlign w:val="center"/>
                </w:tcPr>
                <w:p w14:paraId="60D40B43">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w:t>
                  </w:r>
                </w:p>
              </w:tc>
            </w:tr>
            <w:tr w14:paraId="5A965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363D401A">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2760" w:type="dxa"/>
                  <w:shd w:val="clear" w:color="auto" w:fill="auto"/>
                  <w:vAlign w:val="center"/>
                </w:tcPr>
                <w:p w14:paraId="057EF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医用棉球</w:t>
                  </w:r>
                </w:p>
              </w:tc>
              <w:tc>
                <w:tcPr>
                  <w:tcW w:w="1496" w:type="dxa"/>
                  <w:shd w:val="clear" w:color="auto" w:fill="auto"/>
                  <w:vAlign w:val="center"/>
                </w:tcPr>
                <w:p w14:paraId="57D22AF5">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3285" w:type="dxa"/>
                  <w:shd w:val="clear" w:color="auto" w:fill="auto"/>
                  <w:vAlign w:val="center"/>
                </w:tcPr>
                <w:p w14:paraId="494B9029">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r>
            <w:tr w14:paraId="019DB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5225FF94">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760" w:type="dxa"/>
                  <w:shd w:val="clear" w:color="auto" w:fill="auto"/>
                  <w:vAlign w:val="center"/>
                </w:tcPr>
                <w:p w14:paraId="366C20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纱布</w:t>
                  </w:r>
                </w:p>
              </w:tc>
              <w:tc>
                <w:tcPr>
                  <w:tcW w:w="1496" w:type="dxa"/>
                  <w:shd w:val="clear" w:color="auto" w:fill="auto"/>
                  <w:vAlign w:val="center"/>
                </w:tcPr>
                <w:p w14:paraId="24518D23">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w:t>
                  </w:r>
                </w:p>
              </w:tc>
              <w:tc>
                <w:tcPr>
                  <w:tcW w:w="3285" w:type="dxa"/>
                  <w:shd w:val="clear" w:color="auto" w:fill="auto"/>
                  <w:vAlign w:val="center"/>
                </w:tcPr>
                <w:p w14:paraId="760FBDF7">
                  <w:pPr>
                    <w:keepNext w:val="0"/>
                    <w:keepLines w:val="0"/>
                    <w:widowControl/>
                    <w:suppressLineNumbers w:val="0"/>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r>
            <w:tr w14:paraId="0710B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14:paraId="7629B83B">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2760" w:type="dxa"/>
                  <w:shd w:val="clear" w:color="auto" w:fill="auto"/>
                  <w:vAlign w:val="center"/>
                </w:tcPr>
                <w:p w14:paraId="2DF5F1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缓释氯片</w:t>
                  </w:r>
                </w:p>
              </w:tc>
              <w:tc>
                <w:tcPr>
                  <w:tcW w:w="1496" w:type="dxa"/>
                  <w:shd w:val="clear" w:color="auto" w:fill="auto"/>
                  <w:vAlign w:val="center"/>
                </w:tcPr>
                <w:p w14:paraId="7B2EB4D0">
                  <w:pPr>
                    <w:pStyle w:val="191"/>
                    <w:spacing w:line="240" w:lineRule="auto"/>
                    <w:rPr>
                      <w:rFonts w:hint="eastAsia"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片</w:t>
                  </w:r>
                </w:p>
              </w:tc>
              <w:tc>
                <w:tcPr>
                  <w:tcW w:w="3285" w:type="dxa"/>
                  <w:shd w:val="clear" w:color="auto" w:fill="auto"/>
                  <w:vAlign w:val="center"/>
                </w:tcPr>
                <w:p w14:paraId="1BC8A3F4">
                  <w:pPr>
                    <w:pStyle w:val="191"/>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r>
          </w:tbl>
          <w:p w14:paraId="09F415CE">
            <w:pPr>
              <w:pStyle w:val="19"/>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2.8.5 现有项目劳动定员及工作制度</w:t>
            </w:r>
          </w:p>
          <w:p w14:paraId="52F593EC">
            <w:pPr>
              <w:pStyle w:val="19"/>
              <w:spacing w:after="0"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eastAsia="zh-CN"/>
              </w:rPr>
              <w:t>店内员工</w:t>
            </w:r>
            <w:r>
              <w:rPr>
                <w:rFonts w:hint="eastAsia" w:cs="Times New Roman"/>
                <w:color w:val="auto"/>
                <w:highlight w:val="none"/>
                <w:lang w:val="en-US" w:eastAsia="zh-CN"/>
              </w:rPr>
              <w:t>18</w:t>
            </w:r>
            <w:r>
              <w:rPr>
                <w:rFonts w:hint="default" w:ascii="Times New Roman" w:hAnsi="Times New Roman" w:cs="Times New Roman"/>
                <w:color w:val="auto"/>
                <w:highlight w:val="none"/>
              </w:rPr>
              <w:t>人，员工食宿自理。</w:t>
            </w:r>
            <w:r>
              <w:rPr>
                <w:rFonts w:hint="default" w:ascii="Times New Roman" w:hAnsi="Times New Roman" w:eastAsia="宋体" w:cs="Times New Roman"/>
                <w:color w:val="auto"/>
                <w:highlight w:val="none"/>
                <w:lang w:val="en-US" w:eastAsia="zh-CN"/>
              </w:rPr>
              <w:t>年营业365</w:t>
            </w:r>
            <w:r>
              <w:rPr>
                <w:rFonts w:hint="default" w:ascii="Times New Roman" w:hAnsi="Times New Roman" w:eastAsia="宋体" w:cs="Times New Roman"/>
                <w:color w:val="auto"/>
                <w:highlight w:val="none"/>
              </w:rPr>
              <w:t>天，</w:t>
            </w:r>
            <w:r>
              <w:rPr>
                <w:rFonts w:hint="default" w:ascii="Times New Roman" w:hAnsi="Times New Roman" w:eastAsia="宋体" w:cs="Times New Roman"/>
                <w:color w:val="auto"/>
                <w:highlight w:val="none"/>
                <w:lang w:val="en-US" w:eastAsia="zh-CN"/>
              </w:rPr>
              <w:t>每天两</w:t>
            </w:r>
            <w:r>
              <w:rPr>
                <w:rFonts w:hint="default" w:ascii="Times New Roman" w:hAnsi="Times New Roman" w:eastAsia="宋体" w:cs="Times New Roman"/>
                <w:color w:val="auto"/>
                <w:highlight w:val="none"/>
              </w:rPr>
              <w:t>班制，</w:t>
            </w:r>
            <w:r>
              <w:rPr>
                <w:rFonts w:hint="default" w:ascii="Times New Roman" w:hAnsi="Times New Roman" w:eastAsia="宋体" w:cs="Times New Roman"/>
                <w:color w:val="auto"/>
                <w:highlight w:val="none"/>
                <w:lang w:val="en-US" w:eastAsia="zh-CN"/>
              </w:rPr>
              <w:t>每班8</w:t>
            </w:r>
            <w:r>
              <w:rPr>
                <w:rFonts w:hint="default" w:ascii="Times New Roman" w:hAnsi="Times New Roman" w:eastAsia="宋体" w:cs="Times New Roman"/>
                <w:color w:val="auto"/>
                <w:highlight w:val="none"/>
              </w:rPr>
              <w:t>小时</w:t>
            </w:r>
            <w:r>
              <w:rPr>
                <w:rFonts w:hint="default" w:ascii="Times New Roman" w:hAnsi="Times New Roman" w:eastAsia="宋体" w:cs="Times New Roman"/>
                <w:color w:val="auto"/>
                <w:highlight w:val="none"/>
                <w:lang w:eastAsia="zh-CN"/>
              </w:rPr>
              <w:t>。</w:t>
            </w:r>
          </w:p>
          <w:p w14:paraId="18A8BF56">
            <w:pPr>
              <w:pStyle w:val="19"/>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2.8.6 水平衡分析</w:t>
            </w:r>
          </w:p>
          <w:p w14:paraId="4B58B5EA">
            <w:pPr>
              <w:pStyle w:val="6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（1）生活用水</w:t>
            </w:r>
          </w:p>
          <w:p w14:paraId="4A7F630F">
            <w:pPr>
              <w:pStyle w:val="6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根据《建筑给排水设计规范》（GB50015-20</w:t>
            </w:r>
            <w:r>
              <w:rPr>
                <w:rFonts w:hint="eastAsia"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）中的指标计算，不住宿员工平均用水定额为50L/人·d。医院员工人数</w:t>
            </w:r>
            <w:r>
              <w:rPr>
                <w:rFonts w:hint="eastAsia" w:ascii="Times New Roman" w:hAnsi="Times New Roman" w:eastAsia="宋体" w:cs="Times New Roman"/>
                <w:color w:val="auto"/>
                <w:highlight w:val="none"/>
                <w:lang w:val="en-US" w:eastAsia="zh-CN"/>
              </w:rPr>
              <w:t>18</w:t>
            </w:r>
            <w:r>
              <w:rPr>
                <w:rFonts w:hint="default" w:ascii="Times New Roman" w:hAnsi="Times New Roman" w:eastAsia="宋体" w:cs="Times New Roman"/>
                <w:color w:val="auto"/>
                <w:highlight w:val="none"/>
              </w:rPr>
              <w:t>人，均不在院内食宿，则</w:t>
            </w:r>
            <w:r>
              <w:rPr>
                <w:rFonts w:hint="default" w:ascii="Times New Roman" w:hAnsi="Times New Roman" w:eastAsia="宋体" w:cs="Times New Roman"/>
                <w:color w:val="auto"/>
                <w:highlight w:val="none"/>
                <w:lang w:val="en-US" w:eastAsia="zh-CN"/>
              </w:rPr>
              <w:t>项目生活用水量约</w:t>
            </w:r>
            <w:r>
              <w:rPr>
                <w:rFonts w:hint="eastAsia"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eastAsia="zh-CN"/>
              </w:rPr>
              <w:t>t/d（</w:t>
            </w:r>
            <w:r>
              <w:rPr>
                <w:rFonts w:hint="eastAsia" w:ascii="Times New Roman" w:hAnsi="Times New Roman" w:eastAsia="宋体" w:cs="Times New Roman"/>
                <w:color w:val="auto"/>
                <w:highlight w:val="none"/>
                <w:lang w:val="en-US" w:eastAsia="zh-CN"/>
              </w:rPr>
              <w:t>328.5</w:t>
            </w:r>
            <w:r>
              <w:rPr>
                <w:rFonts w:hint="default" w:ascii="Times New Roman" w:hAnsi="Times New Roman" w:eastAsia="宋体" w:cs="Times New Roman"/>
                <w:color w:val="auto"/>
                <w:highlight w:val="none"/>
                <w:lang w:val="en-US" w:eastAsia="zh-CN"/>
              </w:rPr>
              <w:t>t/a），排污系数取0.9，生活污水量为</w:t>
            </w:r>
            <w:r>
              <w:rPr>
                <w:rFonts w:hint="eastAsia" w:ascii="Times New Roman" w:hAnsi="Times New Roman" w:eastAsia="宋体" w:cs="Times New Roman"/>
                <w:color w:val="auto"/>
                <w:highlight w:val="none"/>
                <w:lang w:val="en-US" w:eastAsia="zh-CN"/>
              </w:rPr>
              <w:t>0.81</w:t>
            </w:r>
            <w:r>
              <w:rPr>
                <w:rFonts w:hint="default" w:ascii="Times New Roman" w:hAnsi="Times New Roman" w:eastAsia="宋体" w:cs="Times New Roman"/>
                <w:color w:val="auto"/>
                <w:highlight w:val="none"/>
                <w:lang w:val="en-US" w:eastAsia="zh-CN"/>
              </w:rPr>
              <w:t>t/d（</w:t>
            </w:r>
            <w:r>
              <w:rPr>
                <w:rFonts w:hint="eastAsia" w:ascii="Times New Roman" w:hAnsi="Times New Roman" w:eastAsia="宋体" w:cs="Times New Roman"/>
                <w:color w:val="auto"/>
                <w:highlight w:val="none"/>
                <w:lang w:val="en-US" w:eastAsia="zh-CN"/>
              </w:rPr>
              <w:t>295.65</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p>
          <w:p w14:paraId="0C2DBFBB">
            <w:pPr>
              <w:pStyle w:val="19"/>
              <w:spacing w:after="0" w:line="360" w:lineRule="auto"/>
              <w:ind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w:t>
            </w:r>
            <w:r>
              <w:rPr>
                <w:rFonts w:hint="default" w:ascii="Times New Roman" w:hAnsi="Times New Roman" w:cs="Times New Roman"/>
                <w:b/>
                <w:bCs/>
                <w:color w:val="auto"/>
                <w:highlight w:val="none"/>
                <w:lang w:val="en-US" w:eastAsia="zh-CN"/>
              </w:rPr>
              <w:t>诊疗用水</w:t>
            </w:r>
          </w:p>
          <w:p w14:paraId="6FDF7ED1">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现有项目接待宠物</w:t>
            </w:r>
            <w:r>
              <w:rPr>
                <w:rFonts w:hint="eastAsia" w:cs="Times New Roman"/>
                <w:color w:val="auto"/>
                <w:highlight w:val="none"/>
                <w:lang w:val="en-US" w:eastAsia="zh-CN"/>
              </w:rPr>
              <w:t>量</w:t>
            </w:r>
            <w:r>
              <w:rPr>
                <w:rFonts w:hint="default" w:ascii="Times New Roman" w:hAnsi="Times New Roman" w:cs="Times New Roman"/>
                <w:color w:val="auto"/>
                <w:highlight w:val="none"/>
              </w:rPr>
              <w:t>约</w:t>
            </w:r>
            <w:r>
              <w:rPr>
                <w:rFonts w:hint="eastAsia" w:cs="Times New Roman"/>
                <w:color w:val="auto"/>
                <w:highlight w:val="none"/>
                <w:lang w:val="en-US" w:eastAsia="zh-CN"/>
              </w:rPr>
              <w:t>10</w:t>
            </w:r>
            <w:r>
              <w:rPr>
                <w:rFonts w:hint="default" w:ascii="Times New Roman" w:hAnsi="Times New Roman" w:cs="Times New Roman"/>
                <w:color w:val="auto"/>
                <w:highlight w:val="none"/>
              </w:rPr>
              <w:t>只/天，</w:t>
            </w:r>
            <w:r>
              <w:rPr>
                <w:rFonts w:hint="default" w:ascii="Times New Roman" w:hAnsi="Times New Roman" w:cs="Times New Roman"/>
                <w:color w:val="auto"/>
                <w:highlight w:val="none"/>
                <w:lang w:val="en-US" w:eastAsia="zh-CN"/>
              </w:rPr>
              <w:t>根据建设单位提供的资料，</w:t>
            </w: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用水量约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15</w:t>
            </w:r>
            <w:r>
              <w:rPr>
                <w:rFonts w:hint="default" w:ascii="Times New Roman" w:hAnsi="Times New Roman" w:cs="Times New Roman"/>
                <w:color w:val="auto"/>
                <w:highlight w:val="none"/>
              </w:rPr>
              <w:t>t/d（</w:t>
            </w:r>
            <w:r>
              <w:rPr>
                <w:rFonts w:hint="eastAsia" w:cs="Times New Roman"/>
                <w:color w:val="auto"/>
                <w:highlight w:val="none"/>
                <w:lang w:val="en-US" w:eastAsia="zh-CN"/>
              </w:rPr>
              <w:t>54.75</w:t>
            </w:r>
            <w:r>
              <w:rPr>
                <w:rFonts w:hint="default" w:ascii="Times New Roman" w:hAnsi="Times New Roman" w:cs="Times New Roman"/>
                <w:color w:val="auto"/>
                <w:highlight w:val="none"/>
              </w:rPr>
              <w:t>t/a），排污系数取0.9，则宠物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量约为</w:t>
            </w:r>
            <w:r>
              <w:rPr>
                <w:rFonts w:hint="eastAsia" w:cs="Times New Roman"/>
                <w:color w:val="auto"/>
                <w:highlight w:val="none"/>
                <w:lang w:val="en-US" w:eastAsia="zh-CN"/>
              </w:rPr>
              <w:t>0.135</w:t>
            </w:r>
            <w:r>
              <w:rPr>
                <w:rFonts w:hint="default" w:ascii="Times New Roman" w:hAnsi="Times New Roman" w:cs="Times New Roman"/>
                <w:color w:val="auto"/>
                <w:highlight w:val="none"/>
              </w:rPr>
              <w:t>t/d（</w:t>
            </w:r>
            <w:r>
              <w:rPr>
                <w:rFonts w:hint="eastAsia" w:cs="Times New Roman"/>
                <w:color w:val="auto"/>
                <w:highlight w:val="none"/>
                <w:lang w:val="en-US" w:eastAsia="zh-CN"/>
              </w:rPr>
              <w:t>49.275</w:t>
            </w:r>
            <w:r>
              <w:rPr>
                <w:rFonts w:hint="default" w:ascii="Times New Roman" w:hAnsi="Times New Roman" w:cs="Times New Roman"/>
                <w:color w:val="auto"/>
                <w:highlight w:val="none"/>
              </w:rPr>
              <w:t>t/a），宠物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eastAsia" w:cs="Times New Roman"/>
                <w:color w:val="auto"/>
                <w:highlight w:val="none"/>
                <w:lang w:val="en-US" w:eastAsia="zh-CN"/>
              </w:rPr>
              <w:t>后统一纳入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福清市融元污水处理厂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14:paraId="5708A759">
            <w:pPr>
              <w:pStyle w:val="61"/>
              <w:numPr>
                <w:ilvl w:val="0"/>
                <w:numId w:val="0"/>
              </w:numPr>
              <w:ind w:firstLine="482" w:firstLineChars="200"/>
              <w:rPr>
                <w:rFonts w:hint="eastAsia" w:ascii="Times New Roman" w:hAnsi="Times New Roman" w:eastAsia="宋体" w:cs="Times New Roman"/>
                <w:b/>
                <w:bCs/>
                <w:color w:val="auto"/>
                <w:kern w:val="24"/>
                <w:sz w:val="24"/>
                <w:szCs w:val="22"/>
                <w:highlight w:val="none"/>
                <w:lang w:val="en-US" w:eastAsia="zh-CN" w:bidi="ar-SA"/>
              </w:rPr>
            </w:pPr>
            <w:r>
              <w:rPr>
                <w:rFonts w:hint="eastAsia" w:ascii="Times New Roman" w:hAnsi="Times New Roman" w:eastAsia="宋体" w:cs="Times New Roman"/>
                <w:b/>
                <w:bCs/>
                <w:color w:val="auto"/>
                <w:kern w:val="24"/>
                <w:sz w:val="24"/>
                <w:szCs w:val="22"/>
                <w:lang w:val="en-US" w:eastAsia="zh-CN" w:bidi="ar-SA"/>
              </w:rPr>
              <w:t>（3）</w:t>
            </w:r>
            <w:r>
              <w:rPr>
                <w:rFonts w:hint="eastAsia" w:ascii="Times New Roman" w:hAnsi="Times New Roman" w:eastAsia="宋体" w:cs="Times New Roman"/>
                <w:b/>
                <w:bCs/>
                <w:color w:val="auto"/>
                <w:kern w:val="24"/>
                <w:sz w:val="24"/>
                <w:szCs w:val="22"/>
                <w:highlight w:val="none"/>
                <w:lang w:val="en-US" w:eastAsia="zh-CN" w:bidi="ar-SA"/>
              </w:rPr>
              <w:t>宠物美容用水</w:t>
            </w:r>
          </w:p>
          <w:p w14:paraId="5D2C75E1">
            <w:pPr>
              <w:pStyle w:val="492"/>
              <w:ind w:firstLine="480"/>
              <w:rPr>
                <w:rFonts w:hint="default" w:ascii="Times New Roman" w:hAnsi="Times New Roman" w:eastAsia="宋体" w:cs="Times New Roman"/>
                <w:b/>
                <w:bCs/>
                <w:color w:val="auto"/>
                <w:kern w:val="24"/>
                <w:sz w:val="24"/>
                <w:szCs w:val="22"/>
                <w:highlight w:val="none"/>
                <w:lang w:val="en-US" w:eastAsia="zh-CN" w:bidi="ar-SA"/>
              </w:rPr>
            </w:pPr>
            <w:r>
              <w:t>现有项目宠物美容洗护量约</w:t>
            </w:r>
            <w:r>
              <w:rPr>
                <w:rFonts w:hint="eastAsia"/>
                <w:lang w:val="en-US" w:eastAsia="zh-CN"/>
              </w:rPr>
              <w:t>5</w:t>
            </w:r>
            <w:r>
              <w:t>只/d，</w:t>
            </w:r>
            <w:r>
              <w:rPr>
                <w:rFonts w:hint="default" w:ascii="Times New Roman" w:hAnsi="Times New Roman" w:cs="Times New Roman"/>
                <w:color w:val="auto"/>
                <w:highlight w:val="none"/>
                <w:lang w:val="en-US" w:eastAsia="zh-CN"/>
              </w:rPr>
              <w:t>根据建设单位提供的资料，</w:t>
            </w: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用水量约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3</w:t>
            </w:r>
            <w:r>
              <w:rPr>
                <w:rFonts w:hint="default" w:ascii="Times New Roman" w:hAnsi="Times New Roman" w:cs="Times New Roman"/>
                <w:color w:val="auto"/>
                <w:highlight w:val="none"/>
              </w:rPr>
              <w:t>t/d（</w:t>
            </w:r>
            <w:r>
              <w:rPr>
                <w:rFonts w:hint="eastAsia" w:cs="Times New Roman"/>
                <w:color w:val="auto"/>
                <w:highlight w:val="none"/>
                <w:lang w:val="en-US" w:eastAsia="zh-CN"/>
              </w:rPr>
              <w:t>109.5</w:t>
            </w:r>
            <w:r>
              <w:rPr>
                <w:rFonts w:hint="default" w:ascii="Times New Roman" w:hAnsi="Times New Roman" w:cs="Times New Roman"/>
                <w:color w:val="auto"/>
                <w:highlight w:val="none"/>
              </w:rPr>
              <w:t>t/a），排污系数取0.9，则宠物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量约为</w:t>
            </w:r>
            <w:r>
              <w:rPr>
                <w:rFonts w:hint="eastAsia" w:cs="Times New Roman"/>
                <w:color w:val="auto"/>
                <w:highlight w:val="none"/>
                <w:lang w:val="en-US" w:eastAsia="zh-CN"/>
              </w:rPr>
              <w:t>0.27</w:t>
            </w:r>
            <w:r>
              <w:rPr>
                <w:rFonts w:hint="default" w:ascii="Times New Roman" w:hAnsi="Times New Roman" w:cs="Times New Roman"/>
                <w:color w:val="auto"/>
                <w:highlight w:val="none"/>
              </w:rPr>
              <w:t>t/d（</w:t>
            </w:r>
            <w:r>
              <w:rPr>
                <w:rFonts w:hint="eastAsia" w:cs="Times New Roman"/>
                <w:color w:val="auto"/>
                <w:highlight w:val="none"/>
                <w:lang w:val="en-US" w:eastAsia="zh-CN"/>
              </w:rPr>
              <w:t>98.55</w:t>
            </w:r>
            <w:r>
              <w:rPr>
                <w:rFonts w:hint="default" w:ascii="Times New Roman" w:hAnsi="Times New Roman" w:cs="Times New Roman"/>
                <w:color w:val="auto"/>
                <w:highlight w:val="none"/>
              </w:rPr>
              <w:t>t/a），</w:t>
            </w:r>
            <w:r>
              <w:t>宠物美容废水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eastAsia" w:cs="Times New Roman"/>
                <w:color w:val="auto"/>
                <w:highlight w:val="none"/>
                <w:lang w:val="en-US" w:eastAsia="zh-CN"/>
              </w:rPr>
              <w:t>后统一纳入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福清市融元污水处理厂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14:paraId="65770EA2">
            <w:pPr>
              <w:pStyle w:val="61"/>
              <w:numPr>
                <w:ilvl w:val="0"/>
                <w:numId w:val="0"/>
              </w:numPr>
              <w:ind w:firstLine="48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kern w:val="24"/>
                <w:sz w:val="24"/>
                <w:szCs w:val="22"/>
                <w:highlight w:val="none"/>
                <w:lang w:val="en-US" w:eastAsia="zh-CN" w:bidi="ar-SA"/>
              </w:rPr>
              <w:t>（4）</w:t>
            </w:r>
            <w:r>
              <w:rPr>
                <w:rFonts w:hint="default" w:ascii="Times New Roman" w:hAnsi="Times New Roman" w:eastAsia="宋体" w:cs="Times New Roman"/>
                <w:b/>
                <w:bCs/>
                <w:color w:val="auto"/>
                <w:highlight w:val="none"/>
                <w:lang w:val="en-US" w:eastAsia="zh-CN"/>
              </w:rPr>
              <w:t>化验用水</w:t>
            </w:r>
          </w:p>
          <w:p w14:paraId="2EC1C48F">
            <w:pPr>
              <w:pStyle w:val="6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化验废液通过与设备连接的塑料管引入到一次性全封闭塑料袋，作危废处理，由福建省固体废物处置有限公司定期清运，不外排</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根据建设单位提供的资料，化验用水</w:t>
            </w:r>
            <w:r>
              <w:rPr>
                <w:rFonts w:hint="eastAsia" w:ascii="Times New Roman" w:hAnsi="Times New Roman" w:eastAsia="宋体" w:cs="Times New Roman"/>
                <w:color w:val="auto"/>
                <w:highlight w:val="none"/>
                <w:lang w:val="en-US" w:eastAsia="zh-CN"/>
              </w:rPr>
              <w:t>量</w:t>
            </w:r>
            <w:r>
              <w:rPr>
                <w:rFonts w:hint="default" w:ascii="Times New Roman" w:hAnsi="Times New Roman" w:eastAsia="宋体" w:cs="Times New Roman"/>
                <w:color w:val="auto"/>
                <w:highlight w:val="none"/>
                <w:lang w:val="en-US" w:eastAsia="zh-CN"/>
              </w:rPr>
              <w:t>约</w:t>
            </w:r>
            <w:r>
              <w:rPr>
                <w:rFonts w:hint="eastAsia" w:ascii="Times New Roman" w:hAnsi="Times New Roman" w:eastAsia="宋体" w:cs="Times New Roman"/>
                <w:color w:val="auto"/>
                <w:highlight w:val="none"/>
                <w:lang w:val="en-US" w:eastAsia="zh-CN"/>
              </w:rPr>
              <w:t>0.12</w:t>
            </w:r>
            <w:r>
              <w:rPr>
                <w:rFonts w:hint="default" w:ascii="Times New Roman" w:hAnsi="Times New Roman" w:eastAsia="宋体" w:cs="Times New Roman"/>
                <w:color w:val="auto"/>
                <w:highlight w:val="none"/>
                <w:lang w:val="en-US" w:eastAsia="zh-CN"/>
              </w:rPr>
              <w:t xml:space="preserve">t/a。 </w:t>
            </w:r>
          </w:p>
          <w:p w14:paraId="46185528">
            <w:pPr>
              <w:pStyle w:val="19"/>
              <w:spacing w:after="0"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2.8.7 现有项目</w:t>
            </w:r>
            <w:r>
              <w:rPr>
                <w:rFonts w:hint="eastAsia" w:cs="Times New Roman"/>
                <w:b/>
                <w:bCs/>
                <w:color w:val="auto"/>
                <w:highlight w:val="none"/>
                <w:lang w:val="en-US" w:eastAsia="zh-CN"/>
              </w:rPr>
              <w:t>诊疗</w:t>
            </w:r>
            <w:r>
              <w:rPr>
                <w:rFonts w:hint="default" w:ascii="Times New Roman" w:hAnsi="Times New Roman" w:cs="Times New Roman"/>
                <w:b/>
                <w:bCs/>
                <w:color w:val="auto"/>
                <w:highlight w:val="none"/>
              </w:rPr>
              <w:t>服务流程</w:t>
            </w:r>
          </w:p>
          <w:p w14:paraId="1D458A41">
            <w:pPr>
              <w:widowControl/>
              <w:adjustRightInd w:val="0"/>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现有项目主要经营范围</w:t>
            </w:r>
            <w:r>
              <w:rPr>
                <w:rFonts w:hint="eastAsia" w:cs="Times New Roman"/>
                <w:color w:val="auto"/>
                <w:highlight w:val="none"/>
                <w:lang w:val="en-US" w:eastAsia="zh-CN"/>
              </w:rPr>
              <w:t>有动物</w:t>
            </w:r>
            <w:r>
              <w:rPr>
                <w:rFonts w:hint="eastAsia" w:ascii="Times New Roman" w:hAnsi="Times New Roman" w:eastAsia="宋体" w:cs="Times New Roman"/>
                <w:color w:val="auto"/>
                <w:highlight w:val="none"/>
              </w:rPr>
              <w:t>疾病预防、诊治</w:t>
            </w:r>
            <w:r>
              <w:rPr>
                <w:rFonts w:hint="eastAsia" w:cs="Times New Roman"/>
                <w:color w:val="auto"/>
                <w:highlight w:val="none"/>
                <w:lang w:eastAsia="zh-CN"/>
              </w:rPr>
              <w:t>，</w:t>
            </w:r>
            <w:r>
              <w:rPr>
                <w:rFonts w:hint="eastAsia" w:cs="Times New Roman"/>
                <w:color w:val="auto"/>
                <w:highlight w:val="none"/>
                <w:lang w:val="en-US" w:eastAsia="zh-CN"/>
              </w:rPr>
              <w:t>宠物美容洗护，手术（不含动物颅腔、胸腔和腹腔手术）</w:t>
            </w:r>
            <w:r>
              <w:rPr>
                <w:rFonts w:hint="eastAsia" w:ascii="Times New Roman" w:hAnsi="Times New Roman" w:eastAsia="宋体" w:cs="Times New Roman"/>
                <w:color w:val="auto"/>
                <w:highlight w:val="none"/>
                <w:lang w:val="en-US" w:eastAsia="zh-CN"/>
              </w:rPr>
              <w:t>和宠物用品销售等服务</w:t>
            </w:r>
            <w:r>
              <w:rPr>
                <w:rFonts w:hint="default" w:ascii="Times New Roman" w:hAnsi="Times New Roman" w:cs="Times New Roman"/>
                <w:color w:val="auto"/>
                <w:highlight w:val="none"/>
              </w:rPr>
              <w:t>。具体</w:t>
            </w:r>
            <w:r>
              <w:rPr>
                <w:rFonts w:hint="eastAsia" w:cs="Times New Roman"/>
                <w:color w:val="auto"/>
                <w:highlight w:val="none"/>
                <w:lang w:val="en-US" w:eastAsia="zh-CN"/>
              </w:rPr>
              <w:t>诊疗</w:t>
            </w:r>
            <w:r>
              <w:rPr>
                <w:rFonts w:hint="default" w:ascii="Times New Roman" w:hAnsi="Times New Roman" w:cs="Times New Roman"/>
                <w:color w:val="auto"/>
                <w:highlight w:val="none"/>
              </w:rPr>
              <w:t>服务流程见图2-4。</w:t>
            </w:r>
          </w:p>
          <w:p w14:paraId="7E6D0A92">
            <w:pPr>
              <w:pStyle w:val="19"/>
              <w:spacing w:after="0"/>
              <w:jc w:val="center"/>
              <w:rPr>
                <w:rFonts w:hint="default" w:ascii="Times New Roman" w:hAnsi="Times New Roman" w:cs="Times New Roman"/>
                <w:color w:val="auto"/>
                <w:highlight w:val="none"/>
              </w:rPr>
            </w:pPr>
            <w:r>
              <w:drawing>
                <wp:inline distT="0" distB="0" distL="114300" distR="114300">
                  <wp:extent cx="5727065" cy="3692525"/>
                  <wp:effectExtent l="0" t="0" r="6985" b="3175"/>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26"/>
                          <a:stretch>
                            <a:fillRect/>
                          </a:stretch>
                        </pic:blipFill>
                        <pic:spPr>
                          <a:xfrm>
                            <a:off x="0" y="0"/>
                            <a:ext cx="5727065" cy="3692525"/>
                          </a:xfrm>
                          <a:prstGeom prst="rect">
                            <a:avLst/>
                          </a:prstGeom>
                          <a:noFill/>
                          <a:ln>
                            <a:noFill/>
                          </a:ln>
                        </pic:spPr>
                      </pic:pic>
                    </a:graphicData>
                  </a:graphic>
                </wp:inline>
              </w:drawing>
            </w:r>
          </w:p>
          <w:p w14:paraId="3DEB5418">
            <w:pPr>
              <w:pStyle w:val="19"/>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图2-</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现有项目服务流程及产污环节图</w:t>
            </w:r>
          </w:p>
          <w:p w14:paraId="5E4E37C0">
            <w:pPr>
              <w:pStyle w:val="19"/>
              <w:spacing w:after="0" w:line="360" w:lineRule="auto"/>
              <w:rPr>
                <w:rFonts w:hint="default" w:ascii="Times New Roman" w:hAnsi="Times New Roman" w:cs="Times New Roman"/>
                <w:color w:val="auto"/>
                <w:highlight w:val="none"/>
              </w:rPr>
            </w:pPr>
            <w:r>
              <w:rPr>
                <w:rFonts w:hint="default" w:ascii="Times New Roman" w:hAnsi="Times New Roman" w:cs="Times New Roman"/>
                <w:b/>
                <w:bCs/>
                <w:color w:val="auto"/>
                <w:highlight w:val="none"/>
              </w:rPr>
              <w:t xml:space="preserve">2.8.8 现有项目污染物产生及排放情况 </w:t>
            </w:r>
          </w:p>
          <w:p w14:paraId="49BA1834">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现有项目只设立</w:t>
            </w:r>
            <w:r>
              <w:rPr>
                <w:rFonts w:hint="eastAsia" w:cs="Times New Roman"/>
                <w:color w:val="auto"/>
                <w:highlight w:val="none"/>
                <w:lang w:val="en-US" w:eastAsia="zh-CN"/>
              </w:rPr>
              <w:t>有动物</w:t>
            </w:r>
            <w:r>
              <w:rPr>
                <w:rFonts w:hint="eastAsia" w:ascii="Times New Roman" w:hAnsi="Times New Roman" w:eastAsia="宋体" w:cs="Times New Roman"/>
                <w:color w:val="auto"/>
                <w:highlight w:val="none"/>
              </w:rPr>
              <w:t>疾病预防、诊治</w:t>
            </w:r>
            <w:r>
              <w:rPr>
                <w:rFonts w:hint="eastAsia" w:cs="Times New Roman"/>
                <w:color w:val="auto"/>
                <w:highlight w:val="none"/>
                <w:lang w:eastAsia="zh-CN"/>
              </w:rPr>
              <w:t>，</w:t>
            </w:r>
            <w:r>
              <w:rPr>
                <w:rFonts w:hint="eastAsia" w:cs="Times New Roman"/>
                <w:color w:val="auto"/>
                <w:highlight w:val="none"/>
                <w:lang w:val="en-US" w:eastAsia="zh-CN"/>
              </w:rPr>
              <w:t>宠物美容洗护，手术（不含动物颅腔、胸腔和腹腔手术）</w:t>
            </w:r>
            <w:r>
              <w:rPr>
                <w:rFonts w:hint="eastAsia" w:ascii="Times New Roman" w:hAnsi="Times New Roman" w:eastAsia="宋体" w:cs="Times New Roman"/>
                <w:color w:val="auto"/>
                <w:highlight w:val="none"/>
                <w:lang w:val="en-US" w:eastAsia="zh-CN"/>
              </w:rPr>
              <w:t>和宠物用品销售等服务</w:t>
            </w:r>
            <w:r>
              <w:rPr>
                <w:rFonts w:hint="default" w:ascii="Times New Roman" w:hAnsi="Times New Roman" w:cs="Times New Roman"/>
                <w:color w:val="auto"/>
                <w:highlight w:val="none"/>
              </w:rPr>
              <w:t>，无需办理环境影响评价手续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本次评价根据现有项目资料及现场踏勘，对现有项目污染物产排情况进行分析。 </w:t>
            </w:r>
          </w:p>
          <w:p w14:paraId="60AD1A69">
            <w:pPr>
              <w:pStyle w:val="19"/>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（1）废气 </w:t>
            </w:r>
          </w:p>
          <w:p w14:paraId="10CB0019">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院内不设置食堂，无油烟废气产生</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院内</w:t>
            </w:r>
            <w:r>
              <w:rPr>
                <w:rFonts w:hint="default" w:ascii="Times New Roman" w:hAnsi="Times New Roman" w:cs="Times New Roman"/>
                <w:color w:val="auto"/>
                <w:highlight w:val="none"/>
                <w:lang w:val="en-US" w:eastAsia="zh-CN"/>
              </w:rPr>
              <w:t>已安装新风系统，</w:t>
            </w:r>
            <w:r>
              <w:rPr>
                <w:rFonts w:hint="default" w:ascii="Times New Roman" w:hAnsi="Times New Roman" w:cs="Times New Roman"/>
                <w:color w:val="auto"/>
                <w:highlight w:val="none"/>
              </w:rPr>
              <w:t>宠物住院产生少量异味，通过及时清理动物粪便</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喷洒空气净化剂除臭，可有效去除异味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同时加强</w:t>
            </w:r>
            <w:r>
              <w:rPr>
                <w:rFonts w:hint="eastAsia" w:cs="Times New Roman"/>
                <w:color w:val="auto"/>
                <w:highlight w:val="none"/>
                <w:lang w:val="en-US" w:eastAsia="zh-CN"/>
              </w:rPr>
              <w:t>院内</w:t>
            </w:r>
            <w:r>
              <w:rPr>
                <w:rFonts w:hint="default" w:ascii="Times New Roman" w:hAnsi="Times New Roman" w:cs="Times New Roman"/>
                <w:color w:val="auto"/>
                <w:highlight w:val="none"/>
              </w:rPr>
              <w:t xml:space="preserve">通风换气，达到净化室内空气的目的。 </w:t>
            </w:r>
          </w:p>
          <w:p w14:paraId="78F25661">
            <w:pPr>
              <w:pStyle w:val="19"/>
              <w:spacing w:after="0" w:line="360" w:lineRule="auto"/>
              <w:ind w:firstLine="48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（2）废水 </w:t>
            </w:r>
          </w:p>
          <w:p w14:paraId="48829228">
            <w:pPr>
              <w:pStyle w:val="61"/>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①生活污水</w:t>
            </w:r>
          </w:p>
          <w:p w14:paraId="12887DA6">
            <w:pPr>
              <w:pStyle w:val="61"/>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医院员工人数</w:t>
            </w:r>
            <w:r>
              <w:rPr>
                <w:rFonts w:hint="eastAsia" w:ascii="Times New Roman" w:hAnsi="Times New Roman" w:eastAsia="宋体" w:cs="Times New Roman"/>
                <w:color w:val="auto"/>
                <w:highlight w:val="none"/>
                <w:lang w:val="en-US" w:eastAsia="zh-CN"/>
              </w:rPr>
              <w:t>18</w:t>
            </w:r>
            <w:r>
              <w:rPr>
                <w:rFonts w:hint="default" w:ascii="Times New Roman" w:hAnsi="Times New Roman" w:eastAsia="宋体" w:cs="Times New Roman"/>
                <w:color w:val="auto"/>
                <w:highlight w:val="none"/>
              </w:rPr>
              <w:t>人，均不在院内食宿，</w:t>
            </w:r>
            <w:r>
              <w:rPr>
                <w:rFonts w:hint="eastAsia" w:ascii="Times New Roman" w:hAnsi="Times New Roman" w:eastAsia="宋体" w:cs="Times New Roman"/>
                <w:color w:val="auto"/>
                <w:highlight w:val="none"/>
                <w:lang w:val="en-US" w:eastAsia="zh-CN"/>
              </w:rPr>
              <w:t>生活污水</w:t>
            </w:r>
            <w:r>
              <w:rPr>
                <w:rFonts w:hint="default" w:ascii="Times New Roman" w:hAnsi="Times New Roman" w:eastAsia="宋体" w:cs="Times New Roman"/>
                <w:color w:val="auto"/>
                <w:highlight w:val="none"/>
              </w:rPr>
              <w:t>经过卫生间以及各洗手台的下水管道进建筑原有化粪池</w:t>
            </w:r>
            <w:r>
              <w:rPr>
                <w:rFonts w:hint="default" w:ascii="Times New Roman" w:hAnsi="Times New Roman" w:eastAsia="宋体" w:cs="Times New Roman"/>
                <w:color w:val="auto"/>
                <w:highlight w:val="none"/>
                <w:lang w:val="en-US" w:eastAsia="zh-CN"/>
              </w:rPr>
              <w:t>预处理后</w:t>
            </w:r>
            <w:r>
              <w:rPr>
                <w:rFonts w:hint="default" w:ascii="Times New Roman" w:hAnsi="Times New Roman" w:eastAsia="宋体" w:cs="Times New Roman"/>
                <w:color w:val="auto"/>
                <w:highlight w:val="none"/>
              </w:rPr>
              <w:t>通过市政污水管网最终排入</w:t>
            </w:r>
            <w:r>
              <w:rPr>
                <w:rFonts w:hint="eastAsia" w:ascii="Times New Roman" w:hAnsi="Times New Roman" w:eastAsia="宋体" w:cs="Times New Roman"/>
                <w:color w:val="auto"/>
                <w:highlight w:val="none"/>
                <w:lang w:eastAsia="zh-CN"/>
              </w:rPr>
              <w:t>福清市融元污水处理厂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rPr>
              <w:t>。</w:t>
            </w:r>
          </w:p>
          <w:p w14:paraId="4F00C62B">
            <w:pPr>
              <w:pStyle w:val="19"/>
              <w:spacing w:after="0" w:line="360" w:lineRule="auto"/>
              <w:ind w:firstLine="480" w:firstLineChars="20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②</w:t>
            </w:r>
            <w:r>
              <w:rPr>
                <w:rFonts w:hint="default" w:ascii="Times New Roman" w:hAnsi="Times New Roman" w:cs="Times New Roman"/>
                <w:b w:val="0"/>
                <w:bCs w:val="0"/>
                <w:color w:val="auto"/>
                <w:highlight w:val="none"/>
                <w:lang w:val="en-US" w:eastAsia="zh-CN"/>
              </w:rPr>
              <w:t>诊疗</w:t>
            </w:r>
            <w:r>
              <w:rPr>
                <w:rFonts w:hint="eastAsia" w:cs="Times New Roman"/>
                <w:b w:val="0"/>
                <w:bCs w:val="0"/>
                <w:color w:val="auto"/>
                <w:highlight w:val="none"/>
                <w:lang w:val="en-US" w:eastAsia="zh-CN"/>
              </w:rPr>
              <w:t>废水</w:t>
            </w:r>
          </w:p>
          <w:p w14:paraId="7F0E0D98">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default" w:ascii="Times New Roman" w:hAnsi="Times New Roman" w:cs="Times New Roman"/>
                <w:color w:val="auto"/>
                <w:highlight w:val="none"/>
                <w:lang w:val="en-US" w:eastAsia="zh-CN"/>
              </w:rPr>
              <w:t>后</w:t>
            </w:r>
            <w:r>
              <w:rPr>
                <w:rFonts w:hint="eastAsia" w:cs="Times New Roman"/>
                <w:color w:val="auto"/>
                <w:highlight w:val="none"/>
                <w:lang w:val="en-US" w:eastAsia="zh-CN"/>
              </w:rPr>
              <w:t>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福清市融元污水处理厂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14:paraId="3C87FA5B">
            <w:pPr>
              <w:pStyle w:val="19"/>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（3）噪声 </w:t>
            </w:r>
          </w:p>
          <w:p w14:paraId="1CD66DFB">
            <w:pPr>
              <w:pStyle w:val="19"/>
              <w:wordWrap w:val="0"/>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现有项目运营过程中产生的噪声主要为偶发性宠物叫声，宠物叫声通过建筑隔声对周边环境影响较小，环评要求对就诊宠物猫、狗应及时投喂或安抚，避免人员挑衅</w:t>
            </w:r>
            <w:r>
              <w:rPr>
                <w:rFonts w:hint="eastAsia" w:cs="Times New Roman"/>
                <w:color w:val="auto"/>
                <w:highlight w:val="none"/>
                <w:lang w:eastAsia="zh-CN"/>
              </w:rPr>
              <w:t>。</w:t>
            </w:r>
            <w:r>
              <w:rPr>
                <w:rFonts w:hint="default" w:ascii="Times New Roman" w:hAnsi="Times New Roman" w:cs="Times New Roman"/>
                <w:color w:val="auto"/>
                <w:highlight w:val="none"/>
              </w:rPr>
              <w:t>现有项目所在商铺地址为</w:t>
            </w:r>
            <w:r>
              <w:rPr>
                <w:rFonts w:hint="eastAsia" w:cs="Times New Roman"/>
                <w:color w:val="auto"/>
                <w:highlight w:val="none"/>
                <w:lang w:eastAsia="zh-CN"/>
              </w:rPr>
              <w:t>福建省福清市宏路清盛大道21号中联江滨御景5号楼113号，115号，116号，117号，118号</w:t>
            </w:r>
            <w:r>
              <w:rPr>
                <w:rFonts w:hint="default" w:ascii="Times New Roman" w:hAnsi="Times New Roman" w:cs="Times New Roman"/>
                <w:color w:val="auto"/>
                <w:highlight w:val="none"/>
              </w:rPr>
              <w:t>，</w:t>
            </w:r>
            <w:r>
              <w:rPr>
                <w:rFonts w:hint="default" w:ascii="Times New Roman" w:hAnsi="Times New Roman" w:cs="Times New Roman"/>
                <w:color w:val="auto"/>
                <w:kern w:val="2"/>
                <w:sz w:val="24"/>
                <w:szCs w:val="24"/>
                <w:highlight w:val="none"/>
              </w:rPr>
              <w:t>福建</w:t>
            </w:r>
            <w:r>
              <w:rPr>
                <w:rFonts w:hint="default" w:ascii="Times New Roman" w:hAnsi="Times New Roman" w:cs="Times New Roman"/>
                <w:color w:val="auto"/>
                <w:kern w:val="2"/>
                <w:sz w:val="24"/>
                <w:szCs w:val="24"/>
                <w:highlight w:val="none"/>
                <w:lang w:val="en-US" w:eastAsia="zh-CN"/>
              </w:rPr>
              <w:t>山水环境检测</w:t>
            </w:r>
            <w:r>
              <w:rPr>
                <w:rFonts w:hint="default" w:ascii="Times New Roman" w:hAnsi="Times New Roman" w:cs="Times New Roman"/>
                <w:color w:val="auto"/>
                <w:kern w:val="2"/>
                <w:sz w:val="24"/>
                <w:szCs w:val="24"/>
                <w:highlight w:val="none"/>
              </w:rPr>
              <w:t>有限公司</w:t>
            </w:r>
            <w:r>
              <w:rPr>
                <w:rFonts w:hint="default" w:ascii="Times New Roman" w:hAnsi="Times New Roman" w:cs="Times New Roman"/>
                <w:color w:val="auto"/>
                <w:highlight w:val="none"/>
              </w:rPr>
              <w:t>于2024年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11</w:t>
            </w:r>
            <w:r>
              <w:rPr>
                <w:rFonts w:hint="default" w:ascii="Times New Roman" w:hAnsi="Times New Roman" w:cs="Times New Roman"/>
                <w:color w:val="auto"/>
                <w:highlight w:val="none"/>
                <w:lang w:val="en-US" w:eastAsia="zh-CN"/>
              </w:rPr>
              <w:t>日</w:t>
            </w:r>
            <w:r>
              <w:rPr>
                <w:rFonts w:hint="default" w:ascii="Times New Roman" w:hAnsi="Times New Roman" w:cs="Times New Roman"/>
                <w:color w:val="auto"/>
                <w:highlight w:val="none"/>
              </w:rPr>
              <w:t>对现有项目周围声环境现状进行了监测，</w:t>
            </w:r>
            <w:r>
              <w:rPr>
                <w:rFonts w:hint="eastAsia" w:cs="Times New Roman"/>
                <w:color w:val="auto"/>
                <w:highlight w:val="none"/>
                <w:lang w:val="en-US" w:eastAsia="zh-CN"/>
              </w:rPr>
              <w:t>项目环境噪声</w:t>
            </w:r>
            <w:r>
              <w:rPr>
                <w:rFonts w:hint="eastAsia"/>
                <w:color w:val="auto"/>
                <w:highlight w:val="none"/>
                <w:lang w:val="en-US" w:eastAsia="zh-CN"/>
              </w:rPr>
              <w:t>监测值</w:t>
            </w:r>
            <w:r>
              <w:rPr>
                <w:rFonts w:hint="default" w:ascii="Times New Roman" w:hAnsi="Times New Roman" w:cs="Times New Roman"/>
                <w:color w:val="auto"/>
                <w:highlight w:val="none"/>
              </w:rPr>
              <w:t>满足</w:t>
            </w:r>
            <w:r>
              <w:rPr>
                <w:rFonts w:hint="eastAsia" w:cs="Times New Roman"/>
                <w:b w:val="0"/>
                <w:bCs/>
                <w:color w:val="auto"/>
                <w:highlight w:val="none"/>
                <w:lang w:val="en-US" w:eastAsia="zh-CN"/>
              </w:rPr>
              <w:t>《社会生活环境噪声排放标准》（GB 22337-2008）</w:t>
            </w:r>
            <w:r>
              <w:rPr>
                <w:rFonts w:hint="default" w:ascii="Times New Roman" w:hAnsi="Times New Roman" w:cs="Times New Roman"/>
                <w:color w:val="auto"/>
                <w:highlight w:val="none"/>
              </w:rPr>
              <w:t>中</w:t>
            </w:r>
            <w:r>
              <w:rPr>
                <w:rFonts w:hint="eastAsia" w:cs="Times New Roman"/>
                <w:color w:val="auto"/>
                <w:highlight w:val="none"/>
                <w:lang w:val="en-US" w:eastAsia="zh-CN"/>
              </w:rPr>
              <w:t>噪声</w:t>
            </w:r>
            <w:r>
              <w:rPr>
                <w:rFonts w:hint="default" w:ascii="Times New Roman" w:hAnsi="Times New Roman" w:cs="Times New Roman"/>
                <w:color w:val="auto"/>
                <w:highlight w:val="none"/>
              </w:rPr>
              <w:t>满足2类标准</w:t>
            </w:r>
            <w:r>
              <w:rPr>
                <w:rFonts w:hint="eastAsia"/>
                <w:color w:val="auto"/>
                <w:highlight w:val="none"/>
                <w:lang w:eastAsia="zh-CN"/>
              </w:rPr>
              <w:t>，</w:t>
            </w:r>
            <w:r>
              <w:rPr>
                <w:rFonts w:hint="eastAsia"/>
                <w:color w:val="auto"/>
                <w:highlight w:val="none"/>
                <w:lang w:val="en-US" w:eastAsia="zh-CN"/>
              </w:rPr>
              <w:t>靠近杨周路一侧噪声监测值满足</w:t>
            </w:r>
            <w:r>
              <w:rPr>
                <w:rFonts w:hint="eastAsia" w:cs="Times New Roman"/>
                <w:color w:val="auto"/>
                <w:highlight w:val="none"/>
                <w:lang w:eastAsia="zh-CN"/>
              </w:rPr>
              <w:t>4类</w:t>
            </w:r>
            <w:r>
              <w:rPr>
                <w:rFonts w:hint="default" w:ascii="Times New Roman" w:hAnsi="Times New Roman" w:cs="Times New Roman"/>
                <w:color w:val="auto"/>
                <w:highlight w:val="none"/>
              </w:rPr>
              <w:t>标准。因此，现有项目运营期间噪声对周围环境影响较小。</w:t>
            </w:r>
          </w:p>
          <w:p w14:paraId="6850A364">
            <w:pPr>
              <w:pStyle w:val="19"/>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（4）固废</w:t>
            </w:r>
          </w:p>
          <w:p w14:paraId="6A653BB6">
            <w:pPr>
              <w:pStyle w:val="19"/>
              <w:spacing w:after="0"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现有项目运营过程中产生的固废主要为生活垃圾</w:t>
            </w:r>
            <w:r>
              <w:rPr>
                <w:rFonts w:hint="eastAsia" w:cs="Times New Roman"/>
                <w:color w:val="auto"/>
                <w:highlight w:val="none"/>
                <w:lang w:val="en-US" w:eastAsia="zh-CN"/>
              </w:rPr>
              <w:t>、</w:t>
            </w:r>
            <w:r>
              <w:rPr>
                <w:rFonts w:hint="default" w:ascii="Times New Roman" w:hAnsi="Times New Roman" w:cs="Times New Roman"/>
                <w:color w:val="auto"/>
                <w:highlight w:val="none"/>
                <w:lang w:eastAsia="zh-CN"/>
              </w:rPr>
              <w:t>诊疗废物</w:t>
            </w:r>
            <w:r>
              <w:rPr>
                <w:rFonts w:hint="eastAsia"/>
                <w:color w:val="auto"/>
                <w:highlight w:val="none"/>
                <w:lang w:val="en-US" w:eastAsia="zh-CN"/>
              </w:rPr>
              <w:t>和化验废液</w:t>
            </w:r>
            <w:r>
              <w:rPr>
                <w:rFonts w:hint="eastAsia" w:cs="Times New Roman"/>
                <w:color w:val="auto"/>
                <w:highlight w:val="none"/>
                <w:lang w:val="en-US" w:eastAsia="zh-CN"/>
              </w:rPr>
              <w:t>。</w:t>
            </w:r>
          </w:p>
          <w:p w14:paraId="64097EE3">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①生活垃圾</w:t>
            </w:r>
          </w:p>
          <w:p w14:paraId="61E4CF79">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医院聘用员工</w:t>
            </w:r>
            <w:r>
              <w:rPr>
                <w:rFonts w:hint="eastAsia" w:ascii="Times New Roman" w:hAnsi="Times New Roman" w:eastAsia="宋体" w:cs="Times New Roman"/>
                <w:color w:val="auto"/>
                <w:szCs w:val="24"/>
                <w:highlight w:val="none"/>
                <w:lang w:val="en-US" w:eastAsia="zh-CN"/>
              </w:rPr>
              <w:t>18</w:t>
            </w:r>
            <w:r>
              <w:rPr>
                <w:rFonts w:hint="default" w:ascii="Times New Roman" w:hAnsi="Times New Roman" w:eastAsia="宋体" w:cs="Times New Roman"/>
                <w:color w:val="auto"/>
                <w:szCs w:val="24"/>
                <w:highlight w:val="none"/>
              </w:rPr>
              <w:t>人，均无住宿。</w:t>
            </w:r>
            <w:r>
              <w:rPr>
                <w:rFonts w:hint="default" w:ascii="Times New Roman" w:hAnsi="Times New Roman" w:eastAsia="宋体" w:cs="Times New Roman"/>
                <w:color w:val="auto"/>
                <w:szCs w:val="24"/>
                <w:highlight w:val="none"/>
                <w:lang w:val="en-US" w:eastAsia="zh-CN"/>
              </w:rPr>
              <w:t>医院</w:t>
            </w:r>
            <w:r>
              <w:rPr>
                <w:rFonts w:hint="default" w:ascii="Times New Roman" w:hAnsi="Times New Roman" w:eastAsia="宋体" w:cs="Times New Roman"/>
                <w:color w:val="auto"/>
                <w:szCs w:val="24"/>
                <w:highlight w:val="none"/>
              </w:rPr>
              <w:t>年</w:t>
            </w:r>
            <w:r>
              <w:rPr>
                <w:rFonts w:hint="default" w:ascii="Times New Roman" w:hAnsi="Times New Roman" w:eastAsia="宋体" w:cs="Times New Roman"/>
                <w:color w:val="auto"/>
                <w:szCs w:val="24"/>
                <w:highlight w:val="none"/>
                <w:lang w:val="en-US" w:eastAsia="zh-CN"/>
              </w:rPr>
              <w:t>营业</w:t>
            </w:r>
            <w:r>
              <w:rPr>
                <w:rFonts w:hint="eastAsia" w:ascii="Times New Roman" w:hAnsi="Times New Roman" w:eastAsia="宋体" w:cs="Times New Roman"/>
                <w:color w:val="auto"/>
                <w:szCs w:val="24"/>
                <w:highlight w:val="none"/>
                <w:lang w:val="en-US" w:eastAsia="zh-CN"/>
              </w:rPr>
              <w:t>365</w:t>
            </w:r>
            <w:r>
              <w:rPr>
                <w:rFonts w:hint="default" w:ascii="Times New Roman" w:hAnsi="Times New Roman" w:eastAsia="宋体" w:cs="Times New Roman"/>
                <w:color w:val="auto"/>
                <w:szCs w:val="24"/>
                <w:highlight w:val="none"/>
              </w:rPr>
              <w:t>天</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生活垃圾量按0.5kg/人·d，则现有项目生活垃圾产生量为</w:t>
            </w:r>
            <w:r>
              <w:rPr>
                <w:rFonts w:hint="eastAsia" w:ascii="Times New Roman" w:hAnsi="Times New Roman" w:eastAsia="宋体" w:cs="Times New Roman"/>
                <w:color w:val="auto"/>
                <w:szCs w:val="24"/>
                <w:highlight w:val="none"/>
                <w:lang w:val="en-US" w:eastAsia="zh-CN"/>
              </w:rPr>
              <w:t>3.285</w:t>
            </w:r>
            <w:r>
              <w:rPr>
                <w:rFonts w:hint="default" w:ascii="Times New Roman" w:hAnsi="Times New Roman" w:eastAsia="宋体" w:cs="Times New Roman"/>
                <w:color w:val="auto"/>
                <w:szCs w:val="24"/>
                <w:highlight w:val="none"/>
              </w:rPr>
              <w:t>t/a。</w:t>
            </w:r>
          </w:p>
          <w:p w14:paraId="7607F844">
            <w:pPr>
              <w:pStyle w:val="159"/>
              <w:ind w:left="480" w:leftChars="200" w:firstLine="0" w:firstLineChars="0"/>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rPr>
              <w:t>②</w:t>
            </w:r>
            <w:r>
              <w:rPr>
                <w:rFonts w:hint="default" w:ascii="Times New Roman" w:hAnsi="Times New Roman" w:eastAsia="宋体" w:cs="Times New Roman"/>
                <w:color w:val="auto"/>
                <w:szCs w:val="24"/>
                <w:highlight w:val="none"/>
                <w:lang w:eastAsia="zh-CN"/>
              </w:rPr>
              <w:t>诊疗废物</w:t>
            </w:r>
          </w:p>
          <w:p w14:paraId="2A5DFDCB">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诊疗废物</w:t>
            </w:r>
            <w:r>
              <w:rPr>
                <w:rFonts w:hint="eastAsia" w:ascii="Times New Roman" w:hAnsi="Times New Roman" w:eastAsia="宋体" w:cs="Times New Roman"/>
                <w:color w:val="auto"/>
                <w:szCs w:val="24"/>
                <w:highlight w:val="none"/>
                <w:lang w:val="en-US" w:eastAsia="zh-CN"/>
              </w:rPr>
              <w:t>使用</w:t>
            </w:r>
            <w:r>
              <w:rPr>
                <w:rFonts w:hint="default" w:ascii="Times New Roman" w:hAnsi="Times New Roman" w:eastAsia="宋体" w:cs="Times New Roman"/>
                <w:color w:val="auto"/>
                <w:szCs w:val="24"/>
                <w:highlight w:val="none"/>
              </w:rPr>
              <w:t>医废垃圾桶分类收集，暂存危废间，</w:t>
            </w:r>
            <w:r>
              <w:rPr>
                <w:rFonts w:hint="eastAsia" w:ascii="Times New Roman" w:hAnsi="Times New Roman" w:eastAsia="宋体" w:cs="Times New Roman"/>
                <w:color w:val="auto"/>
                <w:szCs w:val="24"/>
                <w:highlight w:val="none"/>
                <w:lang w:val="en-US" w:eastAsia="zh-CN"/>
              </w:rPr>
              <w:t>由</w:t>
            </w:r>
            <w:r>
              <w:rPr>
                <w:rFonts w:hint="eastAsia" w:ascii="Times New Roman" w:hAnsi="Times New Roman" w:eastAsia="宋体" w:cs="Times New Roman"/>
                <w:color w:val="auto"/>
                <w:highlight w:val="none"/>
                <w:lang w:val="en-US" w:eastAsia="zh-CN"/>
              </w:rPr>
              <w:t>福建省固体废物处置有限公司</w:t>
            </w:r>
            <w:r>
              <w:rPr>
                <w:rFonts w:hint="default" w:ascii="Times New Roman" w:hAnsi="Times New Roman" w:eastAsia="宋体" w:cs="Times New Roman"/>
                <w:color w:val="auto"/>
                <w:szCs w:val="24"/>
                <w:highlight w:val="none"/>
                <w:lang w:eastAsia="zh-CN"/>
              </w:rPr>
              <w:t>定期清运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加强消毒和管理，并在避开高峰时段外运，对周围环境影响较小。</w:t>
            </w:r>
          </w:p>
          <w:p w14:paraId="33F53B20">
            <w:pPr>
              <w:pStyle w:val="159"/>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rPr>
              <w:t>③</w:t>
            </w:r>
            <w:r>
              <w:rPr>
                <w:rFonts w:hint="eastAsia" w:ascii="Times New Roman" w:hAnsi="Times New Roman" w:eastAsia="宋体" w:cs="Times New Roman"/>
                <w:color w:val="auto"/>
                <w:szCs w:val="24"/>
                <w:highlight w:val="none"/>
                <w:lang w:val="en-US" w:eastAsia="zh-CN"/>
              </w:rPr>
              <w:t>化验废液</w:t>
            </w:r>
          </w:p>
          <w:p w14:paraId="51062B06">
            <w:pPr>
              <w:pStyle w:val="159"/>
              <w:ind w:firstLine="480"/>
              <w:rPr>
                <w:rFonts w:hint="default"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highlight w:val="none"/>
                <w:lang w:val="en-US" w:eastAsia="zh-CN"/>
              </w:rPr>
              <w:t>化验废液收集后</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作危废处理，</w:t>
            </w:r>
            <w:r>
              <w:rPr>
                <w:rFonts w:hint="eastAsia" w:ascii="Times New Roman" w:hAnsi="Times New Roman" w:eastAsia="宋体" w:cs="Times New Roman"/>
                <w:color w:val="auto"/>
                <w:szCs w:val="24"/>
                <w:highlight w:val="none"/>
                <w:lang w:val="en-US" w:eastAsia="zh-CN"/>
              </w:rPr>
              <w:t>由</w:t>
            </w:r>
            <w:r>
              <w:rPr>
                <w:rFonts w:hint="eastAsia" w:ascii="Times New Roman" w:hAnsi="Times New Roman" w:eastAsia="宋体" w:cs="Times New Roman"/>
                <w:color w:val="auto"/>
                <w:highlight w:val="none"/>
                <w:lang w:val="en-US" w:eastAsia="zh-CN"/>
              </w:rPr>
              <w:t>福建省固体废物处置有限公司</w:t>
            </w:r>
            <w:r>
              <w:rPr>
                <w:rFonts w:hint="default" w:ascii="Times New Roman" w:hAnsi="Times New Roman" w:eastAsia="宋体" w:cs="Times New Roman"/>
                <w:color w:val="auto"/>
                <w:szCs w:val="24"/>
                <w:highlight w:val="none"/>
              </w:rPr>
              <w:t>定期清运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highlight w:val="none"/>
                <w:lang w:val="en-US" w:eastAsia="zh-CN"/>
              </w:rPr>
              <w:t xml:space="preserve">不外排。 </w:t>
            </w:r>
          </w:p>
          <w:p w14:paraId="68F2048B">
            <w:pPr>
              <w:pStyle w:val="19"/>
              <w:spacing w:after="0"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（5）电磁辐射</w:t>
            </w:r>
          </w:p>
          <w:p w14:paraId="1119B002">
            <w:pPr>
              <w:pStyle w:val="19"/>
              <w:spacing w:after="0" w:line="360" w:lineRule="auto"/>
              <w:ind w:firstLine="480" w:firstLineChars="200"/>
              <w:rPr>
                <w:rFonts w:hint="default" w:ascii="Times New Roman" w:hAnsi="Times New Roman" w:cs="Times New Roman"/>
                <w:color w:val="auto"/>
                <w:szCs w:val="32"/>
                <w:highlight w:val="none"/>
              </w:rPr>
            </w:pPr>
            <w:r>
              <w:rPr>
                <w:rFonts w:hint="default" w:ascii="Times New Roman" w:hAnsi="Times New Roman" w:cs="Times New Roman"/>
                <w:color w:val="auto"/>
                <w:highlight w:val="none"/>
              </w:rPr>
              <w:t>现有项目</w:t>
            </w:r>
            <w:r>
              <w:rPr>
                <w:rFonts w:hint="eastAsia" w:cs="Times New Roman"/>
                <w:color w:val="auto"/>
                <w:highlight w:val="none"/>
                <w:lang w:eastAsia="zh-CN"/>
              </w:rPr>
              <w:t>射线装置</w:t>
            </w:r>
            <w:r>
              <w:rPr>
                <w:rFonts w:hint="default" w:ascii="Times New Roman" w:hAnsi="Times New Roman" w:cs="Times New Roman"/>
                <w:color w:val="auto"/>
                <w:highlight w:val="none"/>
              </w:rPr>
              <w:t>已取得辐射安全许可证（</w:t>
            </w:r>
            <w:r>
              <w:rPr>
                <w:rFonts w:hint="default" w:ascii="Times New Roman" w:hAnsi="Times New Roman" w:eastAsia="宋体" w:cs="Times New Roman"/>
                <w:color w:val="auto"/>
                <w:szCs w:val="24"/>
                <w:highlight w:val="none"/>
                <w:lang w:val="en-US" w:eastAsia="zh-CN"/>
              </w:rPr>
              <w:t>证书编号：闽环辐证</w:t>
            </w:r>
            <w:r>
              <w:rPr>
                <w:rFonts w:hint="eastAsia" w:cs="Times New Roman"/>
                <w:color w:val="auto"/>
                <w:szCs w:val="24"/>
                <w:highlight w:val="none"/>
                <w:lang w:val="en-US" w:eastAsia="zh-CN"/>
              </w:rPr>
              <w:t>[A0590]</w:t>
            </w:r>
            <w:r>
              <w:rPr>
                <w:rFonts w:hint="default" w:ascii="Times New Roman" w:hAnsi="Times New Roman" w:cs="Times New Roman"/>
                <w:color w:val="auto"/>
                <w:highlight w:val="none"/>
              </w:rPr>
              <w:t>），医院委托有辐射监测资质单位每年对辐射工作场所进行辐射环境监测，辐射工作人员已经过辐射防护专业训练并在操作过程中佩戴个人剂量计，以尽量减少辐射对宠物及工作人员的影响。</w:t>
            </w:r>
          </w:p>
          <w:p w14:paraId="75B9B32D">
            <w:pPr>
              <w:pStyle w:val="61"/>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color w:val="auto"/>
                <w:kern w:val="2"/>
                <w:szCs w:val="32"/>
                <w:highlight w:val="none"/>
              </w:rPr>
              <w:t>现有项目产污环节及污染物清单见表2-10所示。</w:t>
            </w:r>
          </w:p>
          <w:p w14:paraId="3DD5A51E">
            <w:pPr>
              <w:pStyle w:val="61"/>
              <w:spacing w:line="240" w:lineRule="auto"/>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表2-10  现有项目产污环节及污染物清单</w:t>
            </w:r>
          </w:p>
          <w:tbl>
            <w:tblPr>
              <w:tblStyle w:val="51"/>
              <w:tblW w:w="89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650"/>
              <w:gridCol w:w="2168"/>
              <w:gridCol w:w="4288"/>
            </w:tblGrid>
            <w:tr w14:paraId="7950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top w:val="single" w:color="auto" w:sz="12" w:space="0"/>
                    <w:left w:val="nil"/>
                    <w:bottom w:val="single" w:color="auto" w:sz="4" w:space="0"/>
                    <w:right w:val="single" w:color="auto" w:sz="4" w:space="0"/>
                  </w:tcBorders>
                </w:tcPr>
                <w:p w14:paraId="2CBDE9DE">
                  <w:pPr>
                    <w:pStyle w:val="61"/>
                    <w:spacing w:beforeLines="50"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1650" w:type="dxa"/>
                  <w:tcBorders>
                    <w:top w:val="single" w:color="auto" w:sz="12" w:space="0"/>
                    <w:left w:val="single" w:color="auto" w:sz="4" w:space="0"/>
                    <w:bottom w:val="single" w:color="auto" w:sz="4" w:space="0"/>
                    <w:right w:val="single" w:color="auto" w:sz="4" w:space="0"/>
                  </w:tcBorders>
                </w:tcPr>
                <w:p w14:paraId="623D1B82">
                  <w:pPr>
                    <w:pStyle w:val="61"/>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污染源或污染工序</w:t>
                  </w:r>
                </w:p>
              </w:tc>
              <w:tc>
                <w:tcPr>
                  <w:tcW w:w="2168" w:type="dxa"/>
                  <w:tcBorders>
                    <w:top w:val="single" w:color="auto" w:sz="12" w:space="0"/>
                    <w:left w:val="single" w:color="auto" w:sz="4" w:space="0"/>
                    <w:bottom w:val="single" w:color="auto" w:sz="4" w:space="0"/>
                    <w:right w:val="single" w:color="auto" w:sz="4" w:space="0"/>
                  </w:tcBorders>
                </w:tcPr>
                <w:p w14:paraId="209B11BB">
                  <w:pPr>
                    <w:pStyle w:val="61"/>
                    <w:spacing w:beforeLines="50"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污染因子</w:t>
                  </w:r>
                </w:p>
              </w:tc>
              <w:tc>
                <w:tcPr>
                  <w:tcW w:w="4288" w:type="dxa"/>
                  <w:tcBorders>
                    <w:top w:val="single" w:color="auto" w:sz="12" w:space="0"/>
                    <w:left w:val="single" w:color="auto" w:sz="4" w:space="0"/>
                    <w:bottom w:val="single" w:color="auto" w:sz="4" w:space="0"/>
                    <w:right w:val="nil"/>
                  </w:tcBorders>
                </w:tcPr>
                <w:p w14:paraId="7FFF70ED">
                  <w:pPr>
                    <w:pStyle w:val="61"/>
                    <w:spacing w:beforeLines="50"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治理措施及排放去向</w:t>
                  </w:r>
                </w:p>
              </w:tc>
            </w:tr>
            <w:tr w14:paraId="374C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13" w:type="dxa"/>
                  <w:vMerge w:val="restart"/>
                  <w:tcBorders>
                    <w:top w:val="single" w:color="auto" w:sz="4" w:space="0"/>
                    <w:left w:val="nil"/>
                    <w:right w:val="single" w:color="auto" w:sz="4" w:space="0"/>
                  </w:tcBorders>
                </w:tcPr>
                <w:p w14:paraId="475319E0">
                  <w:pPr>
                    <w:pStyle w:val="61"/>
                    <w:keepNext w:val="0"/>
                    <w:keepLines w:val="0"/>
                    <w:pageBreakBefore w:val="0"/>
                    <w:widowControl w:val="0"/>
                    <w:kinsoku/>
                    <w:wordWrap/>
                    <w:overflowPunct/>
                    <w:topLinePunct w:val="0"/>
                    <w:autoSpaceDE/>
                    <w:autoSpaceDN/>
                    <w:bidi w:val="0"/>
                    <w:adjustRightInd/>
                    <w:snapToGrid/>
                    <w:spacing w:before="919" w:beforeLines="2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1650" w:type="dxa"/>
                  <w:tcBorders>
                    <w:top w:val="single" w:color="auto" w:sz="4" w:space="0"/>
                    <w:left w:val="single" w:color="auto" w:sz="4" w:space="0"/>
                    <w:bottom w:val="single" w:color="auto" w:sz="4" w:space="0"/>
                    <w:right w:val="single" w:color="auto" w:sz="4" w:space="0"/>
                  </w:tcBorders>
                </w:tcPr>
                <w:p w14:paraId="52F04D34">
                  <w:pPr>
                    <w:pStyle w:val="61"/>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生活污水</w:t>
                  </w:r>
                </w:p>
              </w:tc>
              <w:tc>
                <w:tcPr>
                  <w:tcW w:w="2168" w:type="dxa"/>
                  <w:tcBorders>
                    <w:top w:val="single" w:color="auto" w:sz="4" w:space="0"/>
                    <w:left w:val="single" w:color="auto" w:sz="4" w:space="0"/>
                    <w:right w:val="single" w:color="auto" w:sz="4" w:space="0"/>
                  </w:tcBorders>
                </w:tcPr>
                <w:p w14:paraId="3505A1CB">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pH、COD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-N、SS</w:t>
                  </w:r>
                </w:p>
              </w:tc>
              <w:tc>
                <w:tcPr>
                  <w:tcW w:w="4288" w:type="dxa"/>
                  <w:tcBorders>
                    <w:top w:val="single" w:color="auto" w:sz="4" w:space="0"/>
                    <w:left w:val="single" w:color="auto" w:sz="4" w:space="0"/>
                    <w:right w:val="nil"/>
                  </w:tcBorders>
                </w:tcPr>
                <w:p w14:paraId="4EE70A98">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生活污水排入化粪池</w:t>
                  </w:r>
                  <w:r>
                    <w:rPr>
                      <w:rFonts w:hint="default" w:ascii="Times New Roman" w:hAnsi="Times New Roman" w:eastAsia="宋体" w:cs="Times New Roman"/>
                      <w:color w:val="auto"/>
                      <w:kern w:val="2"/>
                      <w:sz w:val="21"/>
                      <w:szCs w:val="21"/>
                      <w:highlight w:val="none"/>
                      <w:lang w:val="en-US" w:eastAsia="zh-CN"/>
                    </w:rPr>
                    <w:t>预处理后</w:t>
                  </w:r>
                  <w:r>
                    <w:rPr>
                      <w:rFonts w:hint="eastAsia" w:ascii="Times New Roman" w:hAnsi="Times New Roman" w:eastAsia="宋体" w:cs="Times New Roman"/>
                      <w:color w:val="auto"/>
                      <w:kern w:val="2"/>
                      <w:sz w:val="21"/>
                      <w:szCs w:val="21"/>
                      <w:highlight w:val="none"/>
                      <w:lang w:val="en-US" w:eastAsia="zh-CN"/>
                    </w:rPr>
                    <w:t>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福清市融元污水处理厂</w:t>
                  </w:r>
                  <w:r>
                    <w:rPr>
                      <w:rFonts w:hint="default" w:ascii="Times New Roman" w:hAnsi="Times New Roman" w:eastAsia="宋体" w:cs="Times New Roman"/>
                      <w:color w:val="auto"/>
                      <w:kern w:val="2"/>
                      <w:sz w:val="21"/>
                      <w:szCs w:val="21"/>
                      <w:highlight w:val="none"/>
                      <w:lang w:val="en-US" w:eastAsia="zh-CN"/>
                    </w:rPr>
                    <w:t>集中处理</w:t>
                  </w:r>
                </w:p>
              </w:tc>
            </w:tr>
            <w:tr w14:paraId="2E26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3" w:type="dxa"/>
                  <w:vMerge w:val="continue"/>
                  <w:tcBorders>
                    <w:left w:val="nil"/>
                    <w:right w:val="single" w:color="auto" w:sz="4" w:space="0"/>
                  </w:tcBorders>
                </w:tcPr>
                <w:p w14:paraId="66D4CDFA">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top w:val="single" w:color="auto" w:sz="4" w:space="0"/>
                    <w:left w:val="single" w:color="auto" w:sz="4" w:space="0"/>
                    <w:right w:val="single" w:color="auto" w:sz="4" w:space="0"/>
                  </w:tcBorders>
                </w:tcPr>
                <w:p w14:paraId="7DAC66D7">
                  <w:pPr>
                    <w:pStyle w:val="61"/>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诊疗废水</w:t>
                  </w:r>
                </w:p>
              </w:tc>
              <w:tc>
                <w:tcPr>
                  <w:tcW w:w="2168" w:type="dxa"/>
                  <w:tcBorders>
                    <w:left w:val="single" w:color="auto" w:sz="4" w:space="0"/>
                    <w:right w:val="single" w:color="auto" w:sz="4" w:space="0"/>
                  </w:tcBorders>
                  <w:vAlign w:val="top"/>
                </w:tcPr>
                <w:p w14:paraId="3E326195">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vertAlign w:val="baseline"/>
                      <w:lang w:val="en-US" w:eastAsia="zh-CN"/>
                    </w:rPr>
                    <w:t>pH、COD</w:t>
                  </w:r>
                  <w:r>
                    <w:rPr>
                      <w:rFonts w:hint="eastAsia" w:ascii="Times New Roman" w:hAnsi="Times New Roman" w:eastAsia="宋体" w:cs="Times New Roman"/>
                      <w:b w:val="0"/>
                      <w:bCs w:val="0"/>
                      <w:color w:val="auto"/>
                      <w:kern w:val="2"/>
                      <w:sz w:val="21"/>
                      <w:szCs w:val="21"/>
                      <w:highlight w:val="none"/>
                      <w:vertAlign w:val="subscript"/>
                      <w:lang w:val="en-US" w:eastAsia="zh-CN"/>
                    </w:rPr>
                    <w:t>Cr</w:t>
                  </w:r>
                  <w:r>
                    <w:rPr>
                      <w:rFonts w:hint="default" w:ascii="Times New Roman" w:hAnsi="Times New Roman" w:eastAsia="宋体" w:cs="Times New Roman"/>
                      <w:b w:val="0"/>
                      <w:bCs w:val="0"/>
                      <w:color w:val="auto"/>
                      <w:kern w:val="2"/>
                      <w:sz w:val="21"/>
                      <w:szCs w:val="21"/>
                      <w:highlight w:val="none"/>
                      <w:vertAlign w:val="baseline"/>
                      <w:lang w:val="en-US" w:eastAsia="zh-CN"/>
                    </w:rPr>
                    <w:t>、BOD</w:t>
                  </w:r>
                  <w:r>
                    <w:rPr>
                      <w:rFonts w:hint="default" w:ascii="Times New Roman" w:hAnsi="Times New Roman" w:eastAsia="宋体" w:cs="Times New Roman"/>
                      <w:b w:val="0"/>
                      <w:bCs w:val="0"/>
                      <w:color w:val="auto"/>
                      <w:kern w:val="2"/>
                      <w:sz w:val="21"/>
                      <w:szCs w:val="21"/>
                      <w:highlight w:val="none"/>
                      <w:vertAlign w:val="subscript"/>
                      <w:lang w:val="en-US" w:eastAsia="zh-CN"/>
                    </w:rPr>
                    <w:t>5</w:t>
                  </w:r>
                  <w:r>
                    <w:rPr>
                      <w:rFonts w:hint="default" w:ascii="Times New Roman" w:hAnsi="Times New Roman" w:eastAsia="宋体" w:cs="Times New Roman"/>
                      <w:b w:val="0"/>
                      <w:bCs w:val="0"/>
                      <w:color w:val="auto"/>
                      <w:kern w:val="2"/>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baseline"/>
                      <w:lang w:val="en-US" w:eastAsia="zh-CN"/>
                    </w:rPr>
                    <w:t>-N、SS、</w:t>
                  </w:r>
                  <w:r>
                    <w:rPr>
                      <w:rFonts w:hint="eastAsia" w:ascii="Times New Roman" w:hAnsi="Times New Roman" w:eastAsia="宋体" w:cs="Times New Roman"/>
                      <w:color w:val="auto"/>
                      <w:sz w:val="21"/>
                      <w:szCs w:val="21"/>
                      <w:highlight w:val="none"/>
                      <w:vertAlign w:val="baseline"/>
                      <w:lang w:val="en-US" w:eastAsia="zh-CN"/>
                    </w:rPr>
                    <w:t>粪大肠菌群</w:t>
                  </w:r>
                </w:p>
              </w:tc>
              <w:tc>
                <w:tcPr>
                  <w:tcW w:w="4288" w:type="dxa"/>
                  <w:tcBorders>
                    <w:left w:val="single" w:color="auto" w:sz="4" w:space="0"/>
                    <w:right w:val="nil"/>
                  </w:tcBorders>
                  <w:vAlign w:val="top"/>
                </w:tcPr>
                <w:p w14:paraId="19F2919D">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诊疗废水</w:t>
                  </w:r>
                  <w:r>
                    <w:rPr>
                      <w:rFonts w:hint="default" w:ascii="Times New Roman" w:hAnsi="Times New Roman" w:eastAsia="宋体" w:cs="Times New Roman"/>
                      <w:color w:val="auto"/>
                      <w:kern w:val="2"/>
                      <w:sz w:val="21"/>
                      <w:szCs w:val="21"/>
                      <w:highlight w:val="none"/>
                      <w:lang w:val="en-US" w:eastAsia="zh-CN"/>
                    </w:rPr>
                    <w:t>经消毒设备消毒</w:t>
                  </w:r>
                  <w:r>
                    <w:rPr>
                      <w:rFonts w:hint="eastAsia" w:ascii="Times New Roman" w:hAnsi="Times New Roman" w:eastAsia="宋体" w:cs="Times New Roman"/>
                      <w:color w:val="auto"/>
                      <w:kern w:val="2"/>
                      <w:sz w:val="21"/>
                      <w:szCs w:val="21"/>
                      <w:highlight w:val="none"/>
                      <w:lang w:val="en-US" w:eastAsia="zh-CN"/>
                    </w:rPr>
                    <w:t>排入</w:t>
                  </w:r>
                  <w:r>
                    <w:rPr>
                      <w:rFonts w:hint="default" w:ascii="Times New Roman" w:hAnsi="Times New Roman" w:eastAsia="宋体" w:cs="Times New Roman"/>
                      <w:color w:val="auto"/>
                      <w:kern w:val="2"/>
                      <w:sz w:val="21"/>
                      <w:szCs w:val="21"/>
                      <w:highlight w:val="none"/>
                      <w:lang w:val="en-US" w:eastAsia="zh-CN"/>
                    </w:rPr>
                    <w:t>化粪池</w:t>
                  </w:r>
                  <w:r>
                    <w:rPr>
                      <w:rFonts w:hint="eastAsia" w:ascii="Times New Roman" w:hAnsi="Times New Roman" w:eastAsia="宋体" w:cs="Times New Roman"/>
                      <w:color w:val="auto"/>
                      <w:kern w:val="2"/>
                      <w:sz w:val="21"/>
                      <w:szCs w:val="21"/>
                      <w:highlight w:val="none"/>
                      <w:lang w:val="en-US" w:eastAsia="zh-CN"/>
                    </w:rPr>
                    <w:t>处理后统一纳入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福清市融元污水处理厂</w:t>
                  </w:r>
                  <w:r>
                    <w:rPr>
                      <w:rFonts w:hint="default" w:ascii="Times New Roman" w:hAnsi="Times New Roman" w:eastAsia="宋体" w:cs="Times New Roman"/>
                      <w:color w:val="auto"/>
                      <w:kern w:val="2"/>
                      <w:sz w:val="21"/>
                      <w:szCs w:val="21"/>
                      <w:highlight w:val="none"/>
                      <w:lang w:val="en-US" w:eastAsia="zh-CN"/>
                    </w:rPr>
                    <w:t>集中处理</w:t>
                  </w:r>
                </w:p>
              </w:tc>
            </w:tr>
            <w:tr w14:paraId="7948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3" w:type="dxa"/>
                  <w:tcBorders>
                    <w:left w:val="nil"/>
                  </w:tcBorders>
                </w:tcPr>
                <w:p w14:paraId="776B5C31">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1650" w:type="dxa"/>
                </w:tcPr>
                <w:p w14:paraId="7848BE29">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0"/>
                      <w:highlight w:val="none"/>
                    </w:rPr>
                    <w:t>宠物就诊产生少量异味</w:t>
                  </w:r>
                </w:p>
              </w:tc>
              <w:tc>
                <w:tcPr>
                  <w:tcW w:w="2168" w:type="dxa"/>
                </w:tcPr>
                <w:p w14:paraId="2D9E68D5">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臭气浓度、H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S、NH</w:t>
                  </w:r>
                  <w:r>
                    <w:rPr>
                      <w:rFonts w:hint="default" w:ascii="Times New Roman" w:hAnsi="Times New Roman" w:eastAsia="宋体" w:cs="Times New Roman"/>
                      <w:color w:val="auto"/>
                      <w:kern w:val="2"/>
                      <w:sz w:val="21"/>
                      <w:szCs w:val="21"/>
                      <w:highlight w:val="none"/>
                      <w:vertAlign w:val="subscript"/>
                    </w:rPr>
                    <w:t>3</w:t>
                  </w:r>
                </w:p>
              </w:tc>
              <w:tc>
                <w:tcPr>
                  <w:tcW w:w="4288" w:type="dxa"/>
                  <w:tcBorders>
                    <w:right w:val="nil"/>
                  </w:tcBorders>
                </w:tcPr>
                <w:p w14:paraId="467A06A0">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院内已安装</w:t>
                  </w:r>
                  <w:r>
                    <w:rPr>
                      <w:rFonts w:hint="default" w:ascii="Times New Roman" w:hAnsi="Times New Roman" w:eastAsia="宋体" w:cs="Times New Roman"/>
                      <w:color w:val="auto"/>
                      <w:kern w:val="2"/>
                      <w:sz w:val="21"/>
                      <w:szCs w:val="21"/>
                      <w:highlight w:val="none"/>
                      <w:lang w:eastAsia="zh-CN"/>
                    </w:rPr>
                    <w:t>新风系统</w:t>
                  </w:r>
                  <w:r>
                    <w:rPr>
                      <w:rFonts w:hint="default" w:ascii="Times New Roman" w:hAnsi="Times New Roman" w:eastAsia="宋体" w:cs="Times New Roman"/>
                      <w:color w:val="auto"/>
                      <w:kern w:val="2"/>
                      <w:sz w:val="21"/>
                      <w:szCs w:val="21"/>
                      <w:highlight w:val="none"/>
                    </w:rPr>
                    <w:t>，加强通风换气，喷洒宠物除臭剂</w:t>
                  </w:r>
                </w:p>
              </w:tc>
            </w:tr>
            <w:tr w14:paraId="4228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13" w:type="dxa"/>
                  <w:vMerge w:val="restart"/>
                  <w:tcBorders>
                    <w:left w:val="nil"/>
                    <w:right w:val="single" w:color="auto" w:sz="4" w:space="0"/>
                  </w:tcBorders>
                </w:tcPr>
                <w:p w14:paraId="1257C6F7">
                  <w:pPr>
                    <w:pStyle w:val="61"/>
                    <w:keepNext w:val="0"/>
                    <w:keepLines w:val="0"/>
                    <w:pageBreakBefore w:val="0"/>
                    <w:widowControl w:val="0"/>
                    <w:kinsoku/>
                    <w:wordWrap/>
                    <w:overflowPunct/>
                    <w:topLinePunct w:val="0"/>
                    <w:autoSpaceDE/>
                    <w:autoSpaceDN/>
                    <w:bidi w:val="0"/>
                    <w:adjustRightInd/>
                    <w:snapToGrid/>
                    <w:spacing w:before="1286" w:beforeLines="3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固体废物</w:t>
                  </w:r>
                </w:p>
              </w:tc>
              <w:tc>
                <w:tcPr>
                  <w:tcW w:w="1650" w:type="dxa"/>
                  <w:tcBorders>
                    <w:left w:val="single" w:color="auto" w:sz="4" w:space="0"/>
                    <w:right w:val="single" w:color="auto" w:sz="4" w:space="0"/>
                  </w:tcBorders>
                </w:tcPr>
                <w:p w14:paraId="4B2FEB7E">
                  <w:pPr>
                    <w:pStyle w:val="61"/>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诊疗废物</w:t>
                  </w:r>
                </w:p>
              </w:tc>
              <w:tc>
                <w:tcPr>
                  <w:tcW w:w="2168" w:type="dxa"/>
                  <w:tcBorders>
                    <w:left w:val="single" w:color="auto" w:sz="4" w:space="0"/>
                    <w:right w:val="single" w:color="auto" w:sz="4" w:space="0"/>
                  </w:tcBorders>
                </w:tcPr>
                <w:p w14:paraId="6251F3A3">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废检测试剂盒、一次性输液管、针管、医用棉球、纱布、废弃药品等</w:t>
                  </w:r>
                  <w:r>
                    <w:rPr>
                      <w:rFonts w:hint="default" w:ascii="Times New Roman" w:hAnsi="Times New Roman" w:eastAsia="宋体" w:cs="Times New Roman"/>
                      <w:color w:val="auto"/>
                      <w:kern w:val="2"/>
                      <w:sz w:val="21"/>
                      <w:szCs w:val="21"/>
                      <w:highlight w:val="none"/>
                      <w:lang w:eastAsia="zh-CN"/>
                    </w:rPr>
                    <w:t>诊疗废物</w:t>
                  </w:r>
                </w:p>
              </w:tc>
              <w:tc>
                <w:tcPr>
                  <w:tcW w:w="4288" w:type="dxa"/>
                  <w:tcBorders>
                    <w:left w:val="single" w:color="auto" w:sz="4" w:space="0"/>
                    <w:right w:val="nil"/>
                  </w:tcBorders>
                </w:tcPr>
                <w:p w14:paraId="5D3ACC51">
                  <w:pPr>
                    <w:widowControl/>
                    <w:jc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使用</w:t>
                  </w:r>
                  <w:r>
                    <w:rPr>
                      <w:rFonts w:hint="default" w:ascii="Times New Roman" w:hAnsi="Times New Roman" w:cs="Times New Roman"/>
                      <w:color w:val="auto"/>
                      <w:kern w:val="0"/>
                      <w:sz w:val="21"/>
                      <w:szCs w:val="21"/>
                      <w:highlight w:val="none"/>
                    </w:rPr>
                    <w:t>医废垃圾桶分类收集，暂存危废间，</w:t>
                  </w:r>
                  <w:r>
                    <w:rPr>
                      <w:rFonts w:hint="eastAsia" w:cs="Times New Roman"/>
                      <w:color w:val="auto"/>
                      <w:kern w:val="2"/>
                      <w:sz w:val="21"/>
                      <w:szCs w:val="21"/>
                      <w:highlight w:val="none"/>
                      <w:lang w:val="en-US" w:eastAsia="zh-CN"/>
                    </w:rPr>
                    <w:t>由资质单位</w:t>
                  </w:r>
                  <w:r>
                    <w:rPr>
                      <w:rFonts w:hint="default" w:ascii="Times New Roman" w:hAnsi="Times New Roman" w:eastAsia="宋体" w:cs="Times New Roman"/>
                      <w:color w:val="auto"/>
                      <w:kern w:val="2"/>
                      <w:sz w:val="21"/>
                      <w:szCs w:val="21"/>
                      <w:highlight w:val="none"/>
                      <w:lang w:val="en-US" w:eastAsia="zh-CN"/>
                    </w:rPr>
                    <w:t>定期清运</w:t>
                  </w:r>
                  <w:r>
                    <w:rPr>
                      <w:rFonts w:hint="default" w:ascii="Times New Roman" w:hAnsi="Times New Roman" w:cs="Times New Roman"/>
                      <w:color w:val="auto"/>
                      <w:kern w:val="0"/>
                      <w:sz w:val="21"/>
                      <w:szCs w:val="21"/>
                      <w:highlight w:val="none"/>
                    </w:rPr>
                    <w:t>（宠物在医院内死亡，由饲养者带回处置）</w:t>
                  </w:r>
                </w:p>
              </w:tc>
            </w:tr>
            <w:tr w14:paraId="016A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3" w:type="dxa"/>
                  <w:vMerge w:val="continue"/>
                  <w:tcBorders>
                    <w:left w:val="nil"/>
                    <w:right w:val="single" w:color="auto" w:sz="4" w:space="0"/>
                  </w:tcBorders>
                </w:tcPr>
                <w:p w14:paraId="36F30FA5">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left w:val="single" w:color="auto" w:sz="4" w:space="0"/>
                    <w:right w:val="single" w:color="auto" w:sz="4" w:space="0"/>
                  </w:tcBorders>
                </w:tcPr>
                <w:p w14:paraId="435EEF4B">
                  <w:pPr>
                    <w:pStyle w:val="61"/>
                    <w:keepNext w:val="0"/>
                    <w:keepLines w:val="0"/>
                    <w:pageBreakBefore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生活垃圾</w:t>
                  </w:r>
                </w:p>
              </w:tc>
              <w:tc>
                <w:tcPr>
                  <w:tcW w:w="2168" w:type="dxa"/>
                  <w:tcBorders>
                    <w:left w:val="single" w:color="auto" w:sz="4" w:space="0"/>
                    <w:right w:val="single" w:color="auto" w:sz="4" w:space="0"/>
                  </w:tcBorders>
                </w:tcPr>
                <w:p w14:paraId="1949F5A0">
                  <w:pPr>
                    <w:pStyle w:val="61"/>
                    <w:keepNext w:val="0"/>
                    <w:keepLines w:val="0"/>
                    <w:pageBreakBefore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4288" w:type="dxa"/>
                  <w:tcBorders>
                    <w:left w:val="single" w:color="auto" w:sz="4" w:space="0"/>
                    <w:right w:val="nil"/>
                  </w:tcBorders>
                </w:tcPr>
                <w:p w14:paraId="6C382C0E">
                  <w:pPr>
                    <w:keepNext w:val="0"/>
                    <w:keepLines w:val="0"/>
                    <w:pageBreakBefore w:val="0"/>
                    <w:widowControl/>
                    <w:kinsoku/>
                    <w:wordWrap/>
                    <w:overflowPunct/>
                    <w:topLinePunct w:val="0"/>
                    <w:autoSpaceDE/>
                    <w:autoSpaceDN/>
                    <w:bidi w:val="0"/>
                    <w:adjustRightInd/>
                    <w:snapToGrid/>
                    <w:spacing w:before="185" w:beforeLines="5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分类收集后，</w:t>
                  </w:r>
                  <w:r>
                    <w:rPr>
                      <w:rFonts w:hint="eastAsia" w:cs="Times New Roman"/>
                      <w:color w:val="auto"/>
                      <w:kern w:val="0"/>
                      <w:sz w:val="21"/>
                      <w:szCs w:val="21"/>
                      <w:highlight w:val="none"/>
                      <w:lang w:val="en-US" w:eastAsia="zh-CN"/>
                    </w:rPr>
                    <w:t>由</w:t>
                  </w:r>
                  <w:r>
                    <w:rPr>
                      <w:rFonts w:hint="default" w:ascii="Times New Roman" w:hAnsi="Times New Roman" w:cs="Times New Roman"/>
                      <w:color w:val="auto"/>
                      <w:kern w:val="0"/>
                      <w:sz w:val="21"/>
                      <w:szCs w:val="21"/>
                      <w:highlight w:val="none"/>
                    </w:rPr>
                    <w:t>环卫部门清运</w:t>
                  </w:r>
                </w:p>
              </w:tc>
            </w:tr>
            <w:tr w14:paraId="07A6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3" w:type="dxa"/>
                  <w:vMerge w:val="continue"/>
                  <w:tcBorders>
                    <w:left w:val="nil"/>
                    <w:right w:val="single" w:color="auto" w:sz="4" w:space="0"/>
                  </w:tcBorders>
                </w:tcPr>
                <w:p w14:paraId="389AAE68">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left w:val="single" w:color="auto" w:sz="4" w:space="0"/>
                    <w:right w:val="single" w:color="auto" w:sz="4" w:space="0"/>
                  </w:tcBorders>
                  <w:vAlign w:val="center"/>
                </w:tcPr>
                <w:p w14:paraId="3BDF18A4">
                  <w:pPr>
                    <w:pStyle w:val="61"/>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污水处理</w:t>
                  </w:r>
                  <w:r>
                    <w:rPr>
                      <w:rFonts w:hint="default" w:ascii="Times New Roman" w:hAnsi="Times New Roman" w:eastAsia="宋体" w:cs="Times New Roman"/>
                      <w:color w:val="auto"/>
                      <w:kern w:val="2"/>
                      <w:sz w:val="21"/>
                      <w:szCs w:val="21"/>
                      <w:highlight w:val="none"/>
                    </w:rPr>
                    <w:t>污泥</w:t>
                  </w:r>
                </w:p>
              </w:tc>
              <w:tc>
                <w:tcPr>
                  <w:tcW w:w="2168" w:type="dxa"/>
                  <w:tcBorders>
                    <w:left w:val="single" w:color="auto" w:sz="4" w:space="0"/>
                    <w:right w:val="single" w:color="auto" w:sz="4" w:space="0"/>
                  </w:tcBorders>
                  <w:vAlign w:val="center"/>
                </w:tcPr>
                <w:p w14:paraId="21EB6721">
                  <w:pPr>
                    <w:pStyle w:val="61"/>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污泥</w:t>
                  </w:r>
                </w:p>
              </w:tc>
              <w:tc>
                <w:tcPr>
                  <w:tcW w:w="4288" w:type="dxa"/>
                  <w:tcBorders>
                    <w:left w:val="single" w:color="auto" w:sz="4" w:space="0"/>
                    <w:right w:val="nil"/>
                  </w:tcBorders>
                  <w:vAlign w:val="center"/>
                </w:tcPr>
                <w:p w14:paraId="3E4709BC">
                  <w:pPr>
                    <w:widowControl/>
                    <w:spacing w:beforeLines="5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每</w:t>
                  </w:r>
                  <w:r>
                    <w:rPr>
                      <w:rFonts w:hint="default" w:ascii="Times New Roman" w:hAnsi="Times New Roman" w:cs="Times New Roman"/>
                      <w:color w:val="auto"/>
                      <w:kern w:val="0"/>
                      <w:sz w:val="21"/>
                      <w:szCs w:val="21"/>
                      <w:highlight w:val="none"/>
                      <w:lang w:val="en-US" w:eastAsia="zh-CN"/>
                    </w:rPr>
                    <w:t>10~15</w:t>
                  </w:r>
                  <w:r>
                    <w:rPr>
                      <w:rFonts w:hint="default" w:ascii="Times New Roman" w:hAnsi="Times New Roman" w:cs="Times New Roman"/>
                      <w:color w:val="auto"/>
                      <w:kern w:val="0"/>
                      <w:sz w:val="21"/>
                      <w:szCs w:val="21"/>
                      <w:highlight w:val="none"/>
                      <w:lang w:eastAsia="zh-CN"/>
                    </w:rPr>
                    <w:t>天</w:t>
                  </w:r>
                  <w:r>
                    <w:rPr>
                      <w:rFonts w:hint="default" w:ascii="Times New Roman" w:hAnsi="Times New Roman" w:cs="Times New Roman"/>
                      <w:color w:val="auto"/>
                      <w:kern w:val="0"/>
                      <w:sz w:val="21"/>
                      <w:szCs w:val="21"/>
                      <w:highlight w:val="none"/>
                    </w:rPr>
                    <w:t>清掏一次，</w:t>
                  </w:r>
                  <w:r>
                    <w:rPr>
                      <w:rFonts w:hint="default" w:ascii="Times New Roman" w:hAnsi="Times New Roman" w:cs="Times New Roman"/>
                      <w:color w:val="auto"/>
                      <w:kern w:val="0"/>
                      <w:sz w:val="21"/>
                      <w:szCs w:val="21"/>
                      <w:highlight w:val="none"/>
                      <w:lang w:val="en-US" w:eastAsia="zh-CN"/>
                    </w:rPr>
                    <w:t>由福建省固体废物处置有限公司</w:t>
                  </w:r>
                  <w:r>
                    <w:rPr>
                      <w:rFonts w:hint="default" w:ascii="Times New Roman" w:hAnsi="Times New Roman" w:cs="Times New Roman"/>
                      <w:color w:val="auto"/>
                      <w:kern w:val="0"/>
                      <w:sz w:val="21"/>
                      <w:szCs w:val="21"/>
                      <w:highlight w:val="none"/>
                    </w:rPr>
                    <w:t>定期清运</w:t>
                  </w:r>
                </w:p>
              </w:tc>
            </w:tr>
            <w:tr w14:paraId="7D38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3" w:type="dxa"/>
                  <w:vMerge w:val="continue"/>
                  <w:tcBorders>
                    <w:left w:val="nil"/>
                    <w:right w:val="single" w:color="auto" w:sz="4" w:space="0"/>
                  </w:tcBorders>
                </w:tcPr>
                <w:p w14:paraId="57AAE963">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1650" w:type="dxa"/>
                  <w:tcBorders>
                    <w:left w:val="single" w:color="auto" w:sz="4" w:space="0"/>
                    <w:right w:val="single" w:color="auto" w:sz="4" w:space="0"/>
                  </w:tcBorders>
                  <w:shd w:val="clear" w:color="auto" w:fill="auto"/>
                  <w:vAlign w:val="top"/>
                </w:tcPr>
                <w:p w14:paraId="0A5A5F5D">
                  <w:pPr>
                    <w:pStyle w:val="61"/>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eastAsia="zh-CN"/>
                    </w:rPr>
                    <w:t>化验废液</w:t>
                  </w:r>
                </w:p>
              </w:tc>
              <w:tc>
                <w:tcPr>
                  <w:tcW w:w="2168" w:type="dxa"/>
                  <w:tcBorders>
                    <w:left w:val="single" w:color="auto" w:sz="4" w:space="0"/>
                    <w:right w:val="single" w:color="auto" w:sz="4" w:space="0"/>
                  </w:tcBorders>
                  <w:shd w:val="clear" w:color="auto" w:fill="auto"/>
                  <w:vAlign w:val="top"/>
                </w:tcPr>
                <w:p w14:paraId="2D2C293A">
                  <w:pPr>
                    <w:pStyle w:val="61"/>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w:t>
                  </w:r>
                </w:p>
              </w:tc>
              <w:tc>
                <w:tcPr>
                  <w:tcW w:w="4288" w:type="dxa"/>
                  <w:tcBorders>
                    <w:left w:val="single" w:color="auto" w:sz="4" w:space="0"/>
                    <w:right w:val="nil"/>
                  </w:tcBorders>
                  <w:shd w:val="clear" w:color="auto" w:fill="auto"/>
                  <w:vAlign w:val="top"/>
                </w:tcPr>
                <w:p w14:paraId="45281787">
                  <w:pPr>
                    <w:pStyle w:val="61"/>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收集后作危废处理，</w:t>
                  </w:r>
                  <w:r>
                    <w:rPr>
                      <w:rFonts w:hint="eastAsia" w:ascii="Times New Roman" w:hAnsi="Times New Roman" w:eastAsia="宋体" w:cs="Times New Roman"/>
                      <w:color w:val="auto"/>
                      <w:sz w:val="21"/>
                      <w:szCs w:val="21"/>
                      <w:highlight w:val="none"/>
                      <w:lang w:val="en-US" w:eastAsia="zh-CN"/>
                    </w:rPr>
                    <w:t>由福建省固体废物处置有限公司</w:t>
                  </w:r>
                  <w:r>
                    <w:rPr>
                      <w:rFonts w:hint="default" w:ascii="Times New Roman" w:hAnsi="Times New Roman" w:eastAsia="宋体" w:cs="Times New Roman"/>
                      <w:color w:val="auto"/>
                      <w:sz w:val="21"/>
                      <w:szCs w:val="21"/>
                      <w:highlight w:val="none"/>
                    </w:rPr>
                    <w:t>定期清运</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不外排</w:t>
                  </w:r>
                </w:p>
              </w:tc>
            </w:tr>
            <w:tr w14:paraId="21BB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3" w:type="dxa"/>
                  <w:tcBorders>
                    <w:left w:val="nil"/>
                    <w:bottom w:val="single" w:color="auto" w:sz="12" w:space="0"/>
                    <w:right w:val="single" w:color="auto" w:sz="4" w:space="0"/>
                  </w:tcBorders>
                </w:tcPr>
                <w:p w14:paraId="67088153">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1650" w:type="dxa"/>
                  <w:tcBorders>
                    <w:left w:val="single" w:color="auto" w:sz="4" w:space="0"/>
                    <w:bottom w:val="single" w:color="auto" w:sz="12" w:space="0"/>
                    <w:right w:val="single" w:color="auto" w:sz="4" w:space="0"/>
                  </w:tcBorders>
                </w:tcPr>
                <w:p w14:paraId="366B7B98">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偶发性宠物叫声</w:t>
                  </w:r>
                </w:p>
              </w:tc>
              <w:tc>
                <w:tcPr>
                  <w:tcW w:w="2168" w:type="dxa"/>
                  <w:tcBorders>
                    <w:left w:val="single" w:color="auto" w:sz="4" w:space="0"/>
                    <w:bottom w:val="single" w:color="auto" w:sz="12" w:space="0"/>
                    <w:right w:val="single" w:color="auto" w:sz="4" w:space="0"/>
                  </w:tcBorders>
                </w:tcPr>
                <w:p w14:paraId="66BF9100">
                  <w:pPr>
                    <w:pStyle w:val="61"/>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Leq（A）</w:t>
                  </w:r>
                </w:p>
              </w:tc>
              <w:tc>
                <w:tcPr>
                  <w:tcW w:w="4288" w:type="dxa"/>
                  <w:tcBorders>
                    <w:left w:val="single" w:color="auto" w:sz="4" w:space="0"/>
                    <w:bottom w:val="single" w:color="auto" w:sz="12" w:space="0"/>
                    <w:right w:val="nil"/>
                  </w:tcBorders>
                </w:tcPr>
                <w:p w14:paraId="78CFCC46">
                  <w:pPr>
                    <w:widowControl/>
                    <w:spacing w:beforeLines="1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墙体隔声</w:t>
                  </w:r>
                </w:p>
              </w:tc>
            </w:tr>
          </w:tbl>
          <w:p w14:paraId="4AE8D8F0">
            <w:pPr>
              <w:pStyle w:val="159"/>
              <w:keepNext w:val="0"/>
              <w:keepLines w:val="0"/>
              <w:pageBreakBefore w:val="0"/>
              <w:widowControl/>
              <w:kinsoku/>
              <w:wordWrap/>
              <w:overflowPunct/>
              <w:topLinePunct w:val="0"/>
              <w:autoSpaceDE/>
              <w:autoSpaceDN/>
              <w:bidi w:val="0"/>
              <w:adjustRightInd/>
              <w:snapToGrid/>
              <w:spacing w:before="185" w:beforeLines="50"/>
              <w:ind w:firstLine="0" w:firstLineChars="0"/>
              <w:textAlignment w:val="auto"/>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 xml:space="preserve">2.8.9 </w:t>
            </w:r>
            <w:r>
              <w:rPr>
                <w:rFonts w:hint="default" w:ascii="Times New Roman" w:hAnsi="Times New Roman" w:eastAsia="宋体" w:cs="Times New Roman"/>
                <w:b/>
                <w:bCs w:val="0"/>
                <w:color w:val="auto"/>
                <w:highlight w:val="none"/>
              </w:rPr>
              <w:t>现有项目存在的环保问题及</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以新带老</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内容</w:t>
            </w:r>
          </w:p>
          <w:p w14:paraId="7CBB48AD">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根据调查，现有项目存在的环保问题及整改意见表2-11所示。</w:t>
            </w:r>
          </w:p>
          <w:p w14:paraId="0B2EE504">
            <w:pPr>
              <w:pStyle w:val="159"/>
              <w:spacing w:line="240" w:lineRule="auto"/>
              <w:ind w:firstLine="0" w:firstLineChars="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表2-11  现有项目存在问题及整改建议</w:t>
            </w:r>
          </w:p>
          <w:tbl>
            <w:tblPr>
              <w:tblStyle w:val="51"/>
              <w:tblW w:w="890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3"/>
              <w:gridCol w:w="4454"/>
            </w:tblGrid>
            <w:tr w14:paraId="11A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3" w:type="dxa"/>
                  <w:tcBorders>
                    <w:top w:val="single" w:color="auto" w:sz="12" w:space="0"/>
                    <w:left w:val="nil"/>
                    <w:bottom w:val="single" w:color="auto" w:sz="4" w:space="0"/>
                    <w:right w:val="single" w:color="auto" w:sz="4" w:space="0"/>
                  </w:tcBorders>
                </w:tcPr>
                <w:p w14:paraId="79BAF641">
                  <w:pPr>
                    <w:pStyle w:val="159"/>
                    <w:spacing w:line="240" w:lineRule="auto"/>
                    <w:ind w:firstLine="0" w:firstLineChars="0"/>
                    <w:jc w:val="center"/>
                    <w:rPr>
                      <w:rFonts w:hint="default" w:ascii="Times New Roman" w:hAnsi="Times New Roman" w:eastAsia="宋体" w:cs="Times New Roman"/>
                      <w:b/>
                      <w:bCs w:val="0"/>
                      <w:color w:val="auto"/>
                      <w:sz w:val="21"/>
                      <w:szCs w:val="24"/>
                      <w:highlight w:val="none"/>
                    </w:rPr>
                  </w:pPr>
                  <w:r>
                    <w:rPr>
                      <w:rFonts w:hint="default" w:ascii="Times New Roman" w:hAnsi="Times New Roman" w:eastAsia="宋体" w:cs="Times New Roman"/>
                      <w:b/>
                      <w:bCs w:val="0"/>
                      <w:color w:val="auto"/>
                      <w:sz w:val="21"/>
                      <w:szCs w:val="24"/>
                      <w:highlight w:val="none"/>
                    </w:rPr>
                    <w:t>现有项目存在问题</w:t>
                  </w:r>
                </w:p>
              </w:tc>
              <w:tc>
                <w:tcPr>
                  <w:tcW w:w="4454" w:type="dxa"/>
                  <w:tcBorders>
                    <w:top w:val="single" w:color="auto" w:sz="12" w:space="0"/>
                    <w:left w:val="single" w:color="auto" w:sz="4" w:space="0"/>
                    <w:bottom w:val="single" w:color="auto" w:sz="4" w:space="0"/>
                    <w:right w:val="nil"/>
                  </w:tcBorders>
                </w:tcPr>
                <w:p w14:paraId="2EE955BC">
                  <w:pPr>
                    <w:pStyle w:val="159"/>
                    <w:spacing w:line="240" w:lineRule="auto"/>
                    <w:ind w:firstLine="0" w:firstLineChars="0"/>
                    <w:jc w:val="center"/>
                    <w:rPr>
                      <w:rFonts w:hint="default" w:ascii="Times New Roman" w:hAnsi="Times New Roman" w:eastAsia="宋体" w:cs="Times New Roman"/>
                      <w:b/>
                      <w:bCs w:val="0"/>
                      <w:color w:val="auto"/>
                      <w:sz w:val="21"/>
                      <w:szCs w:val="24"/>
                      <w:highlight w:val="none"/>
                    </w:rPr>
                  </w:pPr>
                  <w:r>
                    <w:rPr>
                      <w:rFonts w:hint="default" w:ascii="Times New Roman" w:hAnsi="Times New Roman" w:eastAsia="宋体" w:cs="Times New Roman"/>
                      <w:b/>
                      <w:bCs w:val="0"/>
                      <w:color w:val="auto"/>
                      <w:sz w:val="21"/>
                      <w:szCs w:val="24"/>
                      <w:highlight w:val="none"/>
                    </w:rPr>
                    <w:t>整改建议</w:t>
                  </w:r>
                </w:p>
              </w:tc>
            </w:tr>
            <w:tr w14:paraId="1DA9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3" w:type="dxa"/>
                  <w:tcBorders>
                    <w:top w:val="single" w:color="auto" w:sz="4" w:space="0"/>
                    <w:left w:val="nil"/>
                    <w:bottom w:val="single" w:color="auto" w:sz="12" w:space="0"/>
                    <w:right w:val="single" w:color="auto" w:sz="4" w:space="0"/>
                  </w:tcBorders>
                </w:tcPr>
                <w:p w14:paraId="44FDD471">
                  <w:pPr>
                    <w:pStyle w:val="159"/>
                    <w:spacing w:line="240" w:lineRule="auto"/>
                    <w:ind w:firstLine="0" w:firstLineChars="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院内已设置一间危废间，面积约为</w:t>
                  </w:r>
                  <w:r>
                    <w:rPr>
                      <w:rFonts w:hint="eastAsia" w:ascii="Times New Roman" w:hAnsi="Times New Roman" w:eastAsia="宋体" w:cs="Times New Roman"/>
                      <w:color w:val="auto"/>
                      <w:sz w:val="21"/>
                      <w:szCs w:val="24"/>
                      <w:highlight w:val="none"/>
                      <w:lang w:val="en-US" w:eastAsia="zh-CN"/>
                    </w:rPr>
                    <w:t>2.8</w:t>
                  </w:r>
                  <w:r>
                    <w:rPr>
                      <w:rFonts w:hint="default" w:ascii="Times New Roman" w:hAnsi="Times New Roman" w:eastAsia="宋体" w:cs="Times New Roman"/>
                      <w:color w:val="auto"/>
                      <w:sz w:val="21"/>
                      <w:szCs w:val="24"/>
                      <w:highlight w:val="none"/>
                    </w:rPr>
                    <w:t>m</w:t>
                  </w:r>
                  <w:r>
                    <w:rPr>
                      <w:rFonts w:hint="default" w:ascii="Times New Roman" w:hAnsi="Times New Roman" w:eastAsia="宋体" w:cs="Times New Roman"/>
                      <w:color w:val="auto"/>
                      <w:sz w:val="21"/>
                      <w:szCs w:val="24"/>
                      <w:highlight w:val="none"/>
                      <w:vertAlign w:val="superscript"/>
                    </w:rPr>
                    <w:t>2</w:t>
                  </w:r>
                  <w:r>
                    <w:rPr>
                      <w:rFonts w:hint="default" w:ascii="Times New Roman" w:hAnsi="Times New Roman" w:eastAsia="宋体" w:cs="Times New Roman"/>
                      <w:color w:val="auto"/>
                      <w:sz w:val="21"/>
                      <w:szCs w:val="24"/>
                      <w:highlight w:val="none"/>
                    </w:rPr>
                    <w:t>，危废间内</w:t>
                  </w:r>
                  <w:r>
                    <w:rPr>
                      <w:rFonts w:hint="default" w:ascii="Times New Roman" w:hAnsi="Times New Roman" w:eastAsia="宋体" w:cs="Times New Roman"/>
                      <w:color w:val="auto"/>
                      <w:sz w:val="21"/>
                      <w:szCs w:val="24"/>
                      <w:highlight w:val="none"/>
                      <w:lang w:eastAsia="zh-CN"/>
                    </w:rPr>
                    <w:t>诊疗废物</w:t>
                  </w:r>
                  <w:r>
                    <w:rPr>
                      <w:rFonts w:hint="default" w:ascii="Times New Roman" w:hAnsi="Times New Roman" w:eastAsia="宋体" w:cs="Times New Roman"/>
                      <w:color w:val="auto"/>
                      <w:sz w:val="21"/>
                      <w:szCs w:val="24"/>
                      <w:highlight w:val="none"/>
                    </w:rPr>
                    <w:t>混放没有采取分区贮存。</w:t>
                  </w:r>
                </w:p>
              </w:tc>
              <w:tc>
                <w:tcPr>
                  <w:tcW w:w="4454" w:type="dxa"/>
                  <w:tcBorders>
                    <w:top w:val="single" w:color="auto" w:sz="4" w:space="0"/>
                    <w:left w:val="single" w:color="auto" w:sz="4" w:space="0"/>
                    <w:bottom w:val="single" w:color="auto" w:sz="12" w:space="0"/>
                    <w:right w:val="nil"/>
                  </w:tcBorders>
                </w:tcPr>
                <w:p w14:paraId="619BA49D">
                  <w:pPr>
                    <w:pStyle w:val="159"/>
                    <w:spacing w:line="240" w:lineRule="auto"/>
                    <w:ind w:firstLine="0" w:firstLineChars="0"/>
                    <w:rPr>
                      <w:rFonts w:hint="default"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lang w:val="en-US" w:eastAsia="zh-CN"/>
                    </w:rPr>
                    <w:t>危废</w:t>
                  </w:r>
                  <w:r>
                    <w:rPr>
                      <w:rFonts w:hint="default" w:ascii="Times New Roman" w:hAnsi="Times New Roman" w:eastAsia="宋体" w:cs="Times New Roman"/>
                      <w:color w:val="auto"/>
                      <w:sz w:val="21"/>
                      <w:szCs w:val="24"/>
                      <w:highlight w:val="none"/>
                    </w:rPr>
                    <w:t>间内设置相关管理规定，地面需按照《危险废物贮存污染控制标准》（GB18597-2023）要求进行防渗处理，具体见防治措施章节；</w:t>
                  </w:r>
                  <w:r>
                    <w:rPr>
                      <w:rFonts w:hint="default" w:ascii="Times New Roman" w:hAnsi="Times New Roman" w:eastAsia="宋体" w:cs="Times New Roman"/>
                      <w:color w:val="auto"/>
                      <w:sz w:val="21"/>
                      <w:szCs w:val="24"/>
                      <w:highlight w:val="none"/>
                      <w:lang w:val="en-US" w:eastAsia="zh-CN"/>
                    </w:rPr>
                    <w:t>危废</w:t>
                  </w:r>
                  <w:r>
                    <w:rPr>
                      <w:rFonts w:hint="default" w:ascii="Times New Roman" w:hAnsi="Times New Roman" w:eastAsia="宋体" w:cs="Times New Roman"/>
                      <w:color w:val="auto"/>
                      <w:sz w:val="21"/>
                      <w:szCs w:val="24"/>
                      <w:highlight w:val="none"/>
                    </w:rPr>
                    <w:t>间内</w:t>
                  </w:r>
                  <w:r>
                    <w:rPr>
                      <w:rFonts w:hint="default" w:ascii="Times New Roman" w:hAnsi="Times New Roman" w:eastAsia="宋体" w:cs="Times New Roman"/>
                      <w:color w:val="auto"/>
                      <w:sz w:val="21"/>
                      <w:szCs w:val="24"/>
                      <w:highlight w:val="none"/>
                      <w:lang w:eastAsia="zh-CN"/>
                    </w:rPr>
                    <w:t>诊疗废物</w:t>
                  </w:r>
                  <w:r>
                    <w:rPr>
                      <w:rFonts w:hint="default" w:ascii="Times New Roman" w:hAnsi="Times New Roman" w:eastAsia="宋体" w:cs="Times New Roman"/>
                      <w:color w:val="auto"/>
                      <w:sz w:val="21"/>
                      <w:szCs w:val="24"/>
                      <w:highlight w:val="none"/>
                    </w:rPr>
                    <w:t>分区进行贮存，并按相关要求进行转移联单制度。</w:t>
                  </w:r>
                </w:p>
              </w:tc>
            </w:tr>
          </w:tbl>
          <w:p w14:paraId="046E6E03">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cs="Times New Roman"/>
                <w:color w:val="auto"/>
                <w:highlight w:val="none"/>
              </w:rPr>
            </w:pPr>
          </w:p>
        </w:tc>
      </w:tr>
    </w:tbl>
    <w:p w14:paraId="06E64803">
      <w:pPr>
        <w:pStyle w:val="322"/>
        <w:ind w:firstLine="0" w:firstLineChars="0"/>
        <w:rPr>
          <w:rFonts w:ascii="Times New Roman" w:hAnsi="Times New Roman" w:cs="Times New Roman"/>
          <w:color w:val="auto"/>
          <w:highlight w:val="none"/>
        </w:rPr>
        <w:sectPr>
          <w:footerReference r:id="rId6" w:type="default"/>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67" w:charSpace="915"/>
        </w:sectPr>
      </w:pPr>
    </w:p>
    <w:p w14:paraId="484A5A58">
      <w:pPr>
        <w:pStyle w:val="2"/>
        <w:keepNext/>
        <w:keepLines/>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cs="Times New Roman"/>
          <w:color w:val="auto"/>
          <w:highlight w:val="none"/>
        </w:rPr>
      </w:pPr>
      <w:bookmarkStart w:id="61" w:name="_Toc12418"/>
      <w:bookmarkStart w:id="62" w:name="_Toc133251541"/>
      <w:bookmarkStart w:id="63" w:name="_Toc24513"/>
      <w:r>
        <w:rPr>
          <w:rFonts w:hint="eastAsia" w:ascii="宋体" w:hAnsi="宋体" w:eastAsia="宋体" w:cs="宋体"/>
          <w:b/>
          <w:bCs/>
          <w:color w:val="auto"/>
          <w:kern w:val="0"/>
          <w:sz w:val="30"/>
          <w:szCs w:val="30"/>
          <w:lang w:val="en-US" w:eastAsia="zh-CN" w:bidi="ar-SA"/>
        </w:rPr>
        <w:t>三、</w:t>
      </w:r>
      <w:r>
        <w:rPr>
          <w:rFonts w:ascii="Times New Roman" w:hAnsi="Times New Roman" w:cs="Times New Roman"/>
          <w:color w:val="auto"/>
          <w:highlight w:val="none"/>
        </w:rPr>
        <w:t>区域环境质量现状、环境保护目标及评价标准</w:t>
      </w:r>
      <w:bookmarkEnd w:id="61"/>
      <w:bookmarkEnd w:id="62"/>
      <w:bookmarkEnd w:id="63"/>
    </w:p>
    <w:tbl>
      <w:tblPr>
        <w:tblStyle w:val="50"/>
        <w:tblW w:w="9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8676"/>
      </w:tblGrid>
      <w:tr w14:paraId="1BD59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1178" w:type="dxa"/>
            <w:vAlign w:val="center"/>
          </w:tcPr>
          <w:p w14:paraId="63BEAF18">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区域环境</w:t>
            </w:r>
          </w:p>
          <w:p w14:paraId="73E2E4B7">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质量现状</w:t>
            </w:r>
          </w:p>
        </w:tc>
        <w:tc>
          <w:tcPr>
            <w:tcW w:w="8676" w:type="dxa"/>
            <w:vAlign w:val="center"/>
          </w:tcPr>
          <w:p w14:paraId="2A943BEE">
            <w:pPr>
              <w:pStyle w:val="3"/>
              <w:numPr>
                <w:ilvl w:val="1"/>
                <w:numId w:val="0"/>
              </w:numPr>
              <w:rPr>
                <w:rFonts w:hint="default" w:ascii="Times New Roman" w:hAnsi="Times New Roman" w:eastAsia="宋体" w:cs="Times New Roman"/>
                <w:color w:val="auto"/>
                <w:highlight w:val="none"/>
              </w:rPr>
            </w:pPr>
            <w:r>
              <w:rPr>
                <w:rFonts w:hint="eastAsia" w:ascii="Times New Roman" w:hAnsi="Times New Roman" w:eastAsia="宋体" w:cs="宋体"/>
                <w:b/>
                <w:bCs/>
                <w:color w:val="auto"/>
                <w:kern w:val="0"/>
                <w:sz w:val="28"/>
                <w:szCs w:val="28"/>
                <w:lang w:val="en-US" w:eastAsia="zh-CN" w:bidi="ar-SA"/>
              </w:rPr>
              <w:t>3.1</w:t>
            </w:r>
            <w:r>
              <w:rPr>
                <w:rFonts w:hint="eastAsia" w:cs="宋体"/>
                <w:b/>
                <w:bCs/>
                <w:color w:val="auto"/>
                <w:kern w:val="0"/>
                <w:sz w:val="28"/>
                <w:szCs w:val="28"/>
                <w:lang w:val="en-US" w:eastAsia="zh-CN" w:bidi="ar-SA"/>
              </w:rPr>
              <w:t xml:space="preserve"> </w:t>
            </w:r>
            <w:r>
              <w:rPr>
                <w:rFonts w:hint="default" w:ascii="Times New Roman" w:hAnsi="Times New Roman" w:eastAsia="宋体" w:cs="Times New Roman"/>
                <w:color w:val="auto"/>
                <w:highlight w:val="none"/>
                <w:lang w:val="en-US" w:eastAsia="zh-CN"/>
              </w:rPr>
              <w:t>地表水环境质量现状</w:t>
            </w:r>
          </w:p>
          <w:p w14:paraId="0AC667DB">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福清市瑞辰顽皮多格动物医院有限公司</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REF 项目地址 \h  \* MERGEFORMAT </w:instrText>
            </w:r>
            <w:r>
              <w:rPr>
                <w:rFonts w:hint="default" w:ascii="Times New Roman" w:hAnsi="Times New Roman" w:eastAsia="宋体" w:cs="Times New Roman"/>
                <w:color w:val="auto"/>
                <w:highlight w:val="none"/>
              </w:rPr>
              <w:fldChar w:fldCharType="separate"/>
            </w:r>
            <w:r>
              <w:rPr>
                <w:rFonts w:hint="default" w:ascii="Times New Roman" w:hAnsi="Times New Roman" w:cs="Times New Roman"/>
                <w:color w:val="auto"/>
                <w:highlight w:val="none"/>
                <w:lang w:eastAsia="zh-CN"/>
              </w:rPr>
              <w:t>福建省福州市福清市宏路街道中联江滨御景5号楼113号，115号，116号门面</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建设单位</w:t>
            </w:r>
            <w:r>
              <w:rPr>
                <w:rFonts w:hint="default" w:ascii="Times New Roman" w:hAnsi="Times New Roman" w:cs="Times New Roman"/>
                <w:color w:val="auto"/>
                <w:highlight w:val="none"/>
                <w:lang w:val="en-US" w:eastAsia="zh-CN"/>
              </w:rPr>
              <w:t>周边水系为龙江</w:t>
            </w:r>
            <w:r>
              <w:rPr>
                <w:rFonts w:hint="default" w:ascii="Times New Roman" w:hAnsi="Times New Roman" w:eastAsia="宋体" w:cs="Times New Roman"/>
                <w:color w:val="auto"/>
                <w:highlight w:val="none"/>
              </w:rPr>
              <w:t>。根据《福州市地表水环境功能区划定方案》，水体主要功能为工业用水、农业用水，环境功能类别为Ⅳ类，水质执行《地表水环境质量标准》</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GB3838-2002</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中Ⅳ类水质标准，具体详见表3-1。</w:t>
            </w:r>
          </w:p>
          <w:p w14:paraId="22981C66">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表3-1  《地表水环境质量标准》GB3838-2002（摘录）</w:t>
            </w:r>
          </w:p>
          <w:tbl>
            <w:tblPr>
              <w:tblStyle w:val="50"/>
              <w:tblpPr w:leftFromText="180" w:rightFromText="180" w:vertAnchor="text" w:tblpXSpec="center" w:tblpY="1"/>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32"/>
              <w:gridCol w:w="2032"/>
              <w:gridCol w:w="2364"/>
            </w:tblGrid>
            <w:tr w14:paraId="1D156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57564291">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2032" w:type="dxa"/>
                  <w:vAlign w:val="center"/>
                </w:tcPr>
                <w:p w14:paraId="0EBDB221">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2032" w:type="dxa"/>
                  <w:vAlign w:val="center"/>
                </w:tcPr>
                <w:p w14:paraId="7B411692">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限值</w:t>
                  </w:r>
                </w:p>
              </w:tc>
              <w:tc>
                <w:tcPr>
                  <w:tcW w:w="2364" w:type="dxa"/>
                  <w:vAlign w:val="center"/>
                </w:tcPr>
                <w:p w14:paraId="115DD291">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标准来源</w:t>
                  </w:r>
                </w:p>
              </w:tc>
            </w:tr>
            <w:tr w14:paraId="05E87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48E5BCC7">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032" w:type="dxa"/>
                  <w:vAlign w:val="center"/>
                </w:tcPr>
                <w:p w14:paraId="1F2D936A">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pH（无量纲）</w:t>
                  </w:r>
                </w:p>
              </w:tc>
              <w:tc>
                <w:tcPr>
                  <w:tcW w:w="2032" w:type="dxa"/>
                  <w:vAlign w:val="center"/>
                </w:tcPr>
                <w:p w14:paraId="3243136A">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9</w:t>
                  </w:r>
                </w:p>
              </w:tc>
              <w:tc>
                <w:tcPr>
                  <w:tcW w:w="2364" w:type="dxa"/>
                  <w:vMerge w:val="restart"/>
                  <w:vAlign w:val="center"/>
                </w:tcPr>
                <w:p w14:paraId="642FA9DD">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《地表水环境质量标准》（GB3838-2002）Ⅳ类</w:t>
                  </w:r>
                </w:p>
              </w:tc>
            </w:tr>
            <w:tr w14:paraId="39275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56B73C8F">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032" w:type="dxa"/>
                  <w:vAlign w:val="center"/>
                </w:tcPr>
                <w:p w14:paraId="198BB858">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DO</w:t>
                  </w:r>
                </w:p>
              </w:tc>
              <w:tc>
                <w:tcPr>
                  <w:tcW w:w="2032" w:type="dxa"/>
                  <w:vAlign w:val="center"/>
                </w:tcPr>
                <w:p w14:paraId="72A9FAB1">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1"/>
                      <w:highlight w:val="none"/>
                      <w:vertAlign w:val="baseline"/>
                      <w:lang w:val="en-US" w:eastAsia="zh-CN" w:bidi="ar-SA"/>
                    </w:rPr>
                    <w:t>≥3</w:t>
                  </w:r>
                  <w:r>
                    <w:rPr>
                      <w:rFonts w:hint="default" w:ascii="Times New Roman" w:hAnsi="Times New Roman" w:eastAsia="宋体" w:cs="Times New Roman"/>
                      <w:color w:val="auto"/>
                      <w:highlight w:val="none"/>
                    </w:rPr>
                    <w:t>mg/L</w:t>
                  </w:r>
                </w:p>
              </w:tc>
              <w:tc>
                <w:tcPr>
                  <w:tcW w:w="2364" w:type="dxa"/>
                  <w:vMerge w:val="continue"/>
                  <w:vAlign w:val="center"/>
                </w:tcPr>
                <w:p w14:paraId="38CE25CD">
                  <w:pPr>
                    <w:pStyle w:val="191"/>
                    <w:rPr>
                      <w:rFonts w:hint="default" w:ascii="Times New Roman" w:hAnsi="Times New Roman" w:eastAsia="宋体" w:cs="Times New Roman"/>
                      <w:color w:val="auto"/>
                      <w:highlight w:val="none"/>
                    </w:rPr>
                  </w:pPr>
                </w:p>
              </w:tc>
            </w:tr>
            <w:tr w14:paraId="1D18B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40EA80D7">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032" w:type="dxa"/>
                  <w:vAlign w:val="center"/>
                </w:tcPr>
                <w:p w14:paraId="5BE39696">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2032" w:type="dxa"/>
                  <w:vAlign w:val="center"/>
                </w:tcPr>
                <w:p w14:paraId="699B97D9">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 mg/L</w:t>
                  </w:r>
                </w:p>
              </w:tc>
              <w:tc>
                <w:tcPr>
                  <w:tcW w:w="2364" w:type="dxa"/>
                  <w:vMerge w:val="continue"/>
                  <w:vAlign w:val="center"/>
                </w:tcPr>
                <w:p w14:paraId="6B11778C">
                  <w:pPr>
                    <w:pStyle w:val="191"/>
                    <w:rPr>
                      <w:rFonts w:hint="default" w:ascii="Times New Roman" w:hAnsi="Times New Roman" w:eastAsia="宋体" w:cs="Times New Roman"/>
                      <w:color w:val="auto"/>
                      <w:highlight w:val="none"/>
                    </w:rPr>
                  </w:pPr>
                </w:p>
              </w:tc>
            </w:tr>
            <w:tr w14:paraId="5FEDA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6483031A">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032" w:type="dxa"/>
                  <w:vAlign w:val="center"/>
                </w:tcPr>
                <w:p w14:paraId="31F099DC">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2032" w:type="dxa"/>
                  <w:vAlign w:val="center"/>
                </w:tcPr>
                <w:p w14:paraId="1DEE2E05">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mg/L</w:t>
                  </w:r>
                </w:p>
              </w:tc>
              <w:tc>
                <w:tcPr>
                  <w:tcW w:w="2364" w:type="dxa"/>
                  <w:vMerge w:val="continue"/>
                  <w:vAlign w:val="center"/>
                </w:tcPr>
                <w:p w14:paraId="5D0B6B8A">
                  <w:pPr>
                    <w:pStyle w:val="191"/>
                    <w:rPr>
                      <w:rFonts w:hint="default" w:ascii="Times New Roman" w:hAnsi="Times New Roman" w:eastAsia="宋体" w:cs="Times New Roman"/>
                      <w:color w:val="auto"/>
                      <w:highlight w:val="none"/>
                    </w:rPr>
                  </w:pPr>
                </w:p>
              </w:tc>
            </w:tr>
            <w:tr w14:paraId="52069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tcBorders>
                    <w:bottom w:val="single" w:color="auto" w:sz="12" w:space="0"/>
                  </w:tcBorders>
                  <w:vAlign w:val="center"/>
                </w:tcPr>
                <w:p w14:paraId="7DA80540">
                  <w:pPr>
                    <w:pStyle w:val="191"/>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c>
                <w:tcPr>
                  <w:tcW w:w="2032" w:type="dxa"/>
                  <w:tcBorders>
                    <w:bottom w:val="single" w:color="auto" w:sz="12" w:space="0"/>
                  </w:tcBorders>
                  <w:vAlign w:val="center"/>
                </w:tcPr>
                <w:p w14:paraId="024B33DD">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2032" w:type="dxa"/>
                  <w:tcBorders>
                    <w:bottom w:val="single" w:color="auto" w:sz="12" w:space="0"/>
                  </w:tcBorders>
                  <w:vAlign w:val="center"/>
                </w:tcPr>
                <w:p w14:paraId="5D1C171E">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mg/L</w:t>
                  </w:r>
                </w:p>
              </w:tc>
              <w:tc>
                <w:tcPr>
                  <w:tcW w:w="2364" w:type="dxa"/>
                  <w:vMerge w:val="continue"/>
                  <w:tcBorders>
                    <w:bottom w:val="single" w:color="auto" w:sz="12" w:space="0"/>
                  </w:tcBorders>
                  <w:vAlign w:val="center"/>
                </w:tcPr>
                <w:p w14:paraId="0D55E81F">
                  <w:pPr>
                    <w:pStyle w:val="191"/>
                    <w:rPr>
                      <w:rFonts w:hint="default" w:ascii="Times New Roman" w:hAnsi="Times New Roman" w:eastAsia="宋体" w:cs="Times New Roman"/>
                      <w:color w:val="auto"/>
                      <w:highlight w:val="none"/>
                    </w:rPr>
                  </w:pPr>
                </w:p>
              </w:tc>
            </w:tr>
          </w:tbl>
          <w:p w14:paraId="7DE0E59D">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根据福建省生态环境厅网站公布的《</w:t>
            </w:r>
            <w:r>
              <w:rPr>
                <w:rFonts w:hint="default" w:ascii="Times New Roman" w:hAnsi="Times New Roman" w:eastAsia="宋体" w:cs="Times New Roman"/>
                <w:color w:val="auto"/>
                <w:highlight w:val="none"/>
                <w:lang w:eastAsia="zh-CN"/>
              </w:rPr>
              <w:t>福建省流域水环境质量状况（2024年1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8月）</w:t>
            </w:r>
            <w:r>
              <w:rPr>
                <w:rFonts w:hint="default" w:ascii="Times New Roman" w:hAnsi="Times New Roman" w:eastAsia="宋体" w:cs="Times New Roman"/>
                <w:color w:val="auto"/>
                <w:highlight w:val="none"/>
              </w:rPr>
              <w:t>》数据，202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年1～</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月，全省主要流域总体水质为优，国控断面Ⅰ～Ⅲ类水质比例100％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Ⅰ～Ⅱ类水质比例74.3％；国控及省控断面Ⅰ～Ⅲ类水质比例99.5％，其中Ⅰ～Ⅱ类水质比例73.3％，各类水质比例如下：Ⅰ类占1.6％，Ⅱ类占71.7％，Ⅲ类占26.1％，Ⅳ类占0.5％，无Ⅴ类和劣Ⅴ类水。</w:t>
            </w:r>
          </w:p>
          <w:p w14:paraId="7BBCE23F">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根据《环境影响评价技术导则－地表水环境》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HJ2.3-2018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的要求，水环境质量现状调查应优先采用国务院</w:t>
            </w:r>
            <w:r>
              <w:rPr>
                <w:rFonts w:hint="eastAsia" w:ascii="Times New Roman" w:hAnsi="Times New Roman" w:eastAsia="宋体" w:cs="Times New Roman"/>
                <w:color w:val="auto"/>
                <w:highlight w:val="none"/>
                <w:lang w:eastAsia="zh-CN"/>
              </w:rPr>
              <w:t>生态环境主管部门</w:t>
            </w:r>
            <w:r>
              <w:rPr>
                <w:rFonts w:hint="default" w:ascii="Times New Roman" w:hAnsi="Times New Roman" w:eastAsia="宋体" w:cs="Times New Roman"/>
                <w:color w:val="auto"/>
                <w:highlight w:val="none"/>
              </w:rPr>
              <w:t>统一发布的水环境状况信息。本此评价选取福建省主要流域水环境质量状况信息，符合《环境影响评价技术导则－地表水环境》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HJ2.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-2018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的要求，环境现状监测数据可行。</w:t>
            </w:r>
          </w:p>
          <w:p w14:paraId="592BDAD4">
            <w:pPr>
              <w:pStyle w:val="1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rPr>
            </w:pPr>
            <w:r>
              <w:rPr>
                <w:rFonts w:ascii="Times New Roman" w:hAnsi="Times New Roman" w:cs="Times New Roman"/>
                <w:color w:val="auto"/>
              </w:rPr>
              <w:drawing>
                <wp:inline distT="0" distB="0" distL="114300" distR="114300">
                  <wp:extent cx="5368290" cy="4100195"/>
                  <wp:effectExtent l="0" t="0" r="381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368290" cy="4100195"/>
                          </a:xfrm>
                          <a:prstGeom prst="rect">
                            <a:avLst/>
                          </a:prstGeom>
                          <a:noFill/>
                          <a:ln>
                            <a:noFill/>
                          </a:ln>
                        </pic:spPr>
                      </pic:pic>
                    </a:graphicData>
                  </a:graphic>
                </wp:inline>
              </w:drawing>
            </w:r>
          </w:p>
          <w:p w14:paraId="5E0C98AC">
            <w:pPr>
              <w:pStyle w:val="20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图3-1  水环境质量现状截图</w:t>
            </w:r>
          </w:p>
          <w:p w14:paraId="60272938">
            <w:pPr>
              <w:pStyle w:val="200"/>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val="0"/>
                <w:color w:val="auto"/>
                <w:sz w:val="28"/>
                <w:szCs w:val="22"/>
                <w:highlight w:val="none"/>
                <w:lang w:val="en-US" w:eastAsia="zh-CN"/>
              </w:rPr>
            </w:pPr>
            <w:r>
              <w:rPr>
                <w:rFonts w:hint="default" w:ascii="Times New Roman" w:hAnsi="Times New Roman" w:eastAsia="宋体" w:cs="Times New Roman"/>
                <w:b/>
                <w:bCs w:val="0"/>
                <w:color w:val="auto"/>
                <w:sz w:val="28"/>
                <w:szCs w:val="22"/>
                <w:highlight w:val="none"/>
                <w:lang w:val="en-US" w:eastAsia="zh-CN"/>
              </w:rPr>
              <w:t>3.2 声环境质量现状</w:t>
            </w:r>
          </w:p>
          <w:p w14:paraId="46A0B164">
            <w:pPr>
              <w:pStyle w:val="200"/>
              <w:ind w:firstLine="480" w:firstLineChars="200"/>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根据《福清市城市建成区声环境功能区划</w:t>
            </w:r>
            <w:r>
              <w:rPr>
                <w:rFonts w:hint="default" w:ascii="Times New Roman" w:hAnsi="Times New Roman" w:cs="Times New Roman"/>
                <w:b w:val="0"/>
                <w:bCs/>
                <w:color w:val="auto"/>
                <w:highlight w:val="none"/>
                <w:lang w:val="en-US" w:eastAsia="zh-CN"/>
              </w:rPr>
              <w:t>图（2022年）</w:t>
            </w:r>
            <w:r>
              <w:rPr>
                <w:rFonts w:hint="default" w:ascii="Times New Roman" w:hAnsi="Times New Roman" w:cs="Times New Roman"/>
                <w:b w:val="0"/>
                <w:bCs/>
                <w:color w:val="auto"/>
                <w:highlight w:val="none"/>
              </w:rPr>
              <w:t>》（详见附图</w:t>
            </w:r>
            <w:r>
              <w:rPr>
                <w:rFonts w:hint="eastAsia" w:ascii="Times New Roman" w:hAnsi="Times New Roman" w:cs="Times New Roman"/>
                <w:b w:val="0"/>
                <w:bCs/>
                <w:color w:val="auto"/>
                <w:highlight w:val="none"/>
                <w:lang w:val="en-US" w:eastAsia="zh-CN"/>
              </w:rPr>
              <w:t>7</w:t>
            </w:r>
            <w:r>
              <w:rPr>
                <w:rFonts w:hint="default" w:ascii="Times New Roman" w:hAnsi="Times New Roman" w:cs="Times New Roman"/>
                <w:b w:val="0"/>
                <w:bCs/>
                <w:color w:val="auto"/>
                <w:highlight w:val="none"/>
              </w:rPr>
              <w:t>），项目环境噪声执行</w:t>
            </w:r>
            <w:r>
              <w:rPr>
                <w:rFonts w:hint="eastAsia" w:ascii="Times New Roman" w:hAnsi="Times New Roman" w:cs="Times New Roman"/>
                <w:b w:val="0"/>
                <w:bCs/>
                <w:color w:val="auto"/>
                <w:highlight w:val="none"/>
                <w:lang w:eastAsia="zh-CN"/>
              </w:rPr>
              <w:t>《社会生活环境噪声排放标准》（GB 22337-2008）</w:t>
            </w:r>
            <w:r>
              <w:rPr>
                <w:rFonts w:hint="default" w:ascii="Times New Roman" w:hAnsi="Times New Roman" w:cs="Times New Roman"/>
                <w:b w:val="0"/>
                <w:bCs/>
                <w:color w:val="auto"/>
                <w:highlight w:val="none"/>
              </w:rPr>
              <w:t>中2类功能区标准，靠近</w:t>
            </w:r>
            <w:r>
              <w:rPr>
                <w:rFonts w:hint="default" w:ascii="Times New Roman" w:hAnsi="Times New Roman" w:cs="Times New Roman"/>
                <w:b w:val="0"/>
                <w:bCs/>
                <w:color w:val="auto"/>
                <w:highlight w:val="none"/>
                <w:lang w:val="en-US" w:eastAsia="zh-CN"/>
              </w:rPr>
              <w:t>清盛大道</w:t>
            </w:r>
            <w:r>
              <w:rPr>
                <w:rFonts w:hint="default" w:ascii="Times New Roman" w:hAnsi="Times New Roman" w:cs="Times New Roman"/>
                <w:b w:val="0"/>
                <w:bCs/>
                <w:color w:val="auto"/>
                <w:highlight w:val="none"/>
              </w:rPr>
              <w:t>一侧执行</w:t>
            </w:r>
            <w:r>
              <w:rPr>
                <w:rFonts w:hint="eastAsia" w:ascii="Times New Roman" w:hAnsi="Times New Roman" w:cs="Times New Roman"/>
                <w:b w:val="0"/>
                <w:bCs/>
                <w:color w:val="auto"/>
                <w:highlight w:val="none"/>
                <w:lang w:eastAsia="zh-CN"/>
              </w:rPr>
              <w:t>《社会生活环境噪声排放标准》（GB 22337-2008）</w:t>
            </w:r>
            <w:r>
              <w:rPr>
                <w:rFonts w:hint="default" w:ascii="Times New Roman" w:hAnsi="Times New Roman" w:cs="Times New Roman"/>
                <w:b w:val="0"/>
                <w:bCs/>
                <w:color w:val="auto"/>
                <w:highlight w:val="none"/>
              </w:rPr>
              <w:t>中</w:t>
            </w:r>
            <w:r>
              <w:rPr>
                <w:rFonts w:hint="default" w:ascii="Times New Roman" w:hAnsi="Times New Roman" w:cs="Times New Roman"/>
                <w:b w:val="0"/>
                <w:bCs/>
                <w:color w:val="auto"/>
                <w:highlight w:val="none"/>
                <w:lang w:eastAsia="zh-CN"/>
              </w:rPr>
              <w:t>4类</w:t>
            </w:r>
            <w:r>
              <w:rPr>
                <w:rFonts w:hint="default" w:ascii="Times New Roman" w:hAnsi="Times New Roman" w:cs="Times New Roman"/>
                <w:b w:val="0"/>
                <w:bCs/>
                <w:color w:val="auto"/>
                <w:highlight w:val="none"/>
              </w:rPr>
              <w:t>功能区标准。</w:t>
            </w:r>
            <w:r>
              <w:rPr>
                <w:rFonts w:hint="default" w:ascii="Times New Roman" w:hAnsi="Times New Roman" w:eastAsia="宋体" w:cs="Times New Roman"/>
                <w:b w:val="0"/>
                <w:bCs/>
                <w:color w:val="auto"/>
                <w:highlight w:val="none"/>
                <w:lang w:val="en-US" w:eastAsia="zh-CN"/>
              </w:rPr>
              <w:t>具体见表3-</w:t>
            </w:r>
            <w:r>
              <w:rPr>
                <w:rFonts w:hint="default" w:ascii="Times New Roman" w:hAnsi="Times New Roman" w:cs="Times New Roman"/>
                <w:b w:val="0"/>
                <w:bCs/>
                <w:color w:val="auto"/>
                <w:highlight w:val="none"/>
                <w:lang w:val="en-US" w:eastAsia="zh-CN"/>
              </w:rPr>
              <w:t>2</w:t>
            </w:r>
            <w:r>
              <w:rPr>
                <w:rFonts w:hint="default" w:ascii="Times New Roman" w:hAnsi="Times New Roman" w:eastAsia="宋体" w:cs="Times New Roman"/>
                <w:b w:val="0"/>
                <w:bCs/>
                <w:color w:val="auto"/>
                <w:highlight w:val="none"/>
                <w:lang w:val="en-US" w:eastAsia="zh-CN"/>
              </w:rPr>
              <w:t>。</w:t>
            </w:r>
          </w:p>
          <w:p w14:paraId="325ECF1A">
            <w:pPr>
              <w:pStyle w:val="20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 xml:space="preserve">  环境噪声限值</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单位：dB(A)</w:t>
            </w:r>
          </w:p>
          <w:tbl>
            <w:tblPr>
              <w:tblStyle w:val="50"/>
              <w:tblW w:w="84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4"/>
              <w:gridCol w:w="2422"/>
              <w:gridCol w:w="2424"/>
            </w:tblGrid>
            <w:tr w14:paraId="698E1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4" w:type="dxa"/>
                  <w:vAlign w:val="center"/>
                </w:tcPr>
                <w:p w14:paraId="74E5C212">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声环境功能区类别/时段</w:t>
                  </w:r>
                </w:p>
              </w:tc>
              <w:tc>
                <w:tcPr>
                  <w:tcW w:w="2422" w:type="dxa"/>
                  <w:vAlign w:val="center"/>
                </w:tcPr>
                <w:p w14:paraId="7A7759E8">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2424" w:type="dxa"/>
                  <w:vAlign w:val="center"/>
                </w:tcPr>
                <w:p w14:paraId="5B4098DD">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14:paraId="7EBC8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4" w:type="dxa"/>
                  <w:vAlign w:val="center"/>
                </w:tcPr>
                <w:p w14:paraId="437B5B64">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22" w:type="dxa"/>
                  <w:vAlign w:val="center"/>
                </w:tcPr>
                <w:p w14:paraId="5B96BB7B">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2424" w:type="dxa"/>
                  <w:vAlign w:val="center"/>
                </w:tcPr>
                <w:p w14:paraId="0BDEDD14">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14:paraId="5F747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4" w:type="dxa"/>
                  <w:vAlign w:val="center"/>
                </w:tcPr>
                <w:p w14:paraId="19138598">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2422" w:type="dxa"/>
                  <w:vAlign w:val="center"/>
                </w:tcPr>
                <w:p w14:paraId="5E2CE0CF">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w:t>
                  </w:r>
                </w:p>
              </w:tc>
              <w:tc>
                <w:tcPr>
                  <w:tcW w:w="2424" w:type="dxa"/>
                  <w:vAlign w:val="center"/>
                </w:tcPr>
                <w:p w14:paraId="015EED4E">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14:paraId="5EAD07C0">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为了解项目周围声环境质量现状，建设单位于202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rPr>
              <w:t>日</w:t>
            </w:r>
            <w:r>
              <w:rPr>
                <w:rFonts w:ascii="Times New Roman" w:hAnsi="Times New Roman" w:eastAsia="宋体" w:cs="Times New Roman"/>
                <w:color w:val="auto"/>
                <w:highlight w:val="none"/>
              </w:rPr>
              <w:t>委托</w:t>
            </w:r>
            <w:r>
              <w:rPr>
                <w:rFonts w:hint="default" w:ascii="Times New Roman" w:hAnsi="Times New Roman" w:eastAsia="宋体" w:cs="Times New Roman"/>
                <w:color w:val="auto"/>
                <w:highlight w:val="none"/>
                <w:lang w:eastAsia="zh-CN"/>
              </w:rPr>
              <w:t>福建山水环境检测有限公司</w:t>
            </w:r>
            <w:r>
              <w:rPr>
                <w:rFonts w:ascii="Times New Roman" w:hAnsi="Times New Roman" w:eastAsia="宋体" w:cs="Times New Roman"/>
                <w:color w:val="auto"/>
                <w:highlight w:val="none"/>
              </w:rPr>
              <w:t>对项目</w:t>
            </w:r>
            <w:r>
              <w:rPr>
                <w:rFonts w:hint="default" w:ascii="Times New Roman" w:hAnsi="Times New Roman" w:eastAsia="宋体" w:cs="Times New Roman"/>
                <w:color w:val="auto"/>
                <w:highlight w:val="none"/>
              </w:rPr>
              <w:t>周边50米范围内</w:t>
            </w:r>
            <w:r>
              <w:rPr>
                <w:rFonts w:hint="default" w:ascii="Times New Roman" w:hAnsi="Times New Roman" w:eastAsia="宋体" w:cs="Times New Roman"/>
                <w:color w:val="auto"/>
                <w:highlight w:val="none"/>
                <w:lang w:eastAsia="zh-CN"/>
              </w:rPr>
              <w:t>的</w:t>
            </w:r>
            <w:r>
              <w:rPr>
                <w:rFonts w:hint="default" w:ascii="Times New Roman" w:hAnsi="Times New Roman" w:eastAsia="宋体" w:cs="Times New Roman"/>
                <w:color w:val="auto"/>
                <w:highlight w:val="none"/>
              </w:rPr>
              <w:t>存在声环境保护目标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中联江滨御景南区</w:t>
            </w:r>
            <w:r>
              <w:rPr>
                <w:rFonts w:hint="default" w:ascii="Times New Roman" w:hAnsi="Times New Roman" w:eastAsia="宋体" w:cs="Times New Roman"/>
                <w:color w:val="auto"/>
                <w:highlight w:val="none"/>
                <w:lang w:eastAsia="zh-CN"/>
              </w:rPr>
              <w:t>小区）</w:t>
            </w:r>
            <w:r>
              <w:rPr>
                <w:rFonts w:hint="default" w:ascii="Times New Roman" w:hAnsi="Times New Roman" w:eastAsia="宋体" w:cs="Times New Roman"/>
                <w:color w:val="auto"/>
                <w:highlight w:val="none"/>
              </w:rPr>
              <w:t>的质量</w:t>
            </w:r>
            <w:r>
              <w:rPr>
                <w:rFonts w:ascii="Times New Roman" w:hAnsi="Times New Roman" w:eastAsia="宋体" w:cs="Times New Roman"/>
                <w:color w:val="auto"/>
                <w:highlight w:val="none"/>
              </w:rPr>
              <w:t>现状进行了监测</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监测点位详见附件</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，监测结果详见表3-3。</w:t>
            </w:r>
          </w:p>
          <w:p w14:paraId="3849B1D5">
            <w:pPr>
              <w:pStyle w:val="20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 xml:space="preserve">  厂界噪声现状监测值      单位：LAeq（dB（A））</w:t>
            </w:r>
          </w:p>
          <w:tbl>
            <w:tblPr>
              <w:tblStyle w:val="50"/>
              <w:tblW w:w="85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454"/>
              <w:gridCol w:w="844"/>
              <w:gridCol w:w="868"/>
              <w:gridCol w:w="911"/>
              <w:gridCol w:w="846"/>
              <w:gridCol w:w="836"/>
              <w:gridCol w:w="868"/>
            </w:tblGrid>
            <w:tr w14:paraId="3C1A1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99" w:type="dxa"/>
                  <w:vMerge w:val="restart"/>
                  <w:tcBorders>
                    <w:tl2br w:val="nil"/>
                    <w:tr2bl w:val="nil"/>
                  </w:tcBorders>
                  <w:vAlign w:val="center"/>
                </w:tcPr>
                <w:p w14:paraId="06C5BA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测点编号</w:t>
                  </w:r>
                </w:p>
              </w:tc>
              <w:tc>
                <w:tcPr>
                  <w:tcW w:w="2454" w:type="dxa"/>
                  <w:vMerge w:val="restart"/>
                  <w:tcBorders>
                    <w:tl2br w:val="nil"/>
                    <w:tr2bl w:val="nil"/>
                  </w:tcBorders>
                  <w:vAlign w:val="center"/>
                </w:tcPr>
                <w:p w14:paraId="1FB36C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测点位置</w:t>
                  </w:r>
                </w:p>
              </w:tc>
              <w:tc>
                <w:tcPr>
                  <w:tcW w:w="1712" w:type="dxa"/>
                  <w:gridSpan w:val="2"/>
                  <w:tcBorders>
                    <w:tl2br w:val="nil"/>
                    <w:tr2bl w:val="nil"/>
                  </w:tcBorders>
                  <w:vAlign w:val="center"/>
                </w:tcPr>
                <w:p w14:paraId="19B18B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w:t>
                  </w:r>
                </w:p>
              </w:tc>
              <w:tc>
                <w:tcPr>
                  <w:tcW w:w="1757" w:type="dxa"/>
                  <w:gridSpan w:val="2"/>
                  <w:tcBorders>
                    <w:tl2br w:val="nil"/>
                    <w:tr2bl w:val="nil"/>
                  </w:tcBorders>
                  <w:vAlign w:val="center"/>
                </w:tcPr>
                <w:p w14:paraId="6D77EF2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执行标准</w:t>
                  </w:r>
                </w:p>
              </w:tc>
              <w:tc>
                <w:tcPr>
                  <w:tcW w:w="1704" w:type="dxa"/>
                  <w:gridSpan w:val="2"/>
                  <w:tcBorders>
                    <w:tl2br w:val="nil"/>
                    <w:tr2bl w:val="nil"/>
                  </w:tcBorders>
                  <w:vAlign w:val="center"/>
                </w:tcPr>
                <w:p w14:paraId="666C588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达标情况</w:t>
                  </w:r>
                </w:p>
              </w:tc>
            </w:tr>
            <w:tr w14:paraId="256CD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99" w:type="dxa"/>
                  <w:vMerge w:val="continue"/>
                  <w:tcBorders>
                    <w:tl2br w:val="nil"/>
                    <w:tr2bl w:val="nil"/>
                  </w:tcBorders>
                  <w:vAlign w:val="center"/>
                </w:tcPr>
                <w:p w14:paraId="3BAAC209">
                  <w:pPr>
                    <w:jc w:val="center"/>
                    <w:rPr>
                      <w:rFonts w:hint="default" w:ascii="Times New Roman" w:hAnsi="Times New Roman" w:eastAsia="宋体" w:cs="Times New Roman"/>
                      <w:color w:val="auto"/>
                      <w:sz w:val="21"/>
                      <w:szCs w:val="21"/>
                      <w:highlight w:val="none"/>
                    </w:rPr>
                  </w:pPr>
                </w:p>
              </w:tc>
              <w:tc>
                <w:tcPr>
                  <w:tcW w:w="2454" w:type="dxa"/>
                  <w:vMerge w:val="continue"/>
                  <w:tcBorders>
                    <w:tl2br w:val="nil"/>
                    <w:tr2bl w:val="nil"/>
                  </w:tcBorders>
                  <w:vAlign w:val="center"/>
                </w:tcPr>
                <w:p w14:paraId="7687AC78">
                  <w:pPr>
                    <w:jc w:val="center"/>
                    <w:rPr>
                      <w:rFonts w:hint="default" w:ascii="Times New Roman" w:hAnsi="Times New Roman" w:eastAsia="宋体" w:cs="Times New Roman"/>
                      <w:color w:val="auto"/>
                      <w:sz w:val="21"/>
                      <w:szCs w:val="21"/>
                      <w:highlight w:val="none"/>
                    </w:rPr>
                  </w:pPr>
                </w:p>
              </w:tc>
              <w:tc>
                <w:tcPr>
                  <w:tcW w:w="844" w:type="dxa"/>
                  <w:tcBorders>
                    <w:tl2br w:val="nil"/>
                    <w:tr2bl w:val="nil"/>
                  </w:tcBorders>
                  <w:vAlign w:val="center"/>
                </w:tcPr>
                <w:p w14:paraId="0E01A6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868" w:type="dxa"/>
                  <w:tcBorders>
                    <w:tl2br w:val="nil"/>
                    <w:tr2bl w:val="nil"/>
                  </w:tcBorders>
                  <w:vAlign w:val="center"/>
                </w:tcPr>
                <w:p w14:paraId="531E7E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911" w:type="dxa"/>
                  <w:tcBorders>
                    <w:tl2br w:val="nil"/>
                    <w:tr2bl w:val="nil"/>
                  </w:tcBorders>
                  <w:vAlign w:val="center"/>
                </w:tcPr>
                <w:p w14:paraId="02A6A78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846" w:type="dxa"/>
                  <w:tcBorders>
                    <w:tl2br w:val="nil"/>
                    <w:tr2bl w:val="nil"/>
                  </w:tcBorders>
                  <w:vAlign w:val="center"/>
                </w:tcPr>
                <w:p w14:paraId="25062F8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c>
                <w:tcPr>
                  <w:tcW w:w="836" w:type="dxa"/>
                  <w:tcBorders>
                    <w:tl2br w:val="nil"/>
                    <w:tr2bl w:val="nil"/>
                  </w:tcBorders>
                  <w:vAlign w:val="center"/>
                </w:tcPr>
                <w:p w14:paraId="7EF8F8D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868" w:type="dxa"/>
                  <w:tcBorders>
                    <w:tl2br w:val="nil"/>
                    <w:tr2bl w:val="nil"/>
                  </w:tcBorders>
                  <w:vAlign w:val="center"/>
                </w:tcPr>
                <w:p w14:paraId="0CDCADC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r>
            <w:tr w14:paraId="22E90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99" w:type="dxa"/>
                  <w:tcBorders>
                    <w:tl2br w:val="nil"/>
                    <w:tr2bl w:val="nil"/>
                  </w:tcBorders>
                  <w:vAlign w:val="center"/>
                </w:tcPr>
                <w:p w14:paraId="32CBA852">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Z</w:t>
                  </w:r>
                  <w:r>
                    <w:rPr>
                      <w:rFonts w:hint="default" w:ascii="Times New Roman" w:hAnsi="Times New Roman" w:eastAsia="宋体" w:cs="Times New Roman"/>
                      <w:color w:val="auto"/>
                      <w:sz w:val="21"/>
                      <w:szCs w:val="21"/>
                      <w:highlight w:val="none"/>
                    </w:rPr>
                    <w:t>1</w:t>
                  </w:r>
                </w:p>
              </w:tc>
              <w:tc>
                <w:tcPr>
                  <w:tcW w:w="2454" w:type="dxa"/>
                  <w:tcBorders>
                    <w:tl2br w:val="nil"/>
                    <w:tr2bl w:val="nil"/>
                  </w:tcBorders>
                  <w:vAlign w:val="center"/>
                </w:tcPr>
                <w:p w14:paraId="6EB18C5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中联江滨御景南区-5栋北侧14m</w:t>
                  </w:r>
                </w:p>
              </w:tc>
              <w:tc>
                <w:tcPr>
                  <w:tcW w:w="844" w:type="dxa"/>
                  <w:tcBorders>
                    <w:tl2br w:val="nil"/>
                    <w:tr2bl w:val="nil"/>
                  </w:tcBorders>
                  <w:vAlign w:val="center"/>
                </w:tcPr>
                <w:p w14:paraId="0D4CF1EB">
                  <w:pPr>
                    <w:tabs>
                      <w:tab w:val="left" w:pos="99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55.1</w:t>
                  </w:r>
                </w:p>
              </w:tc>
              <w:tc>
                <w:tcPr>
                  <w:tcW w:w="868" w:type="dxa"/>
                  <w:tcBorders>
                    <w:tl2br w:val="nil"/>
                    <w:tr2bl w:val="nil"/>
                  </w:tcBorders>
                  <w:vAlign w:val="center"/>
                </w:tcPr>
                <w:p w14:paraId="47555CBB">
                  <w:pPr>
                    <w:tabs>
                      <w:tab w:val="left" w:pos="99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47.6</w:t>
                  </w:r>
                </w:p>
              </w:tc>
              <w:tc>
                <w:tcPr>
                  <w:tcW w:w="911" w:type="dxa"/>
                  <w:tcBorders>
                    <w:tl2br w:val="nil"/>
                    <w:tr2bl w:val="nil"/>
                  </w:tcBorders>
                  <w:shd w:val="clear" w:color="auto" w:fill="auto"/>
                  <w:vAlign w:val="center"/>
                </w:tcPr>
                <w:p w14:paraId="591700FC">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60</w:t>
                  </w:r>
                </w:p>
              </w:tc>
              <w:tc>
                <w:tcPr>
                  <w:tcW w:w="846" w:type="dxa"/>
                  <w:tcBorders>
                    <w:tl2br w:val="nil"/>
                    <w:tr2bl w:val="nil"/>
                  </w:tcBorders>
                  <w:shd w:val="clear" w:color="auto" w:fill="auto"/>
                  <w:vAlign w:val="center"/>
                </w:tcPr>
                <w:p w14:paraId="1B6AC5AB">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50</w:t>
                  </w:r>
                </w:p>
              </w:tc>
              <w:tc>
                <w:tcPr>
                  <w:tcW w:w="836" w:type="dxa"/>
                  <w:tcBorders>
                    <w:tl2br w:val="nil"/>
                    <w:tr2bl w:val="nil"/>
                  </w:tcBorders>
                  <w:vAlign w:val="center"/>
                </w:tcPr>
                <w:p w14:paraId="6D5F5234">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c>
                <w:tcPr>
                  <w:tcW w:w="868" w:type="dxa"/>
                  <w:tcBorders>
                    <w:tl2br w:val="nil"/>
                    <w:tr2bl w:val="nil"/>
                  </w:tcBorders>
                  <w:vAlign w:val="center"/>
                </w:tcPr>
                <w:p w14:paraId="4D456283">
                  <w:pPr>
                    <w:tabs>
                      <w:tab w:val="left" w:pos="990"/>
                    </w:tabs>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r>
            <w:tr w14:paraId="1C312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99" w:type="dxa"/>
                  <w:tcBorders>
                    <w:tl2br w:val="nil"/>
                    <w:tr2bl w:val="nil"/>
                  </w:tcBorders>
                  <w:vAlign w:val="center"/>
                </w:tcPr>
                <w:p w14:paraId="1D7F9C4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tc>
              <w:tc>
                <w:tcPr>
                  <w:tcW w:w="7627" w:type="dxa"/>
                  <w:gridSpan w:val="7"/>
                  <w:tcBorders>
                    <w:tl2br w:val="nil"/>
                    <w:tr2bl w:val="nil"/>
                  </w:tcBorders>
                  <w:vAlign w:val="center"/>
                </w:tcPr>
                <w:p w14:paraId="2A459A2B">
                  <w:pPr>
                    <w:widowControl/>
                    <w:ind w:right="29" w:rightChars="12"/>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注：参考标准依据</w:t>
                  </w:r>
                  <w:r>
                    <w:rPr>
                      <w:rFonts w:hint="default" w:ascii="Times New Roman" w:hAnsi="Times New Roman" w:eastAsia="宋体" w:cs="Times New Roman"/>
                      <w:b w:val="0"/>
                      <w:bCs w:val="0"/>
                      <w:color w:val="auto"/>
                      <w:kern w:val="2"/>
                      <w:sz w:val="21"/>
                      <w:szCs w:val="21"/>
                      <w:highlight w:val="none"/>
                      <w:lang w:val="en-US" w:eastAsia="zh-CN" w:bidi="ar-SA"/>
                    </w:rPr>
                    <w:t>GB</w:t>
                  </w:r>
                  <w:r>
                    <w:rPr>
                      <w:rFonts w:hint="default" w:ascii="Times New Roman" w:hAnsi="Times New Roman" w:cs="Times New Roman"/>
                      <w:b w:val="0"/>
                      <w:bCs w:val="0"/>
                      <w:color w:val="auto"/>
                      <w:kern w:val="2"/>
                      <w:sz w:val="21"/>
                      <w:szCs w:val="21"/>
                      <w:highlight w:val="none"/>
                      <w:lang w:val="en-US" w:eastAsia="zh-CN" w:bidi="ar-SA"/>
                    </w:rPr>
                    <w:t xml:space="preserve"> </w:t>
                  </w:r>
                  <w:r>
                    <w:rPr>
                      <w:rFonts w:hint="default" w:ascii="Times New Roman" w:hAnsi="Times New Roman" w:eastAsia="宋体" w:cs="Times New Roman"/>
                      <w:b w:val="0"/>
                      <w:bCs w:val="0"/>
                      <w:color w:val="auto"/>
                      <w:kern w:val="2"/>
                      <w:sz w:val="21"/>
                      <w:szCs w:val="21"/>
                      <w:highlight w:val="none"/>
                      <w:lang w:val="en-US" w:eastAsia="zh-CN" w:bidi="ar-SA"/>
                    </w:rPr>
                    <w:t>3096-2008《声环境质量标准》</w:t>
                  </w: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1中的2类</w:t>
                  </w:r>
                  <w:r>
                    <w:rPr>
                      <w:rFonts w:hint="default" w:ascii="Times New Roman" w:hAnsi="Times New Roman" w:eastAsia="宋体" w:cs="Times New Roman"/>
                      <w:b w:val="0"/>
                      <w:bCs w:val="0"/>
                      <w:color w:val="auto"/>
                      <w:kern w:val="0"/>
                      <w:sz w:val="21"/>
                      <w:szCs w:val="21"/>
                      <w:highlight w:val="none"/>
                      <w:lang w:val="en-US" w:eastAsia="zh-CN"/>
                    </w:rPr>
                    <w:t>。</w:t>
                  </w:r>
                </w:p>
              </w:tc>
            </w:tr>
          </w:tbl>
          <w:p w14:paraId="2BBD178D">
            <w:pPr>
              <w:keepNext w:val="0"/>
              <w:keepLines w:val="0"/>
              <w:pageBreakBefore w:val="0"/>
              <w:widowControl/>
              <w:kinsoku/>
              <w:wordWrap/>
              <w:overflowPunct/>
              <w:topLinePunct w:val="0"/>
              <w:autoSpaceDE/>
              <w:autoSpaceDN/>
              <w:bidi w:val="0"/>
              <w:adjustRightInd w:val="0"/>
              <w:snapToGrid w:val="0"/>
              <w:spacing w:line="360" w:lineRule="auto"/>
              <w:ind w:firstLine="0"/>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3.3 大气环境质量现状</w:t>
            </w:r>
          </w:p>
          <w:p w14:paraId="1F8BC95D">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eastAsia="宋体" w:cs="Times New Roman"/>
                <w:color w:val="auto"/>
                <w:highlight w:val="none"/>
              </w:rPr>
              <w:t>环境空气质量功能区划</w:t>
            </w:r>
          </w:p>
          <w:p w14:paraId="245920EC">
            <w:pPr>
              <w:widowControl/>
              <w:adjustRightInd w:val="0"/>
              <w:snapToGrid w:val="0"/>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项目位于</w:t>
            </w:r>
            <w:r>
              <w:rPr>
                <w:rFonts w:hint="default" w:ascii="Times New Roman" w:hAnsi="Times New Roman" w:cs="Times New Roman"/>
                <w:color w:val="auto"/>
                <w:highlight w:val="none"/>
                <w:lang w:val="en-US" w:eastAsia="zh-CN"/>
              </w:rPr>
              <w:t>福清市</w:t>
            </w:r>
            <w:r>
              <w:rPr>
                <w:rFonts w:hint="default" w:ascii="Times New Roman" w:hAnsi="Times New Roman" w:eastAsia="宋体" w:cs="Times New Roman"/>
                <w:color w:val="auto"/>
                <w:highlight w:val="none"/>
              </w:rPr>
              <w:t>，根据福州市人民政府正式批复实施的《福州市环境空气质量功能区划（报批稿）》（榕政综</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2014</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30号）的规定，项目所在区域环境空气功能区划为二类区，环境空气执行《环境空气质量标准》（GB3095-2012）及修改单中的二级标准，具体限值详见表3-</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w:t>
            </w:r>
          </w:p>
          <w:p w14:paraId="4C930A97">
            <w:pPr>
              <w:pStyle w:val="200"/>
              <w:spacing w:line="240" w:lineRule="auto"/>
              <w:rPr>
                <w:rFonts w:ascii="Times New Roman" w:hAnsi="Times New Roman" w:cs="Times New Roman"/>
                <w:color w:val="auto"/>
                <w:highlight w:val="none"/>
              </w:rPr>
            </w:pPr>
            <w:bookmarkStart w:id="64" w:name="_Ref104720251"/>
            <w:r>
              <w:rPr>
                <w:rFonts w:ascii="Times New Roman" w:hAnsi="Times New Roman" w:cs="Times New Roman"/>
                <w:color w:val="auto"/>
                <w:highlight w:val="none"/>
              </w:rPr>
              <w:t>表3-</w:t>
            </w:r>
            <w:r>
              <w:rPr>
                <w:rFonts w:hint="default" w:ascii="Times New Roman" w:hAnsi="Times New Roman" w:cs="Times New Roman"/>
                <w:color w:val="auto"/>
                <w:highlight w:val="none"/>
              </w:rPr>
              <w:t>4</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环境空气质量标准 （GB3095-2012）</w:t>
            </w:r>
          </w:p>
          <w:tbl>
            <w:tblPr>
              <w:tblStyle w:val="51"/>
              <w:tblW w:w="84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113"/>
              <w:gridCol w:w="2113"/>
              <w:gridCol w:w="2114"/>
            </w:tblGrid>
            <w:tr w14:paraId="4A4D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tcBorders>
                    <w:top w:val="single" w:color="auto" w:sz="12" w:space="0"/>
                    <w:left w:val="nil"/>
                  </w:tcBorders>
                  <w:shd w:val="clear" w:color="auto" w:fill="auto"/>
                  <w:vAlign w:val="top"/>
                </w:tcPr>
                <w:p w14:paraId="0B99F0F0">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污染物</w:t>
                  </w:r>
                </w:p>
              </w:tc>
              <w:tc>
                <w:tcPr>
                  <w:tcW w:w="2113" w:type="dxa"/>
                  <w:tcBorders>
                    <w:top w:val="single" w:color="auto" w:sz="12" w:space="0"/>
                  </w:tcBorders>
                  <w:shd w:val="clear" w:color="auto" w:fill="auto"/>
                  <w:vAlign w:val="top"/>
                </w:tcPr>
                <w:p w14:paraId="58C27696">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平均时间</w:t>
                  </w:r>
                </w:p>
              </w:tc>
              <w:tc>
                <w:tcPr>
                  <w:tcW w:w="2113" w:type="dxa"/>
                  <w:tcBorders>
                    <w:top w:val="single" w:color="auto" w:sz="12" w:space="0"/>
                  </w:tcBorders>
                  <w:shd w:val="clear" w:color="auto" w:fill="auto"/>
                  <w:vAlign w:val="top"/>
                </w:tcPr>
                <w:p w14:paraId="70E6ACC1">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标准值</w:t>
                  </w:r>
                </w:p>
              </w:tc>
              <w:tc>
                <w:tcPr>
                  <w:tcW w:w="2114" w:type="dxa"/>
                  <w:tcBorders>
                    <w:top w:val="single" w:color="auto" w:sz="12" w:space="0"/>
                    <w:right w:val="nil"/>
                  </w:tcBorders>
                  <w:shd w:val="clear" w:color="auto" w:fill="auto"/>
                  <w:vAlign w:val="top"/>
                </w:tcPr>
                <w:p w14:paraId="16023FDB">
                  <w:pPr>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sz w:val="21"/>
                      <w:szCs w:val="21"/>
                      <w:vertAlign w:val="baseline"/>
                      <w:lang w:val="en-US" w:eastAsia="zh-CN"/>
                    </w:rPr>
                    <w:t>单位</w:t>
                  </w:r>
                </w:p>
              </w:tc>
            </w:tr>
            <w:tr w14:paraId="4D2A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restart"/>
                  <w:tcBorders>
                    <w:left w:val="nil"/>
                  </w:tcBorders>
                </w:tcPr>
                <w:p w14:paraId="0AF2D4DE">
                  <w:pPr>
                    <w:spacing w:before="552" w:beforeLines="1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2113" w:type="dxa"/>
                </w:tcPr>
                <w:p w14:paraId="50B636D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年平均</w:t>
                  </w:r>
                </w:p>
              </w:tc>
              <w:tc>
                <w:tcPr>
                  <w:tcW w:w="2113" w:type="dxa"/>
                </w:tcPr>
                <w:p w14:paraId="2035A516">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w:t>
                  </w:r>
                </w:p>
              </w:tc>
              <w:tc>
                <w:tcPr>
                  <w:tcW w:w="2114" w:type="dxa"/>
                  <w:vMerge w:val="restart"/>
                  <w:tcBorders>
                    <w:right w:val="nil"/>
                  </w:tcBorders>
                </w:tcPr>
                <w:p w14:paraId="1FB9842E">
                  <w:pPr>
                    <w:spacing w:before="3671" w:beforeLines="1000"/>
                    <w:jc w:val="center"/>
                    <w:rPr>
                      <w:rFonts w:ascii="Times New Roman" w:hAnsi="Times New Roman" w:cs="Times New Roman"/>
                      <w:color w:val="auto"/>
                      <w:sz w:val="21"/>
                      <w:szCs w:val="21"/>
                      <w:vertAlign w:val="baseline"/>
                    </w:rPr>
                  </w:pPr>
                  <w:r>
                    <w:rPr>
                      <w:rFonts w:ascii="Times New Roman" w:hAnsi="Times New Roman" w:cs="Times New Roman"/>
                      <w:color w:val="auto"/>
                      <w:sz w:val="21"/>
                      <w:szCs w:val="21"/>
                      <w:vertAlign w:val="baseline"/>
                    </w:rPr>
                    <w:t>mg/m</w:t>
                  </w:r>
                  <w:r>
                    <w:rPr>
                      <w:rFonts w:ascii="Times New Roman" w:hAnsi="Times New Roman" w:cs="Times New Roman"/>
                      <w:color w:val="auto"/>
                      <w:sz w:val="21"/>
                      <w:szCs w:val="21"/>
                      <w:vertAlign w:val="superscript"/>
                    </w:rPr>
                    <w:t>3</w:t>
                  </w:r>
                </w:p>
              </w:tc>
            </w:tr>
            <w:tr w14:paraId="597B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2F4C9016">
                  <w:pPr>
                    <w:jc w:val="center"/>
                    <w:rPr>
                      <w:rFonts w:ascii="Times New Roman" w:hAnsi="Times New Roman" w:cs="Times New Roman"/>
                      <w:color w:val="auto"/>
                      <w:sz w:val="21"/>
                      <w:szCs w:val="21"/>
                      <w:vertAlign w:val="baseline"/>
                    </w:rPr>
                  </w:pPr>
                </w:p>
              </w:tc>
              <w:tc>
                <w:tcPr>
                  <w:tcW w:w="2113" w:type="dxa"/>
                </w:tcPr>
                <w:p w14:paraId="387676A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24小时平均</w:t>
                  </w:r>
                </w:p>
              </w:tc>
              <w:tc>
                <w:tcPr>
                  <w:tcW w:w="2113" w:type="dxa"/>
                </w:tcPr>
                <w:p w14:paraId="5AFF7B9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0.15</w:t>
                  </w:r>
                </w:p>
              </w:tc>
              <w:tc>
                <w:tcPr>
                  <w:tcW w:w="2114" w:type="dxa"/>
                  <w:vMerge w:val="continue"/>
                  <w:tcBorders>
                    <w:right w:val="nil"/>
                  </w:tcBorders>
                </w:tcPr>
                <w:p w14:paraId="2D32EDF0">
                  <w:pPr>
                    <w:jc w:val="center"/>
                    <w:rPr>
                      <w:rFonts w:ascii="Times New Roman" w:hAnsi="Times New Roman" w:cs="Times New Roman"/>
                      <w:color w:val="auto"/>
                      <w:sz w:val="21"/>
                      <w:szCs w:val="21"/>
                      <w:vertAlign w:val="baseline"/>
                    </w:rPr>
                  </w:pPr>
                </w:p>
              </w:tc>
            </w:tr>
            <w:tr w14:paraId="2862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2DEDDF9F">
                  <w:pPr>
                    <w:jc w:val="center"/>
                    <w:rPr>
                      <w:rFonts w:ascii="Times New Roman" w:hAnsi="Times New Roman" w:cs="Times New Roman"/>
                      <w:color w:val="auto"/>
                      <w:sz w:val="21"/>
                      <w:szCs w:val="21"/>
                      <w:vertAlign w:val="baseline"/>
                    </w:rPr>
                  </w:pPr>
                </w:p>
              </w:tc>
              <w:tc>
                <w:tcPr>
                  <w:tcW w:w="2113" w:type="dxa"/>
                </w:tcPr>
                <w:p w14:paraId="52EBCAE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1小时平均</w:t>
                  </w:r>
                </w:p>
              </w:tc>
              <w:tc>
                <w:tcPr>
                  <w:tcW w:w="2113" w:type="dxa"/>
                </w:tcPr>
                <w:p w14:paraId="14B3F962">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2114" w:type="dxa"/>
                  <w:vMerge w:val="continue"/>
                  <w:tcBorders>
                    <w:right w:val="nil"/>
                  </w:tcBorders>
                </w:tcPr>
                <w:p w14:paraId="5A6E423B">
                  <w:pPr>
                    <w:jc w:val="center"/>
                    <w:rPr>
                      <w:rFonts w:ascii="Times New Roman" w:hAnsi="Times New Roman" w:cs="Times New Roman"/>
                      <w:color w:val="auto"/>
                      <w:sz w:val="21"/>
                      <w:szCs w:val="21"/>
                      <w:vertAlign w:val="baseline"/>
                    </w:rPr>
                  </w:pPr>
                </w:p>
              </w:tc>
            </w:tr>
            <w:tr w14:paraId="118C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restart"/>
                  <w:tcBorders>
                    <w:left w:val="nil"/>
                  </w:tcBorders>
                </w:tcPr>
                <w:p w14:paraId="64165650">
                  <w:pPr>
                    <w:spacing w:before="552" w:beforeLines="1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2113" w:type="dxa"/>
                  <w:shd w:val="clear" w:color="auto" w:fill="auto"/>
                  <w:vAlign w:val="top"/>
                </w:tcPr>
                <w:p w14:paraId="4C990FC8">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14:paraId="21FD1C6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0.04</w:t>
                  </w:r>
                </w:p>
              </w:tc>
              <w:tc>
                <w:tcPr>
                  <w:tcW w:w="2114" w:type="dxa"/>
                  <w:vMerge w:val="continue"/>
                  <w:tcBorders>
                    <w:right w:val="nil"/>
                  </w:tcBorders>
                </w:tcPr>
                <w:p w14:paraId="7CF5BC50">
                  <w:pPr>
                    <w:jc w:val="center"/>
                    <w:rPr>
                      <w:rFonts w:ascii="Times New Roman" w:hAnsi="Times New Roman" w:cs="Times New Roman"/>
                      <w:color w:val="auto"/>
                      <w:sz w:val="21"/>
                      <w:szCs w:val="21"/>
                      <w:vertAlign w:val="baseline"/>
                    </w:rPr>
                  </w:pPr>
                </w:p>
              </w:tc>
            </w:tr>
            <w:tr w14:paraId="7F69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458D5E87">
                  <w:pPr>
                    <w:jc w:val="center"/>
                    <w:rPr>
                      <w:rFonts w:ascii="Times New Roman" w:hAnsi="Times New Roman" w:cs="Times New Roman"/>
                      <w:color w:val="auto"/>
                      <w:sz w:val="21"/>
                      <w:szCs w:val="21"/>
                      <w:vertAlign w:val="baseline"/>
                    </w:rPr>
                  </w:pPr>
                </w:p>
              </w:tc>
              <w:tc>
                <w:tcPr>
                  <w:tcW w:w="2113" w:type="dxa"/>
                  <w:shd w:val="clear" w:color="auto" w:fill="auto"/>
                  <w:vAlign w:val="top"/>
                </w:tcPr>
                <w:p w14:paraId="2BBFF068">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14:paraId="771651F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0.08</w:t>
                  </w:r>
                </w:p>
              </w:tc>
              <w:tc>
                <w:tcPr>
                  <w:tcW w:w="2114" w:type="dxa"/>
                  <w:vMerge w:val="continue"/>
                  <w:tcBorders>
                    <w:right w:val="nil"/>
                  </w:tcBorders>
                </w:tcPr>
                <w:p w14:paraId="0C5908A3">
                  <w:pPr>
                    <w:jc w:val="center"/>
                    <w:rPr>
                      <w:rFonts w:ascii="Times New Roman" w:hAnsi="Times New Roman" w:cs="Times New Roman"/>
                      <w:color w:val="auto"/>
                      <w:sz w:val="21"/>
                      <w:szCs w:val="21"/>
                      <w:vertAlign w:val="baseline"/>
                    </w:rPr>
                  </w:pPr>
                </w:p>
              </w:tc>
            </w:tr>
            <w:tr w14:paraId="7546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47579903">
                  <w:pPr>
                    <w:jc w:val="center"/>
                    <w:rPr>
                      <w:rFonts w:ascii="Times New Roman" w:hAnsi="Times New Roman" w:cs="Times New Roman"/>
                      <w:color w:val="auto"/>
                      <w:sz w:val="21"/>
                      <w:szCs w:val="21"/>
                      <w:vertAlign w:val="baseline"/>
                    </w:rPr>
                  </w:pPr>
                </w:p>
              </w:tc>
              <w:tc>
                <w:tcPr>
                  <w:tcW w:w="2113" w:type="dxa"/>
                  <w:shd w:val="clear" w:color="auto" w:fill="auto"/>
                  <w:vAlign w:val="top"/>
                </w:tcPr>
                <w:p w14:paraId="1B698A7B">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1小时平均</w:t>
                  </w:r>
                </w:p>
              </w:tc>
              <w:tc>
                <w:tcPr>
                  <w:tcW w:w="2113" w:type="dxa"/>
                </w:tcPr>
                <w:p w14:paraId="7FC6A79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2114" w:type="dxa"/>
                  <w:vMerge w:val="continue"/>
                  <w:tcBorders>
                    <w:right w:val="nil"/>
                  </w:tcBorders>
                </w:tcPr>
                <w:p w14:paraId="242C380D">
                  <w:pPr>
                    <w:jc w:val="center"/>
                    <w:rPr>
                      <w:rFonts w:ascii="Times New Roman" w:hAnsi="Times New Roman" w:cs="Times New Roman"/>
                      <w:color w:val="auto"/>
                      <w:sz w:val="21"/>
                      <w:szCs w:val="21"/>
                      <w:vertAlign w:val="baseline"/>
                    </w:rPr>
                  </w:pPr>
                </w:p>
              </w:tc>
            </w:tr>
            <w:tr w14:paraId="100D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restart"/>
                  <w:tcBorders>
                    <w:left w:val="nil"/>
                  </w:tcBorders>
                </w:tcPr>
                <w:p w14:paraId="2F6B0B7A">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CO</w:t>
                  </w:r>
                </w:p>
              </w:tc>
              <w:tc>
                <w:tcPr>
                  <w:tcW w:w="2113" w:type="dxa"/>
                  <w:shd w:val="clear" w:color="auto" w:fill="auto"/>
                  <w:vAlign w:val="top"/>
                </w:tcPr>
                <w:p w14:paraId="2F9ABD75">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14:paraId="1B0CF3AE">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114" w:type="dxa"/>
                  <w:vMerge w:val="continue"/>
                  <w:tcBorders>
                    <w:right w:val="nil"/>
                  </w:tcBorders>
                </w:tcPr>
                <w:p w14:paraId="321702BF">
                  <w:pPr>
                    <w:jc w:val="center"/>
                    <w:rPr>
                      <w:rFonts w:ascii="Times New Roman" w:hAnsi="Times New Roman" w:cs="Times New Roman"/>
                      <w:color w:val="auto"/>
                      <w:sz w:val="21"/>
                      <w:szCs w:val="21"/>
                      <w:vertAlign w:val="baseline"/>
                    </w:rPr>
                  </w:pPr>
                </w:p>
              </w:tc>
            </w:tr>
            <w:tr w14:paraId="5D3F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21D5B2F2">
                  <w:pPr>
                    <w:spacing w:before="185" w:beforeLines="50"/>
                    <w:jc w:val="center"/>
                    <w:rPr>
                      <w:rFonts w:ascii="Times New Roman" w:hAnsi="Times New Roman" w:cs="Times New Roman"/>
                      <w:color w:val="auto"/>
                      <w:sz w:val="21"/>
                      <w:szCs w:val="21"/>
                      <w:vertAlign w:val="baseline"/>
                    </w:rPr>
                  </w:pPr>
                </w:p>
              </w:tc>
              <w:tc>
                <w:tcPr>
                  <w:tcW w:w="2113" w:type="dxa"/>
                  <w:shd w:val="clear" w:color="auto" w:fill="auto"/>
                  <w:vAlign w:val="top"/>
                </w:tcPr>
                <w:p w14:paraId="53A8F23A">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1小时平均</w:t>
                  </w:r>
                </w:p>
              </w:tc>
              <w:tc>
                <w:tcPr>
                  <w:tcW w:w="2113" w:type="dxa"/>
                </w:tcPr>
                <w:p w14:paraId="73C3D524">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2114" w:type="dxa"/>
                  <w:vMerge w:val="continue"/>
                  <w:tcBorders>
                    <w:right w:val="nil"/>
                  </w:tcBorders>
                </w:tcPr>
                <w:p w14:paraId="70878AB9">
                  <w:pPr>
                    <w:jc w:val="center"/>
                    <w:rPr>
                      <w:rFonts w:ascii="Times New Roman" w:hAnsi="Times New Roman" w:cs="Times New Roman"/>
                      <w:color w:val="auto"/>
                      <w:sz w:val="21"/>
                      <w:szCs w:val="21"/>
                      <w:vertAlign w:val="baseline"/>
                    </w:rPr>
                  </w:pPr>
                </w:p>
              </w:tc>
            </w:tr>
            <w:tr w14:paraId="59D6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restart"/>
                  <w:tcBorders>
                    <w:left w:val="nil"/>
                  </w:tcBorders>
                </w:tcPr>
                <w:p w14:paraId="74C52168">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2113" w:type="dxa"/>
                  <w:shd w:val="clear" w:color="auto" w:fill="auto"/>
                  <w:vAlign w:val="top"/>
                </w:tcPr>
                <w:p w14:paraId="2954D784">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14:paraId="56967023">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0.07</w:t>
                  </w:r>
                </w:p>
              </w:tc>
              <w:tc>
                <w:tcPr>
                  <w:tcW w:w="2114" w:type="dxa"/>
                  <w:vMerge w:val="continue"/>
                  <w:tcBorders>
                    <w:right w:val="nil"/>
                  </w:tcBorders>
                </w:tcPr>
                <w:p w14:paraId="1FC7FF99">
                  <w:pPr>
                    <w:jc w:val="center"/>
                    <w:rPr>
                      <w:rFonts w:ascii="Times New Roman" w:hAnsi="Times New Roman" w:cs="Times New Roman"/>
                      <w:color w:val="auto"/>
                      <w:sz w:val="21"/>
                      <w:szCs w:val="21"/>
                      <w:vertAlign w:val="baseline"/>
                    </w:rPr>
                  </w:pPr>
                </w:p>
              </w:tc>
            </w:tr>
            <w:tr w14:paraId="46F1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5B9C5A36">
                  <w:pPr>
                    <w:jc w:val="center"/>
                    <w:rPr>
                      <w:rFonts w:ascii="Times New Roman" w:hAnsi="Times New Roman" w:cs="Times New Roman"/>
                      <w:color w:val="auto"/>
                      <w:sz w:val="21"/>
                      <w:szCs w:val="21"/>
                      <w:vertAlign w:val="baseline"/>
                    </w:rPr>
                  </w:pPr>
                </w:p>
              </w:tc>
              <w:tc>
                <w:tcPr>
                  <w:tcW w:w="2113" w:type="dxa"/>
                  <w:shd w:val="clear" w:color="auto" w:fill="auto"/>
                  <w:vAlign w:val="top"/>
                </w:tcPr>
                <w:p w14:paraId="39D2AFDB">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14:paraId="78B71E01">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0.15</w:t>
                  </w:r>
                </w:p>
              </w:tc>
              <w:tc>
                <w:tcPr>
                  <w:tcW w:w="2114" w:type="dxa"/>
                  <w:vMerge w:val="continue"/>
                  <w:tcBorders>
                    <w:right w:val="nil"/>
                  </w:tcBorders>
                </w:tcPr>
                <w:p w14:paraId="54790E9C">
                  <w:pPr>
                    <w:jc w:val="center"/>
                    <w:rPr>
                      <w:rFonts w:ascii="Times New Roman" w:hAnsi="Times New Roman" w:cs="Times New Roman"/>
                      <w:color w:val="auto"/>
                      <w:sz w:val="21"/>
                      <w:szCs w:val="21"/>
                      <w:vertAlign w:val="baseline"/>
                    </w:rPr>
                  </w:pPr>
                </w:p>
              </w:tc>
            </w:tr>
            <w:tr w14:paraId="6A59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restart"/>
                  <w:tcBorders>
                    <w:left w:val="nil"/>
                  </w:tcBorders>
                </w:tcPr>
                <w:p w14:paraId="6E234192">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p>
              </w:tc>
              <w:tc>
                <w:tcPr>
                  <w:tcW w:w="2113" w:type="dxa"/>
                  <w:shd w:val="clear" w:color="auto" w:fill="auto"/>
                  <w:vAlign w:val="top"/>
                </w:tcPr>
                <w:p w14:paraId="3337C14A">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14:paraId="12A42961">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0.035</w:t>
                  </w:r>
                </w:p>
              </w:tc>
              <w:tc>
                <w:tcPr>
                  <w:tcW w:w="2114" w:type="dxa"/>
                  <w:vMerge w:val="continue"/>
                  <w:tcBorders>
                    <w:right w:val="nil"/>
                  </w:tcBorders>
                </w:tcPr>
                <w:p w14:paraId="78B9DA7D">
                  <w:pPr>
                    <w:jc w:val="center"/>
                    <w:rPr>
                      <w:rFonts w:ascii="Times New Roman" w:hAnsi="Times New Roman" w:cs="Times New Roman"/>
                      <w:color w:val="auto"/>
                      <w:sz w:val="21"/>
                      <w:szCs w:val="21"/>
                      <w:vertAlign w:val="baseline"/>
                    </w:rPr>
                  </w:pPr>
                </w:p>
              </w:tc>
            </w:tr>
            <w:tr w14:paraId="3090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3CD42C39">
                  <w:pPr>
                    <w:spacing w:before="185" w:beforeLines="50"/>
                    <w:jc w:val="center"/>
                    <w:rPr>
                      <w:rFonts w:ascii="Times New Roman" w:hAnsi="Times New Roman" w:cs="Times New Roman"/>
                      <w:color w:val="auto"/>
                      <w:sz w:val="21"/>
                      <w:szCs w:val="21"/>
                      <w:vertAlign w:val="baseline"/>
                    </w:rPr>
                  </w:pPr>
                </w:p>
              </w:tc>
              <w:tc>
                <w:tcPr>
                  <w:tcW w:w="2113" w:type="dxa"/>
                  <w:shd w:val="clear" w:color="auto" w:fill="auto"/>
                  <w:vAlign w:val="top"/>
                </w:tcPr>
                <w:p w14:paraId="5A6B3D2C">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14:paraId="29C5F899">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0.075</w:t>
                  </w:r>
                </w:p>
              </w:tc>
              <w:tc>
                <w:tcPr>
                  <w:tcW w:w="2114" w:type="dxa"/>
                  <w:vMerge w:val="continue"/>
                  <w:tcBorders>
                    <w:right w:val="nil"/>
                  </w:tcBorders>
                </w:tcPr>
                <w:p w14:paraId="11FE73D5">
                  <w:pPr>
                    <w:jc w:val="center"/>
                    <w:rPr>
                      <w:rFonts w:ascii="Times New Roman" w:hAnsi="Times New Roman" w:cs="Times New Roman"/>
                      <w:color w:val="auto"/>
                      <w:sz w:val="21"/>
                      <w:szCs w:val="21"/>
                      <w:vertAlign w:val="baseline"/>
                    </w:rPr>
                  </w:pPr>
                </w:p>
              </w:tc>
            </w:tr>
            <w:tr w14:paraId="46CC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restart"/>
                  <w:tcBorders>
                    <w:left w:val="nil"/>
                  </w:tcBorders>
                </w:tcPr>
                <w:p w14:paraId="0F294576">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TSP</w:t>
                  </w:r>
                </w:p>
              </w:tc>
              <w:tc>
                <w:tcPr>
                  <w:tcW w:w="2113" w:type="dxa"/>
                  <w:shd w:val="clear" w:color="auto" w:fill="auto"/>
                  <w:vAlign w:val="top"/>
                </w:tcPr>
                <w:p w14:paraId="37E341E2">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年平均</w:t>
                  </w:r>
                </w:p>
              </w:tc>
              <w:tc>
                <w:tcPr>
                  <w:tcW w:w="2113" w:type="dxa"/>
                </w:tcPr>
                <w:p w14:paraId="4006C058">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2114" w:type="dxa"/>
                  <w:vMerge w:val="continue"/>
                  <w:tcBorders>
                    <w:right w:val="nil"/>
                  </w:tcBorders>
                </w:tcPr>
                <w:p w14:paraId="52DF20A9">
                  <w:pPr>
                    <w:jc w:val="center"/>
                    <w:rPr>
                      <w:rFonts w:ascii="Times New Roman" w:hAnsi="Times New Roman" w:cs="Times New Roman"/>
                      <w:color w:val="auto"/>
                      <w:sz w:val="21"/>
                      <w:szCs w:val="21"/>
                      <w:vertAlign w:val="baseline"/>
                    </w:rPr>
                  </w:pPr>
                </w:p>
              </w:tc>
            </w:tr>
            <w:tr w14:paraId="55FC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tcBorders>
                </w:tcPr>
                <w:p w14:paraId="1593A440">
                  <w:pPr>
                    <w:spacing w:before="185" w:beforeLines="50"/>
                    <w:jc w:val="center"/>
                    <w:rPr>
                      <w:rFonts w:ascii="Times New Roman" w:hAnsi="Times New Roman" w:cs="Times New Roman"/>
                      <w:color w:val="auto"/>
                      <w:sz w:val="21"/>
                      <w:szCs w:val="21"/>
                      <w:vertAlign w:val="baseline"/>
                    </w:rPr>
                  </w:pPr>
                </w:p>
              </w:tc>
              <w:tc>
                <w:tcPr>
                  <w:tcW w:w="2113" w:type="dxa"/>
                  <w:shd w:val="clear" w:color="auto" w:fill="auto"/>
                  <w:vAlign w:val="top"/>
                </w:tcPr>
                <w:p w14:paraId="167C5182">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24小时平均</w:t>
                  </w:r>
                </w:p>
              </w:tc>
              <w:tc>
                <w:tcPr>
                  <w:tcW w:w="2113" w:type="dxa"/>
                </w:tcPr>
                <w:p w14:paraId="46AA02FA">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114" w:type="dxa"/>
                  <w:vMerge w:val="continue"/>
                  <w:tcBorders>
                    <w:right w:val="nil"/>
                  </w:tcBorders>
                </w:tcPr>
                <w:p w14:paraId="437C4FCF">
                  <w:pPr>
                    <w:jc w:val="center"/>
                    <w:rPr>
                      <w:rFonts w:ascii="Times New Roman" w:hAnsi="Times New Roman" w:cs="Times New Roman"/>
                      <w:color w:val="auto"/>
                      <w:sz w:val="21"/>
                      <w:szCs w:val="21"/>
                      <w:vertAlign w:val="baseline"/>
                    </w:rPr>
                  </w:pPr>
                </w:p>
              </w:tc>
            </w:tr>
            <w:tr w14:paraId="715E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3" w:type="dxa"/>
                  <w:vMerge w:val="restart"/>
                  <w:tcBorders>
                    <w:left w:val="nil"/>
                  </w:tcBorders>
                </w:tcPr>
                <w:p w14:paraId="5E82120C">
                  <w:pPr>
                    <w:spacing w:before="185" w:beforeLines="50"/>
                    <w:jc w:val="center"/>
                    <w:rPr>
                      <w:rFonts w:ascii="Times New Roman" w:hAnsi="Times New Roman" w:cs="Times New Roman"/>
                      <w:color w:val="auto"/>
                      <w:sz w:val="21"/>
                      <w:szCs w:val="21"/>
                      <w:vertAlign w:val="baseline"/>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2113" w:type="dxa"/>
                  <w:shd w:val="clear" w:color="auto" w:fill="auto"/>
                  <w:vAlign w:val="top"/>
                </w:tcPr>
                <w:p w14:paraId="7AA20F0E">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日最大8小时平均</w:t>
                  </w:r>
                </w:p>
              </w:tc>
              <w:tc>
                <w:tcPr>
                  <w:tcW w:w="2113" w:type="dxa"/>
                </w:tcPr>
                <w:p w14:paraId="5B6CCE9D">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0.16</w:t>
                  </w:r>
                </w:p>
              </w:tc>
              <w:tc>
                <w:tcPr>
                  <w:tcW w:w="2114" w:type="dxa"/>
                  <w:vMerge w:val="continue"/>
                  <w:tcBorders>
                    <w:right w:val="nil"/>
                  </w:tcBorders>
                </w:tcPr>
                <w:p w14:paraId="55936E58">
                  <w:pPr>
                    <w:jc w:val="center"/>
                    <w:rPr>
                      <w:rFonts w:ascii="Times New Roman" w:hAnsi="Times New Roman" w:cs="Times New Roman"/>
                      <w:color w:val="auto"/>
                      <w:sz w:val="21"/>
                      <w:szCs w:val="21"/>
                      <w:vertAlign w:val="baseline"/>
                    </w:rPr>
                  </w:pPr>
                </w:p>
              </w:tc>
            </w:tr>
            <w:tr w14:paraId="3143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Merge w:val="continue"/>
                  <w:tcBorders>
                    <w:left w:val="nil"/>
                    <w:bottom w:val="single" w:color="auto" w:sz="12" w:space="0"/>
                  </w:tcBorders>
                </w:tcPr>
                <w:p w14:paraId="4929A518">
                  <w:pPr>
                    <w:jc w:val="center"/>
                    <w:rPr>
                      <w:rFonts w:ascii="Times New Roman" w:hAnsi="Times New Roman" w:eastAsia="宋体" w:cs="Times New Roman"/>
                      <w:color w:val="auto"/>
                      <w:sz w:val="21"/>
                      <w:szCs w:val="21"/>
                      <w:highlight w:val="none"/>
                    </w:rPr>
                  </w:pPr>
                </w:p>
              </w:tc>
              <w:tc>
                <w:tcPr>
                  <w:tcW w:w="2113" w:type="dxa"/>
                  <w:tcBorders>
                    <w:bottom w:val="single" w:color="auto" w:sz="12" w:space="0"/>
                  </w:tcBorders>
                  <w:shd w:val="clear" w:color="auto" w:fill="auto"/>
                  <w:vAlign w:val="top"/>
                </w:tcPr>
                <w:p w14:paraId="5945DB06">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1小时平均</w:t>
                  </w:r>
                </w:p>
              </w:tc>
              <w:tc>
                <w:tcPr>
                  <w:tcW w:w="2113" w:type="dxa"/>
                  <w:tcBorders>
                    <w:bottom w:val="single" w:color="auto" w:sz="12" w:space="0"/>
                  </w:tcBorders>
                </w:tcPr>
                <w:p w14:paraId="06BC7A9D">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2114" w:type="dxa"/>
                  <w:vMerge w:val="continue"/>
                  <w:tcBorders>
                    <w:bottom w:val="single" w:color="auto" w:sz="12" w:space="0"/>
                    <w:right w:val="nil"/>
                  </w:tcBorders>
                </w:tcPr>
                <w:p w14:paraId="122DBDED">
                  <w:pPr>
                    <w:jc w:val="center"/>
                    <w:rPr>
                      <w:rFonts w:ascii="Times New Roman" w:hAnsi="Times New Roman" w:cs="Times New Roman"/>
                      <w:color w:val="auto"/>
                      <w:sz w:val="21"/>
                      <w:szCs w:val="21"/>
                      <w:vertAlign w:val="baseline"/>
                    </w:rPr>
                  </w:pPr>
                </w:p>
              </w:tc>
            </w:tr>
            <w:bookmarkEnd w:id="64"/>
          </w:tbl>
          <w:p w14:paraId="70FBB752">
            <w:pPr>
              <w:spacing w:line="360" w:lineRule="auto"/>
              <w:ind w:firstLine="480" w:firstLineChars="200"/>
              <w:rPr>
                <w:sz w:val="24"/>
                <w:szCs w:val="24"/>
              </w:rPr>
            </w:pPr>
            <w:bookmarkStart w:id="65" w:name="_Toc133251543"/>
            <w:bookmarkStart w:id="66" w:name="_Toc11923"/>
            <w:bookmarkStart w:id="67" w:name="_Toc14387"/>
            <w:r>
              <w:rPr>
                <w:rFonts w:hint="eastAsia"/>
                <w:sz w:val="24"/>
                <w:szCs w:val="24"/>
              </w:rPr>
              <w:t>（</w:t>
            </w:r>
            <w:r>
              <w:rPr>
                <w:rFonts w:hint="eastAsia"/>
                <w:sz w:val="24"/>
                <w:szCs w:val="24"/>
                <w:lang w:eastAsia="zh-CN"/>
              </w:rPr>
              <w:t>2</w:t>
            </w:r>
            <w:r>
              <w:rPr>
                <w:rFonts w:hint="eastAsia"/>
                <w:sz w:val="24"/>
                <w:szCs w:val="24"/>
              </w:rPr>
              <w:t>）项目所在区域大气达标判定</w:t>
            </w:r>
          </w:p>
          <w:p w14:paraId="4852E7F6">
            <w:pPr>
              <w:spacing w:beforeLines="0" w:line="360" w:lineRule="auto"/>
              <w:ind w:firstLine="480" w:firstLineChars="200"/>
              <w:rPr>
                <w:b/>
                <w:bCs/>
                <w:sz w:val="24"/>
                <w:szCs w:val="24"/>
                <w:lang w:eastAsia="zh-Hans"/>
              </w:rPr>
            </w:pPr>
            <w:r>
              <w:rPr>
                <w:sz w:val="24"/>
                <w:szCs w:val="24"/>
              </w:rPr>
              <w:t>根据福清市人民政府网站发布的2023年1月</w:t>
            </w:r>
            <w:r>
              <w:rPr>
                <w:rFonts w:hint="default" w:ascii="Times New Roman" w:hAnsi="Times New Roman" w:cs="Times New Roman"/>
                <w:sz w:val="24"/>
                <w:szCs w:val="24"/>
              </w:rPr>
              <w:t>~</w:t>
            </w:r>
            <w:r>
              <w:rPr>
                <w:sz w:val="24"/>
                <w:szCs w:val="24"/>
              </w:rPr>
              <w:t>2023年12月份福清市环境空气质量月报</w:t>
            </w:r>
            <w:r>
              <w:rPr>
                <w:rFonts w:hint="eastAsia"/>
                <w:sz w:val="24"/>
                <w:szCs w:val="24"/>
                <w:lang w:eastAsia="zh-CN"/>
              </w:rPr>
              <w:t>（http://www.fuqing.gov.cn/xjwz/zwgk/ztzl/sdgjz/dhwrfzgjz/hjzl/）</w:t>
            </w:r>
            <w:r>
              <w:rPr>
                <w:sz w:val="24"/>
                <w:szCs w:val="24"/>
              </w:rPr>
              <w:t>，2023年连续1年的大气常规因子环境空气质量监测数据见表3</w:t>
            </w:r>
            <w:r>
              <w:rPr>
                <w:rFonts w:hint="eastAsia"/>
                <w:sz w:val="24"/>
                <w:szCs w:val="24"/>
                <w:lang w:eastAsia="zh-CN"/>
              </w:rPr>
              <w:t>-</w:t>
            </w:r>
            <w:r>
              <w:rPr>
                <w:rFonts w:hint="eastAsia"/>
                <w:sz w:val="24"/>
                <w:szCs w:val="24"/>
                <w:lang w:val="en-US" w:eastAsia="zh-CN"/>
              </w:rPr>
              <w:t>5</w:t>
            </w:r>
            <w:r>
              <w:rPr>
                <w:sz w:val="24"/>
                <w:szCs w:val="24"/>
              </w:rPr>
              <w:t>。</w:t>
            </w:r>
          </w:p>
          <w:p w14:paraId="05C738E0">
            <w:pPr>
              <w:pStyle w:val="485"/>
              <w:spacing w:before="0" w:beforeLines="0" w:line="240" w:lineRule="auto"/>
              <w:ind w:firstLine="0"/>
              <w:jc w:val="center"/>
              <w:rPr>
                <w:b/>
                <w:bCs/>
                <w:sz w:val="24"/>
                <w:szCs w:val="24"/>
              </w:rPr>
            </w:pPr>
            <w:r>
              <w:rPr>
                <w:b/>
                <w:bCs/>
                <w:sz w:val="24"/>
                <w:szCs w:val="24"/>
              </w:rPr>
              <w:t>表3</w:t>
            </w:r>
            <w:r>
              <w:rPr>
                <w:rFonts w:hint="eastAsia"/>
                <w:b/>
                <w:bCs/>
                <w:sz w:val="24"/>
                <w:szCs w:val="24"/>
                <w:lang w:val="en-US" w:eastAsia="zh-CN"/>
              </w:rPr>
              <w:t>-5</w:t>
            </w:r>
            <w:r>
              <w:rPr>
                <w:b/>
                <w:bCs/>
                <w:sz w:val="24"/>
                <w:szCs w:val="24"/>
              </w:rPr>
              <w:t xml:space="preserve"> </w:t>
            </w:r>
            <w:r>
              <w:rPr>
                <w:rFonts w:hint="eastAsia"/>
                <w:b/>
                <w:bCs/>
                <w:sz w:val="24"/>
                <w:szCs w:val="24"/>
                <w:lang w:val="en-US" w:eastAsia="zh-CN"/>
              </w:rPr>
              <w:t xml:space="preserve"> </w:t>
            </w:r>
            <w:r>
              <w:rPr>
                <w:b/>
                <w:bCs/>
                <w:sz w:val="24"/>
                <w:szCs w:val="24"/>
              </w:rPr>
              <w:t>区域空气质量现状评价表</w:t>
            </w:r>
          </w:p>
          <w:tbl>
            <w:tblPr>
              <w:tblStyle w:val="50"/>
              <w:tblW w:w="4994"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93"/>
              <w:gridCol w:w="1176"/>
              <w:gridCol w:w="1176"/>
              <w:gridCol w:w="1153"/>
              <w:gridCol w:w="1207"/>
              <w:gridCol w:w="1176"/>
              <w:gridCol w:w="1170"/>
            </w:tblGrid>
            <w:tr w14:paraId="043CF1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824" w:type="pct"/>
                  <w:shd w:val="clear" w:color="auto" w:fill="FFFFFF"/>
                  <w:tcMar>
                    <w:top w:w="15" w:type="dxa"/>
                    <w:left w:w="15" w:type="dxa"/>
                    <w:right w:w="15" w:type="dxa"/>
                  </w:tcMar>
                  <w:vAlign w:val="center"/>
                </w:tcPr>
                <w:p w14:paraId="14C1840B">
                  <w:pPr>
                    <w:pStyle w:val="499"/>
                    <w:rPr>
                      <w:rFonts w:ascii="Times New Roman" w:hAnsi="Times New Roman" w:cs="Times New Roman"/>
                    </w:rPr>
                  </w:pPr>
                  <w:r>
                    <w:rPr>
                      <w:rFonts w:ascii="Times New Roman" w:hAnsi="Times New Roman" w:cs="Times New Roman"/>
                    </w:rPr>
                    <w:t>时间</w:t>
                  </w:r>
                </w:p>
              </w:tc>
              <w:tc>
                <w:tcPr>
                  <w:tcW w:w="696" w:type="pct"/>
                  <w:shd w:val="clear" w:color="auto" w:fill="FFFFFF"/>
                  <w:tcMar>
                    <w:top w:w="15" w:type="dxa"/>
                    <w:left w:w="15" w:type="dxa"/>
                    <w:right w:w="15" w:type="dxa"/>
                  </w:tcMar>
                  <w:vAlign w:val="center"/>
                </w:tcPr>
                <w:p w14:paraId="01203CE1">
                  <w:pPr>
                    <w:pStyle w:val="499"/>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p w14:paraId="1C3C8863">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696" w:type="pct"/>
                  <w:shd w:val="clear" w:color="auto" w:fill="FFFFFF"/>
                  <w:tcMar>
                    <w:top w:w="15" w:type="dxa"/>
                    <w:left w:w="15" w:type="dxa"/>
                    <w:right w:w="15" w:type="dxa"/>
                  </w:tcMar>
                  <w:vAlign w:val="center"/>
                </w:tcPr>
                <w:p w14:paraId="1FE9764B">
                  <w:pPr>
                    <w:pStyle w:val="499"/>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p w14:paraId="72E344BB">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679" w:type="pct"/>
                  <w:shd w:val="clear" w:color="auto" w:fill="FFFFFF"/>
                  <w:tcMar>
                    <w:top w:w="15" w:type="dxa"/>
                    <w:left w:w="15" w:type="dxa"/>
                    <w:right w:w="15" w:type="dxa"/>
                  </w:tcMar>
                  <w:vAlign w:val="center"/>
                </w:tcPr>
                <w:p w14:paraId="4FBE2B51">
                  <w:pPr>
                    <w:pStyle w:val="499"/>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10</w:t>
                  </w:r>
                </w:p>
                <w:p w14:paraId="45D21FC0">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714" w:type="pct"/>
                  <w:shd w:val="clear" w:color="auto" w:fill="FFFFFF"/>
                  <w:tcMar>
                    <w:top w:w="15" w:type="dxa"/>
                    <w:left w:w="15" w:type="dxa"/>
                    <w:right w:w="15" w:type="dxa"/>
                  </w:tcMar>
                  <w:vAlign w:val="center"/>
                </w:tcPr>
                <w:p w14:paraId="0504C08A">
                  <w:pPr>
                    <w:pStyle w:val="499"/>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p>
                <w:p w14:paraId="45FDE322">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696" w:type="pct"/>
                  <w:shd w:val="clear" w:color="auto" w:fill="FFFFFF"/>
                  <w:tcMar>
                    <w:top w:w="15" w:type="dxa"/>
                    <w:left w:w="15" w:type="dxa"/>
                    <w:right w:w="15" w:type="dxa"/>
                  </w:tcMar>
                  <w:vAlign w:val="center"/>
                </w:tcPr>
                <w:p w14:paraId="2D70CAD5">
                  <w:pPr>
                    <w:pStyle w:val="499"/>
                    <w:rPr>
                      <w:rFonts w:ascii="Times New Roman" w:hAnsi="Times New Roman" w:cs="Times New Roman"/>
                    </w:rPr>
                  </w:pPr>
                  <w:r>
                    <w:rPr>
                      <w:rFonts w:ascii="Times New Roman" w:hAnsi="Times New Roman" w:cs="Times New Roman"/>
                    </w:rPr>
                    <w:t>CO</w:t>
                  </w:r>
                </w:p>
                <w:p w14:paraId="0107EF49">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696" w:type="pct"/>
                  <w:shd w:val="clear" w:color="auto" w:fill="FFFFFF"/>
                  <w:tcMar>
                    <w:top w:w="15" w:type="dxa"/>
                    <w:left w:w="15" w:type="dxa"/>
                    <w:right w:w="15" w:type="dxa"/>
                  </w:tcMar>
                  <w:vAlign w:val="center"/>
                </w:tcPr>
                <w:p w14:paraId="5F46BC61">
                  <w:pPr>
                    <w:pStyle w:val="499"/>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3</w:t>
                  </w:r>
                </w:p>
                <w:p w14:paraId="29784F38">
                  <w:pPr>
                    <w:pStyle w:val="499"/>
                    <w:rPr>
                      <w:rFonts w:ascii="Times New Roman" w:hAnsi="Times New Roman" w:cs="Times New Roman"/>
                    </w:rPr>
                  </w:pP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r>
            <w:tr w14:paraId="4EACE6B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58B9D880">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年1月</w:t>
                  </w:r>
                </w:p>
              </w:tc>
              <w:tc>
                <w:tcPr>
                  <w:tcW w:w="696" w:type="pct"/>
                  <w:shd w:val="clear" w:color="auto" w:fill="FFFFFF"/>
                  <w:tcMar>
                    <w:top w:w="15" w:type="dxa"/>
                    <w:left w:w="15" w:type="dxa"/>
                    <w:right w:w="15" w:type="dxa"/>
                  </w:tcMar>
                  <w:vAlign w:val="center"/>
                </w:tcPr>
                <w:p w14:paraId="5739DA2E">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.003</w:t>
                  </w:r>
                </w:p>
              </w:tc>
              <w:tc>
                <w:tcPr>
                  <w:tcW w:w="696" w:type="pct"/>
                  <w:shd w:val="clear" w:color="auto" w:fill="FFFFFF"/>
                  <w:tcMar>
                    <w:top w:w="15" w:type="dxa"/>
                    <w:left w:w="15" w:type="dxa"/>
                    <w:right w:w="15" w:type="dxa"/>
                  </w:tcMar>
                  <w:vAlign w:val="center"/>
                </w:tcPr>
                <w:p w14:paraId="47428968">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.016</w:t>
                  </w:r>
                </w:p>
              </w:tc>
              <w:tc>
                <w:tcPr>
                  <w:tcW w:w="682" w:type="pct"/>
                  <w:shd w:val="clear" w:color="auto" w:fill="FFFFFF"/>
                  <w:tcMar>
                    <w:top w:w="15" w:type="dxa"/>
                    <w:left w:w="15" w:type="dxa"/>
                    <w:right w:w="15" w:type="dxa"/>
                  </w:tcMar>
                  <w:vAlign w:val="center"/>
                </w:tcPr>
                <w:p w14:paraId="44E8BCD8">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.032</w:t>
                  </w:r>
                </w:p>
              </w:tc>
              <w:tc>
                <w:tcPr>
                  <w:tcW w:w="711" w:type="pct"/>
                  <w:shd w:val="clear" w:color="auto" w:fill="FFFFFF"/>
                  <w:tcMar>
                    <w:top w:w="15" w:type="dxa"/>
                    <w:left w:w="15" w:type="dxa"/>
                    <w:right w:w="15" w:type="dxa"/>
                  </w:tcMar>
                  <w:vAlign w:val="center"/>
                </w:tcPr>
                <w:p w14:paraId="71958596">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.017</w:t>
                  </w:r>
                </w:p>
              </w:tc>
              <w:tc>
                <w:tcPr>
                  <w:tcW w:w="696" w:type="pct"/>
                  <w:shd w:val="clear" w:color="auto" w:fill="FFFFFF"/>
                  <w:tcMar>
                    <w:top w:w="15" w:type="dxa"/>
                    <w:left w:w="15" w:type="dxa"/>
                    <w:right w:w="15" w:type="dxa"/>
                  </w:tcMar>
                  <w:vAlign w:val="center"/>
                </w:tcPr>
                <w:p w14:paraId="669AFD04">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696" w:type="pct"/>
                  <w:shd w:val="clear" w:color="auto" w:fill="FFFFFF"/>
                  <w:tcMar>
                    <w:top w:w="15" w:type="dxa"/>
                    <w:left w:w="15" w:type="dxa"/>
                    <w:right w:w="15" w:type="dxa"/>
                  </w:tcMar>
                  <w:vAlign w:val="center"/>
                </w:tcPr>
                <w:p w14:paraId="4CDBE275">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.100</w:t>
                  </w:r>
                </w:p>
              </w:tc>
            </w:tr>
            <w:tr w14:paraId="5BCE1C8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74C91DD1">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年2月</w:t>
                  </w:r>
                </w:p>
              </w:tc>
              <w:tc>
                <w:tcPr>
                  <w:tcW w:w="696" w:type="pct"/>
                  <w:shd w:val="clear" w:color="auto" w:fill="FFFFFF"/>
                  <w:tcMar>
                    <w:top w:w="15" w:type="dxa"/>
                    <w:left w:w="15" w:type="dxa"/>
                    <w:right w:w="15" w:type="dxa"/>
                  </w:tcMar>
                  <w:vAlign w:val="center"/>
                </w:tcPr>
                <w:p w14:paraId="2BB0B2BE">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.005</w:t>
                  </w:r>
                </w:p>
              </w:tc>
              <w:tc>
                <w:tcPr>
                  <w:tcW w:w="696" w:type="pct"/>
                  <w:shd w:val="clear" w:color="auto" w:fill="FFFFFF"/>
                  <w:tcMar>
                    <w:top w:w="15" w:type="dxa"/>
                    <w:left w:w="15" w:type="dxa"/>
                    <w:right w:w="15" w:type="dxa"/>
                  </w:tcMar>
                  <w:vAlign w:val="center"/>
                </w:tcPr>
                <w:p w14:paraId="6907B930">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.020</w:t>
                  </w:r>
                </w:p>
              </w:tc>
              <w:tc>
                <w:tcPr>
                  <w:tcW w:w="682" w:type="pct"/>
                  <w:shd w:val="clear" w:color="auto" w:fill="FFFFFF"/>
                  <w:tcMar>
                    <w:top w:w="15" w:type="dxa"/>
                    <w:left w:w="15" w:type="dxa"/>
                    <w:right w:w="15" w:type="dxa"/>
                  </w:tcMar>
                  <w:vAlign w:val="center"/>
                </w:tcPr>
                <w:p w14:paraId="24F2D96C">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.033</w:t>
                  </w:r>
                </w:p>
              </w:tc>
              <w:tc>
                <w:tcPr>
                  <w:tcW w:w="711" w:type="pct"/>
                  <w:shd w:val="clear" w:color="auto" w:fill="FFFFFF"/>
                  <w:tcMar>
                    <w:top w:w="15" w:type="dxa"/>
                    <w:left w:w="15" w:type="dxa"/>
                    <w:right w:w="15" w:type="dxa"/>
                  </w:tcMar>
                  <w:vAlign w:val="center"/>
                </w:tcPr>
                <w:p w14:paraId="2BC44774">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.018</w:t>
                  </w:r>
                </w:p>
              </w:tc>
              <w:tc>
                <w:tcPr>
                  <w:tcW w:w="696" w:type="pct"/>
                  <w:shd w:val="clear" w:color="auto" w:fill="FFFFFF"/>
                  <w:tcMar>
                    <w:top w:w="15" w:type="dxa"/>
                    <w:left w:w="15" w:type="dxa"/>
                    <w:right w:w="15" w:type="dxa"/>
                  </w:tcMar>
                  <w:vAlign w:val="center"/>
                </w:tcPr>
                <w:p w14:paraId="6F2D8F2C">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.8</w:t>
                  </w:r>
                </w:p>
              </w:tc>
              <w:tc>
                <w:tcPr>
                  <w:tcW w:w="696" w:type="pct"/>
                  <w:shd w:val="clear" w:color="auto" w:fill="FFFFFF"/>
                  <w:tcMar>
                    <w:top w:w="15" w:type="dxa"/>
                    <w:left w:w="15" w:type="dxa"/>
                    <w:right w:w="15" w:type="dxa"/>
                  </w:tcMar>
                  <w:vAlign w:val="center"/>
                </w:tcPr>
                <w:p w14:paraId="5209FB2E">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.105</w:t>
                  </w:r>
                </w:p>
              </w:tc>
            </w:tr>
            <w:tr w14:paraId="15BB43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824" w:type="pct"/>
                  <w:shd w:val="clear" w:color="auto" w:fill="FFFFFF"/>
                  <w:tcMar>
                    <w:top w:w="15" w:type="dxa"/>
                    <w:left w:w="15" w:type="dxa"/>
                    <w:right w:w="15" w:type="dxa"/>
                  </w:tcMar>
                  <w:vAlign w:val="center"/>
                </w:tcPr>
                <w:p w14:paraId="18171E85">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年3月</w:t>
                  </w:r>
                </w:p>
              </w:tc>
              <w:tc>
                <w:tcPr>
                  <w:tcW w:w="696" w:type="pct"/>
                  <w:shd w:val="clear" w:color="auto" w:fill="FFFFFF"/>
                  <w:tcMar>
                    <w:top w:w="15" w:type="dxa"/>
                    <w:left w:w="15" w:type="dxa"/>
                    <w:right w:w="15" w:type="dxa"/>
                  </w:tcMar>
                  <w:vAlign w:val="center"/>
                </w:tcPr>
                <w:p w14:paraId="21313E35">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.005</w:t>
                  </w:r>
                </w:p>
              </w:tc>
              <w:tc>
                <w:tcPr>
                  <w:tcW w:w="696" w:type="pct"/>
                  <w:shd w:val="clear" w:color="auto" w:fill="FFFFFF"/>
                  <w:tcMar>
                    <w:top w:w="15" w:type="dxa"/>
                    <w:left w:w="15" w:type="dxa"/>
                    <w:right w:w="15" w:type="dxa"/>
                  </w:tcMar>
                  <w:vAlign w:val="center"/>
                </w:tcPr>
                <w:p w14:paraId="3299321F">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.024</w:t>
                  </w:r>
                </w:p>
              </w:tc>
              <w:tc>
                <w:tcPr>
                  <w:tcW w:w="682" w:type="pct"/>
                  <w:shd w:val="clear" w:color="auto" w:fill="FFFFFF"/>
                  <w:tcMar>
                    <w:top w:w="15" w:type="dxa"/>
                    <w:left w:w="15" w:type="dxa"/>
                    <w:right w:w="15" w:type="dxa"/>
                  </w:tcMar>
                  <w:vAlign w:val="center"/>
                </w:tcPr>
                <w:p w14:paraId="5A949024">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.042</w:t>
                  </w:r>
                </w:p>
              </w:tc>
              <w:tc>
                <w:tcPr>
                  <w:tcW w:w="711" w:type="pct"/>
                  <w:shd w:val="clear" w:color="auto" w:fill="FFFFFF"/>
                  <w:tcMar>
                    <w:top w:w="15" w:type="dxa"/>
                    <w:left w:w="15" w:type="dxa"/>
                    <w:right w:w="15" w:type="dxa"/>
                  </w:tcMar>
                  <w:vAlign w:val="center"/>
                </w:tcPr>
                <w:p w14:paraId="42019A7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.020</w:t>
                  </w:r>
                </w:p>
              </w:tc>
              <w:tc>
                <w:tcPr>
                  <w:tcW w:w="696" w:type="pct"/>
                  <w:shd w:val="clear" w:color="auto" w:fill="FFFFFF"/>
                  <w:tcMar>
                    <w:top w:w="15" w:type="dxa"/>
                    <w:left w:w="15" w:type="dxa"/>
                    <w:right w:w="15" w:type="dxa"/>
                  </w:tcMar>
                  <w:vAlign w:val="center"/>
                </w:tcPr>
                <w:p w14:paraId="72B0BC9D">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.8</w:t>
                  </w:r>
                </w:p>
              </w:tc>
              <w:tc>
                <w:tcPr>
                  <w:tcW w:w="696" w:type="pct"/>
                  <w:shd w:val="clear" w:color="auto" w:fill="FFFFFF"/>
                  <w:tcMar>
                    <w:top w:w="15" w:type="dxa"/>
                    <w:left w:w="15" w:type="dxa"/>
                    <w:right w:w="15" w:type="dxa"/>
                  </w:tcMar>
                  <w:vAlign w:val="center"/>
                </w:tcPr>
                <w:p w14:paraId="4FA7BA05">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.130</w:t>
                  </w:r>
                </w:p>
              </w:tc>
            </w:tr>
            <w:tr w14:paraId="73C78CB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0D96D1BA">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年4月</w:t>
                  </w:r>
                </w:p>
              </w:tc>
              <w:tc>
                <w:tcPr>
                  <w:tcW w:w="696" w:type="pct"/>
                  <w:shd w:val="clear" w:color="auto" w:fill="FFFFFF"/>
                  <w:tcMar>
                    <w:top w:w="15" w:type="dxa"/>
                    <w:left w:w="15" w:type="dxa"/>
                    <w:right w:w="15" w:type="dxa"/>
                  </w:tcMar>
                  <w:vAlign w:val="center"/>
                </w:tcPr>
                <w:p w14:paraId="4420EB0E">
                  <w:pPr>
                    <w:pStyle w:val="499"/>
                    <w:rPr>
                      <w:rFonts w:ascii="Times New Roman" w:hAnsi="Times New Roman" w:cs="Times New Roman"/>
                      <w:lang w:eastAsia="zh-CN"/>
                    </w:rPr>
                  </w:pPr>
                  <w:r>
                    <w:rPr>
                      <w:rFonts w:ascii="Times New Roman" w:hAnsi="Times New Roman" w:cs="Times New Roman"/>
                      <w:lang w:eastAsia="zh-CN"/>
                    </w:rPr>
                    <w:t>0.003</w:t>
                  </w:r>
                </w:p>
              </w:tc>
              <w:tc>
                <w:tcPr>
                  <w:tcW w:w="696" w:type="pct"/>
                  <w:shd w:val="clear" w:color="auto" w:fill="FFFFFF"/>
                  <w:tcMar>
                    <w:top w:w="15" w:type="dxa"/>
                    <w:left w:w="15" w:type="dxa"/>
                    <w:right w:w="15" w:type="dxa"/>
                  </w:tcMar>
                  <w:vAlign w:val="center"/>
                </w:tcPr>
                <w:p w14:paraId="5FD72E5D">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.019</w:t>
                  </w:r>
                </w:p>
              </w:tc>
              <w:tc>
                <w:tcPr>
                  <w:tcW w:w="682" w:type="pct"/>
                  <w:shd w:val="clear" w:color="auto" w:fill="FFFFFF"/>
                  <w:tcMar>
                    <w:top w:w="15" w:type="dxa"/>
                    <w:left w:w="15" w:type="dxa"/>
                    <w:right w:w="15" w:type="dxa"/>
                  </w:tcMar>
                  <w:vAlign w:val="center"/>
                </w:tcPr>
                <w:p w14:paraId="297F8B61">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.047</w:t>
                  </w:r>
                </w:p>
              </w:tc>
              <w:tc>
                <w:tcPr>
                  <w:tcW w:w="711" w:type="pct"/>
                  <w:shd w:val="clear" w:color="auto" w:fill="FFFFFF"/>
                  <w:tcMar>
                    <w:top w:w="15" w:type="dxa"/>
                    <w:left w:w="15" w:type="dxa"/>
                    <w:right w:w="15" w:type="dxa"/>
                  </w:tcMar>
                  <w:vAlign w:val="center"/>
                </w:tcPr>
                <w:p w14:paraId="05E5B6E2">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.020</w:t>
                  </w:r>
                </w:p>
              </w:tc>
              <w:tc>
                <w:tcPr>
                  <w:tcW w:w="696" w:type="pct"/>
                  <w:shd w:val="clear" w:color="auto" w:fill="FFFFFF"/>
                  <w:tcMar>
                    <w:top w:w="15" w:type="dxa"/>
                    <w:left w:w="15" w:type="dxa"/>
                    <w:right w:w="15" w:type="dxa"/>
                  </w:tcMar>
                  <w:vAlign w:val="center"/>
                </w:tcPr>
                <w:p w14:paraId="2507CBEE">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.9</w:t>
                  </w:r>
                </w:p>
              </w:tc>
              <w:tc>
                <w:tcPr>
                  <w:tcW w:w="696" w:type="pct"/>
                  <w:shd w:val="clear" w:color="auto" w:fill="FFFFFF"/>
                  <w:tcMar>
                    <w:top w:w="15" w:type="dxa"/>
                    <w:left w:w="15" w:type="dxa"/>
                    <w:right w:w="15" w:type="dxa"/>
                  </w:tcMar>
                  <w:vAlign w:val="center"/>
                </w:tcPr>
                <w:p w14:paraId="485595B3">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.151</w:t>
                  </w:r>
                </w:p>
              </w:tc>
            </w:tr>
            <w:tr w14:paraId="75F6E05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2AB4BA98">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年5月</w:t>
                  </w:r>
                </w:p>
              </w:tc>
              <w:tc>
                <w:tcPr>
                  <w:tcW w:w="696" w:type="pct"/>
                  <w:shd w:val="clear" w:color="auto" w:fill="FFFFFF"/>
                  <w:tcMar>
                    <w:top w:w="15" w:type="dxa"/>
                    <w:left w:w="15" w:type="dxa"/>
                    <w:right w:w="15" w:type="dxa"/>
                  </w:tcMar>
                  <w:vAlign w:val="center"/>
                </w:tcPr>
                <w:p w14:paraId="7541EE0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27E9CB33">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cr/>
                  </w:r>
                  <w:r>
                    <w:rPr>
                      <w:rFonts w:ascii="Times New Roman" w:hAnsi="Times New Roman" w:cs="Times New Roman"/>
                      <w:lang w:eastAsia="zh-CN"/>
                    </w:rPr>
                    <w:t>013</w:t>
                  </w:r>
                </w:p>
              </w:tc>
              <w:tc>
                <w:tcPr>
                  <w:tcW w:w="682" w:type="pct"/>
                  <w:shd w:val="clear" w:color="auto" w:fill="FFFFFF"/>
                  <w:tcMar>
                    <w:top w:w="15" w:type="dxa"/>
                    <w:left w:w="15" w:type="dxa"/>
                    <w:right w:w="15" w:type="dxa"/>
                  </w:tcMar>
                  <w:vAlign w:val="center"/>
                </w:tcPr>
                <w:p w14:paraId="67CC5205">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.037</w:t>
                  </w:r>
                </w:p>
              </w:tc>
              <w:tc>
                <w:tcPr>
                  <w:tcW w:w="711" w:type="pct"/>
                  <w:shd w:val="clear" w:color="auto" w:fill="FFFFFF"/>
                  <w:tcMar>
                    <w:top w:w="15" w:type="dxa"/>
                    <w:left w:w="15" w:type="dxa"/>
                    <w:right w:w="15" w:type="dxa"/>
                  </w:tcMar>
                  <w:vAlign w:val="center"/>
                </w:tcPr>
                <w:p w14:paraId="1B63985F">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.017</w:t>
                  </w:r>
                </w:p>
              </w:tc>
              <w:tc>
                <w:tcPr>
                  <w:tcW w:w="696" w:type="pct"/>
                  <w:shd w:val="clear" w:color="auto" w:fill="FFFFFF"/>
                  <w:tcMar>
                    <w:top w:w="15" w:type="dxa"/>
                    <w:left w:w="15" w:type="dxa"/>
                    <w:right w:w="15" w:type="dxa"/>
                  </w:tcMar>
                  <w:vAlign w:val="center"/>
                </w:tcPr>
                <w:p w14:paraId="7BDCC525">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.9</w:t>
                  </w:r>
                </w:p>
              </w:tc>
              <w:tc>
                <w:tcPr>
                  <w:tcW w:w="696" w:type="pct"/>
                  <w:shd w:val="clear" w:color="auto" w:fill="FFFFFF"/>
                  <w:tcMar>
                    <w:top w:w="15" w:type="dxa"/>
                    <w:left w:w="15" w:type="dxa"/>
                    <w:right w:w="15" w:type="dxa"/>
                  </w:tcMar>
                  <w:vAlign w:val="center"/>
                </w:tcPr>
                <w:p w14:paraId="323B9CF2">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.137</w:t>
                  </w:r>
                </w:p>
              </w:tc>
            </w:tr>
            <w:tr w14:paraId="2A7AAC8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01D79D8D">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年6月</w:t>
                  </w:r>
                </w:p>
              </w:tc>
              <w:tc>
                <w:tcPr>
                  <w:tcW w:w="696" w:type="pct"/>
                  <w:shd w:val="clear" w:color="auto" w:fill="FFFFFF"/>
                  <w:tcMar>
                    <w:top w:w="15" w:type="dxa"/>
                    <w:left w:w="15" w:type="dxa"/>
                    <w:right w:w="15" w:type="dxa"/>
                  </w:tcMar>
                  <w:vAlign w:val="center"/>
                </w:tcPr>
                <w:p w14:paraId="4E862A79">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5F3127A2">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.011</w:t>
                  </w:r>
                </w:p>
              </w:tc>
              <w:tc>
                <w:tcPr>
                  <w:tcW w:w="682" w:type="pct"/>
                  <w:shd w:val="clear" w:color="auto" w:fill="FFFFFF"/>
                  <w:tcMar>
                    <w:top w:w="15" w:type="dxa"/>
                    <w:left w:w="15" w:type="dxa"/>
                    <w:right w:w="15" w:type="dxa"/>
                  </w:tcMar>
                  <w:vAlign w:val="center"/>
                </w:tcPr>
                <w:p w14:paraId="7F92AD54">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.026</w:t>
                  </w:r>
                </w:p>
              </w:tc>
              <w:tc>
                <w:tcPr>
                  <w:tcW w:w="711" w:type="pct"/>
                  <w:shd w:val="clear" w:color="auto" w:fill="FFFFFF"/>
                  <w:tcMar>
                    <w:top w:w="15" w:type="dxa"/>
                    <w:left w:w="15" w:type="dxa"/>
                    <w:right w:w="15" w:type="dxa"/>
                  </w:tcMar>
                  <w:vAlign w:val="center"/>
                </w:tcPr>
                <w:p w14:paraId="12DCF04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.012</w:t>
                  </w:r>
                </w:p>
              </w:tc>
              <w:tc>
                <w:tcPr>
                  <w:tcW w:w="696" w:type="pct"/>
                  <w:shd w:val="clear" w:color="auto" w:fill="FFFFFF"/>
                  <w:tcMar>
                    <w:top w:w="15" w:type="dxa"/>
                    <w:left w:w="15" w:type="dxa"/>
                    <w:right w:w="15" w:type="dxa"/>
                  </w:tcMar>
                  <w:vAlign w:val="center"/>
                </w:tcPr>
                <w:p w14:paraId="120AECDD">
                  <w:pPr>
                    <w:pStyle w:val="499"/>
                    <w:rPr>
                      <w:rFonts w:ascii="Times New Roman" w:hAnsi="Times New Roman" w:cs="Times New Roman"/>
                      <w:lang w:eastAsia="zh-CN"/>
                    </w:rPr>
                  </w:pPr>
                  <w:r>
                    <w:rPr>
                      <w:rFonts w:ascii="Times New Roman" w:hAnsi="Times New Roman" w:cs="Times New Roman"/>
                      <w:lang w:eastAsia="zh-CN"/>
                    </w:rPr>
                    <w:t>0.6</w:t>
                  </w:r>
                </w:p>
              </w:tc>
              <w:tc>
                <w:tcPr>
                  <w:tcW w:w="696" w:type="pct"/>
                  <w:shd w:val="clear" w:color="auto" w:fill="FFFFFF"/>
                  <w:tcMar>
                    <w:top w:w="15" w:type="dxa"/>
                    <w:left w:w="15" w:type="dxa"/>
                    <w:right w:w="15" w:type="dxa"/>
                  </w:tcMar>
                  <w:vAlign w:val="center"/>
                </w:tcPr>
                <w:p w14:paraId="4BEF6C20">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.123</w:t>
                  </w:r>
                </w:p>
              </w:tc>
            </w:tr>
            <w:tr w14:paraId="2DEFBCE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71C6B0F9">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年7月</w:t>
                  </w:r>
                </w:p>
              </w:tc>
              <w:tc>
                <w:tcPr>
                  <w:tcW w:w="696" w:type="pct"/>
                  <w:shd w:val="clear" w:color="auto" w:fill="FFFFFF"/>
                  <w:tcMar>
                    <w:top w:w="15" w:type="dxa"/>
                    <w:left w:w="15" w:type="dxa"/>
                    <w:right w:w="15" w:type="dxa"/>
                  </w:tcMar>
                  <w:vAlign w:val="center"/>
                </w:tcPr>
                <w:p w14:paraId="069FC3C0">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0555EEF5">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.008</w:t>
                  </w:r>
                </w:p>
              </w:tc>
              <w:tc>
                <w:tcPr>
                  <w:tcW w:w="682" w:type="pct"/>
                  <w:shd w:val="clear" w:color="auto" w:fill="FFFFFF"/>
                  <w:tcMar>
                    <w:top w:w="15" w:type="dxa"/>
                    <w:left w:w="15" w:type="dxa"/>
                    <w:right w:w="15" w:type="dxa"/>
                  </w:tcMar>
                  <w:vAlign w:val="center"/>
                </w:tcPr>
                <w:p w14:paraId="235B051D">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.027</w:t>
                  </w:r>
                </w:p>
              </w:tc>
              <w:tc>
                <w:tcPr>
                  <w:tcW w:w="711" w:type="pct"/>
                  <w:shd w:val="clear" w:color="auto" w:fill="FFFFFF"/>
                  <w:tcMar>
                    <w:top w:w="15" w:type="dxa"/>
                    <w:left w:w="15" w:type="dxa"/>
                    <w:right w:w="15" w:type="dxa"/>
                  </w:tcMar>
                  <w:vAlign w:val="center"/>
                </w:tcPr>
                <w:p w14:paraId="1E0C72C2">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.010</w:t>
                  </w:r>
                </w:p>
              </w:tc>
              <w:tc>
                <w:tcPr>
                  <w:tcW w:w="696" w:type="pct"/>
                  <w:shd w:val="clear" w:color="auto" w:fill="FFFFFF"/>
                  <w:tcMar>
                    <w:top w:w="15" w:type="dxa"/>
                    <w:left w:w="15" w:type="dxa"/>
                    <w:right w:w="15" w:type="dxa"/>
                  </w:tcMar>
                  <w:vAlign w:val="center"/>
                </w:tcPr>
                <w:p w14:paraId="16816E22">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696" w:type="pct"/>
                  <w:shd w:val="clear" w:color="auto" w:fill="FFFFFF"/>
                  <w:tcMar>
                    <w:top w:w="15" w:type="dxa"/>
                    <w:left w:w="15" w:type="dxa"/>
                    <w:right w:w="15" w:type="dxa"/>
                  </w:tcMar>
                  <w:vAlign w:val="center"/>
                </w:tcPr>
                <w:p w14:paraId="01A38C10">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.128</w:t>
                  </w:r>
                </w:p>
              </w:tc>
            </w:tr>
            <w:tr w14:paraId="7983C5A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4B8BABA9">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年8月</w:t>
                  </w:r>
                </w:p>
              </w:tc>
              <w:tc>
                <w:tcPr>
                  <w:tcW w:w="696" w:type="pct"/>
                  <w:shd w:val="clear" w:color="auto" w:fill="FFFFFF"/>
                  <w:tcMar>
                    <w:top w:w="15" w:type="dxa"/>
                    <w:left w:w="15" w:type="dxa"/>
                    <w:right w:w="15" w:type="dxa"/>
                  </w:tcMar>
                  <w:vAlign w:val="center"/>
                </w:tcPr>
                <w:p w14:paraId="776B7978">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1FDBD49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.011</w:t>
                  </w:r>
                </w:p>
              </w:tc>
              <w:tc>
                <w:tcPr>
                  <w:tcW w:w="682" w:type="pct"/>
                  <w:shd w:val="clear" w:color="auto" w:fill="FFFFFF"/>
                  <w:tcMar>
                    <w:top w:w="15" w:type="dxa"/>
                    <w:left w:w="15" w:type="dxa"/>
                    <w:right w:w="15" w:type="dxa"/>
                  </w:tcMar>
                  <w:vAlign w:val="center"/>
                </w:tcPr>
                <w:p w14:paraId="21F83A60">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.027</w:t>
                  </w:r>
                </w:p>
              </w:tc>
              <w:tc>
                <w:tcPr>
                  <w:tcW w:w="711" w:type="pct"/>
                  <w:shd w:val="clear" w:color="auto" w:fill="FFFFFF"/>
                  <w:tcMar>
                    <w:top w:w="15" w:type="dxa"/>
                    <w:left w:w="15" w:type="dxa"/>
                    <w:right w:w="15" w:type="dxa"/>
                  </w:tcMar>
                  <w:vAlign w:val="center"/>
                </w:tcPr>
                <w:p w14:paraId="5829C1DF">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.012</w:t>
                  </w:r>
                </w:p>
              </w:tc>
              <w:tc>
                <w:tcPr>
                  <w:tcW w:w="696" w:type="pct"/>
                  <w:shd w:val="clear" w:color="auto" w:fill="FFFFFF"/>
                  <w:tcMar>
                    <w:top w:w="15" w:type="dxa"/>
                    <w:left w:w="15" w:type="dxa"/>
                    <w:right w:w="15" w:type="dxa"/>
                  </w:tcMar>
                  <w:vAlign w:val="center"/>
                </w:tcPr>
                <w:p w14:paraId="5B6F2733">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696" w:type="pct"/>
                  <w:shd w:val="clear" w:color="auto" w:fill="FFFFFF"/>
                  <w:tcMar>
                    <w:top w:w="15" w:type="dxa"/>
                    <w:left w:w="15" w:type="dxa"/>
                    <w:right w:w="15" w:type="dxa"/>
                  </w:tcMar>
                  <w:vAlign w:val="center"/>
                </w:tcPr>
                <w:p w14:paraId="2652B6D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.124</w:t>
                  </w:r>
                </w:p>
              </w:tc>
            </w:tr>
            <w:tr w14:paraId="0E57814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018381B3">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年9月</w:t>
                  </w:r>
                </w:p>
              </w:tc>
              <w:tc>
                <w:tcPr>
                  <w:tcW w:w="696" w:type="pct"/>
                  <w:shd w:val="clear" w:color="auto" w:fill="FFFFFF"/>
                  <w:tcMar>
                    <w:top w:w="15" w:type="dxa"/>
                    <w:left w:w="15" w:type="dxa"/>
                    <w:right w:w="15" w:type="dxa"/>
                  </w:tcMar>
                  <w:vAlign w:val="center"/>
                </w:tcPr>
                <w:p w14:paraId="712BF8A1">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327CD66A">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.007</w:t>
                  </w:r>
                </w:p>
              </w:tc>
              <w:tc>
                <w:tcPr>
                  <w:tcW w:w="682" w:type="pct"/>
                  <w:shd w:val="clear" w:color="auto" w:fill="FFFFFF"/>
                  <w:tcMar>
                    <w:top w:w="15" w:type="dxa"/>
                    <w:left w:w="15" w:type="dxa"/>
                    <w:right w:w="15" w:type="dxa"/>
                  </w:tcMar>
                  <w:vAlign w:val="center"/>
                </w:tcPr>
                <w:p w14:paraId="7C0E09AB">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.022</w:t>
                  </w:r>
                </w:p>
              </w:tc>
              <w:tc>
                <w:tcPr>
                  <w:tcW w:w="711" w:type="pct"/>
                  <w:shd w:val="clear" w:color="auto" w:fill="FFFFFF"/>
                  <w:tcMar>
                    <w:top w:w="15" w:type="dxa"/>
                    <w:left w:w="15" w:type="dxa"/>
                    <w:right w:w="15" w:type="dxa"/>
                  </w:tcMar>
                  <w:vAlign w:val="center"/>
                </w:tcPr>
                <w:p w14:paraId="36902A34">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.011</w:t>
                  </w:r>
                </w:p>
              </w:tc>
              <w:tc>
                <w:tcPr>
                  <w:tcW w:w="696" w:type="pct"/>
                  <w:shd w:val="clear" w:color="auto" w:fill="FFFFFF"/>
                  <w:tcMar>
                    <w:top w:w="15" w:type="dxa"/>
                    <w:left w:w="15" w:type="dxa"/>
                    <w:right w:w="15" w:type="dxa"/>
                  </w:tcMar>
                  <w:vAlign w:val="center"/>
                </w:tcPr>
                <w:p w14:paraId="50F3793E">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696" w:type="pct"/>
                  <w:shd w:val="clear" w:color="auto" w:fill="FFFFFF"/>
                  <w:tcMar>
                    <w:top w:w="15" w:type="dxa"/>
                    <w:left w:w="15" w:type="dxa"/>
                    <w:right w:w="15" w:type="dxa"/>
                  </w:tcMar>
                  <w:vAlign w:val="center"/>
                </w:tcPr>
                <w:p w14:paraId="65A1A57D">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.115</w:t>
                  </w:r>
                </w:p>
              </w:tc>
            </w:tr>
            <w:tr w14:paraId="0ED0AF6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05852CF4">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年10月</w:t>
                  </w:r>
                </w:p>
              </w:tc>
              <w:tc>
                <w:tcPr>
                  <w:tcW w:w="696" w:type="pct"/>
                  <w:shd w:val="clear" w:color="auto" w:fill="FFFFFF"/>
                  <w:tcMar>
                    <w:top w:w="15" w:type="dxa"/>
                    <w:left w:w="15" w:type="dxa"/>
                    <w:right w:w="15" w:type="dxa"/>
                  </w:tcMar>
                  <w:vAlign w:val="center"/>
                </w:tcPr>
                <w:p w14:paraId="0E65E52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32C14E9C">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.008</w:t>
                  </w:r>
                </w:p>
              </w:tc>
              <w:tc>
                <w:tcPr>
                  <w:tcW w:w="682" w:type="pct"/>
                  <w:shd w:val="clear" w:color="auto" w:fill="FFFFFF"/>
                  <w:tcMar>
                    <w:top w:w="15" w:type="dxa"/>
                    <w:left w:w="15" w:type="dxa"/>
                    <w:right w:w="15" w:type="dxa"/>
                  </w:tcMar>
                  <w:vAlign w:val="center"/>
                </w:tcPr>
                <w:p w14:paraId="1737DC68">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.028</w:t>
                  </w:r>
                </w:p>
              </w:tc>
              <w:tc>
                <w:tcPr>
                  <w:tcW w:w="711" w:type="pct"/>
                  <w:shd w:val="clear" w:color="auto" w:fill="FFFFFF"/>
                  <w:tcMar>
                    <w:top w:w="15" w:type="dxa"/>
                    <w:left w:w="15" w:type="dxa"/>
                    <w:right w:w="15" w:type="dxa"/>
                  </w:tcMar>
                  <w:vAlign w:val="center"/>
                </w:tcPr>
                <w:p w14:paraId="74B6A9DA">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.014</w:t>
                  </w:r>
                </w:p>
              </w:tc>
              <w:tc>
                <w:tcPr>
                  <w:tcW w:w="696" w:type="pct"/>
                  <w:shd w:val="clear" w:color="auto" w:fill="FFFFFF"/>
                  <w:tcMar>
                    <w:top w:w="15" w:type="dxa"/>
                    <w:left w:w="15" w:type="dxa"/>
                    <w:right w:w="15" w:type="dxa"/>
                  </w:tcMar>
                  <w:vAlign w:val="center"/>
                </w:tcPr>
                <w:p w14:paraId="072EE7F2">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696" w:type="pct"/>
                  <w:shd w:val="clear" w:color="auto" w:fill="FFFFFF"/>
                  <w:tcMar>
                    <w:top w:w="15" w:type="dxa"/>
                    <w:left w:w="15" w:type="dxa"/>
                    <w:right w:w="15" w:type="dxa"/>
                  </w:tcMar>
                  <w:vAlign w:val="center"/>
                </w:tcPr>
                <w:p w14:paraId="5A6F698A">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.137</w:t>
                  </w:r>
                </w:p>
              </w:tc>
            </w:tr>
            <w:tr w14:paraId="7F7362E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0EDB0EAE">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年11月</w:t>
                  </w:r>
                </w:p>
              </w:tc>
              <w:tc>
                <w:tcPr>
                  <w:tcW w:w="696" w:type="pct"/>
                  <w:shd w:val="clear" w:color="auto" w:fill="FFFFFF"/>
                  <w:tcMar>
                    <w:top w:w="15" w:type="dxa"/>
                    <w:left w:w="15" w:type="dxa"/>
                    <w:right w:w="15" w:type="dxa"/>
                  </w:tcMar>
                  <w:vAlign w:val="center"/>
                </w:tcPr>
                <w:p w14:paraId="2705F32B">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.002</w:t>
                  </w:r>
                </w:p>
              </w:tc>
              <w:tc>
                <w:tcPr>
                  <w:tcW w:w="696" w:type="pct"/>
                  <w:shd w:val="clear" w:color="auto" w:fill="FFFFFF"/>
                  <w:tcMar>
                    <w:top w:w="15" w:type="dxa"/>
                    <w:left w:w="15" w:type="dxa"/>
                    <w:right w:w="15" w:type="dxa"/>
                  </w:tcMar>
                  <w:vAlign w:val="center"/>
                </w:tcPr>
                <w:p w14:paraId="6E0B0974">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.009</w:t>
                  </w:r>
                </w:p>
              </w:tc>
              <w:tc>
                <w:tcPr>
                  <w:tcW w:w="682" w:type="pct"/>
                  <w:shd w:val="clear" w:color="auto" w:fill="FFFFFF"/>
                  <w:tcMar>
                    <w:top w:w="15" w:type="dxa"/>
                    <w:left w:w="15" w:type="dxa"/>
                    <w:right w:w="15" w:type="dxa"/>
                  </w:tcMar>
                  <w:vAlign w:val="center"/>
                </w:tcPr>
                <w:p w14:paraId="042F9563">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.030</w:t>
                  </w:r>
                </w:p>
              </w:tc>
              <w:tc>
                <w:tcPr>
                  <w:tcW w:w="711" w:type="pct"/>
                  <w:shd w:val="clear" w:color="auto" w:fill="FFFFFF"/>
                  <w:tcMar>
                    <w:top w:w="15" w:type="dxa"/>
                    <w:left w:w="15" w:type="dxa"/>
                    <w:right w:w="15" w:type="dxa"/>
                  </w:tcMar>
                  <w:vAlign w:val="center"/>
                </w:tcPr>
                <w:p w14:paraId="5E35B0D9">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.015</w:t>
                  </w:r>
                </w:p>
              </w:tc>
              <w:tc>
                <w:tcPr>
                  <w:tcW w:w="696" w:type="pct"/>
                  <w:shd w:val="clear" w:color="auto" w:fill="FFFFFF"/>
                  <w:tcMar>
                    <w:top w:w="15" w:type="dxa"/>
                    <w:left w:w="15" w:type="dxa"/>
                    <w:right w:w="15" w:type="dxa"/>
                  </w:tcMar>
                  <w:vAlign w:val="center"/>
                </w:tcPr>
                <w:p w14:paraId="4DD30DFD">
                  <w:pPr>
                    <w:pStyle w:val="499"/>
                    <w:pBdr>
                      <w:top w:val="none" w:color="auto" w:sz="0" w:space="0"/>
                      <w:left w:val="none" w:color="auto" w:sz="0" w:space="0"/>
                      <w:bottom w:val="none" w:color="auto" w:sz="0" w:space="0"/>
                      <w:right w:val="none" w:color="auto" w:sz="0" w:space="0"/>
                    </w:pBdr>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.6</w:t>
                  </w:r>
                </w:p>
              </w:tc>
              <w:tc>
                <w:tcPr>
                  <w:tcW w:w="696" w:type="pct"/>
                  <w:shd w:val="clear" w:color="auto" w:fill="FFFFFF"/>
                  <w:tcMar>
                    <w:top w:w="15" w:type="dxa"/>
                    <w:left w:w="15" w:type="dxa"/>
                    <w:right w:w="15" w:type="dxa"/>
                  </w:tcMar>
                  <w:vAlign w:val="center"/>
                </w:tcPr>
                <w:p w14:paraId="58EFE918">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.120</w:t>
                  </w:r>
                </w:p>
              </w:tc>
            </w:tr>
            <w:tr w14:paraId="09B17C3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5DE19A03">
                  <w:pPr>
                    <w:pStyle w:val="499"/>
                    <w:rPr>
                      <w:rFonts w:ascii="Times New Roman" w:hAnsi="Times New Roman" w:cs="Times New Roman"/>
                    </w:rPr>
                  </w:pPr>
                  <w:r>
                    <w:rPr>
                      <w:rFonts w:ascii="Times New Roman" w:hAnsi="Times New Roman" w:cs="Times New Roman"/>
                    </w:rPr>
                    <w:t>202</w:t>
                  </w:r>
                  <w:r>
                    <w:rPr>
                      <w:rFonts w:ascii="Times New Roman" w:hAnsi="Times New Roman" w:cs="Times New Roman"/>
                      <w:lang w:eastAsia="zh-CN"/>
                    </w:rPr>
                    <w:t>3</w:t>
                  </w:r>
                  <w:r>
                    <w:rPr>
                      <w:rFonts w:ascii="Times New Roman" w:hAnsi="Times New Roman" w:cs="Times New Roman"/>
                    </w:rPr>
                    <w:t>年12月</w:t>
                  </w:r>
                </w:p>
              </w:tc>
              <w:tc>
                <w:tcPr>
                  <w:tcW w:w="696" w:type="pct"/>
                  <w:shd w:val="clear" w:color="auto" w:fill="FFFFFF"/>
                  <w:tcMar>
                    <w:top w:w="15" w:type="dxa"/>
                    <w:left w:w="15" w:type="dxa"/>
                    <w:right w:w="15" w:type="dxa"/>
                  </w:tcMar>
                  <w:vAlign w:val="center"/>
                </w:tcPr>
                <w:p w14:paraId="2F745E83">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.003</w:t>
                  </w:r>
                </w:p>
              </w:tc>
              <w:tc>
                <w:tcPr>
                  <w:tcW w:w="696" w:type="pct"/>
                  <w:shd w:val="clear" w:color="auto" w:fill="FFFFFF"/>
                  <w:tcMar>
                    <w:top w:w="15" w:type="dxa"/>
                    <w:left w:w="15" w:type="dxa"/>
                    <w:right w:w="15" w:type="dxa"/>
                  </w:tcMar>
                  <w:vAlign w:val="center"/>
                </w:tcPr>
                <w:p w14:paraId="7A45D2AC">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.019</w:t>
                  </w:r>
                </w:p>
              </w:tc>
              <w:tc>
                <w:tcPr>
                  <w:tcW w:w="682" w:type="pct"/>
                  <w:shd w:val="clear" w:color="auto" w:fill="FFFFFF"/>
                  <w:tcMar>
                    <w:top w:w="15" w:type="dxa"/>
                    <w:left w:w="15" w:type="dxa"/>
                    <w:right w:w="15" w:type="dxa"/>
                  </w:tcMar>
                  <w:vAlign w:val="center"/>
                </w:tcPr>
                <w:p w14:paraId="07F2F8A0">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.030</w:t>
                  </w:r>
                </w:p>
              </w:tc>
              <w:tc>
                <w:tcPr>
                  <w:tcW w:w="711" w:type="pct"/>
                  <w:shd w:val="clear" w:color="auto" w:fill="FFFFFF"/>
                  <w:tcMar>
                    <w:top w:w="15" w:type="dxa"/>
                    <w:left w:w="15" w:type="dxa"/>
                    <w:right w:w="15" w:type="dxa"/>
                  </w:tcMar>
                  <w:vAlign w:val="center"/>
                </w:tcPr>
                <w:p w14:paraId="593B6388">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.018</w:t>
                  </w:r>
                </w:p>
              </w:tc>
              <w:tc>
                <w:tcPr>
                  <w:tcW w:w="696" w:type="pct"/>
                  <w:shd w:val="clear" w:color="auto" w:fill="FFFFFF"/>
                  <w:tcMar>
                    <w:top w:w="15" w:type="dxa"/>
                    <w:left w:w="15" w:type="dxa"/>
                    <w:right w:w="15" w:type="dxa"/>
                  </w:tcMar>
                  <w:vAlign w:val="center"/>
                </w:tcPr>
                <w:p w14:paraId="58A96B45">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.9</w:t>
                  </w:r>
                </w:p>
              </w:tc>
              <w:tc>
                <w:tcPr>
                  <w:tcW w:w="696" w:type="pct"/>
                  <w:shd w:val="clear" w:color="auto" w:fill="FFFFFF"/>
                  <w:tcMar>
                    <w:top w:w="15" w:type="dxa"/>
                    <w:left w:w="15" w:type="dxa"/>
                    <w:right w:w="15" w:type="dxa"/>
                  </w:tcMar>
                  <w:vAlign w:val="center"/>
                </w:tcPr>
                <w:p w14:paraId="445054EC">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.112</w:t>
                  </w:r>
                </w:p>
              </w:tc>
            </w:tr>
            <w:tr w14:paraId="6C5456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67BC565E">
                  <w:pPr>
                    <w:pStyle w:val="499"/>
                    <w:rPr>
                      <w:rFonts w:ascii="Times New Roman" w:hAnsi="Times New Roman" w:cs="Times New Roman"/>
                    </w:rPr>
                  </w:pPr>
                  <w:r>
                    <w:rPr>
                      <w:rFonts w:ascii="Times New Roman" w:hAnsi="Times New Roman" w:cs="Times New Roman"/>
                    </w:rPr>
                    <w:t>年平均</w:t>
                  </w:r>
                </w:p>
              </w:tc>
              <w:tc>
                <w:tcPr>
                  <w:tcW w:w="696" w:type="pct"/>
                  <w:shd w:val="clear" w:color="auto" w:fill="FFFFFF"/>
                  <w:tcMar>
                    <w:top w:w="15" w:type="dxa"/>
                    <w:left w:w="15" w:type="dxa"/>
                    <w:right w:w="15" w:type="dxa"/>
                  </w:tcMar>
                  <w:vAlign w:val="center"/>
                </w:tcPr>
                <w:p w14:paraId="2A7BE65C">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.00</w:t>
                  </w:r>
                </w:p>
              </w:tc>
              <w:tc>
                <w:tcPr>
                  <w:tcW w:w="696" w:type="pct"/>
                  <w:shd w:val="clear" w:color="auto" w:fill="FFFFFF"/>
                  <w:tcMar>
                    <w:top w:w="15" w:type="dxa"/>
                    <w:left w:w="15" w:type="dxa"/>
                    <w:right w:w="15" w:type="dxa"/>
                  </w:tcMar>
                  <w:vAlign w:val="center"/>
                </w:tcPr>
                <w:p w14:paraId="79701432">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.014</w:t>
                  </w:r>
                </w:p>
              </w:tc>
              <w:tc>
                <w:tcPr>
                  <w:tcW w:w="682" w:type="pct"/>
                  <w:shd w:val="clear" w:color="auto" w:fill="FFFFFF"/>
                  <w:tcMar>
                    <w:top w:w="15" w:type="dxa"/>
                    <w:left w:w="15" w:type="dxa"/>
                    <w:right w:w="15" w:type="dxa"/>
                  </w:tcMar>
                  <w:vAlign w:val="center"/>
                </w:tcPr>
                <w:p w14:paraId="4A968483">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.032</w:t>
                  </w:r>
                </w:p>
              </w:tc>
              <w:tc>
                <w:tcPr>
                  <w:tcW w:w="711" w:type="pct"/>
                  <w:shd w:val="clear" w:color="auto" w:fill="FFFFFF"/>
                  <w:tcMar>
                    <w:top w:w="15" w:type="dxa"/>
                    <w:left w:w="15" w:type="dxa"/>
                    <w:right w:w="15" w:type="dxa"/>
                  </w:tcMar>
                  <w:vAlign w:val="center"/>
                </w:tcPr>
                <w:p w14:paraId="5B3EDE37">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.015</w:t>
                  </w:r>
                </w:p>
              </w:tc>
              <w:tc>
                <w:tcPr>
                  <w:tcW w:w="696" w:type="pct"/>
                  <w:shd w:val="clear" w:color="auto" w:fill="FFFFFF"/>
                  <w:tcMar>
                    <w:top w:w="15" w:type="dxa"/>
                    <w:left w:w="15" w:type="dxa"/>
                    <w:right w:w="15" w:type="dxa"/>
                  </w:tcMar>
                  <w:vAlign w:val="center"/>
                </w:tcPr>
                <w:p w14:paraId="70DBEF1B">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.7</w:t>
                  </w:r>
                </w:p>
              </w:tc>
              <w:tc>
                <w:tcPr>
                  <w:tcW w:w="696" w:type="pct"/>
                  <w:shd w:val="clear" w:color="auto" w:fill="FFFFFF"/>
                  <w:tcMar>
                    <w:top w:w="15" w:type="dxa"/>
                    <w:left w:w="15" w:type="dxa"/>
                    <w:right w:w="15" w:type="dxa"/>
                  </w:tcMar>
                  <w:vAlign w:val="center"/>
                </w:tcPr>
                <w:p w14:paraId="2D58914C">
                  <w:pPr>
                    <w:pStyle w:val="499"/>
                    <w:rPr>
                      <w:rFonts w:ascii="Times New Roman" w:hAnsi="Times New Roman" w:cs="Times New Roman"/>
                      <w:lang w:eastAsia="zh-CN"/>
                    </w:rPr>
                  </w:pPr>
                  <w:r>
                    <w:rPr>
                      <w:rFonts w:hint="eastAsia" w:ascii="Times New Roman" w:hAnsi="Times New Roman" w:cs="Times New Roman"/>
                      <w:lang w:eastAsia="zh-CN"/>
                    </w:rPr>
                    <w:t>0</w:t>
                  </w:r>
                  <w:r>
                    <w:rPr>
                      <w:rFonts w:ascii="Times New Roman" w:hAnsi="Times New Roman" w:cs="Times New Roman"/>
                      <w:lang w:eastAsia="zh-CN"/>
                    </w:rPr>
                    <w:t>.124</w:t>
                  </w:r>
                </w:p>
              </w:tc>
            </w:tr>
            <w:tr w14:paraId="6E5EEE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22222E5F">
                  <w:pPr>
                    <w:pStyle w:val="499"/>
                    <w:rPr>
                      <w:rFonts w:ascii="Times New Roman" w:hAnsi="Times New Roman" w:cs="Times New Roman"/>
                    </w:rPr>
                  </w:pPr>
                  <w:r>
                    <w:rPr>
                      <w:rFonts w:ascii="Times New Roman" w:hAnsi="Times New Roman" w:cs="Times New Roman"/>
                    </w:rPr>
                    <w:t>国家二级标准</w:t>
                  </w:r>
                </w:p>
              </w:tc>
              <w:tc>
                <w:tcPr>
                  <w:tcW w:w="696" w:type="pct"/>
                  <w:shd w:val="clear" w:color="auto" w:fill="FFFFFF"/>
                  <w:tcMar>
                    <w:top w:w="15" w:type="dxa"/>
                    <w:left w:w="15" w:type="dxa"/>
                    <w:right w:w="15" w:type="dxa"/>
                  </w:tcMar>
                  <w:vAlign w:val="center"/>
                </w:tcPr>
                <w:p w14:paraId="622CC002">
                  <w:pPr>
                    <w:pStyle w:val="499"/>
                    <w:rPr>
                      <w:rFonts w:ascii="Times New Roman" w:hAnsi="Times New Roman" w:cs="Times New Roman"/>
                    </w:rPr>
                  </w:pPr>
                  <w:r>
                    <w:rPr>
                      <w:rFonts w:ascii="Times New Roman" w:hAnsi="Times New Roman" w:cs="Times New Roman"/>
                    </w:rPr>
                    <w:t>0.06</w:t>
                  </w:r>
                </w:p>
              </w:tc>
              <w:tc>
                <w:tcPr>
                  <w:tcW w:w="696" w:type="pct"/>
                  <w:shd w:val="clear" w:color="auto" w:fill="FFFFFF"/>
                  <w:tcMar>
                    <w:top w:w="15" w:type="dxa"/>
                    <w:left w:w="15" w:type="dxa"/>
                    <w:right w:w="15" w:type="dxa"/>
                  </w:tcMar>
                  <w:vAlign w:val="center"/>
                </w:tcPr>
                <w:p w14:paraId="3BDA48A0">
                  <w:pPr>
                    <w:pStyle w:val="499"/>
                    <w:rPr>
                      <w:rFonts w:ascii="Times New Roman" w:hAnsi="Times New Roman" w:cs="Times New Roman"/>
                    </w:rPr>
                  </w:pPr>
                  <w:r>
                    <w:rPr>
                      <w:rFonts w:ascii="Times New Roman" w:hAnsi="Times New Roman" w:cs="Times New Roman"/>
                    </w:rPr>
                    <w:t>0.04</w:t>
                  </w:r>
                </w:p>
              </w:tc>
              <w:tc>
                <w:tcPr>
                  <w:tcW w:w="679" w:type="pct"/>
                  <w:shd w:val="clear" w:color="auto" w:fill="FFFFFF"/>
                  <w:tcMar>
                    <w:top w:w="15" w:type="dxa"/>
                    <w:left w:w="15" w:type="dxa"/>
                    <w:right w:w="15" w:type="dxa"/>
                  </w:tcMar>
                  <w:vAlign w:val="center"/>
                </w:tcPr>
                <w:p w14:paraId="2DD5F607">
                  <w:pPr>
                    <w:pStyle w:val="499"/>
                    <w:rPr>
                      <w:rFonts w:ascii="Times New Roman" w:hAnsi="Times New Roman" w:cs="Times New Roman"/>
                    </w:rPr>
                  </w:pPr>
                  <w:r>
                    <w:rPr>
                      <w:rFonts w:ascii="Times New Roman" w:hAnsi="Times New Roman" w:cs="Times New Roman"/>
                    </w:rPr>
                    <w:t>0.07</w:t>
                  </w:r>
                </w:p>
              </w:tc>
              <w:tc>
                <w:tcPr>
                  <w:tcW w:w="714" w:type="pct"/>
                  <w:shd w:val="clear" w:color="auto" w:fill="FFFFFF"/>
                  <w:tcMar>
                    <w:top w:w="15" w:type="dxa"/>
                    <w:left w:w="15" w:type="dxa"/>
                    <w:right w:w="15" w:type="dxa"/>
                  </w:tcMar>
                  <w:vAlign w:val="center"/>
                </w:tcPr>
                <w:p w14:paraId="29EF28B8">
                  <w:pPr>
                    <w:pStyle w:val="499"/>
                    <w:rPr>
                      <w:rFonts w:ascii="Times New Roman" w:hAnsi="Times New Roman" w:cs="Times New Roman"/>
                    </w:rPr>
                  </w:pPr>
                  <w:r>
                    <w:rPr>
                      <w:rFonts w:ascii="Times New Roman" w:hAnsi="Times New Roman" w:cs="Times New Roman"/>
                    </w:rPr>
                    <w:t>0.035</w:t>
                  </w:r>
                </w:p>
              </w:tc>
              <w:tc>
                <w:tcPr>
                  <w:tcW w:w="696" w:type="pct"/>
                  <w:shd w:val="clear" w:color="auto" w:fill="FFFFFF"/>
                  <w:tcMar>
                    <w:top w:w="15" w:type="dxa"/>
                    <w:left w:w="15" w:type="dxa"/>
                    <w:right w:w="15" w:type="dxa"/>
                  </w:tcMar>
                  <w:vAlign w:val="center"/>
                </w:tcPr>
                <w:p w14:paraId="76C2324E">
                  <w:pPr>
                    <w:pStyle w:val="499"/>
                    <w:rPr>
                      <w:rFonts w:ascii="Times New Roman" w:hAnsi="Times New Roman" w:cs="Times New Roman"/>
                    </w:rPr>
                  </w:pPr>
                  <w:r>
                    <w:rPr>
                      <w:rFonts w:ascii="Times New Roman" w:hAnsi="Times New Roman" w:cs="Times New Roman"/>
                    </w:rPr>
                    <w:t>4</w:t>
                  </w:r>
                </w:p>
              </w:tc>
              <w:tc>
                <w:tcPr>
                  <w:tcW w:w="696" w:type="pct"/>
                  <w:shd w:val="clear" w:color="auto" w:fill="FFFFFF"/>
                  <w:tcMar>
                    <w:top w:w="15" w:type="dxa"/>
                    <w:left w:w="15" w:type="dxa"/>
                    <w:right w:w="15" w:type="dxa"/>
                  </w:tcMar>
                  <w:vAlign w:val="center"/>
                </w:tcPr>
                <w:p w14:paraId="60FBF4D5">
                  <w:pPr>
                    <w:pStyle w:val="499"/>
                    <w:rPr>
                      <w:rFonts w:ascii="Times New Roman" w:hAnsi="Times New Roman" w:cs="Times New Roman"/>
                    </w:rPr>
                  </w:pPr>
                  <w:r>
                    <w:rPr>
                      <w:rFonts w:ascii="Times New Roman" w:hAnsi="Times New Roman" w:cs="Times New Roman"/>
                    </w:rPr>
                    <w:t>0.16</w:t>
                  </w:r>
                </w:p>
              </w:tc>
            </w:tr>
            <w:tr w14:paraId="5DBF5BC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18346C66">
                  <w:pPr>
                    <w:pStyle w:val="499"/>
                    <w:rPr>
                      <w:rFonts w:ascii="Times New Roman" w:hAnsi="Times New Roman" w:cs="Times New Roman"/>
                    </w:rPr>
                  </w:pPr>
                  <w:r>
                    <w:rPr>
                      <w:rFonts w:ascii="Times New Roman" w:hAnsi="Times New Roman" w:cs="Times New Roman"/>
                    </w:rPr>
                    <w:t>备注</w:t>
                  </w:r>
                </w:p>
              </w:tc>
              <w:tc>
                <w:tcPr>
                  <w:tcW w:w="4176" w:type="pct"/>
                  <w:gridSpan w:val="6"/>
                  <w:shd w:val="clear" w:color="auto" w:fill="FFFFFF"/>
                  <w:tcMar>
                    <w:top w:w="15" w:type="dxa"/>
                    <w:left w:w="15" w:type="dxa"/>
                    <w:right w:w="15" w:type="dxa"/>
                  </w:tcMar>
                  <w:vAlign w:val="center"/>
                </w:tcPr>
                <w:p w14:paraId="0520B013">
                  <w:pPr>
                    <w:pStyle w:val="499"/>
                    <w:rPr>
                      <w:rFonts w:ascii="Times New Roman" w:hAnsi="Times New Roman" w:cs="Times New Roman"/>
                      <w:lang w:eastAsia="zh-CN"/>
                    </w:rPr>
                  </w:pPr>
                  <w:r>
                    <w:rPr>
                      <w:rFonts w:ascii="Times New Roman" w:hAnsi="Times New Roman" w:cs="Times New Roman"/>
                      <w:lang w:eastAsia="zh-CN"/>
                    </w:rPr>
                    <w:t>*CO为日均值第95百分位数，O</w:t>
                  </w:r>
                  <w:r>
                    <w:rPr>
                      <w:rFonts w:ascii="Times New Roman" w:hAnsi="Times New Roman" w:cs="Times New Roman"/>
                      <w:vertAlign w:val="subscript"/>
                      <w:lang w:eastAsia="zh-CN"/>
                    </w:rPr>
                    <w:t>3</w:t>
                  </w:r>
                  <w:r>
                    <w:rPr>
                      <w:rFonts w:ascii="Times New Roman" w:hAnsi="Times New Roman" w:cs="Times New Roman"/>
                      <w:lang w:eastAsia="zh-CN"/>
                    </w:rPr>
                    <w:t>为日最大8小时值第90百分位数。</w:t>
                  </w:r>
                </w:p>
              </w:tc>
            </w:tr>
          </w:tbl>
          <w:p w14:paraId="62DCB61B">
            <w:pPr>
              <w:spacing w:before="0" w:beforeLines="0" w:line="360" w:lineRule="auto"/>
              <w:ind w:firstLine="480" w:firstLineChars="200"/>
              <w:rPr>
                <w:b/>
                <w:bCs/>
                <w:sz w:val="24"/>
                <w:szCs w:val="24"/>
              </w:rPr>
            </w:pPr>
            <w:r>
              <w:rPr>
                <w:sz w:val="24"/>
                <w:szCs w:val="24"/>
              </w:rPr>
              <w:t>由上表可知，福清市2023年1月~2023年12月份，空气环境中SO</w:t>
            </w:r>
            <w:r>
              <w:rPr>
                <w:sz w:val="24"/>
                <w:szCs w:val="24"/>
                <w:vertAlign w:val="subscript"/>
              </w:rPr>
              <w:t>2</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和PM</w:t>
            </w:r>
            <w:r>
              <w:rPr>
                <w:sz w:val="24"/>
                <w:szCs w:val="24"/>
                <w:vertAlign w:val="subscript"/>
              </w:rPr>
              <w:t>2.5</w:t>
            </w:r>
            <w:r>
              <w:rPr>
                <w:sz w:val="24"/>
                <w:szCs w:val="24"/>
              </w:rPr>
              <w:t>均未超过国家二级标准，CO日均值第95百分数和O</w:t>
            </w:r>
            <w:r>
              <w:rPr>
                <w:sz w:val="24"/>
                <w:szCs w:val="24"/>
                <w:vertAlign w:val="subscript"/>
              </w:rPr>
              <w:t>3</w:t>
            </w:r>
            <w:r>
              <w:rPr>
                <w:sz w:val="24"/>
                <w:szCs w:val="24"/>
              </w:rPr>
              <w:t>最大8小时值第90百分数未超过国家二级标准；因此福清市环境空气质量属于达标区</w:t>
            </w:r>
            <w:r>
              <w:rPr>
                <w:rFonts w:hint="eastAsia"/>
                <w:sz w:val="24"/>
                <w:szCs w:val="24"/>
              </w:rPr>
              <w:t>。</w:t>
            </w:r>
          </w:p>
          <w:bookmarkEnd w:id="65"/>
          <w:bookmarkEnd w:id="66"/>
          <w:bookmarkEnd w:id="67"/>
          <w:p w14:paraId="7BC5AB93">
            <w:pPr>
              <w:keepNext w:val="0"/>
              <w:keepLines w:val="0"/>
              <w:widowControl/>
              <w:suppressLineNumbers w:val="0"/>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kern w:val="0"/>
                <w:sz w:val="28"/>
                <w:szCs w:val="28"/>
                <w:highlight w:val="none"/>
                <w:lang w:val="en-US" w:eastAsia="zh-CN" w:bidi="ar"/>
              </w:rPr>
              <w:t xml:space="preserve">3.4 土壤环境 </w:t>
            </w:r>
          </w:p>
          <w:p w14:paraId="1B7BDA1B">
            <w:pPr>
              <w:spacing w:line="360" w:lineRule="auto"/>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根据《环境影响评价技术导则－土壤环境（试行）》（HJ964-2018）附录A，</w:t>
            </w:r>
            <w:r>
              <w:rPr>
                <w:rFonts w:hint="default" w:ascii="Times New Roman" w:hAnsi="Times New Roman" w:cs="Times New Roman"/>
                <w:color w:val="auto"/>
                <w:highlight w:val="none"/>
                <w:lang w:eastAsia="zh-CN"/>
              </w:rPr>
              <w:t>项目</w:t>
            </w:r>
            <w:r>
              <w:rPr>
                <w:rFonts w:hint="default" w:ascii="Times New Roman" w:hAnsi="Times New Roman" w:eastAsia="宋体" w:cs="Times New Roman"/>
                <w:color w:val="auto"/>
                <w:highlight w:val="none"/>
              </w:rPr>
              <w:t>土壤环境影响评价项目类别为：Ⅳ类；见表</w:t>
            </w: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6</w:t>
            </w:r>
            <w:r>
              <w:rPr>
                <w:rFonts w:hint="default" w:ascii="Times New Roman" w:hAnsi="Times New Roman" w:eastAsia="宋体" w:cs="Times New Roman"/>
                <w:color w:val="auto"/>
                <w:highlight w:val="none"/>
              </w:rPr>
              <w:t>。</w:t>
            </w:r>
          </w:p>
          <w:p w14:paraId="72923167">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rPr>
              <w:t xml:space="preserve">  土壤环境影响评价行业分类表</w:t>
            </w:r>
          </w:p>
          <w:tbl>
            <w:tblPr>
              <w:tblStyle w:val="50"/>
              <w:tblW w:w="843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1185"/>
              <w:gridCol w:w="2425"/>
              <w:gridCol w:w="2783"/>
              <w:gridCol w:w="697"/>
            </w:tblGrid>
            <w:tr w14:paraId="5539D2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348" w:type="dxa"/>
                  <w:vMerge w:val="restart"/>
                  <w:vAlign w:val="center"/>
                </w:tcPr>
                <w:p w14:paraId="06642ABF">
                  <w:pPr>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行业类别</w:t>
                  </w:r>
                </w:p>
              </w:tc>
              <w:tc>
                <w:tcPr>
                  <w:tcW w:w="7090" w:type="dxa"/>
                  <w:gridSpan w:val="4"/>
                  <w:vAlign w:val="center"/>
                </w:tcPr>
                <w:p w14:paraId="5FB6283E">
                  <w:pPr>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项目类别</w:t>
                  </w:r>
                </w:p>
              </w:tc>
            </w:tr>
            <w:tr w14:paraId="5ABB4A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48" w:type="dxa"/>
                  <w:vMerge w:val="continue"/>
                  <w:vAlign w:val="center"/>
                </w:tcPr>
                <w:p w14:paraId="7B2738E4">
                  <w:pPr>
                    <w:jc w:val="center"/>
                    <w:rPr>
                      <w:rFonts w:hint="default" w:ascii="Times New Roman" w:hAnsi="Times New Roman" w:eastAsia="宋体" w:cs="Times New Roman"/>
                      <w:color w:val="auto"/>
                      <w:sz w:val="21"/>
                      <w:szCs w:val="21"/>
                      <w:highlight w:val="none"/>
                    </w:rPr>
                  </w:pPr>
                </w:p>
              </w:tc>
              <w:tc>
                <w:tcPr>
                  <w:tcW w:w="1185" w:type="dxa"/>
                  <w:vAlign w:val="center"/>
                </w:tcPr>
                <w:p w14:paraId="799D0C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Ⅰ类</w:t>
                  </w:r>
                </w:p>
              </w:tc>
              <w:tc>
                <w:tcPr>
                  <w:tcW w:w="2425" w:type="dxa"/>
                  <w:vAlign w:val="center"/>
                </w:tcPr>
                <w:p w14:paraId="6E2C54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Ⅱ类</w:t>
                  </w:r>
                </w:p>
              </w:tc>
              <w:tc>
                <w:tcPr>
                  <w:tcW w:w="2783" w:type="dxa"/>
                  <w:vAlign w:val="center"/>
                </w:tcPr>
                <w:p w14:paraId="1E1349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w:t>
                  </w:r>
                </w:p>
              </w:tc>
              <w:tc>
                <w:tcPr>
                  <w:tcW w:w="697" w:type="dxa"/>
                  <w:vAlign w:val="center"/>
                </w:tcPr>
                <w:p w14:paraId="4E6BC3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Ⅳ类</w:t>
                  </w:r>
                </w:p>
              </w:tc>
            </w:tr>
            <w:tr w14:paraId="4A8619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8" w:type="dxa"/>
                  <w:vAlign w:val="center"/>
                </w:tcPr>
                <w:p w14:paraId="558A67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社会事业与服务业</w:t>
                  </w:r>
                </w:p>
              </w:tc>
              <w:tc>
                <w:tcPr>
                  <w:tcW w:w="1185" w:type="dxa"/>
                  <w:vAlign w:val="center"/>
                </w:tcPr>
                <w:p w14:paraId="6BAA18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425" w:type="dxa"/>
                  <w:vAlign w:val="center"/>
                </w:tcPr>
                <w:p w14:paraId="17ECED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783" w:type="dxa"/>
                  <w:vAlign w:val="center"/>
                </w:tcPr>
                <w:p w14:paraId="07A95C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高尔夫球场、加油站、赛车场</w:t>
                  </w:r>
                </w:p>
              </w:tc>
              <w:tc>
                <w:tcPr>
                  <w:tcW w:w="697" w:type="dxa"/>
                  <w:vAlign w:val="center"/>
                </w:tcPr>
                <w:p w14:paraId="75A79A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其他</w:t>
                  </w:r>
                </w:p>
              </w:tc>
            </w:tr>
          </w:tbl>
          <w:p w14:paraId="62F3FCB8">
            <w:pPr>
              <w:pStyle w:val="159"/>
              <w:ind w:firstLine="480"/>
              <w:rPr>
                <w:rFonts w:hint="default" w:ascii="Times New Roman" w:hAnsi="Times New Roman" w:eastAsia="宋体" w:cs="Times New Roman"/>
                <w:bCs w:val="0"/>
                <w:color w:val="auto"/>
                <w:szCs w:val="24"/>
                <w:highlight w:val="none"/>
              </w:rPr>
            </w:pPr>
            <w:r>
              <w:rPr>
                <w:rFonts w:hint="default" w:ascii="Times New Roman" w:hAnsi="Times New Roman" w:eastAsia="宋体" w:cs="Times New Roman"/>
                <w:bCs w:val="0"/>
                <w:color w:val="auto"/>
                <w:szCs w:val="24"/>
                <w:highlight w:val="none"/>
              </w:rPr>
              <w:t>根据《环境影响评价技术导则</w:t>
            </w:r>
            <w:r>
              <w:rPr>
                <w:rFonts w:hint="default" w:ascii="Times New Roman" w:hAnsi="Times New Roman" w:eastAsia="宋体" w:cs="Times New Roman"/>
                <w:color w:val="auto"/>
                <w:highlight w:val="none"/>
              </w:rPr>
              <w:t>－</w:t>
            </w:r>
            <w:r>
              <w:rPr>
                <w:rFonts w:hint="default" w:ascii="Times New Roman" w:hAnsi="Times New Roman" w:eastAsia="宋体" w:cs="Times New Roman"/>
                <w:bCs w:val="0"/>
                <w:color w:val="auto"/>
                <w:szCs w:val="24"/>
                <w:highlight w:val="none"/>
              </w:rPr>
              <w:t>土壤环境（试行）》（HJ964-2018）评价等级判据：项目属于Ⅳ类建设项目，根据导则判定，项目可不开展土壤环境影响评价。</w:t>
            </w:r>
          </w:p>
          <w:p w14:paraId="7BB9D287">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3.5 地下水环境</w:t>
            </w:r>
          </w:p>
          <w:p w14:paraId="7DE99645">
            <w:pPr>
              <w:adjustRightInd w:val="0"/>
              <w:snapToGrid w:val="0"/>
              <w:spacing w:line="360" w:lineRule="auto"/>
              <w:ind w:firstLine="600" w:firstLineChars="25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根据《环境影响评价技术导则－地下水环境》（HJ610-2016）附录A，建设项目所属的地下水环境影响评价项目类别为：Ⅳ类；见表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w:t>
            </w:r>
          </w:p>
          <w:p w14:paraId="0C201AF8">
            <w:pPr>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w:t>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7</w:t>
            </w:r>
            <w:r>
              <w:rPr>
                <w:rFonts w:hint="default" w:ascii="Times New Roman" w:hAnsi="Times New Roman" w:eastAsia="宋体" w:cs="Times New Roman"/>
                <w:b/>
                <w:color w:val="auto"/>
                <w:kern w:val="0"/>
                <w:highlight w:val="none"/>
              </w:rPr>
              <w:t xml:space="preserve">  地下水环境影响评价行业分类表</w:t>
            </w:r>
          </w:p>
          <w:tbl>
            <w:tblPr>
              <w:tblStyle w:val="50"/>
              <w:tblW w:w="843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9"/>
              <w:gridCol w:w="1644"/>
              <w:gridCol w:w="1370"/>
              <w:gridCol w:w="1910"/>
              <w:gridCol w:w="1445"/>
            </w:tblGrid>
            <w:tr w14:paraId="5F9167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Merge w:val="restart"/>
                  <w:tcBorders>
                    <w:tl2br w:val="single" w:color="auto" w:sz="4" w:space="0"/>
                  </w:tcBorders>
                  <w:vAlign w:val="center"/>
                </w:tcPr>
                <w:p w14:paraId="28BD55F8">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 xml:space="preserve">       环评类别</w:t>
                  </w:r>
                </w:p>
                <w:p w14:paraId="7278AD57">
                  <w:pP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行业类别</w:t>
                  </w:r>
                </w:p>
              </w:tc>
              <w:tc>
                <w:tcPr>
                  <w:tcW w:w="1644" w:type="dxa"/>
                  <w:vMerge w:val="restart"/>
                  <w:vAlign w:val="center"/>
                </w:tcPr>
                <w:p w14:paraId="7C816C98">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报告书</w:t>
                  </w:r>
                </w:p>
              </w:tc>
              <w:tc>
                <w:tcPr>
                  <w:tcW w:w="1370" w:type="dxa"/>
                  <w:vMerge w:val="restart"/>
                  <w:vAlign w:val="center"/>
                </w:tcPr>
                <w:p w14:paraId="2F083C36">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bCs/>
                      <w:color w:val="auto"/>
                      <w:sz w:val="21"/>
                      <w:szCs w:val="21"/>
                      <w:highlight w:val="none"/>
                    </w:rPr>
                    <w:t>报告表</w:t>
                  </w:r>
                </w:p>
              </w:tc>
              <w:tc>
                <w:tcPr>
                  <w:tcW w:w="3355" w:type="dxa"/>
                  <w:gridSpan w:val="2"/>
                  <w:vAlign w:val="center"/>
                </w:tcPr>
                <w:p w14:paraId="28E2E0E0">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地下水环境影响评价项目类别</w:t>
                  </w:r>
                </w:p>
              </w:tc>
            </w:tr>
            <w:tr w14:paraId="02AFA4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Merge w:val="continue"/>
                  <w:vAlign w:val="center"/>
                </w:tcPr>
                <w:p w14:paraId="1D3DA8A1">
                  <w:pPr>
                    <w:jc w:val="center"/>
                    <w:rPr>
                      <w:rFonts w:hint="default" w:ascii="Times New Roman" w:hAnsi="Times New Roman" w:eastAsia="宋体" w:cs="Times New Roman"/>
                      <w:color w:val="auto"/>
                      <w:kern w:val="1"/>
                      <w:sz w:val="21"/>
                      <w:szCs w:val="21"/>
                      <w:highlight w:val="none"/>
                    </w:rPr>
                  </w:pPr>
                </w:p>
              </w:tc>
              <w:tc>
                <w:tcPr>
                  <w:tcW w:w="1644" w:type="dxa"/>
                  <w:vMerge w:val="continue"/>
                  <w:vAlign w:val="center"/>
                </w:tcPr>
                <w:p w14:paraId="55D487D8">
                  <w:pPr>
                    <w:jc w:val="center"/>
                    <w:rPr>
                      <w:rFonts w:hint="default" w:ascii="Times New Roman" w:hAnsi="Times New Roman" w:eastAsia="宋体" w:cs="Times New Roman"/>
                      <w:color w:val="auto"/>
                      <w:kern w:val="1"/>
                      <w:sz w:val="21"/>
                      <w:szCs w:val="21"/>
                      <w:highlight w:val="none"/>
                    </w:rPr>
                  </w:pPr>
                </w:p>
              </w:tc>
              <w:tc>
                <w:tcPr>
                  <w:tcW w:w="1370" w:type="dxa"/>
                  <w:vMerge w:val="continue"/>
                  <w:vAlign w:val="center"/>
                </w:tcPr>
                <w:p w14:paraId="6FCC7BE1">
                  <w:pPr>
                    <w:jc w:val="center"/>
                    <w:rPr>
                      <w:rFonts w:hint="default" w:ascii="Times New Roman" w:hAnsi="Times New Roman" w:eastAsia="宋体" w:cs="Times New Roman"/>
                      <w:color w:val="auto"/>
                      <w:kern w:val="1"/>
                      <w:sz w:val="21"/>
                      <w:szCs w:val="21"/>
                      <w:highlight w:val="none"/>
                    </w:rPr>
                  </w:pPr>
                </w:p>
              </w:tc>
              <w:tc>
                <w:tcPr>
                  <w:tcW w:w="1910" w:type="dxa"/>
                  <w:vAlign w:val="center"/>
                </w:tcPr>
                <w:p w14:paraId="31CD8188">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报告书</w:t>
                  </w:r>
                </w:p>
              </w:tc>
              <w:tc>
                <w:tcPr>
                  <w:tcW w:w="1445" w:type="dxa"/>
                  <w:vAlign w:val="center"/>
                </w:tcPr>
                <w:p w14:paraId="64BE010D">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报告表</w:t>
                  </w:r>
                </w:p>
              </w:tc>
            </w:tr>
            <w:tr w14:paraId="6AC02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8438" w:type="dxa"/>
                  <w:gridSpan w:val="5"/>
                  <w:vAlign w:val="center"/>
                </w:tcPr>
                <w:p w14:paraId="0BE48774">
                  <w:pPr>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V 社会事业与服务业</w:t>
                  </w:r>
                </w:p>
              </w:tc>
            </w:tr>
            <w:tr w14:paraId="0B4F03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Align w:val="center"/>
                </w:tcPr>
                <w:p w14:paraId="4ACE4A4D">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165、动物医院</w:t>
                  </w:r>
                </w:p>
              </w:tc>
              <w:tc>
                <w:tcPr>
                  <w:tcW w:w="1644" w:type="dxa"/>
                  <w:vAlign w:val="center"/>
                </w:tcPr>
                <w:p w14:paraId="04852FF8">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70" w:type="dxa"/>
                  <w:vAlign w:val="center"/>
                </w:tcPr>
                <w:p w14:paraId="498ABF37">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全部</w:t>
                  </w:r>
                </w:p>
              </w:tc>
              <w:tc>
                <w:tcPr>
                  <w:tcW w:w="1910" w:type="dxa"/>
                  <w:vAlign w:val="center"/>
                </w:tcPr>
                <w:p w14:paraId="50D720B6">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445" w:type="dxa"/>
                  <w:vAlign w:val="center"/>
                </w:tcPr>
                <w:p w14:paraId="4A76B49F">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Ⅳ类</w:t>
                  </w:r>
                </w:p>
              </w:tc>
            </w:tr>
          </w:tbl>
          <w:p w14:paraId="141D93CC">
            <w:pPr>
              <w:pStyle w:val="429"/>
              <w:adjustRightInd/>
              <w:spacing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根据《环境影响评价技术导则</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地下水环境》（HJ610-2016）评价等级判据：</w:t>
            </w:r>
            <w:r>
              <w:rPr>
                <w:rFonts w:hint="default" w:ascii="Times New Roman" w:hAnsi="Times New Roman" w:eastAsia="宋体" w:cs="Times New Roman"/>
                <w:color w:val="auto"/>
                <w:kern w:val="2"/>
                <w:highlight w:val="none"/>
                <w:lang w:eastAsia="zh-CN"/>
              </w:rPr>
              <w:t>项目</w:t>
            </w:r>
            <w:r>
              <w:rPr>
                <w:rFonts w:hint="default" w:ascii="Times New Roman" w:hAnsi="Times New Roman" w:eastAsia="宋体" w:cs="Times New Roman"/>
                <w:color w:val="auto"/>
                <w:kern w:val="2"/>
                <w:highlight w:val="none"/>
              </w:rPr>
              <w:t>属于Ⅳ类建设项目，</w:t>
            </w:r>
            <w:r>
              <w:rPr>
                <w:rFonts w:hint="default" w:ascii="Times New Roman" w:hAnsi="Times New Roman" w:eastAsia="宋体" w:cs="Times New Roman"/>
                <w:color w:val="auto"/>
                <w:kern w:val="2"/>
                <w:highlight w:val="none"/>
                <w:lang w:val="en-US" w:eastAsia="zh-CN"/>
              </w:rPr>
              <w:t>宠物</w:t>
            </w:r>
            <w:r>
              <w:rPr>
                <w:rFonts w:hint="default" w:ascii="Times New Roman" w:hAnsi="Times New Roman" w:eastAsia="宋体" w:cs="Times New Roman"/>
                <w:color w:val="auto"/>
                <w:kern w:val="2"/>
                <w:highlight w:val="none"/>
              </w:rPr>
              <w:t>医院所在区域地下水环境不敏感；</w:t>
            </w:r>
            <w:r>
              <w:rPr>
                <w:rFonts w:hint="default" w:ascii="Times New Roman" w:hAnsi="Times New Roman" w:eastAsia="宋体" w:cs="Times New Roman"/>
                <w:color w:val="auto"/>
                <w:kern w:val="2"/>
                <w:highlight w:val="none"/>
                <w:lang w:eastAsia="zh-CN"/>
              </w:rPr>
              <w:t>项目</w:t>
            </w:r>
            <w:r>
              <w:rPr>
                <w:rFonts w:hint="default" w:ascii="Times New Roman" w:hAnsi="Times New Roman" w:eastAsia="宋体" w:cs="Times New Roman"/>
                <w:color w:val="auto"/>
                <w:kern w:val="2"/>
                <w:highlight w:val="none"/>
              </w:rPr>
              <w:t>污水水质简单，项目</w:t>
            </w:r>
            <w:r>
              <w:rPr>
                <w:rFonts w:hint="default" w:ascii="Times New Roman" w:hAnsi="Times New Roman" w:eastAsia="宋体" w:cs="Times New Roman"/>
                <w:color w:val="auto"/>
                <w:kern w:val="2"/>
                <w:highlight w:val="none"/>
                <w:lang w:val="en-US" w:eastAsia="zh-CN"/>
              </w:rPr>
              <w:t>宠物诊疗废水和宠物美容废水经消毒设备</w:t>
            </w:r>
            <w:r>
              <w:rPr>
                <w:rFonts w:hint="default" w:ascii="Times New Roman" w:hAnsi="Times New Roman" w:eastAsia="宋体" w:cs="Times New Roman"/>
                <w:color w:val="auto"/>
                <w:kern w:val="2"/>
                <w:highlight w:val="none"/>
              </w:rPr>
              <w:t>处理后</w:t>
            </w:r>
            <w:r>
              <w:rPr>
                <w:rFonts w:hint="default" w:ascii="Times New Roman" w:hAnsi="Times New Roman" w:eastAsia="宋体" w:cs="Times New Roman"/>
                <w:color w:val="auto"/>
                <w:kern w:val="2"/>
                <w:highlight w:val="none"/>
                <w:lang w:val="en-US" w:eastAsia="zh-CN"/>
              </w:rPr>
              <w:t>排入化粪池</w:t>
            </w:r>
            <w:r>
              <w:rPr>
                <w:rFonts w:hint="default" w:ascii="Times New Roman" w:hAnsi="Times New Roman" w:eastAsia="宋体" w:cs="Times New Roman"/>
                <w:color w:val="auto"/>
                <w:kern w:val="2"/>
                <w:highlight w:val="none"/>
              </w:rPr>
              <w:t>由市政</w:t>
            </w:r>
            <w:r>
              <w:rPr>
                <w:rFonts w:hint="default" w:ascii="Times New Roman" w:hAnsi="Times New Roman" w:eastAsia="宋体" w:cs="Times New Roman"/>
                <w:color w:val="auto"/>
                <w:kern w:val="2"/>
                <w:highlight w:val="none"/>
                <w:lang w:val="en-US" w:eastAsia="zh-CN"/>
              </w:rPr>
              <w:t>污水</w:t>
            </w:r>
            <w:r>
              <w:rPr>
                <w:rFonts w:hint="default" w:ascii="Times New Roman" w:hAnsi="Times New Roman" w:eastAsia="宋体" w:cs="Times New Roman"/>
                <w:color w:val="auto"/>
                <w:kern w:val="2"/>
                <w:highlight w:val="none"/>
              </w:rPr>
              <w:t>管网进入</w:t>
            </w:r>
            <w:r>
              <w:rPr>
                <w:rFonts w:hint="default" w:ascii="Times New Roman" w:hAnsi="Times New Roman" w:eastAsia="宋体" w:cs="Times New Roman"/>
                <w:color w:val="auto"/>
                <w:kern w:val="2"/>
                <w:highlight w:val="none"/>
                <w:lang w:val="en-US" w:eastAsia="zh-CN"/>
              </w:rPr>
              <w:t>福清市融元污水处理厂</w:t>
            </w:r>
            <w:r>
              <w:rPr>
                <w:rFonts w:hint="default" w:ascii="Times New Roman" w:hAnsi="Times New Roman" w:eastAsia="宋体" w:cs="Times New Roman"/>
                <w:color w:val="auto"/>
                <w:kern w:val="2"/>
                <w:highlight w:val="none"/>
              </w:rPr>
              <w:t>处理。根据导则判定，</w:t>
            </w:r>
            <w:r>
              <w:rPr>
                <w:rFonts w:hint="default" w:ascii="Times New Roman" w:hAnsi="Times New Roman" w:eastAsia="宋体" w:cs="Times New Roman"/>
                <w:color w:val="auto"/>
                <w:kern w:val="2"/>
                <w:highlight w:val="none"/>
                <w:lang w:eastAsia="zh-CN"/>
              </w:rPr>
              <w:t>项目</w:t>
            </w:r>
            <w:r>
              <w:rPr>
                <w:rFonts w:hint="default" w:ascii="Times New Roman" w:hAnsi="Times New Roman" w:eastAsia="宋体" w:cs="Times New Roman"/>
                <w:color w:val="auto"/>
                <w:kern w:val="2"/>
                <w:highlight w:val="none"/>
              </w:rPr>
              <w:t>可不开展地下水环境影响评价。</w:t>
            </w:r>
          </w:p>
          <w:p w14:paraId="1595123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kern w:val="0"/>
                <w:sz w:val="28"/>
                <w:szCs w:val="28"/>
                <w:highlight w:val="none"/>
                <w:lang w:val="en-US" w:eastAsia="zh-CN" w:bidi="ar"/>
              </w:rPr>
              <w:t xml:space="preserve">3.6 生态环境 </w:t>
            </w:r>
          </w:p>
          <w:p w14:paraId="1428CC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项目租赁现成商业店面运营，项目不属于产业园区外建设项目新增用地，用 </w:t>
            </w:r>
          </w:p>
          <w:p w14:paraId="4416885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地已采取硬化措施，且用地范围内不含有生态环境保护目标，依据《建设项目环境影响报告表编制技术指南（污染影响类）（试行）》，无需进行生态现状调查。</w:t>
            </w:r>
          </w:p>
          <w:p w14:paraId="16DA1F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kern w:val="0"/>
                <w:sz w:val="28"/>
                <w:szCs w:val="28"/>
                <w:highlight w:val="none"/>
                <w:lang w:val="en-US" w:eastAsia="zh-CN" w:bidi="ar"/>
              </w:rPr>
              <w:t xml:space="preserve">3.7 电磁辐射 </w:t>
            </w:r>
          </w:p>
          <w:p w14:paraId="3BF465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不属于新建或改建、扩建广播电台、差转台、电视塔台、卫星地球上行站、雷达等电磁辐射类项目，依据《建设项目环境影响报告表编制技术指南（污染影响类）（试行）》，不展开电磁辐射现状监测与评价。</w:t>
            </w:r>
          </w:p>
          <w:p w14:paraId="655253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福清市瑞辰顽皮多格动物医院有限公司</w:t>
            </w:r>
            <w:r>
              <w:rPr>
                <w:rFonts w:hint="default" w:ascii="Times New Roman" w:hAnsi="Times New Roman" w:eastAsia="宋体" w:cs="Times New Roman"/>
                <w:color w:val="auto"/>
                <w:szCs w:val="24"/>
                <w:highlight w:val="none"/>
              </w:rPr>
              <w:fldChar w:fldCharType="end"/>
            </w:r>
            <w:r>
              <w:rPr>
                <w:rFonts w:hint="eastAsia"/>
                <w:color w:val="auto"/>
                <w:lang w:val="en-US" w:eastAsia="zh-CN"/>
              </w:rPr>
              <w:t>使用的兽用X射线装置</w:t>
            </w:r>
            <w:r>
              <w:rPr>
                <w:color w:val="auto"/>
              </w:rPr>
              <w:t>已按照国家有关辐射环境管理规定和环境保护主管部门的要求取得辐射安全许可证（证书编号：闽环辐证[A0590]）</w:t>
            </w:r>
            <w:r>
              <w:rPr>
                <w:rFonts w:hint="eastAsia"/>
                <w:color w:val="auto"/>
                <w:lang w:eastAsia="zh-CN"/>
              </w:rPr>
              <w:t>。</w:t>
            </w:r>
          </w:p>
        </w:tc>
      </w:tr>
      <w:tr w14:paraId="21548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178" w:type="dxa"/>
            <w:vAlign w:val="center"/>
          </w:tcPr>
          <w:p w14:paraId="213799F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14:paraId="0387B761">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14:paraId="0B261787">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676" w:type="dxa"/>
            <w:vAlign w:val="center"/>
          </w:tcPr>
          <w:p w14:paraId="42495187">
            <w:pPr>
              <w:pStyle w:val="3"/>
              <w:numPr>
                <w:ilvl w:val="1"/>
                <w:numId w:val="0"/>
              </w:numPr>
              <w:ind w:leftChars="0"/>
              <w:rPr>
                <w:rFonts w:hint="default" w:ascii="Times New Roman" w:hAnsi="Times New Roman" w:eastAsia="宋体" w:cs="Times New Roman"/>
                <w:color w:val="auto"/>
                <w:highlight w:val="none"/>
              </w:rPr>
            </w:pPr>
            <w:bookmarkStart w:id="68" w:name="_Toc29091"/>
            <w:bookmarkStart w:id="69" w:name="_Toc133251544"/>
            <w:bookmarkStart w:id="70" w:name="_Toc1340"/>
            <w:r>
              <w:rPr>
                <w:rFonts w:hint="default" w:ascii="Times New Roman" w:hAnsi="Times New Roman" w:eastAsia="宋体" w:cs="Times New Roman"/>
                <w:color w:val="auto"/>
                <w:highlight w:val="none"/>
                <w:lang w:val="en-US" w:eastAsia="zh-CN"/>
              </w:rPr>
              <w:t>3.8</w:t>
            </w:r>
            <w:r>
              <w:rPr>
                <w:rFonts w:hint="default" w:ascii="Times New Roman" w:hAnsi="Times New Roman" w:eastAsia="宋体" w:cs="Times New Roman"/>
                <w:color w:val="auto"/>
                <w:highlight w:val="none"/>
              </w:rPr>
              <w:t>环境保护目标</w:t>
            </w:r>
            <w:bookmarkEnd w:id="68"/>
            <w:bookmarkEnd w:id="69"/>
            <w:bookmarkEnd w:id="70"/>
          </w:p>
          <w:p w14:paraId="0B5B6164">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3.8.1 主要环境问题</w:t>
            </w:r>
          </w:p>
          <w:p w14:paraId="3AE5BE20">
            <w:pPr>
              <w:pStyle w:val="159"/>
              <w:ind w:firstLine="48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（1）大气环境</w:t>
            </w:r>
          </w:p>
          <w:p w14:paraId="2E199266">
            <w:pPr>
              <w:pStyle w:val="159"/>
              <w:ind w:firstLine="48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4"/>
                <w:highlight w:val="none"/>
              </w:rPr>
              <w:t>建设单位运营过程中会有</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产生的恶臭以及宠物</w:t>
            </w:r>
            <w:r>
              <w:rPr>
                <w:rFonts w:hint="default" w:ascii="Times New Roman" w:hAnsi="Times New Roman" w:eastAsia="宋体" w:cs="Times New Roman"/>
                <w:i w:val="0"/>
                <w:iCs w:val="0"/>
                <w:color w:val="auto"/>
                <w:highlight w:val="none"/>
                <w:lang w:val="en-US" w:eastAsia="zh-CN"/>
              </w:rPr>
              <w:t>就诊过程</w:t>
            </w:r>
            <w:r>
              <w:rPr>
                <w:rFonts w:hint="default" w:ascii="Times New Roman" w:hAnsi="Times New Roman" w:eastAsia="宋体" w:cs="Times New Roman"/>
                <w:i w:val="0"/>
                <w:iCs w:val="0"/>
                <w:color w:val="auto"/>
                <w:highlight w:val="none"/>
              </w:rPr>
              <w:t>散发的异味</w:t>
            </w:r>
            <w:r>
              <w:rPr>
                <w:rFonts w:hint="default" w:ascii="Times New Roman" w:hAnsi="Times New Roman" w:eastAsia="宋体" w:cs="Times New Roman"/>
                <w:i w:val="0"/>
                <w:iCs w:val="0"/>
                <w:color w:val="auto"/>
                <w:highlight w:val="none"/>
                <w:lang w:eastAsia="zh-CN"/>
              </w:rPr>
              <w:t>。</w:t>
            </w:r>
            <w:r>
              <w:rPr>
                <w:rFonts w:hint="default" w:ascii="Times New Roman" w:hAnsi="Times New Roman" w:eastAsia="宋体" w:cs="Times New Roman"/>
                <w:i w:val="0"/>
                <w:iCs w:val="0"/>
                <w:color w:val="auto"/>
                <w:szCs w:val="24"/>
                <w:highlight w:val="none"/>
              </w:rPr>
              <w:t>建设单位</w:t>
            </w:r>
            <w:r>
              <w:rPr>
                <w:rFonts w:hint="eastAsia" w:ascii="Times New Roman" w:hAnsi="Times New Roman" w:eastAsia="宋体" w:cs="Times New Roman"/>
                <w:i w:val="0"/>
                <w:iCs w:val="0"/>
                <w:color w:val="auto"/>
                <w:szCs w:val="24"/>
                <w:highlight w:val="none"/>
                <w:lang w:val="en-US" w:eastAsia="zh-CN"/>
              </w:rPr>
              <w:t>应</w:t>
            </w:r>
            <w:r>
              <w:rPr>
                <w:rFonts w:hint="default" w:ascii="Times New Roman" w:hAnsi="Times New Roman" w:eastAsia="宋体" w:cs="Times New Roman"/>
                <w:i w:val="0"/>
                <w:iCs w:val="0"/>
                <w:color w:val="auto"/>
                <w:szCs w:val="24"/>
                <w:highlight w:val="none"/>
              </w:rPr>
              <w:t>采用封闭的</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进行消毒，无厌氧和好氧工艺，消毒过程会有少量臭气和消毒药水气味，</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设于室内，</w:t>
            </w:r>
            <w:r>
              <w:rPr>
                <w:rFonts w:hint="default" w:ascii="Times New Roman" w:hAnsi="Times New Roman" w:eastAsia="宋体" w:cs="Times New Roman"/>
                <w:i w:val="0"/>
                <w:iCs w:val="0"/>
                <w:color w:val="auto"/>
                <w:highlight w:val="none"/>
              </w:rPr>
              <w:t>异味基本无逸散出去。</w:t>
            </w:r>
            <w:r>
              <w:rPr>
                <w:rFonts w:hint="default" w:ascii="Times New Roman" w:hAnsi="Times New Roman" w:eastAsia="宋体" w:cs="Times New Roman"/>
                <w:i w:val="0"/>
                <w:iCs w:val="0"/>
                <w:color w:val="auto"/>
                <w:szCs w:val="24"/>
                <w:highlight w:val="none"/>
              </w:rPr>
              <w:t>则</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产生的异味对周边住宅楼居民无显著影响</w:t>
            </w:r>
            <w:r>
              <w:rPr>
                <w:rFonts w:hint="default" w:ascii="Times New Roman" w:hAnsi="Times New Roman" w:eastAsia="宋体" w:cs="Times New Roman"/>
                <w:i w:val="0"/>
                <w:iCs w:val="0"/>
                <w:color w:val="auto"/>
                <w:highlight w:val="none"/>
              </w:rPr>
              <w:t>。</w:t>
            </w:r>
          </w:p>
          <w:p w14:paraId="4988DA72">
            <w:pPr>
              <w:pStyle w:val="159"/>
              <w:ind w:firstLine="480"/>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szCs w:val="24"/>
                <w:highlight w:val="none"/>
              </w:rPr>
              <w:t>建设单位运营过程</w:t>
            </w:r>
            <w:r>
              <w:rPr>
                <w:rFonts w:hint="default" w:ascii="Times New Roman" w:hAnsi="Times New Roman" w:eastAsia="宋体" w:cs="Times New Roman"/>
                <w:i w:val="0"/>
                <w:iCs w:val="0"/>
                <w:color w:val="auto"/>
                <w:szCs w:val="24"/>
                <w:highlight w:val="none"/>
                <w:lang w:val="en-US" w:eastAsia="zh-CN"/>
              </w:rPr>
              <w:t>中</w:t>
            </w:r>
            <w:r>
              <w:rPr>
                <w:rFonts w:hint="default" w:ascii="Times New Roman" w:hAnsi="Times New Roman" w:eastAsia="宋体" w:cs="Times New Roman"/>
                <w:i w:val="0"/>
                <w:iCs w:val="0"/>
                <w:color w:val="auto"/>
                <w:szCs w:val="24"/>
                <w:highlight w:val="none"/>
              </w:rPr>
              <w:t>对宠物产生的粪便</w:t>
            </w:r>
            <w:r>
              <w:rPr>
                <w:rFonts w:hint="default" w:ascii="Times New Roman" w:hAnsi="Times New Roman" w:eastAsia="宋体" w:cs="Times New Roman"/>
                <w:i w:val="0"/>
                <w:iCs w:val="0"/>
                <w:color w:val="auto"/>
                <w:szCs w:val="24"/>
                <w:highlight w:val="none"/>
                <w:lang w:val="en-US" w:eastAsia="zh-CN"/>
              </w:rPr>
              <w:t>应</w:t>
            </w:r>
            <w:r>
              <w:rPr>
                <w:rFonts w:hint="default" w:ascii="Times New Roman" w:hAnsi="Times New Roman" w:eastAsia="宋体" w:cs="Times New Roman"/>
                <w:i w:val="0"/>
                <w:iCs w:val="0"/>
                <w:color w:val="auto"/>
                <w:szCs w:val="24"/>
                <w:highlight w:val="none"/>
              </w:rPr>
              <w:t>及时清理</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打开</w:t>
            </w:r>
            <w:r>
              <w:rPr>
                <w:rFonts w:hint="default" w:ascii="Times New Roman" w:hAnsi="Times New Roman" w:eastAsia="宋体" w:cs="Times New Roman"/>
                <w:i w:val="0"/>
                <w:iCs w:val="0"/>
                <w:color w:val="auto"/>
                <w:szCs w:val="24"/>
                <w:highlight w:val="none"/>
                <w:lang w:eastAsia="zh-CN"/>
              </w:rPr>
              <w:t>新风系统，</w:t>
            </w:r>
            <w:r>
              <w:rPr>
                <w:rFonts w:hint="default" w:ascii="Times New Roman" w:hAnsi="Times New Roman" w:eastAsia="宋体" w:cs="Times New Roman"/>
                <w:i w:val="0"/>
                <w:iCs w:val="0"/>
                <w:color w:val="auto"/>
                <w:szCs w:val="24"/>
                <w:highlight w:val="none"/>
              </w:rPr>
              <w:t>加强通风换气</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不定期喷洒</w:t>
            </w:r>
            <w:r>
              <w:rPr>
                <w:rFonts w:hint="default" w:ascii="Times New Roman" w:hAnsi="Times New Roman" w:eastAsia="宋体" w:cs="Times New Roman"/>
                <w:i w:val="0"/>
                <w:iCs w:val="0"/>
                <w:color w:val="auto"/>
                <w:szCs w:val="24"/>
                <w:highlight w:val="none"/>
              </w:rPr>
              <w:t>除臭剂</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rPr>
              <w:t>宠物散发的异味可得到有效控制，对周边住宅楼居民无显著影响。</w:t>
            </w:r>
          </w:p>
          <w:p w14:paraId="698B0FB4">
            <w:pPr>
              <w:pStyle w:val="159"/>
              <w:numPr>
                <w:ilvl w:val="0"/>
                <w:numId w:val="0"/>
              </w:numPr>
              <w:ind w:leftChars="20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（2）声环境</w:t>
            </w:r>
          </w:p>
          <w:p w14:paraId="18CC1C0C">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i w:val="0"/>
                <w:iCs w:val="0"/>
                <w:color w:val="auto"/>
                <w:szCs w:val="24"/>
                <w:highlight w:val="none"/>
              </w:rPr>
              <w:t>建设单位</w:t>
            </w:r>
            <w:r>
              <w:rPr>
                <w:rFonts w:hint="default" w:ascii="Times New Roman" w:hAnsi="Times New Roman" w:eastAsia="宋体" w:cs="Times New Roman"/>
                <w:color w:val="auto"/>
                <w:szCs w:val="24"/>
                <w:highlight w:val="none"/>
              </w:rPr>
              <w:t>运营过程中产生的噪声主要来自宠物叫声</w:t>
            </w:r>
            <w:r>
              <w:rPr>
                <w:rFonts w:hint="default" w:ascii="Times New Roman" w:hAnsi="Times New Roman" w:eastAsia="宋体" w:cs="Times New Roman"/>
                <w:color w:val="auto"/>
                <w:szCs w:val="24"/>
                <w:highlight w:val="none"/>
                <w:lang w:val="en-US" w:eastAsia="zh-CN"/>
              </w:rPr>
              <w:t>和诊疗</w:t>
            </w:r>
            <w:r>
              <w:rPr>
                <w:rFonts w:hint="default" w:ascii="Times New Roman" w:hAnsi="Times New Roman" w:eastAsia="宋体" w:cs="Times New Roman"/>
                <w:color w:val="auto"/>
                <w:szCs w:val="24"/>
                <w:highlight w:val="none"/>
              </w:rPr>
              <w:t>设备运行过程中产生的噪声。</w:t>
            </w:r>
          </w:p>
          <w:p w14:paraId="71150D89">
            <w:pPr>
              <w:pStyle w:val="159"/>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宠物叫声具有不定时性和突发性，也具有可控性，可经医院合理管理预防。工作人员应合理喂食，同时减少人为骚扰、驱赶。宠物在诊治停留过程中应戴上嘴套以确保不影响周边居民。项目夜间不营业，夜间仅手术后留院观察的宠物发出的偶发叫声，</w:t>
            </w:r>
            <w:r>
              <w:rPr>
                <w:rFonts w:hint="default" w:ascii="Times New Roman" w:hAnsi="Times New Roman" w:eastAsia="宋体" w:cs="Times New Roman"/>
                <w:color w:val="auto"/>
                <w:szCs w:val="24"/>
                <w:highlight w:val="none"/>
              </w:rPr>
              <w:t>住院</w:t>
            </w:r>
            <w:r>
              <w:rPr>
                <w:rFonts w:hint="default" w:ascii="Times New Roman" w:hAnsi="Times New Roman" w:eastAsia="宋体" w:cs="Times New Roman"/>
                <w:color w:val="auto"/>
                <w:szCs w:val="24"/>
                <w:highlight w:val="none"/>
                <w:lang w:val="en-US" w:eastAsia="zh-CN"/>
              </w:rPr>
              <w:t>室</w:t>
            </w:r>
            <w:r>
              <w:rPr>
                <w:rFonts w:hint="default" w:ascii="Times New Roman" w:hAnsi="Times New Roman" w:eastAsia="宋体" w:cs="Times New Roman"/>
                <w:color w:val="auto"/>
                <w:szCs w:val="24"/>
                <w:highlight w:val="none"/>
              </w:rPr>
              <w:t>使用隔音效果较好的隔声门窗，</w:t>
            </w:r>
            <w:r>
              <w:rPr>
                <w:rFonts w:hint="default" w:ascii="Times New Roman" w:hAnsi="Times New Roman" w:eastAsia="宋体" w:cs="Times New Roman"/>
                <w:color w:val="auto"/>
                <w:szCs w:val="24"/>
                <w:highlight w:val="none"/>
                <w:lang w:val="en-US" w:eastAsia="zh-CN"/>
              </w:rPr>
              <w:t>对周围声环境影响较小</w:t>
            </w:r>
            <w:r>
              <w:rPr>
                <w:rFonts w:hint="default" w:ascii="Times New Roman" w:hAnsi="Times New Roman" w:eastAsia="宋体" w:cs="Times New Roman"/>
                <w:color w:val="auto"/>
                <w:szCs w:val="24"/>
                <w:highlight w:val="none"/>
              </w:rPr>
              <w:t>。监护仪、B超和手术台等</w:t>
            </w:r>
            <w:r>
              <w:rPr>
                <w:rFonts w:hint="default" w:ascii="Times New Roman" w:hAnsi="Times New Roman" w:eastAsia="宋体" w:cs="Times New Roman"/>
                <w:color w:val="auto"/>
                <w:szCs w:val="24"/>
                <w:highlight w:val="none"/>
                <w:lang w:val="en-US" w:eastAsia="zh-CN"/>
              </w:rPr>
              <w:t>诊疗设备</w:t>
            </w:r>
            <w:r>
              <w:rPr>
                <w:rFonts w:hint="default" w:ascii="Times New Roman" w:hAnsi="Times New Roman" w:eastAsia="宋体" w:cs="Times New Roman"/>
                <w:color w:val="auto"/>
                <w:szCs w:val="24"/>
                <w:highlight w:val="none"/>
              </w:rPr>
              <w:t>运行</w:t>
            </w:r>
            <w:r>
              <w:rPr>
                <w:rFonts w:hint="default" w:ascii="Times New Roman" w:hAnsi="Times New Roman" w:eastAsia="宋体" w:cs="Times New Roman"/>
                <w:color w:val="auto"/>
                <w:szCs w:val="24"/>
                <w:highlight w:val="none"/>
                <w:lang w:val="en-US" w:eastAsia="zh-CN"/>
              </w:rPr>
              <w:t>过程中的</w:t>
            </w:r>
            <w:r>
              <w:rPr>
                <w:rFonts w:hint="default" w:ascii="Times New Roman" w:hAnsi="Times New Roman" w:eastAsia="宋体" w:cs="Times New Roman"/>
                <w:color w:val="auto"/>
                <w:szCs w:val="24"/>
                <w:highlight w:val="none"/>
              </w:rPr>
              <w:t>噪声值均比较小</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对周边住宅楼居民无显著影响。</w:t>
            </w:r>
          </w:p>
          <w:p w14:paraId="5F1BD7DF">
            <w:pPr>
              <w:pStyle w:val="159"/>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（3）</w:t>
            </w:r>
            <w:r>
              <w:rPr>
                <w:rFonts w:hint="default" w:ascii="Times New Roman" w:hAnsi="Times New Roman" w:eastAsia="宋体" w:cs="Times New Roman"/>
                <w:b/>
                <w:bCs w:val="0"/>
                <w:color w:val="auto"/>
                <w:highlight w:val="none"/>
                <w:lang w:val="en-US" w:eastAsia="zh-CN"/>
              </w:rPr>
              <w:t>地下水环境</w:t>
            </w:r>
          </w:p>
          <w:p w14:paraId="0DF85C70">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i w:val="0"/>
                <w:iCs w:val="0"/>
                <w:color w:val="auto"/>
                <w:szCs w:val="24"/>
                <w:highlight w:val="none"/>
              </w:rPr>
              <w:t>建设单位</w:t>
            </w:r>
            <w:r>
              <w:rPr>
                <w:rFonts w:hint="default" w:ascii="Times New Roman" w:hAnsi="Times New Roman" w:eastAsia="宋体" w:cs="Times New Roman"/>
                <w:color w:val="auto"/>
                <w:szCs w:val="24"/>
                <w:highlight w:val="none"/>
              </w:rPr>
              <w:t>所在区域厂界外500米范围内无地下水集中式饮用水水源和热水、矿泉水、泉水等特殊地下水资源。</w:t>
            </w:r>
          </w:p>
          <w:p w14:paraId="1265A26E">
            <w:pPr>
              <w:pStyle w:val="159"/>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（4）</w:t>
            </w:r>
            <w:r>
              <w:rPr>
                <w:rFonts w:hint="default" w:ascii="Times New Roman" w:hAnsi="Times New Roman" w:eastAsia="宋体" w:cs="Times New Roman"/>
                <w:b/>
                <w:bCs w:val="0"/>
                <w:color w:val="auto"/>
                <w:highlight w:val="none"/>
                <w:lang w:val="en-US" w:eastAsia="zh-CN"/>
              </w:rPr>
              <w:t>生态环境</w:t>
            </w:r>
          </w:p>
          <w:p w14:paraId="5A7D1198">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i w:val="0"/>
                <w:iCs w:val="0"/>
                <w:color w:val="auto"/>
                <w:szCs w:val="24"/>
                <w:highlight w:val="none"/>
              </w:rPr>
              <w:t>建设单位</w:t>
            </w:r>
            <w:r>
              <w:rPr>
                <w:rFonts w:hint="eastAsia" w:ascii="Times New Roman" w:hAnsi="Times New Roman" w:eastAsia="宋体" w:cs="Times New Roman"/>
                <w:color w:val="auto"/>
                <w:szCs w:val="24"/>
                <w:highlight w:val="none"/>
                <w:lang w:val="en-US" w:eastAsia="zh-CN"/>
              </w:rPr>
              <w:t>选址</w:t>
            </w:r>
            <w:r>
              <w:rPr>
                <w:rFonts w:hint="default" w:ascii="Times New Roman" w:hAnsi="Times New Roman" w:eastAsia="宋体" w:cs="Times New Roman"/>
                <w:color w:val="auto"/>
                <w:szCs w:val="24"/>
                <w:highlight w:val="none"/>
              </w:rPr>
              <w:t>于</w:t>
            </w: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REF 项目地址 \h  \* MERGEFORMAT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color w:val="auto"/>
                <w:szCs w:val="24"/>
                <w:highlight w:val="none"/>
                <w:lang w:eastAsia="zh-CN"/>
              </w:rPr>
              <w:t>福建省福州市福清市宏路街道中联江滨御景5号楼113号，115号，116号门面</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szCs w:val="24"/>
                <w:highlight w:val="none"/>
              </w:rPr>
              <w:t>，用地属性属于商业用地，场地为已平整并硬化后的场地，周边生态环境主要为城市绿化带，无生态环境保护目标。</w:t>
            </w:r>
          </w:p>
          <w:p w14:paraId="4CBCEFB0">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3.8.2 主要环境保护目标</w:t>
            </w:r>
          </w:p>
          <w:p w14:paraId="4D103710">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经调查，</w:t>
            </w:r>
            <w:r>
              <w:rPr>
                <w:rFonts w:hint="eastAsia" w:ascii="Times New Roman" w:hAnsi="Times New Roman" w:eastAsia="宋体" w:cs="Times New Roman"/>
                <w:color w:val="auto"/>
                <w:highlight w:val="none"/>
                <w:lang w:val="en-US" w:eastAsia="zh-CN"/>
              </w:rPr>
              <w:t>建设单位</w:t>
            </w:r>
            <w:r>
              <w:rPr>
                <w:rFonts w:hint="default" w:ascii="Times New Roman" w:hAnsi="Times New Roman" w:eastAsia="宋体" w:cs="Times New Roman"/>
                <w:color w:val="auto"/>
                <w:highlight w:val="none"/>
              </w:rPr>
              <w:t>评价区内无文物古迹、风景名胜。根据评价范围内环境敏感情况、可能产生的环境问题及</w:t>
            </w:r>
            <w:r>
              <w:rPr>
                <w:rFonts w:hint="eastAsia" w:ascii="Times New Roman" w:hAnsi="Times New Roman" w:eastAsia="宋体" w:cs="Times New Roman"/>
                <w:color w:val="auto"/>
                <w:highlight w:val="none"/>
                <w:lang w:val="en-US" w:eastAsia="zh-CN"/>
              </w:rPr>
              <w:t>建设</w:t>
            </w:r>
            <w:r>
              <w:rPr>
                <w:rFonts w:hint="default" w:ascii="Times New Roman" w:hAnsi="Times New Roman" w:eastAsia="宋体" w:cs="Times New Roman"/>
                <w:color w:val="auto"/>
                <w:highlight w:val="none"/>
              </w:rPr>
              <w:t>项目的排污特征，可以确定</w:t>
            </w:r>
            <w:r>
              <w:rPr>
                <w:rFonts w:hint="eastAsia" w:ascii="Times New Roman" w:hAnsi="Times New Roman" w:eastAsia="宋体" w:cs="Times New Roman"/>
                <w:color w:val="auto"/>
                <w:highlight w:val="none"/>
                <w:lang w:val="en-US" w:eastAsia="zh-CN"/>
              </w:rPr>
              <w:t>建设</w:t>
            </w:r>
            <w:r>
              <w:rPr>
                <w:rFonts w:hint="default" w:ascii="Times New Roman" w:hAnsi="Times New Roman" w:eastAsia="宋体" w:cs="Times New Roman"/>
                <w:color w:val="auto"/>
                <w:highlight w:val="none"/>
              </w:rPr>
              <w:t>项目主要环境保护目标见表3-8和附图2。</w:t>
            </w:r>
          </w:p>
          <w:p w14:paraId="06F5DF5C">
            <w:pPr>
              <w:pStyle w:val="200"/>
              <w:spacing w:line="240" w:lineRule="auto"/>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表3-</w:t>
            </w:r>
            <w:r>
              <w:rPr>
                <w:rFonts w:hint="eastAsia" w:ascii="Times New Roman" w:hAnsi="Times New Roman" w:cs="Times New Roman"/>
                <w:color w:val="auto"/>
                <w:sz w:val="24"/>
                <w:szCs w:val="21"/>
                <w:highlight w:val="none"/>
                <w:lang w:val="en-US" w:eastAsia="zh-CN"/>
              </w:rPr>
              <w:t>8</w:t>
            </w:r>
            <w:r>
              <w:rPr>
                <w:rFonts w:hint="default" w:ascii="Times New Roman" w:hAnsi="Times New Roman" w:cs="Times New Roman"/>
                <w:color w:val="auto"/>
                <w:sz w:val="24"/>
                <w:szCs w:val="21"/>
                <w:highlight w:val="none"/>
                <w:lang w:val="en-US" w:eastAsia="zh-CN"/>
              </w:rPr>
              <w:t xml:space="preserve"> </w:t>
            </w:r>
            <w:r>
              <w:rPr>
                <w:rFonts w:hint="default" w:ascii="Times New Roman" w:hAnsi="Times New Roman" w:eastAsia="宋体" w:cs="Times New Roman"/>
                <w:color w:val="auto"/>
                <w:sz w:val="24"/>
                <w:szCs w:val="21"/>
                <w:highlight w:val="none"/>
              </w:rPr>
              <w:t xml:space="preserve"> </w:t>
            </w:r>
            <w:r>
              <w:rPr>
                <w:rFonts w:hint="default" w:ascii="Times New Roman" w:hAnsi="Times New Roman" w:eastAsia="宋体" w:cs="Times New Roman"/>
                <w:color w:val="auto"/>
                <w:sz w:val="24"/>
                <w:szCs w:val="21"/>
                <w:highlight w:val="none"/>
                <w:lang w:val="en-US" w:eastAsia="zh-CN"/>
              </w:rPr>
              <w:t>主要</w:t>
            </w:r>
            <w:r>
              <w:rPr>
                <w:rFonts w:hint="default" w:ascii="Times New Roman" w:hAnsi="Times New Roman" w:eastAsia="宋体" w:cs="Times New Roman"/>
                <w:color w:val="auto"/>
                <w:sz w:val="24"/>
                <w:szCs w:val="21"/>
                <w:highlight w:val="none"/>
              </w:rPr>
              <w:t>环境保护目标</w:t>
            </w:r>
          </w:p>
          <w:tbl>
            <w:tblPr>
              <w:tblStyle w:val="50"/>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34"/>
              <w:gridCol w:w="1719"/>
              <w:gridCol w:w="980"/>
              <w:gridCol w:w="1420"/>
              <w:gridCol w:w="949"/>
              <w:gridCol w:w="1593"/>
            </w:tblGrid>
            <w:tr w14:paraId="443C4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3" w:hRule="atLeast"/>
                <w:jc w:val="center"/>
              </w:trPr>
              <w:tc>
                <w:tcPr>
                  <w:tcW w:w="665" w:type="dxa"/>
                  <w:vAlign w:val="center"/>
                </w:tcPr>
                <w:p w14:paraId="50EB544F">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134" w:type="dxa"/>
                  <w:vAlign w:val="center"/>
                </w:tcPr>
                <w:p w14:paraId="534F838D">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环境类别</w:t>
                  </w:r>
                </w:p>
              </w:tc>
              <w:tc>
                <w:tcPr>
                  <w:tcW w:w="1719" w:type="dxa"/>
                  <w:vAlign w:val="center"/>
                </w:tcPr>
                <w:p w14:paraId="6B657B60">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kern w:val="0"/>
                      <w:sz w:val="21"/>
                      <w:szCs w:val="21"/>
                      <w:highlight w:val="none"/>
                    </w:rPr>
                    <w:t>保护目标</w:t>
                  </w:r>
                </w:p>
              </w:tc>
              <w:tc>
                <w:tcPr>
                  <w:tcW w:w="980" w:type="dxa"/>
                  <w:vAlign w:val="center"/>
                </w:tcPr>
                <w:p w14:paraId="30978F21">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方位</w:t>
                  </w:r>
                </w:p>
              </w:tc>
              <w:tc>
                <w:tcPr>
                  <w:tcW w:w="1420" w:type="dxa"/>
                  <w:vAlign w:val="center"/>
                </w:tcPr>
                <w:p w14:paraId="0A379B9B">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距离</w:t>
                  </w:r>
                  <w:r>
                    <w:rPr>
                      <w:rFonts w:hint="default" w:ascii="Times New Roman" w:hAnsi="Times New Roman" w:cs="Times New Roman"/>
                      <w:color w:val="auto"/>
                      <w:spacing w:val="6"/>
                      <w:kern w:val="0"/>
                      <w:sz w:val="21"/>
                      <w:szCs w:val="21"/>
                      <w:highlight w:val="none"/>
                      <w:lang w:val="en-US" w:eastAsia="zh-CN"/>
                    </w:rPr>
                    <w:t>场</w:t>
                  </w:r>
                  <w:r>
                    <w:rPr>
                      <w:rFonts w:hint="default" w:ascii="Times New Roman" w:hAnsi="Times New Roman" w:eastAsia="宋体" w:cs="Times New Roman"/>
                      <w:color w:val="auto"/>
                      <w:spacing w:val="6"/>
                      <w:kern w:val="0"/>
                      <w:sz w:val="21"/>
                      <w:szCs w:val="21"/>
                      <w:highlight w:val="none"/>
                      <w:lang w:val="en-US" w:eastAsia="zh-CN"/>
                    </w:rPr>
                    <w:t>界</w:t>
                  </w:r>
                </w:p>
              </w:tc>
              <w:tc>
                <w:tcPr>
                  <w:tcW w:w="949" w:type="dxa"/>
                  <w:vAlign w:val="center"/>
                </w:tcPr>
                <w:p w14:paraId="03D748A1">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性质</w:t>
                  </w:r>
                </w:p>
              </w:tc>
              <w:tc>
                <w:tcPr>
                  <w:tcW w:w="1593" w:type="dxa"/>
                  <w:vAlign w:val="center"/>
                </w:tcPr>
                <w:p w14:paraId="5191D3D8">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color w:val="auto"/>
                      <w:spacing w:val="6"/>
                      <w:kern w:val="0"/>
                      <w:sz w:val="21"/>
                      <w:szCs w:val="21"/>
                      <w:highlight w:val="none"/>
                    </w:rPr>
                    <w:t>保护标准</w:t>
                  </w:r>
                </w:p>
              </w:tc>
            </w:tr>
            <w:tr w14:paraId="1EC03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3" w:hRule="atLeast"/>
                <w:jc w:val="center"/>
              </w:trPr>
              <w:tc>
                <w:tcPr>
                  <w:tcW w:w="665" w:type="dxa"/>
                  <w:vMerge w:val="restart"/>
                  <w:vAlign w:val="center"/>
                </w:tcPr>
                <w:p w14:paraId="6D9F842D">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w:t>
                  </w:r>
                </w:p>
              </w:tc>
              <w:tc>
                <w:tcPr>
                  <w:tcW w:w="1134" w:type="dxa"/>
                  <w:vMerge w:val="restart"/>
                  <w:vAlign w:val="center"/>
                </w:tcPr>
                <w:p w14:paraId="46BB4E8D">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大气环境</w:t>
                  </w:r>
                </w:p>
              </w:tc>
              <w:tc>
                <w:tcPr>
                  <w:tcW w:w="1719" w:type="dxa"/>
                  <w:vAlign w:val="center"/>
                </w:tcPr>
                <w:p w14:paraId="3D3B72A9">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中联江滨御景-南区</w:t>
                  </w:r>
                </w:p>
              </w:tc>
              <w:tc>
                <w:tcPr>
                  <w:tcW w:w="980" w:type="dxa"/>
                  <w:vAlign w:val="center"/>
                </w:tcPr>
                <w:p w14:paraId="2635D131">
                  <w:pPr>
                    <w:widowControl/>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snapToGrid w:val="0"/>
                      <w:color w:val="auto"/>
                      <w:kern w:val="44"/>
                      <w:sz w:val="21"/>
                      <w:szCs w:val="21"/>
                      <w:highlight w:val="none"/>
                      <w:lang w:val="en-US" w:eastAsia="zh-CN"/>
                    </w:rPr>
                    <w:t>北侧</w:t>
                  </w:r>
                </w:p>
              </w:tc>
              <w:tc>
                <w:tcPr>
                  <w:tcW w:w="1420" w:type="dxa"/>
                  <w:vAlign w:val="center"/>
                </w:tcPr>
                <w:p w14:paraId="7FBD8AC5">
                  <w:pPr>
                    <w:widowControl/>
                    <w:jc w:val="center"/>
                    <w:rPr>
                      <w:rFonts w:hint="default" w:ascii="Times New Roman" w:hAnsi="Times New Roman" w:eastAsia="宋体"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项目所在区</w:t>
                  </w:r>
                </w:p>
              </w:tc>
              <w:tc>
                <w:tcPr>
                  <w:tcW w:w="949" w:type="dxa"/>
                  <w:vMerge w:val="restart"/>
                  <w:vAlign w:val="center"/>
                </w:tcPr>
                <w:p w14:paraId="33F8B56E">
                  <w:pPr>
                    <w:widowControl/>
                    <w:jc w:val="center"/>
                    <w:rPr>
                      <w:rFonts w:hint="default" w:ascii="Times New Roman" w:hAnsi="Times New Roman" w:eastAsia="宋体"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居民区</w:t>
                  </w:r>
                </w:p>
              </w:tc>
              <w:tc>
                <w:tcPr>
                  <w:tcW w:w="1593" w:type="dxa"/>
                  <w:vMerge w:val="restart"/>
                  <w:vAlign w:val="center"/>
                </w:tcPr>
                <w:p w14:paraId="44D2EE42">
                  <w:pPr>
                    <w:keepNext w:val="0"/>
                    <w:keepLines w:val="0"/>
                    <w:pageBreakBefore w:val="0"/>
                    <w:widowControl/>
                    <w:kinsoku/>
                    <w:wordWrap w:val="0"/>
                    <w:overflowPunct/>
                    <w:topLinePunct w:val="0"/>
                    <w:autoSpaceDE/>
                    <w:autoSpaceDN/>
                    <w:bidi w:val="0"/>
                    <w:adjustRightInd/>
                    <w:snapToGrid/>
                    <w:jc w:val="center"/>
                    <w:textAlignment w:val="auto"/>
                    <w:rPr>
                      <w:rFonts w:hint="default" w:ascii="Times New Roman" w:hAnsi="Times New Roman" w:eastAsia="宋体" w:cs="Times New Roman"/>
                      <w:snapToGrid w:val="0"/>
                      <w:color w:val="auto"/>
                      <w:kern w:val="44"/>
                      <w:sz w:val="21"/>
                      <w:szCs w:val="21"/>
                      <w:highlight w:val="none"/>
                    </w:rPr>
                  </w:pPr>
                  <w:r>
                    <w:rPr>
                      <w:rFonts w:hint="default" w:ascii="Times New Roman" w:hAnsi="Times New Roman" w:eastAsia="宋体" w:cs="Times New Roman"/>
                      <w:snapToGrid w:val="0"/>
                      <w:color w:val="auto"/>
                      <w:kern w:val="44"/>
                      <w:sz w:val="21"/>
                      <w:szCs w:val="21"/>
                      <w:highlight w:val="none"/>
                    </w:rPr>
                    <w:t>《环境空气质量标准》（GB3095-2012）二级标准</w:t>
                  </w:r>
                </w:p>
              </w:tc>
            </w:tr>
            <w:tr w14:paraId="6B18A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3" w:hRule="atLeast"/>
                <w:jc w:val="center"/>
              </w:trPr>
              <w:tc>
                <w:tcPr>
                  <w:tcW w:w="665" w:type="dxa"/>
                  <w:vMerge w:val="continue"/>
                  <w:vAlign w:val="center"/>
                </w:tcPr>
                <w:p w14:paraId="05C46543">
                  <w:pPr>
                    <w:widowControl/>
                    <w:jc w:val="center"/>
                    <w:rPr>
                      <w:rFonts w:hint="default" w:ascii="Times New Roman" w:hAnsi="Times New Roman" w:eastAsia="宋体" w:cs="Times New Roman"/>
                      <w:color w:val="auto"/>
                      <w:kern w:val="0"/>
                      <w:sz w:val="21"/>
                      <w:szCs w:val="21"/>
                      <w:highlight w:val="none"/>
                    </w:rPr>
                  </w:pPr>
                </w:p>
              </w:tc>
              <w:tc>
                <w:tcPr>
                  <w:tcW w:w="1134" w:type="dxa"/>
                  <w:vMerge w:val="continue"/>
                  <w:vAlign w:val="center"/>
                </w:tcPr>
                <w:p w14:paraId="6E540155">
                  <w:pPr>
                    <w:widowControl/>
                    <w:jc w:val="center"/>
                    <w:rPr>
                      <w:rFonts w:hint="default" w:ascii="Times New Roman" w:hAnsi="Times New Roman" w:eastAsia="宋体" w:cs="Times New Roman"/>
                      <w:color w:val="auto"/>
                      <w:kern w:val="0"/>
                      <w:sz w:val="21"/>
                      <w:szCs w:val="21"/>
                      <w:highlight w:val="none"/>
                    </w:rPr>
                  </w:pPr>
                </w:p>
              </w:tc>
              <w:tc>
                <w:tcPr>
                  <w:tcW w:w="1719" w:type="dxa"/>
                  <w:vAlign w:val="center"/>
                </w:tcPr>
                <w:p w14:paraId="16F797E2">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中联江滨御景-北区</w:t>
                  </w:r>
                </w:p>
              </w:tc>
              <w:tc>
                <w:tcPr>
                  <w:tcW w:w="980" w:type="dxa"/>
                  <w:vAlign w:val="center"/>
                </w:tcPr>
                <w:p w14:paraId="292E6162">
                  <w:pPr>
                    <w:widowControl/>
                    <w:jc w:val="center"/>
                    <w:rPr>
                      <w:rFonts w:hint="default" w:ascii="Times New Roman" w:hAnsi="Times New Roman" w:eastAsia="宋体" w:cs="Times New Roman"/>
                      <w:snapToGrid w:val="0"/>
                      <w:color w:val="auto"/>
                      <w:kern w:val="44"/>
                      <w:sz w:val="21"/>
                      <w:szCs w:val="21"/>
                      <w:highlight w:val="none"/>
                      <w:lang w:val="en-US" w:eastAsia="zh-CN"/>
                    </w:rPr>
                  </w:pPr>
                  <w:r>
                    <w:rPr>
                      <w:rFonts w:hint="default" w:ascii="Times New Roman" w:hAnsi="Times New Roman" w:eastAsia="宋体" w:cs="Times New Roman"/>
                      <w:snapToGrid w:val="0"/>
                      <w:color w:val="auto"/>
                      <w:kern w:val="44"/>
                      <w:sz w:val="21"/>
                      <w:szCs w:val="21"/>
                      <w:highlight w:val="none"/>
                      <w:lang w:val="en-US" w:eastAsia="zh-CN"/>
                    </w:rPr>
                    <w:t>北</w:t>
                  </w:r>
                  <w:r>
                    <w:rPr>
                      <w:rFonts w:hint="default" w:ascii="Times New Roman" w:hAnsi="Times New Roman" w:eastAsia="宋体" w:cs="Times New Roman"/>
                      <w:color w:val="auto"/>
                      <w:sz w:val="21"/>
                      <w:szCs w:val="21"/>
                      <w:highlight w:val="none"/>
                    </w:rPr>
                    <w:t>侧</w:t>
                  </w:r>
                </w:p>
              </w:tc>
              <w:tc>
                <w:tcPr>
                  <w:tcW w:w="1420" w:type="dxa"/>
                  <w:vAlign w:val="center"/>
                </w:tcPr>
                <w:p w14:paraId="574DBD07">
                  <w:pPr>
                    <w:widowControl/>
                    <w:jc w:val="center"/>
                    <w:rPr>
                      <w:rFonts w:hint="default" w:ascii="Times New Roman" w:hAnsi="Times New Roman"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121m</w:t>
                  </w:r>
                </w:p>
              </w:tc>
              <w:tc>
                <w:tcPr>
                  <w:tcW w:w="949" w:type="dxa"/>
                  <w:vMerge w:val="continue"/>
                  <w:vAlign w:val="center"/>
                </w:tcPr>
                <w:p w14:paraId="6A564645">
                  <w:pPr>
                    <w:widowControl/>
                    <w:jc w:val="center"/>
                    <w:rPr>
                      <w:rFonts w:hint="default" w:ascii="Times New Roman" w:hAnsi="Times New Roman" w:cs="Times New Roman"/>
                      <w:color w:val="auto"/>
                      <w:spacing w:val="6"/>
                      <w:kern w:val="0"/>
                      <w:sz w:val="21"/>
                      <w:szCs w:val="21"/>
                      <w:highlight w:val="none"/>
                      <w:lang w:val="en-US" w:eastAsia="zh-CN"/>
                    </w:rPr>
                  </w:pPr>
                </w:p>
              </w:tc>
              <w:tc>
                <w:tcPr>
                  <w:tcW w:w="1593" w:type="dxa"/>
                  <w:vMerge w:val="continue"/>
                  <w:vAlign w:val="center"/>
                </w:tcPr>
                <w:p w14:paraId="5B86E786">
                  <w:pPr>
                    <w:widowControl/>
                    <w:jc w:val="center"/>
                    <w:rPr>
                      <w:rFonts w:hint="default" w:ascii="Times New Roman" w:hAnsi="Times New Roman" w:eastAsia="宋体" w:cs="Times New Roman"/>
                      <w:color w:val="auto"/>
                      <w:spacing w:val="6"/>
                      <w:kern w:val="0"/>
                      <w:sz w:val="21"/>
                      <w:szCs w:val="21"/>
                      <w:highlight w:val="none"/>
                    </w:rPr>
                  </w:pPr>
                </w:p>
              </w:tc>
            </w:tr>
            <w:tr w14:paraId="55EED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65" w:type="dxa"/>
                  <w:vMerge w:val="continue"/>
                  <w:vAlign w:val="center"/>
                </w:tcPr>
                <w:p w14:paraId="14AEA571">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14:paraId="1BC255C0">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14:paraId="02E2B51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富贵世家</w:t>
                  </w:r>
                </w:p>
              </w:tc>
              <w:tc>
                <w:tcPr>
                  <w:tcW w:w="980" w:type="dxa"/>
                  <w:vAlign w:val="center"/>
                </w:tcPr>
                <w:p w14:paraId="6DB5BAD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lang w:val="en-US" w:eastAsia="zh-CN"/>
                    </w:rPr>
                    <w:t>东</w:t>
                  </w:r>
                  <w:r>
                    <w:rPr>
                      <w:rFonts w:hint="default" w:ascii="Times New Roman" w:hAnsi="Times New Roman" w:eastAsia="宋体" w:cs="Times New Roman"/>
                      <w:snapToGrid w:val="0"/>
                      <w:color w:val="auto"/>
                      <w:kern w:val="44"/>
                      <w:sz w:val="21"/>
                      <w:szCs w:val="21"/>
                      <w:highlight w:val="none"/>
                    </w:rPr>
                    <w:t>侧</w:t>
                  </w:r>
                </w:p>
              </w:tc>
              <w:tc>
                <w:tcPr>
                  <w:tcW w:w="1420" w:type="dxa"/>
                  <w:vAlign w:val="center"/>
                </w:tcPr>
                <w:p w14:paraId="4CD8989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112</w:t>
                  </w:r>
                  <w:r>
                    <w:rPr>
                      <w:rFonts w:hint="default" w:ascii="Times New Roman" w:hAnsi="Times New Roman" w:eastAsia="宋体" w:cs="Times New Roman"/>
                      <w:color w:val="auto"/>
                      <w:sz w:val="21"/>
                      <w:szCs w:val="21"/>
                      <w:highlight w:val="none"/>
                    </w:rPr>
                    <w:t>m</w:t>
                  </w:r>
                </w:p>
              </w:tc>
              <w:tc>
                <w:tcPr>
                  <w:tcW w:w="949" w:type="dxa"/>
                  <w:vMerge w:val="continue"/>
                  <w:vAlign w:val="center"/>
                </w:tcPr>
                <w:p w14:paraId="2CA528C4">
                  <w:pPr>
                    <w:adjustRightInd w:val="0"/>
                    <w:snapToGrid w:val="0"/>
                    <w:ind w:firstLine="567"/>
                    <w:jc w:val="center"/>
                    <w:rPr>
                      <w:rFonts w:hint="default" w:ascii="Times New Roman" w:hAnsi="Times New Roman" w:eastAsia="宋体" w:cs="Times New Roman"/>
                      <w:color w:val="auto"/>
                      <w:sz w:val="21"/>
                      <w:szCs w:val="21"/>
                      <w:highlight w:val="none"/>
                    </w:rPr>
                  </w:pPr>
                </w:p>
              </w:tc>
              <w:tc>
                <w:tcPr>
                  <w:tcW w:w="1593" w:type="dxa"/>
                  <w:vMerge w:val="continue"/>
                  <w:vAlign w:val="center"/>
                </w:tcPr>
                <w:p w14:paraId="3CDC9448">
                  <w:pPr>
                    <w:widowControl/>
                    <w:jc w:val="center"/>
                    <w:rPr>
                      <w:rFonts w:hint="default" w:ascii="Times New Roman" w:hAnsi="Times New Roman" w:eastAsia="宋体" w:cs="Times New Roman"/>
                      <w:snapToGrid w:val="0"/>
                      <w:color w:val="auto"/>
                      <w:kern w:val="44"/>
                      <w:sz w:val="21"/>
                      <w:szCs w:val="21"/>
                      <w:highlight w:val="none"/>
                    </w:rPr>
                  </w:pPr>
                </w:p>
              </w:tc>
            </w:tr>
            <w:tr w14:paraId="73F0D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665" w:type="dxa"/>
                  <w:vMerge w:val="continue"/>
                  <w:vAlign w:val="center"/>
                </w:tcPr>
                <w:p w14:paraId="321C17FD">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14:paraId="1881B3F3">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14:paraId="1D3CC68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金辉江山云著</w:t>
                  </w:r>
                </w:p>
              </w:tc>
              <w:tc>
                <w:tcPr>
                  <w:tcW w:w="980" w:type="dxa"/>
                  <w:vAlign w:val="center"/>
                </w:tcPr>
                <w:p w14:paraId="57DEFE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44"/>
                      <w:sz w:val="21"/>
                      <w:szCs w:val="21"/>
                      <w:highlight w:val="none"/>
                      <w:lang w:val="en-US" w:eastAsia="zh-CN" w:bidi="ar-SA"/>
                    </w:rPr>
                  </w:pPr>
                  <w:r>
                    <w:rPr>
                      <w:rFonts w:hint="default" w:ascii="Times New Roman" w:hAnsi="Times New Roman" w:eastAsia="宋体" w:cs="Times New Roman"/>
                      <w:snapToGrid w:val="0"/>
                      <w:color w:val="auto"/>
                      <w:kern w:val="44"/>
                      <w:sz w:val="21"/>
                      <w:szCs w:val="21"/>
                      <w:highlight w:val="none"/>
                      <w:lang w:val="en-US" w:eastAsia="zh-CN"/>
                    </w:rPr>
                    <w:t>东</w:t>
                  </w:r>
                  <w:r>
                    <w:rPr>
                      <w:rFonts w:hint="default" w:ascii="Times New Roman" w:hAnsi="Times New Roman" w:cs="Times New Roman"/>
                      <w:snapToGrid w:val="0"/>
                      <w:color w:val="auto"/>
                      <w:kern w:val="44"/>
                      <w:sz w:val="21"/>
                      <w:szCs w:val="21"/>
                      <w:highlight w:val="none"/>
                      <w:lang w:val="en-US" w:eastAsia="zh-CN"/>
                    </w:rPr>
                    <w:t>南</w:t>
                  </w:r>
                  <w:r>
                    <w:rPr>
                      <w:rFonts w:hint="default" w:ascii="Times New Roman" w:hAnsi="Times New Roman" w:eastAsia="宋体" w:cs="Times New Roman"/>
                      <w:snapToGrid w:val="0"/>
                      <w:color w:val="auto"/>
                      <w:kern w:val="44"/>
                      <w:sz w:val="21"/>
                      <w:szCs w:val="21"/>
                      <w:highlight w:val="none"/>
                      <w:lang w:val="en-US" w:eastAsia="zh-CN"/>
                    </w:rPr>
                    <w:t>侧</w:t>
                  </w:r>
                </w:p>
              </w:tc>
              <w:tc>
                <w:tcPr>
                  <w:tcW w:w="1420" w:type="dxa"/>
                  <w:vAlign w:val="center"/>
                </w:tcPr>
                <w:p w14:paraId="3681C0F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362</w:t>
                  </w:r>
                  <w:r>
                    <w:rPr>
                      <w:rFonts w:hint="default" w:ascii="Times New Roman" w:hAnsi="Times New Roman" w:eastAsia="宋体" w:cs="Times New Roman"/>
                      <w:color w:val="auto"/>
                      <w:sz w:val="21"/>
                      <w:szCs w:val="21"/>
                      <w:highlight w:val="none"/>
                    </w:rPr>
                    <w:t>m</w:t>
                  </w:r>
                </w:p>
              </w:tc>
              <w:tc>
                <w:tcPr>
                  <w:tcW w:w="949" w:type="dxa"/>
                  <w:vMerge w:val="continue"/>
                  <w:vAlign w:val="center"/>
                </w:tcPr>
                <w:p w14:paraId="4EBE01FE">
                  <w:pPr>
                    <w:adjustRightInd w:val="0"/>
                    <w:snapToGrid w:val="0"/>
                    <w:ind w:firstLine="567"/>
                    <w:jc w:val="center"/>
                    <w:rPr>
                      <w:rFonts w:hint="default" w:ascii="Times New Roman" w:hAnsi="Times New Roman" w:eastAsia="宋体" w:cs="Times New Roman"/>
                      <w:color w:val="auto"/>
                      <w:sz w:val="21"/>
                      <w:szCs w:val="21"/>
                      <w:highlight w:val="none"/>
                    </w:rPr>
                  </w:pPr>
                </w:p>
              </w:tc>
              <w:tc>
                <w:tcPr>
                  <w:tcW w:w="1593" w:type="dxa"/>
                  <w:vMerge w:val="continue"/>
                  <w:vAlign w:val="center"/>
                </w:tcPr>
                <w:p w14:paraId="5FB62E95">
                  <w:pPr>
                    <w:widowControl/>
                    <w:jc w:val="center"/>
                    <w:rPr>
                      <w:rFonts w:hint="default" w:ascii="Times New Roman" w:hAnsi="Times New Roman" w:eastAsia="宋体" w:cs="Times New Roman"/>
                      <w:snapToGrid w:val="0"/>
                      <w:color w:val="auto"/>
                      <w:kern w:val="44"/>
                      <w:sz w:val="21"/>
                      <w:szCs w:val="21"/>
                      <w:highlight w:val="none"/>
                    </w:rPr>
                  </w:pPr>
                </w:p>
              </w:tc>
            </w:tr>
            <w:tr w14:paraId="62ED9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665" w:type="dxa"/>
                  <w:vMerge w:val="continue"/>
                  <w:vAlign w:val="center"/>
                </w:tcPr>
                <w:p w14:paraId="30AA191D">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14:paraId="16705E4F">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14:paraId="6D819F6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福清市妇幼保健院</w:t>
                  </w:r>
                </w:p>
              </w:tc>
              <w:tc>
                <w:tcPr>
                  <w:tcW w:w="980" w:type="dxa"/>
                  <w:vAlign w:val="center"/>
                </w:tcPr>
                <w:p w14:paraId="71D637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东北侧</w:t>
                  </w:r>
                </w:p>
              </w:tc>
              <w:tc>
                <w:tcPr>
                  <w:tcW w:w="1420" w:type="dxa"/>
                  <w:vAlign w:val="center"/>
                </w:tcPr>
                <w:p w14:paraId="4294171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220m</w:t>
                  </w:r>
                </w:p>
              </w:tc>
              <w:tc>
                <w:tcPr>
                  <w:tcW w:w="949" w:type="dxa"/>
                  <w:vAlign w:val="center"/>
                </w:tcPr>
                <w:p w14:paraId="0EA4B3E2">
                  <w:pPr>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医疗</w:t>
                  </w:r>
                </w:p>
              </w:tc>
              <w:tc>
                <w:tcPr>
                  <w:tcW w:w="1593" w:type="dxa"/>
                  <w:vMerge w:val="continue"/>
                  <w:vAlign w:val="center"/>
                </w:tcPr>
                <w:p w14:paraId="494B5E6E">
                  <w:pPr>
                    <w:widowControl/>
                    <w:jc w:val="center"/>
                    <w:rPr>
                      <w:rFonts w:hint="default" w:ascii="Times New Roman" w:hAnsi="Times New Roman" w:eastAsia="宋体" w:cs="Times New Roman"/>
                      <w:snapToGrid w:val="0"/>
                      <w:color w:val="auto"/>
                      <w:kern w:val="44"/>
                      <w:sz w:val="21"/>
                      <w:szCs w:val="21"/>
                      <w:highlight w:val="none"/>
                    </w:rPr>
                  </w:pPr>
                </w:p>
              </w:tc>
            </w:tr>
            <w:tr w14:paraId="3177F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665" w:type="dxa"/>
                  <w:vMerge w:val="continue"/>
                  <w:vAlign w:val="center"/>
                </w:tcPr>
                <w:p w14:paraId="74DF63C1">
                  <w:pPr>
                    <w:widowControl/>
                    <w:jc w:val="center"/>
                    <w:rPr>
                      <w:rFonts w:hint="default" w:ascii="Times New Roman" w:hAnsi="Times New Roman" w:eastAsia="宋体" w:cs="Times New Roman"/>
                      <w:bCs/>
                      <w:color w:val="auto"/>
                      <w:kern w:val="0"/>
                      <w:sz w:val="21"/>
                      <w:szCs w:val="21"/>
                      <w:highlight w:val="none"/>
                    </w:rPr>
                  </w:pPr>
                </w:p>
              </w:tc>
              <w:tc>
                <w:tcPr>
                  <w:tcW w:w="1134" w:type="dxa"/>
                  <w:vMerge w:val="continue"/>
                  <w:vAlign w:val="center"/>
                </w:tcPr>
                <w:p w14:paraId="2C1B4205">
                  <w:pPr>
                    <w:widowControl/>
                    <w:jc w:val="center"/>
                    <w:rPr>
                      <w:rFonts w:hint="default" w:ascii="Times New Roman" w:hAnsi="Times New Roman" w:eastAsia="宋体" w:cs="Times New Roman"/>
                      <w:bCs/>
                      <w:color w:val="auto"/>
                      <w:kern w:val="0"/>
                      <w:sz w:val="21"/>
                      <w:szCs w:val="21"/>
                      <w:highlight w:val="none"/>
                    </w:rPr>
                  </w:pPr>
                </w:p>
              </w:tc>
              <w:tc>
                <w:tcPr>
                  <w:tcW w:w="1719" w:type="dxa"/>
                  <w:vAlign w:val="center"/>
                </w:tcPr>
                <w:p w14:paraId="26C7C31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福清市行知小学</w:t>
                  </w:r>
                </w:p>
              </w:tc>
              <w:tc>
                <w:tcPr>
                  <w:tcW w:w="980" w:type="dxa"/>
                  <w:vAlign w:val="center"/>
                </w:tcPr>
                <w:p w14:paraId="74F584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西北侧</w:t>
                  </w:r>
                </w:p>
              </w:tc>
              <w:tc>
                <w:tcPr>
                  <w:tcW w:w="1420" w:type="dxa"/>
                  <w:vAlign w:val="center"/>
                </w:tcPr>
                <w:p w14:paraId="1CEA8D9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146m</w:t>
                  </w:r>
                </w:p>
              </w:tc>
              <w:tc>
                <w:tcPr>
                  <w:tcW w:w="949" w:type="dxa"/>
                  <w:vAlign w:val="center"/>
                </w:tcPr>
                <w:p w14:paraId="177AD6EA">
                  <w:pPr>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学校</w:t>
                  </w:r>
                </w:p>
              </w:tc>
              <w:tc>
                <w:tcPr>
                  <w:tcW w:w="1593" w:type="dxa"/>
                  <w:vMerge w:val="continue"/>
                  <w:vAlign w:val="center"/>
                </w:tcPr>
                <w:p w14:paraId="03B0A466">
                  <w:pPr>
                    <w:widowControl/>
                    <w:jc w:val="center"/>
                    <w:rPr>
                      <w:rFonts w:hint="default" w:ascii="Times New Roman" w:hAnsi="Times New Roman" w:eastAsia="宋体" w:cs="Times New Roman"/>
                      <w:snapToGrid w:val="0"/>
                      <w:color w:val="auto"/>
                      <w:kern w:val="44"/>
                      <w:sz w:val="21"/>
                      <w:szCs w:val="21"/>
                      <w:highlight w:val="none"/>
                    </w:rPr>
                  </w:pPr>
                </w:p>
              </w:tc>
            </w:tr>
            <w:tr w14:paraId="71D76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14:paraId="79EF744A">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w:t>
                  </w:r>
                </w:p>
              </w:tc>
              <w:tc>
                <w:tcPr>
                  <w:tcW w:w="1134" w:type="dxa"/>
                  <w:vAlign w:val="center"/>
                </w:tcPr>
                <w:p w14:paraId="4259037B">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声环境</w:t>
                  </w:r>
                </w:p>
              </w:tc>
              <w:tc>
                <w:tcPr>
                  <w:tcW w:w="1719" w:type="dxa"/>
                  <w:vAlign w:val="center"/>
                </w:tcPr>
                <w:p w14:paraId="69782FF5">
                  <w:pPr>
                    <w:widowControl/>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中联江滨御景-南区</w:t>
                  </w:r>
                </w:p>
              </w:tc>
              <w:tc>
                <w:tcPr>
                  <w:tcW w:w="980" w:type="dxa"/>
                  <w:vAlign w:val="center"/>
                </w:tcPr>
                <w:p w14:paraId="4F4C1685">
                  <w:pPr>
                    <w:widowControl/>
                    <w:jc w:val="center"/>
                    <w:rPr>
                      <w:rFonts w:hint="default" w:ascii="Times New Roman" w:hAnsi="Times New Roman" w:eastAsia="宋体" w:cs="Times New Roman"/>
                      <w:snapToGrid w:val="0"/>
                      <w:color w:val="auto"/>
                      <w:kern w:val="44"/>
                      <w:sz w:val="21"/>
                      <w:szCs w:val="21"/>
                      <w:highlight w:val="none"/>
                      <w:lang w:val="en-US" w:eastAsia="zh-CN" w:bidi="ar-SA"/>
                    </w:rPr>
                  </w:pPr>
                  <w:r>
                    <w:rPr>
                      <w:rFonts w:hint="default" w:ascii="Times New Roman" w:hAnsi="Times New Roman" w:eastAsia="宋体" w:cs="Times New Roman"/>
                      <w:snapToGrid w:val="0"/>
                      <w:color w:val="auto"/>
                      <w:kern w:val="44"/>
                      <w:sz w:val="21"/>
                      <w:szCs w:val="21"/>
                      <w:highlight w:val="none"/>
                      <w:lang w:val="en-US" w:eastAsia="zh-CN"/>
                    </w:rPr>
                    <w:t>北侧</w:t>
                  </w:r>
                </w:p>
              </w:tc>
              <w:tc>
                <w:tcPr>
                  <w:tcW w:w="1420" w:type="dxa"/>
                  <w:vAlign w:val="center"/>
                </w:tcPr>
                <w:p w14:paraId="15E36F8F">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6"/>
                      <w:kern w:val="0"/>
                      <w:sz w:val="21"/>
                      <w:szCs w:val="21"/>
                      <w:highlight w:val="none"/>
                      <w:lang w:val="en-US" w:eastAsia="zh-CN"/>
                    </w:rPr>
                    <w:t>项目所在区</w:t>
                  </w:r>
                </w:p>
              </w:tc>
              <w:tc>
                <w:tcPr>
                  <w:tcW w:w="949" w:type="dxa"/>
                  <w:vAlign w:val="center"/>
                </w:tcPr>
                <w:p w14:paraId="4863755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居民区</w:t>
                  </w:r>
                </w:p>
              </w:tc>
              <w:tc>
                <w:tcPr>
                  <w:tcW w:w="1593" w:type="dxa"/>
                  <w:vAlign w:val="center"/>
                </w:tcPr>
                <w:p w14:paraId="07255CDC">
                  <w:pPr>
                    <w:keepNext w:val="0"/>
                    <w:keepLines w:val="0"/>
                    <w:pageBreakBefore w:val="0"/>
                    <w:widowControl/>
                    <w:kinsoku/>
                    <w:wordWrap w:val="0"/>
                    <w:overflowPunct/>
                    <w:topLinePunct w:val="0"/>
                    <w:autoSpaceDE/>
                    <w:autoSpaceDN/>
                    <w:bidi w:val="0"/>
                    <w:adjustRightInd/>
                    <w:snapToGrid/>
                    <w:jc w:val="center"/>
                    <w:textAlignment w:val="auto"/>
                    <w:rPr>
                      <w:rFonts w:hint="default" w:ascii="Times New Roman" w:hAnsi="Times New Roman" w:eastAsia="宋体" w:cs="Times New Roman"/>
                      <w:snapToGrid w:val="0"/>
                      <w:color w:val="auto"/>
                      <w:kern w:val="44"/>
                      <w:sz w:val="21"/>
                      <w:szCs w:val="21"/>
                      <w:highlight w:val="none"/>
                    </w:rPr>
                  </w:pPr>
                  <w:r>
                    <w:rPr>
                      <w:rFonts w:hint="eastAsia" w:cs="Times New Roman"/>
                      <w:snapToGrid w:val="0"/>
                      <w:color w:val="auto"/>
                      <w:kern w:val="44"/>
                      <w:sz w:val="21"/>
                      <w:szCs w:val="21"/>
                      <w:highlight w:val="none"/>
                      <w:lang w:eastAsia="zh-CN"/>
                    </w:rPr>
                    <w:t>《社会生活环境噪声排放标准》（GB 22337-2008）</w:t>
                  </w:r>
                  <w:r>
                    <w:rPr>
                      <w:rFonts w:hint="default" w:ascii="Times New Roman" w:hAnsi="Times New Roman" w:eastAsia="宋体" w:cs="Times New Roman"/>
                      <w:snapToGrid w:val="0"/>
                      <w:color w:val="auto"/>
                      <w:kern w:val="44"/>
                      <w:sz w:val="21"/>
                      <w:szCs w:val="21"/>
                      <w:highlight w:val="none"/>
                    </w:rPr>
                    <w:t>2类标准</w:t>
                  </w:r>
                </w:p>
              </w:tc>
            </w:tr>
            <w:tr w14:paraId="4B6F8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14:paraId="415511DA">
                  <w:pPr>
                    <w:widowControl/>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rPr>
                    <w:t>3</w:t>
                  </w:r>
                </w:p>
              </w:tc>
              <w:tc>
                <w:tcPr>
                  <w:tcW w:w="1134" w:type="dxa"/>
                  <w:vAlign w:val="center"/>
                </w:tcPr>
                <w:p w14:paraId="040D7527">
                  <w:pPr>
                    <w:widowControl/>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地下</w:t>
                  </w:r>
                  <w:r>
                    <w:rPr>
                      <w:rFonts w:hint="default" w:ascii="Times New Roman" w:hAnsi="Times New Roman" w:eastAsia="宋体" w:cs="Times New Roman"/>
                      <w:bCs/>
                      <w:color w:val="auto"/>
                      <w:kern w:val="0"/>
                      <w:sz w:val="21"/>
                      <w:szCs w:val="21"/>
                      <w:highlight w:val="none"/>
                    </w:rPr>
                    <w:t>水环境</w:t>
                  </w:r>
                </w:p>
              </w:tc>
              <w:tc>
                <w:tcPr>
                  <w:tcW w:w="6661" w:type="dxa"/>
                  <w:gridSpan w:val="5"/>
                  <w:vAlign w:val="center"/>
                </w:tcPr>
                <w:p w14:paraId="261F6CF9">
                  <w:pPr>
                    <w:widowControl/>
                    <w:jc w:val="both"/>
                    <w:rPr>
                      <w:rFonts w:hint="default" w:ascii="Times New Roman" w:hAnsi="Times New Roman" w:eastAsia="宋体" w:cs="Times New Roman"/>
                      <w:snapToGrid w:val="0"/>
                      <w:color w:val="auto"/>
                      <w:kern w:val="44"/>
                      <w:sz w:val="21"/>
                      <w:szCs w:val="21"/>
                      <w:highlight w:val="none"/>
                      <w:lang w:val="en-US" w:eastAsia="zh-CN" w:bidi="ar-SA"/>
                    </w:rPr>
                  </w:pPr>
                  <w:r>
                    <w:rPr>
                      <w:rFonts w:hint="eastAsia" w:cs="Times New Roman"/>
                      <w:snapToGrid w:val="0"/>
                      <w:color w:val="auto"/>
                      <w:kern w:val="44"/>
                      <w:sz w:val="21"/>
                      <w:szCs w:val="21"/>
                      <w:highlight w:val="none"/>
                      <w:lang w:val="en-US" w:eastAsia="zh-CN"/>
                    </w:rPr>
                    <w:t>建设单位</w:t>
                  </w:r>
                  <w:r>
                    <w:rPr>
                      <w:rFonts w:hint="default" w:ascii="Times New Roman" w:hAnsi="Times New Roman" w:eastAsia="宋体" w:cs="Times New Roman"/>
                      <w:snapToGrid w:val="0"/>
                      <w:color w:val="auto"/>
                      <w:kern w:val="44"/>
                      <w:sz w:val="21"/>
                      <w:szCs w:val="21"/>
                      <w:highlight w:val="none"/>
                      <w:lang w:val="en-US" w:eastAsia="zh-CN"/>
                    </w:rPr>
                    <w:t>所在区域厂界外500米范围内无地下水集中式饮用水水源和热水、矿泉水、泉水等特殊地下水资源。</w:t>
                  </w:r>
                </w:p>
              </w:tc>
            </w:tr>
            <w:tr w14:paraId="7F889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14:paraId="1855C94B">
                  <w:pPr>
                    <w:widowControl/>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val="en-US" w:eastAsia="zh-CN"/>
                    </w:rPr>
                    <w:t>4</w:t>
                  </w:r>
                </w:p>
              </w:tc>
              <w:tc>
                <w:tcPr>
                  <w:tcW w:w="1134" w:type="dxa"/>
                  <w:vAlign w:val="center"/>
                </w:tcPr>
                <w:p w14:paraId="788256E6">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生态环境</w:t>
                  </w:r>
                </w:p>
              </w:tc>
              <w:tc>
                <w:tcPr>
                  <w:tcW w:w="6661" w:type="dxa"/>
                  <w:gridSpan w:val="5"/>
                  <w:vAlign w:val="center"/>
                </w:tcPr>
                <w:p w14:paraId="79474674">
                  <w:pPr>
                    <w:widowControl/>
                    <w:jc w:val="both"/>
                    <w:rPr>
                      <w:rFonts w:hint="default" w:ascii="Times New Roman" w:hAnsi="Times New Roman" w:eastAsia="宋体" w:cs="Times New Roman"/>
                      <w:snapToGrid w:val="0"/>
                      <w:color w:val="auto"/>
                      <w:kern w:val="44"/>
                      <w:sz w:val="21"/>
                      <w:szCs w:val="21"/>
                      <w:highlight w:val="none"/>
                      <w:lang w:val="en-US" w:eastAsia="zh-CN"/>
                    </w:rPr>
                  </w:pPr>
                  <w:r>
                    <w:rPr>
                      <w:rFonts w:hint="eastAsia" w:cs="Times New Roman"/>
                      <w:snapToGrid w:val="0"/>
                      <w:color w:val="auto"/>
                      <w:kern w:val="44"/>
                      <w:sz w:val="21"/>
                      <w:szCs w:val="21"/>
                      <w:highlight w:val="none"/>
                      <w:lang w:val="en-US" w:eastAsia="zh-CN"/>
                    </w:rPr>
                    <w:t>建设单位选址</w:t>
                  </w:r>
                  <w:r>
                    <w:rPr>
                      <w:rFonts w:hint="default" w:ascii="Times New Roman" w:hAnsi="Times New Roman" w:eastAsia="宋体" w:cs="Times New Roman"/>
                      <w:color w:val="auto"/>
                      <w:sz w:val="21"/>
                      <w:szCs w:val="21"/>
                      <w:highlight w:val="none"/>
                      <w:lang w:val="en-US" w:eastAsia="zh-CN"/>
                    </w:rPr>
                    <w:t>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REF 项目地址 \h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cs="Times New Roman"/>
                      <w:color w:val="auto"/>
                      <w:sz w:val="21"/>
                      <w:szCs w:val="18"/>
                      <w:highlight w:val="none"/>
                      <w:lang w:eastAsia="zh-CN"/>
                    </w:rPr>
                    <w:t>福建省福州市福清市宏路街道中联江滨御景5号楼113号，115号，116号门面</w:t>
                  </w:r>
                  <w:r>
                    <w:rPr>
                      <w:rFonts w:hint="default" w:ascii="Times New Roman" w:hAnsi="Times New Roman" w:eastAsia="宋体" w:cs="Times New Roman"/>
                      <w:color w:val="auto"/>
                      <w:sz w:val="21"/>
                      <w:szCs w:val="18"/>
                      <w:highlight w:val="none"/>
                    </w:rPr>
                    <w:fldChar w:fldCharType="end"/>
                  </w:r>
                  <w:r>
                    <w:rPr>
                      <w:rFonts w:hint="default" w:ascii="Times New Roman" w:hAnsi="Times New Roman" w:eastAsia="宋体" w:cs="Times New Roman"/>
                      <w:color w:val="auto"/>
                      <w:sz w:val="21"/>
                      <w:szCs w:val="18"/>
                      <w:highlight w:val="none"/>
                      <w:lang w:eastAsia="zh-CN"/>
                    </w:rPr>
                    <w:t>，</w:t>
                  </w:r>
                  <w:r>
                    <w:rPr>
                      <w:rFonts w:hint="default" w:ascii="Times New Roman" w:hAnsi="Times New Roman" w:eastAsia="宋体" w:cs="Times New Roman"/>
                      <w:color w:val="auto"/>
                      <w:sz w:val="21"/>
                      <w:szCs w:val="18"/>
                      <w:highlight w:val="none"/>
                      <w:lang w:val="en-US" w:eastAsia="zh-CN"/>
                    </w:rPr>
                    <w:t>用地属性属于商业用地，场地为已平整并硬化后的场地，周边生态环境主要为城市绿化带，无生态环境保护目标。</w:t>
                  </w:r>
                </w:p>
              </w:tc>
            </w:tr>
          </w:tbl>
          <w:p w14:paraId="48307A0E">
            <w:pPr>
              <w:adjustRightInd w:val="0"/>
              <w:snapToGrid w:val="0"/>
              <w:jc w:val="center"/>
              <w:rPr>
                <w:rFonts w:hint="default" w:ascii="Times New Roman" w:hAnsi="Times New Roman" w:eastAsia="宋体" w:cs="Times New Roman"/>
                <w:color w:val="auto"/>
                <w:kern w:val="0"/>
                <w:szCs w:val="21"/>
                <w:highlight w:val="none"/>
              </w:rPr>
            </w:pPr>
          </w:p>
        </w:tc>
      </w:tr>
      <w:tr w14:paraId="4A6BD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1178" w:type="dxa"/>
            <w:tcMar>
              <w:left w:w="28" w:type="dxa"/>
              <w:right w:w="28" w:type="dxa"/>
            </w:tcMar>
            <w:vAlign w:val="center"/>
          </w:tcPr>
          <w:p w14:paraId="6008999C">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污染物排放控制标准</w:t>
            </w:r>
          </w:p>
        </w:tc>
        <w:tc>
          <w:tcPr>
            <w:tcW w:w="8676" w:type="dxa"/>
            <w:vAlign w:val="center"/>
          </w:tcPr>
          <w:p w14:paraId="35805465">
            <w:pPr>
              <w:pStyle w:val="3"/>
              <w:numPr>
                <w:ilvl w:val="1"/>
                <w:numId w:val="0"/>
              </w:numPr>
              <w:ind w:leftChars="0"/>
              <w:rPr>
                <w:rFonts w:hint="default" w:ascii="Times New Roman" w:hAnsi="Times New Roman" w:eastAsia="宋体" w:cs="Times New Roman"/>
                <w:color w:val="auto"/>
                <w:highlight w:val="none"/>
              </w:rPr>
            </w:pPr>
            <w:bookmarkStart w:id="71" w:name="_Toc22714"/>
            <w:bookmarkStart w:id="72" w:name="_Toc28021"/>
            <w:bookmarkStart w:id="73" w:name="_Toc133251545"/>
            <w:r>
              <w:rPr>
                <w:rFonts w:hint="default" w:ascii="Times New Roman" w:hAnsi="Times New Roman" w:eastAsia="宋体" w:cs="Times New Roman"/>
                <w:color w:val="auto"/>
                <w:highlight w:val="none"/>
                <w:lang w:val="en-US" w:eastAsia="zh-CN"/>
              </w:rPr>
              <w:t>3.9</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污染物排放标准</w:t>
            </w:r>
            <w:bookmarkEnd w:id="71"/>
            <w:bookmarkEnd w:id="72"/>
            <w:bookmarkEnd w:id="73"/>
          </w:p>
          <w:p w14:paraId="2C46649B">
            <w:pPr>
              <w:pStyle w:val="4"/>
              <w:numPr>
                <w:ilvl w:val="2"/>
                <w:numId w:val="0"/>
              </w:numPr>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3.9.1</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水污染物排放标准 </w:t>
            </w:r>
          </w:p>
          <w:p w14:paraId="56DBA0E9">
            <w:pPr>
              <w:pStyle w:val="159"/>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lang w:val="en-US" w:eastAsia="zh-CN"/>
              </w:rPr>
              <w:t>排放</w:t>
            </w:r>
            <w:r>
              <w:rPr>
                <w:rFonts w:hint="default" w:ascii="Times New Roman" w:hAnsi="Times New Roman" w:eastAsia="宋体" w:cs="Times New Roman"/>
                <w:color w:val="auto"/>
                <w:highlight w:val="none"/>
              </w:rPr>
              <w:t>废水主要是</w:t>
            </w:r>
            <w:r>
              <w:rPr>
                <w:rFonts w:hint="default" w:ascii="Times New Roman" w:hAnsi="Times New Roman" w:eastAsia="宋体" w:cs="Times New Roman"/>
                <w:color w:val="auto"/>
                <w:highlight w:val="none"/>
                <w:lang w:val="en-US" w:eastAsia="zh-CN"/>
              </w:rPr>
              <w:t>宠物诊疗废水、宠物美容废水和生活污水，</w:t>
            </w:r>
            <w:r>
              <w:rPr>
                <w:rFonts w:hint="default" w:ascii="Times New Roman" w:hAnsi="Times New Roman" w:eastAsia="宋体" w:cs="Times New Roman"/>
                <w:color w:val="auto"/>
                <w:sz w:val="24"/>
                <w:highlight w:val="none"/>
                <w:lang w:eastAsia="zh-CN"/>
              </w:rPr>
              <w:t>生活污水直接通过</w:t>
            </w:r>
            <w:r>
              <w:rPr>
                <w:rFonts w:hint="default" w:ascii="Times New Roman" w:hAnsi="Times New Roman" w:eastAsia="宋体"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eastAsia="宋体" w:cs="Times New Roman"/>
                <w:color w:val="auto"/>
                <w:sz w:val="24"/>
                <w:highlight w:val="none"/>
                <w:lang w:val="en-US" w:eastAsia="zh-CN"/>
              </w:rPr>
              <w:t>化粪池</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诊疗废水和宠物美容废水</w:t>
            </w:r>
            <w:r>
              <w:rPr>
                <w:rFonts w:hint="default" w:ascii="Times New Roman" w:hAnsi="Times New Roman" w:eastAsia="宋体" w:cs="Times New Roman"/>
                <w:color w:val="auto"/>
                <w:sz w:val="24"/>
                <w:highlight w:val="none"/>
                <w:lang w:eastAsia="zh-CN"/>
              </w:rPr>
              <w:t>排入</w:t>
            </w:r>
            <w:r>
              <w:rPr>
                <w:rFonts w:hint="default" w:ascii="Times New Roman" w:hAnsi="Times New Roman" w:eastAsia="宋体" w:cs="Times New Roman"/>
                <w:color w:val="auto"/>
                <w:sz w:val="24"/>
                <w:highlight w:val="none"/>
                <w:lang w:val="en-US" w:eastAsia="zh-CN"/>
              </w:rPr>
              <w:t>消毒设备消毒</w:t>
            </w:r>
            <w:r>
              <w:rPr>
                <w:rFonts w:hint="default" w:ascii="Times New Roman" w:hAnsi="Times New Roman" w:eastAsia="宋体" w:cs="Times New Roman"/>
                <w:color w:val="auto"/>
                <w:sz w:val="24"/>
                <w:highlight w:val="none"/>
                <w:lang w:eastAsia="zh-CN"/>
              </w:rPr>
              <w:t>后再排入化粪池</w:t>
            </w:r>
            <w:r>
              <w:rPr>
                <w:rFonts w:hint="default" w:ascii="Times New Roman" w:hAnsi="Times New Roman" w:eastAsia="宋体" w:cs="Times New Roman"/>
                <w:color w:val="auto"/>
                <w:highlight w:val="none"/>
              </w:rPr>
              <w:t>处理达到《污水综合排放标准》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GB8978-1996）表4中的</w:t>
            </w:r>
            <w:r>
              <w:rPr>
                <w:rFonts w:hint="default" w:ascii="Times New Roman" w:hAnsi="Times New Roman" w:eastAsia="宋体" w:cs="Times New Roman"/>
                <w:i w:val="0"/>
                <w:iCs w:val="0"/>
                <w:color w:val="auto"/>
                <w:highlight w:val="none"/>
              </w:rPr>
              <w:t>三级排放</w:t>
            </w:r>
            <w:r>
              <w:rPr>
                <w:rFonts w:hint="default" w:ascii="Times New Roman" w:hAnsi="Times New Roman" w:eastAsia="宋体" w:cs="Times New Roman"/>
                <w:color w:val="auto"/>
                <w:highlight w:val="none"/>
              </w:rPr>
              <w:t>标准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其中</w:t>
            </w:r>
            <w:r>
              <w:rPr>
                <w:rFonts w:hint="default" w:ascii="Times New Roman" w:hAnsi="Times New Roman" w:eastAsia="宋体" w:cs="Times New Roman"/>
                <w:color w:val="auto"/>
                <w:highlight w:val="none"/>
              </w:rPr>
              <w:t>氨氮排放标准参考《污水排入城镇下水道水质标准》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GB/T31962-2015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B等级标准限值）</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rPr>
              <w:t>市政污水管网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val="en-US" w:eastAsia="zh-CN"/>
              </w:rPr>
              <w:t>福清市融元污水处理厂</w:t>
            </w:r>
            <w:r>
              <w:rPr>
                <w:rFonts w:hint="default" w:ascii="Times New Roman" w:hAnsi="Times New Roman" w:eastAsia="宋体" w:cs="Times New Roman"/>
                <w:color w:val="auto"/>
                <w:highlight w:val="none"/>
              </w:rPr>
              <w:t>。</w:t>
            </w:r>
          </w:p>
          <w:p w14:paraId="6CB56FF4">
            <w:pPr>
              <w:pStyle w:val="20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sz w:val="24"/>
                <w:szCs w:val="24"/>
                <w:highlight w:val="none"/>
              </w:rPr>
              <w:t>表3-</w:t>
            </w:r>
            <w:r>
              <w:rPr>
                <w:rFonts w:hint="eastAsia" w:ascii="Times New Roman" w:hAnsi="Times New Roman"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rPr>
              <w:t xml:space="preserve">  </w:t>
            </w:r>
            <w:r>
              <w:rPr>
                <w:rFonts w:hint="default" w:ascii="Times New Roman" w:hAnsi="Times New Roman" w:cs="Times New Roman"/>
                <w:bCs/>
                <w:color w:val="auto"/>
                <w:sz w:val="24"/>
                <w:szCs w:val="24"/>
                <w:highlight w:val="none"/>
                <w:lang w:val="en-US" w:eastAsia="zh-CN"/>
              </w:rPr>
              <w:t>项目污水</w:t>
            </w:r>
            <w:r>
              <w:rPr>
                <w:rFonts w:hint="default" w:ascii="Times New Roman" w:hAnsi="Times New Roman" w:eastAsia="宋体" w:cs="Times New Roman"/>
                <w:bCs/>
                <w:color w:val="auto"/>
                <w:sz w:val="24"/>
                <w:szCs w:val="24"/>
                <w:highlight w:val="none"/>
                <w:lang w:val="en-US" w:eastAsia="zh-CN"/>
              </w:rPr>
              <w:t>排放标准</w:t>
            </w:r>
          </w:p>
          <w:tbl>
            <w:tblPr>
              <w:tblStyle w:val="51"/>
              <w:tblW w:w="8122"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868"/>
              <w:gridCol w:w="2743"/>
              <w:gridCol w:w="1972"/>
            </w:tblGrid>
            <w:tr w14:paraId="1D7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tcBorders>
                    <w:top w:val="single" w:color="auto" w:sz="12" w:space="0"/>
                    <w:left w:val="nil"/>
                    <w:bottom w:val="single" w:color="auto" w:sz="6" w:space="0"/>
                  </w:tcBorders>
                </w:tcPr>
                <w:p w14:paraId="0F961CC6">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执行标准</w:t>
                  </w:r>
                </w:p>
              </w:tc>
              <w:tc>
                <w:tcPr>
                  <w:tcW w:w="868" w:type="dxa"/>
                  <w:tcBorders>
                    <w:top w:val="single" w:color="auto" w:sz="12" w:space="0"/>
                    <w:bottom w:val="single" w:color="auto" w:sz="6" w:space="0"/>
                  </w:tcBorders>
                  <w:vAlign w:val="top"/>
                </w:tcPr>
                <w:p w14:paraId="1BE86143">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序号</w:t>
                  </w:r>
                </w:p>
              </w:tc>
              <w:tc>
                <w:tcPr>
                  <w:tcW w:w="2743" w:type="dxa"/>
                  <w:tcBorders>
                    <w:top w:val="single" w:color="auto" w:sz="12" w:space="0"/>
                    <w:bottom w:val="single" w:color="auto" w:sz="6" w:space="0"/>
                  </w:tcBorders>
                  <w:vAlign w:val="top"/>
                </w:tcPr>
                <w:p w14:paraId="7508F09C">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控制项目</w:t>
                  </w:r>
                </w:p>
              </w:tc>
              <w:tc>
                <w:tcPr>
                  <w:tcW w:w="1972" w:type="dxa"/>
                  <w:tcBorders>
                    <w:top w:val="single" w:color="auto" w:sz="12" w:space="0"/>
                    <w:bottom w:val="single" w:color="auto" w:sz="6" w:space="0"/>
                    <w:right w:val="nil"/>
                  </w:tcBorders>
                </w:tcPr>
                <w:p w14:paraId="113F9A35">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排放标准</w:t>
                  </w:r>
                </w:p>
              </w:tc>
            </w:tr>
            <w:tr w14:paraId="04F9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restart"/>
                  <w:tcBorders>
                    <w:top w:val="single" w:color="auto" w:sz="6" w:space="0"/>
                    <w:left w:val="nil"/>
                  </w:tcBorders>
                </w:tcPr>
                <w:p w14:paraId="6AABA982">
                  <w:pPr>
                    <w:pStyle w:val="200"/>
                    <w:keepNext w:val="0"/>
                    <w:keepLines w:val="0"/>
                    <w:pageBreakBefore w:val="0"/>
                    <w:widowControl w:val="0"/>
                    <w:kinsoku/>
                    <w:wordWrap/>
                    <w:overflowPunct/>
                    <w:topLinePunct w:val="0"/>
                    <w:autoSpaceDE/>
                    <w:autoSpaceDN/>
                    <w:bidi w:val="0"/>
                    <w:adjustRightInd/>
                    <w:snapToGrid/>
                    <w:spacing w:before="1102" w:beforeLines="300"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《污水综合排放标准》（GB8978-1996）表4三级标准</w:t>
                  </w:r>
                </w:p>
              </w:tc>
              <w:tc>
                <w:tcPr>
                  <w:tcW w:w="868" w:type="dxa"/>
                  <w:tcBorders>
                    <w:top w:val="single" w:color="auto" w:sz="6" w:space="0"/>
                    <w:bottom w:val="single" w:color="auto" w:sz="6" w:space="0"/>
                  </w:tcBorders>
                  <w:vAlign w:val="top"/>
                </w:tcPr>
                <w:p w14:paraId="15E8CC79">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lang w:val="en-US" w:eastAsia="zh-CN"/>
                    </w:rPr>
                    <w:t>1</w:t>
                  </w:r>
                </w:p>
              </w:tc>
              <w:tc>
                <w:tcPr>
                  <w:tcW w:w="2743" w:type="dxa"/>
                  <w:tcBorders>
                    <w:top w:val="single" w:color="auto" w:sz="6" w:space="0"/>
                    <w:bottom w:val="single" w:color="auto" w:sz="6" w:space="0"/>
                  </w:tcBorders>
                  <w:vAlign w:val="top"/>
                </w:tcPr>
                <w:p w14:paraId="3D3315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pH（无量纲）</w:t>
                  </w:r>
                </w:p>
              </w:tc>
              <w:tc>
                <w:tcPr>
                  <w:tcW w:w="1972" w:type="dxa"/>
                  <w:tcBorders>
                    <w:top w:val="single" w:color="auto" w:sz="6" w:space="0"/>
                    <w:bottom w:val="single" w:color="auto" w:sz="6" w:space="0"/>
                    <w:right w:val="nil"/>
                  </w:tcBorders>
                  <w:vAlign w:val="top"/>
                </w:tcPr>
                <w:p w14:paraId="37681D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6-9</w:t>
                  </w:r>
                </w:p>
              </w:tc>
            </w:tr>
            <w:tr w14:paraId="5153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468482D4">
                  <w:pPr>
                    <w:pStyle w:val="200"/>
                    <w:keepNext w:val="0"/>
                    <w:keepLines w:val="0"/>
                    <w:pageBreakBefore w:val="0"/>
                    <w:widowControl w:val="0"/>
                    <w:kinsoku/>
                    <w:wordWrap/>
                    <w:overflowPunct/>
                    <w:topLinePunct w:val="0"/>
                    <w:autoSpaceDE/>
                    <w:autoSpaceDN/>
                    <w:bidi w:val="0"/>
                    <w:adjustRightInd/>
                    <w:snapToGrid/>
                    <w:spacing w:before="1102" w:beforeLines="300"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78AE70EA">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lang w:val="en-US" w:eastAsia="zh-CN"/>
                    </w:rPr>
                    <w:t>2</w:t>
                  </w:r>
                </w:p>
              </w:tc>
              <w:tc>
                <w:tcPr>
                  <w:tcW w:w="2743" w:type="dxa"/>
                  <w:tcBorders>
                    <w:top w:val="single" w:color="auto" w:sz="6" w:space="0"/>
                    <w:left w:val="single" w:color="auto" w:sz="6" w:space="0"/>
                    <w:bottom w:val="single" w:color="auto" w:sz="6" w:space="0"/>
                    <w:right w:val="single" w:color="auto" w:sz="6" w:space="0"/>
                  </w:tcBorders>
                  <w:vAlign w:val="top"/>
                </w:tcPr>
                <w:p w14:paraId="33D6F4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COD</w:t>
                  </w:r>
                  <w:r>
                    <w:rPr>
                      <w:rFonts w:hint="default" w:ascii="Times New Roman" w:hAnsi="Times New Roman" w:cs="Times New Roman"/>
                      <w:color w:val="auto"/>
                      <w:szCs w:val="24"/>
                      <w:highlight w:val="none"/>
                      <w:u w:val="none"/>
                      <w:vertAlign w:val="subscript"/>
                      <w:lang w:val="en-US" w:eastAsia="zh-CN"/>
                    </w:rPr>
                    <w:t>Cr</w:t>
                  </w:r>
                  <w:r>
                    <w:rPr>
                      <w:rFonts w:hint="default" w:ascii="Times New Roman" w:hAnsi="Times New Roman" w:eastAsia="宋体" w:cs="Times New Roman"/>
                      <w:color w:val="auto"/>
                      <w:sz w:val="21"/>
                      <w:szCs w:val="21"/>
                      <w:highlight w:val="none"/>
                      <w:vertAlign w:val="baseline"/>
                      <w:lang w:val="en-US" w:eastAsia="zh-CN"/>
                    </w:rPr>
                    <w:t>/（mg/L）</w:t>
                  </w:r>
                </w:p>
              </w:tc>
              <w:tc>
                <w:tcPr>
                  <w:tcW w:w="1972" w:type="dxa"/>
                  <w:tcBorders>
                    <w:top w:val="single" w:color="auto" w:sz="6" w:space="0"/>
                    <w:left w:val="single" w:color="auto" w:sz="6" w:space="0"/>
                    <w:bottom w:val="single" w:color="auto" w:sz="6" w:space="0"/>
                    <w:right w:val="nil"/>
                  </w:tcBorders>
                  <w:vAlign w:val="top"/>
                </w:tcPr>
                <w:p w14:paraId="435EB7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500</w:t>
                  </w:r>
                </w:p>
              </w:tc>
            </w:tr>
            <w:tr w14:paraId="1A1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0F626A92">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62BE2AE4">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2743" w:type="dxa"/>
                  <w:tcBorders>
                    <w:top w:val="single" w:color="auto" w:sz="6" w:space="0"/>
                    <w:left w:val="single" w:color="auto" w:sz="6" w:space="0"/>
                    <w:bottom w:val="single" w:color="auto" w:sz="6" w:space="0"/>
                    <w:right w:val="single" w:color="auto" w:sz="6" w:space="0"/>
                  </w:tcBorders>
                  <w:vAlign w:val="top"/>
                </w:tcPr>
                <w:p w14:paraId="33C6E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vertAlign w:val="baseline"/>
                      <w:lang w:val="en-US" w:eastAsia="zh-CN"/>
                    </w:rPr>
                    <w:t>/（mg/L）</w:t>
                  </w:r>
                </w:p>
              </w:tc>
              <w:tc>
                <w:tcPr>
                  <w:tcW w:w="1972" w:type="dxa"/>
                  <w:tcBorders>
                    <w:top w:val="single" w:color="auto" w:sz="6" w:space="0"/>
                    <w:left w:val="single" w:color="auto" w:sz="6" w:space="0"/>
                    <w:bottom w:val="single" w:color="auto" w:sz="6" w:space="0"/>
                    <w:right w:val="nil"/>
                  </w:tcBorders>
                  <w:vAlign w:val="top"/>
                </w:tcPr>
                <w:p w14:paraId="6B01D5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300</w:t>
                  </w:r>
                </w:p>
              </w:tc>
            </w:tr>
            <w:tr w14:paraId="6F8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3B7B9964">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3CA3E52E">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4</w:t>
                  </w:r>
                </w:p>
              </w:tc>
              <w:tc>
                <w:tcPr>
                  <w:tcW w:w="2743" w:type="dxa"/>
                  <w:tcBorders>
                    <w:top w:val="single" w:color="auto" w:sz="6" w:space="0"/>
                    <w:left w:val="single" w:color="auto" w:sz="6" w:space="0"/>
                    <w:bottom w:val="single" w:color="auto" w:sz="6" w:space="0"/>
                    <w:right w:val="single" w:color="auto" w:sz="6" w:space="0"/>
                  </w:tcBorders>
                  <w:vAlign w:val="top"/>
                </w:tcPr>
                <w:p w14:paraId="70A7AD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SS/（mg/L）</w:t>
                  </w:r>
                </w:p>
              </w:tc>
              <w:tc>
                <w:tcPr>
                  <w:tcW w:w="1972" w:type="dxa"/>
                  <w:tcBorders>
                    <w:top w:val="single" w:color="auto" w:sz="6" w:space="0"/>
                    <w:left w:val="single" w:color="auto" w:sz="6" w:space="0"/>
                    <w:bottom w:val="single" w:color="auto" w:sz="6" w:space="0"/>
                    <w:right w:val="nil"/>
                  </w:tcBorders>
                  <w:vAlign w:val="top"/>
                </w:tcPr>
                <w:p w14:paraId="49C0D3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400</w:t>
                  </w:r>
                </w:p>
              </w:tc>
            </w:tr>
            <w:tr w14:paraId="0521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2A52D969">
                  <w:pPr>
                    <w:pStyle w:val="200"/>
                    <w:keepNext w:val="0"/>
                    <w:keepLines w:val="0"/>
                    <w:pageBreakBefore w:val="0"/>
                    <w:widowControl w:val="0"/>
                    <w:kinsoku/>
                    <w:wordWrap/>
                    <w:overflowPunct/>
                    <w:topLinePunct w:val="0"/>
                    <w:autoSpaceDE/>
                    <w:autoSpaceDN/>
                    <w:bidi w:val="0"/>
                    <w:adjustRightInd/>
                    <w:snapToGrid/>
                    <w:spacing w:before="368" w:beforeLines="100" w:line="340" w:lineRule="exact"/>
                    <w:textAlignment w:val="auto"/>
                    <w:rPr>
                      <w:rFonts w:hint="default" w:ascii="Times New Roman" w:hAnsi="Times New Roman" w:eastAsia="宋体" w:cs="Times New Roman"/>
                      <w:b w:val="0"/>
                      <w:bCs w:val="0"/>
                      <w:color w:val="auto"/>
                      <w:sz w:val="21"/>
                      <w:szCs w:val="21"/>
                      <w:highlight w:val="no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359B125B">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5</w:t>
                  </w:r>
                </w:p>
              </w:tc>
              <w:tc>
                <w:tcPr>
                  <w:tcW w:w="2743" w:type="dxa"/>
                  <w:tcBorders>
                    <w:top w:val="single" w:color="auto" w:sz="6" w:space="0"/>
                    <w:left w:val="single" w:color="auto" w:sz="6" w:space="0"/>
                    <w:bottom w:val="single" w:color="auto" w:sz="6" w:space="0"/>
                    <w:right w:val="single" w:color="auto" w:sz="6" w:space="0"/>
                  </w:tcBorders>
                  <w:vAlign w:val="top"/>
                </w:tcPr>
                <w:p w14:paraId="671F97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氨氮*/（mg/L）</w:t>
                  </w:r>
                </w:p>
              </w:tc>
              <w:tc>
                <w:tcPr>
                  <w:tcW w:w="1972" w:type="dxa"/>
                  <w:tcBorders>
                    <w:top w:val="single" w:color="auto" w:sz="6" w:space="0"/>
                    <w:left w:val="single" w:color="auto" w:sz="6" w:space="0"/>
                    <w:bottom w:val="single" w:color="auto" w:sz="6" w:space="0"/>
                    <w:right w:val="nil"/>
                  </w:tcBorders>
                  <w:vAlign w:val="top"/>
                </w:tcPr>
                <w:p w14:paraId="43A15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45</w:t>
                  </w:r>
                </w:p>
              </w:tc>
            </w:tr>
            <w:tr w14:paraId="7F8A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539" w:type="dxa"/>
                  <w:vMerge w:val="continue"/>
                  <w:tcBorders>
                    <w:left w:val="nil"/>
                  </w:tcBorders>
                </w:tcPr>
                <w:p w14:paraId="099AE2BB">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4745CB3D">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6</w:t>
                  </w:r>
                </w:p>
              </w:tc>
              <w:tc>
                <w:tcPr>
                  <w:tcW w:w="2743" w:type="dxa"/>
                  <w:tcBorders>
                    <w:top w:val="single" w:color="auto" w:sz="6" w:space="0"/>
                    <w:left w:val="single" w:color="auto" w:sz="6" w:space="0"/>
                    <w:bottom w:val="single" w:color="auto" w:sz="6" w:space="0"/>
                    <w:right w:val="single" w:color="auto" w:sz="6" w:space="0"/>
                  </w:tcBorders>
                  <w:vAlign w:val="top"/>
                </w:tcPr>
                <w:p w14:paraId="442CEA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总氮/（mg/L）</w:t>
                  </w:r>
                </w:p>
              </w:tc>
              <w:tc>
                <w:tcPr>
                  <w:tcW w:w="1972" w:type="dxa"/>
                  <w:tcBorders>
                    <w:top w:val="single" w:color="auto" w:sz="6" w:space="0"/>
                    <w:left w:val="single" w:color="auto" w:sz="6" w:space="0"/>
                    <w:bottom w:val="single" w:color="auto" w:sz="6" w:space="0"/>
                    <w:right w:val="nil"/>
                  </w:tcBorders>
                  <w:vAlign w:val="top"/>
                </w:tcPr>
                <w:p w14:paraId="79D81E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r>
            <w:tr w14:paraId="0FDE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221852FB">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51F73FD1">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7</w:t>
                  </w:r>
                </w:p>
              </w:tc>
              <w:tc>
                <w:tcPr>
                  <w:tcW w:w="2743" w:type="dxa"/>
                  <w:tcBorders>
                    <w:top w:val="single" w:color="auto" w:sz="6" w:space="0"/>
                    <w:left w:val="single" w:color="auto" w:sz="6" w:space="0"/>
                    <w:bottom w:val="single" w:color="auto" w:sz="6" w:space="0"/>
                    <w:right w:val="single" w:color="auto" w:sz="6" w:space="0"/>
                  </w:tcBorders>
                  <w:vAlign w:val="top"/>
                </w:tcPr>
                <w:p w14:paraId="060871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总磷/（mg/L）</w:t>
                  </w:r>
                </w:p>
              </w:tc>
              <w:tc>
                <w:tcPr>
                  <w:tcW w:w="1972" w:type="dxa"/>
                  <w:tcBorders>
                    <w:top w:val="single" w:color="auto" w:sz="6" w:space="0"/>
                    <w:left w:val="single" w:color="auto" w:sz="6" w:space="0"/>
                    <w:bottom w:val="single" w:color="auto" w:sz="6" w:space="0"/>
                    <w:right w:val="nil"/>
                  </w:tcBorders>
                  <w:vAlign w:val="top"/>
                </w:tcPr>
                <w:p w14:paraId="6E7B23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r>
            <w:tr w14:paraId="7BFE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323BDD7E">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295D6251">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8</w:t>
                  </w:r>
                </w:p>
              </w:tc>
              <w:tc>
                <w:tcPr>
                  <w:tcW w:w="2743" w:type="dxa"/>
                  <w:tcBorders>
                    <w:top w:val="single" w:color="auto" w:sz="6" w:space="0"/>
                    <w:left w:val="single" w:color="auto" w:sz="6" w:space="0"/>
                    <w:bottom w:val="single" w:color="auto" w:sz="6" w:space="0"/>
                    <w:right w:val="single" w:color="auto" w:sz="6" w:space="0"/>
                  </w:tcBorders>
                  <w:vAlign w:val="top"/>
                </w:tcPr>
                <w:p w14:paraId="726782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总</w:t>
                  </w:r>
                  <w:r>
                    <w:rPr>
                      <w:rFonts w:hint="default" w:ascii="Times New Roman" w:hAnsi="Times New Roman" w:cs="Times New Roman"/>
                      <w:color w:val="auto"/>
                      <w:sz w:val="21"/>
                      <w:szCs w:val="21"/>
                      <w:highlight w:val="none"/>
                      <w:vertAlign w:val="baseline"/>
                      <w:lang w:val="en-US" w:eastAsia="zh-CN"/>
                    </w:rPr>
                    <w:t>余氯/</w:t>
                  </w:r>
                  <w:r>
                    <w:rPr>
                      <w:rFonts w:hint="default" w:ascii="Times New Roman" w:hAnsi="Times New Roman" w:eastAsia="宋体" w:cs="Times New Roman"/>
                      <w:color w:val="auto"/>
                      <w:sz w:val="21"/>
                      <w:szCs w:val="21"/>
                      <w:highlight w:val="none"/>
                      <w:vertAlign w:val="baseline"/>
                      <w:lang w:val="en-US" w:eastAsia="zh-CN"/>
                    </w:rPr>
                    <w:t>（mg/L）</w:t>
                  </w:r>
                </w:p>
              </w:tc>
              <w:tc>
                <w:tcPr>
                  <w:tcW w:w="1972" w:type="dxa"/>
                  <w:tcBorders>
                    <w:top w:val="single" w:color="auto" w:sz="6" w:space="0"/>
                    <w:left w:val="single" w:color="auto" w:sz="6" w:space="0"/>
                    <w:bottom w:val="single" w:color="auto" w:sz="6" w:space="0"/>
                    <w:right w:val="nil"/>
                  </w:tcBorders>
                  <w:vAlign w:val="top"/>
                </w:tcPr>
                <w:p w14:paraId="02EAC2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&gt;</w:t>
                  </w:r>
                  <w:r>
                    <w:rPr>
                      <w:rFonts w:hint="default" w:ascii="Times New Roman" w:hAnsi="Times New Roman" w:cs="Times New Roman"/>
                      <w:color w:val="auto"/>
                      <w:kern w:val="2"/>
                      <w:sz w:val="21"/>
                      <w:szCs w:val="21"/>
                      <w:highlight w:val="none"/>
                      <w:vertAlign w:val="baseline"/>
                      <w:lang w:val="en-US" w:eastAsia="zh-CN" w:bidi="ar-SA"/>
                    </w:rPr>
                    <w:t>2（接触时间≥1h）</w:t>
                  </w:r>
                </w:p>
              </w:tc>
            </w:tr>
            <w:tr w14:paraId="683A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bottom w:val="single" w:color="auto" w:sz="6" w:space="0"/>
                  </w:tcBorders>
                </w:tcPr>
                <w:p w14:paraId="35417B80">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lang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147F4FFD">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w:t>
                  </w:r>
                </w:p>
              </w:tc>
              <w:tc>
                <w:tcPr>
                  <w:tcW w:w="2743" w:type="dxa"/>
                  <w:tcBorders>
                    <w:top w:val="single" w:color="auto" w:sz="6" w:space="0"/>
                    <w:left w:val="single" w:color="auto" w:sz="6" w:space="0"/>
                    <w:bottom w:val="single" w:color="auto" w:sz="6" w:space="0"/>
                    <w:right w:val="single" w:color="auto" w:sz="6" w:space="0"/>
                  </w:tcBorders>
                  <w:vAlign w:val="top"/>
                </w:tcPr>
                <w:p w14:paraId="1F4BA3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粪大肠菌群数</w:t>
                  </w:r>
                </w:p>
              </w:tc>
              <w:tc>
                <w:tcPr>
                  <w:tcW w:w="1972" w:type="dxa"/>
                  <w:tcBorders>
                    <w:top w:val="single" w:color="auto" w:sz="6" w:space="0"/>
                    <w:left w:val="single" w:color="auto" w:sz="6" w:space="0"/>
                    <w:bottom w:val="single" w:color="auto" w:sz="6" w:space="0"/>
                    <w:right w:val="nil"/>
                  </w:tcBorders>
                  <w:vAlign w:val="top"/>
                </w:tcPr>
                <w:p w14:paraId="667DD0F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5000个/L</w:t>
                  </w:r>
                </w:p>
              </w:tc>
            </w:tr>
            <w:tr w14:paraId="0407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2" w:type="dxa"/>
                  <w:gridSpan w:val="4"/>
                  <w:tcBorders>
                    <w:top w:val="single" w:color="auto" w:sz="6" w:space="0"/>
                    <w:left w:val="nil"/>
                    <w:bottom w:val="single" w:color="auto" w:sz="12" w:space="0"/>
                    <w:right w:val="nil"/>
                  </w:tcBorders>
                </w:tcPr>
                <w:p w14:paraId="2E4E1B79">
                  <w:pPr>
                    <w:rPr>
                      <w:rFonts w:hint="default" w:ascii="Times New Roman" w:hAnsi="Times New Roman" w:eastAsia="宋体" w:cs="Times New Roman"/>
                      <w:b w:val="0"/>
                      <w:bCs w:val="0"/>
                      <w:color w:val="auto"/>
                      <w:sz w:val="21"/>
                      <w:szCs w:val="21"/>
                      <w:highlight w:val="none"/>
                      <w:vertAlign w:val="baseline"/>
                    </w:rPr>
                  </w:pP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注：三级排放标准中氨氮排放标准参考《</w:t>
                  </w:r>
                  <w:r>
                    <w:rPr>
                      <w:rFonts w:hint="default" w:ascii="Times New Roman" w:hAnsi="Times New Roman" w:eastAsia="宋体" w:cs="Times New Roman"/>
                      <w:b w:val="0"/>
                      <w:bCs w:val="0"/>
                      <w:color w:val="auto"/>
                      <w:sz w:val="21"/>
                      <w:szCs w:val="21"/>
                      <w:highlight w:val="none"/>
                    </w:rPr>
                    <w:t>污水排入城镇下水道水质标准》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GB/T31962-2015</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B等级标准限值</w:t>
                  </w:r>
                </w:p>
              </w:tc>
            </w:tr>
          </w:tbl>
          <w:p w14:paraId="7A87A3AC">
            <w:pPr>
              <w:pStyle w:val="4"/>
              <w:numPr>
                <w:ilvl w:val="2"/>
                <w:numId w:val="0"/>
              </w:numPr>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3.9.2</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大气污染物排放标准</w:t>
            </w:r>
          </w:p>
          <w:p w14:paraId="13DED3AB">
            <w:pPr>
              <w:pStyle w:val="159"/>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运营过程中会有</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产生的恶臭以及宠物散发的</w:t>
            </w:r>
            <w:r>
              <w:rPr>
                <w:rFonts w:hint="default" w:ascii="Times New Roman" w:hAnsi="Times New Roman" w:eastAsia="宋体" w:cs="Times New Roman"/>
                <w:color w:val="auto"/>
                <w:highlight w:val="none"/>
                <w:lang w:eastAsia="zh-CN"/>
              </w:rPr>
              <w:t>异味</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排放执行《恶臭污染物排放标准》（GB14554-93）表1</w:t>
            </w:r>
            <w:r>
              <w:rPr>
                <w:rFonts w:hint="default" w:ascii="Times New Roman" w:hAnsi="Times New Roman" w:eastAsia="宋体" w:cs="Times New Roman"/>
                <w:color w:val="auto"/>
                <w:szCs w:val="24"/>
                <w:highlight w:val="none"/>
                <w:lang w:val="en-US" w:eastAsia="zh-CN"/>
              </w:rPr>
              <w:t>中的</w:t>
            </w:r>
            <w:r>
              <w:rPr>
                <w:rFonts w:hint="default" w:ascii="Times New Roman" w:hAnsi="Times New Roman" w:eastAsia="宋体" w:cs="Times New Roman"/>
                <w:color w:val="auto"/>
                <w:szCs w:val="24"/>
                <w:highlight w:val="none"/>
                <w:lang w:eastAsia="zh-CN"/>
              </w:rPr>
              <w:t>二级标准</w:t>
            </w:r>
            <w:r>
              <w:rPr>
                <w:rFonts w:hint="default" w:ascii="Times New Roman" w:hAnsi="Times New Roman" w:eastAsia="宋体" w:cs="Times New Roman"/>
                <w:color w:val="auto"/>
                <w:szCs w:val="24"/>
                <w:highlight w:val="none"/>
              </w:rPr>
              <w:t>。</w:t>
            </w:r>
          </w:p>
          <w:p w14:paraId="1ED4CEDF">
            <w:pPr>
              <w:pStyle w:val="20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表3-</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项目大气污染物排放标准</w:t>
            </w:r>
          </w:p>
          <w:tbl>
            <w:tblPr>
              <w:tblStyle w:val="51"/>
              <w:tblW w:w="8122"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868"/>
              <w:gridCol w:w="2743"/>
              <w:gridCol w:w="1972"/>
            </w:tblGrid>
            <w:tr w14:paraId="232A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tcBorders>
                    <w:top w:val="single" w:color="auto" w:sz="12" w:space="0"/>
                    <w:left w:val="nil"/>
                    <w:bottom w:val="single" w:color="auto" w:sz="6" w:space="0"/>
                  </w:tcBorders>
                </w:tcPr>
                <w:p w14:paraId="665A1587">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执行标准</w:t>
                  </w:r>
                </w:p>
              </w:tc>
              <w:tc>
                <w:tcPr>
                  <w:tcW w:w="868" w:type="dxa"/>
                  <w:tcBorders>
                    <w:top w:val="single" w:color="auto" w:sz="12" w:space="0"/>
                    <w:bottom w:val="single" w:color="auto" w:sz="6" w:space="0"/>
                  </w:tcBorders>
                  <w:vAlign w:val="top"/>
                </w:tcPr>
                <w:p w14:paraId="238B8489">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序号</w:t>
                  </w:r>
                </w:p>
              </w:tc>
              <w:tc>
                <w:tcPr>
                  <w:tcW w:w="2743" w:type="dxa"/>
                  <w:tcBorders>
                    <w:top w:val="single" w:color="auto" w:sz="12" w:space="0"/>
                    <w:bottom w:val="single" w:color="auto" w:sz="6" w:space="0"/>
                  </w:tcBorders>
                  <w:vAlign w:val="top"/>
                </w:tcPr>
                <w:p w14:paraId="09EE427C">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控制项目</w:t>
                  </w:r>
                </w:p>
              </w:tc>
              <w:tc>
                <w:tcPr>
                  <w:tcW w:w="1972" w:type="dxa"/>
                  <w:tcBorders>
                    <w:top w:val="single" w:color="auto" w:sz="12" w:space="0"/>
                    <w:bottom w:val="single" w:color="auto" w:sz="6" w:space="0"/>
                    <w:right w:val="nil"/>
                  </w:tcBorders>
                </w:tcPr>
                <w:p w14:paraId="638E1602">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厂界标准值</w:t>
                  </w:r>
                </w:p>
              </w:tc>
            </w:tr>
            <w:tr w14:paraId="2935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restart"/>
                  <w:tcBorders>
                    <w:top w:val="single" w:color="auto" w:sz="6" w:space="0"/>
                    <w:left w:val="nil"/>
                    <w:bottom w:val="nil"/>
                    <w:right w:val="single" w:color="auto" w:sz="6" w:space="0"/>
                  </w:tcBorders>
                </w:tcPr>
                <w:p w14:paraId="6E22B3E1">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rPr>
                    <w:t>《恶臭污染物排放标准》（GB14554-93）表1</w:t>
                  </w:r>
                  <w:r>
                    <w:rPr>
                      <w:rFonts w:hint="default" w:ascii="Times New Roman" w:hAnsi="Times New Roman" w:eastAsia="宋体" w:cs="Times New Roman"/>
                      <w:b w:val="0"/>
                      <w:bCs/>
                      <w:color w:val="auto"/>
                      <w:sz w:val="21"/>
                      <w:szCs w:val="21"/>
                      <w:highlight w:val="none"/>
                      <w:lang w:eastAsia="zh-CN"/>
                    </w:rPr>
                    <w:t>二级标准</w:t>
                  </w:r>
                </w:p>
              </w:tc>
              <w:tc>
                <w:tcPr>
                  <w:tcW w:w="868" w:type="dxa"/>
                  <w:tcBorders>
                    <w:top w:val="single" w:color="auto" w:sz="6" w:space="0"/>
                    <w:left w:val="single" w:color="auto" w:sz="6" w:space="0"/>
                    <w:bottom w:val="single" w:color="auto" w:sz="6" w:space="0"/>
                    <w:right w:val="single" w:color="auto" w:sz="6" w:space="0"/>
                  </w:tcBorders>
                  <w:vAlign w:val="top"/>
                </w:tcPr>
                <w:p w14:paraId="26D31EE7">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2743" w:type="dxa"/>
                  <w:tcBorders>
                    <w:top w:val="single" w:color="auto" w:sz="6" w:space="0"/>
                    <w:left w:val="single" w:color="auto" w:sz="6" w:space="0"/>
                    <w:bottom w:val="single" w:color="auto" w:sz="6" w:space="0"/>
                    <w:right w:val="single" w:color="auto" w:sz="6" w:space="0"/>
                  </w:tcBorders>
                  <w:vAlign w:val="top"/>
                </w:tcPr>
                <w:p w14:paraId="624FF8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972" w:type="dxa"/>
                  <w:tcBorders>
                    <w:top w:val="single" w:color="auto" w:sz="6" w:space="0"/>
                    <w:left w:val="single" w:color="auto" w:sz="6" w:space="0"/>
                    <w:bottom w:val="single" w:color="auto" w:sz="6" w:space="0"/>
                    <w:right w:val="nil"/>
                  </w:tcBorders>
                  <w:vAlign w:val="top"/>
                </w:tcPr>
                <w:p w14:paraId="5C34C0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1.5mg/m</w:t>
                  </w:r>
                  <w:r>
                    <w:rPr>
                      <w:rFonts w:hint="default" w:ascii="Times New Roman" w:hAnsi="Times New Roman" w:eastAsia="宋体" w:cs="Times New Roman"/>
                      <w:color w:val="auto"/>
                      <w:sz w:val="21"/>
                      <w:szCs w:val="21"/>
                      <w:highlight w:val="none"/>
                      <w:vertAlign w:val="superscript"/>
                    </w:rPr>
                    <w:t>3</w:t>
                  </w:r>
                </w:p>
              </w:tc>
            </w:tr>
            <w:tr w14:paraId="14B1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top w:val="nil"/>
                    <w:left w:val="nil"/>
                    <w:bottom w:val="nil"/>
                    <w:right w:val="single" w:color="auto" w:sz="6" w:space="0"/>
                  </w:tcBorders>
                </w:tcPr>
                <w:p w14:paraId="1D3A81AD">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6" w:space="0"/>
                    <w:right w:val="single" w:color="auto" w:sz="6" w:space="0"/>
                  </w:tcBorders>
                  <w:vAlign w:val="top"/>
                </w:tcPr>
                <w:p w14:paraId="7A7DA829">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2743" w:type="dxa"/>
                  <w:tcBorders>
                    <w:top w:val="single" w:color="auto" w:sz="6" w:space="0"/>
                    <w:left w:val="single" w:color="auto" w:sz="6" w:space="0"/>
                    <w:bottom w:val="single" w:color="auto" w:sz="6" w:space="0"/>
                    <w:right w:val="single" w:color="auto" w:sz="6" w:space="0"/>
                  </w:tcBorders>
                  <w:vAlign w:val="center"/>
                </w:tcPr>
                <w:p w14:paraId="0A6EE102">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972" w:type="dxa"/>
                  <w:tcBorders>
                    <w:top w:val="single" w:color="auto" w:sz="6" w:space="0"/>
                    <w:left w:val="single" w:color="auto" w:sz="6" w:space="0"/>
                    <w:bottom w:val="single" w:color="auto" w:sz="6" w:space="0"/>
                    <w:right w:val="nil"/>
                  </w:tcBorders>
                  <w:vAlign w:val="center"/>
                </w:tcPr>
                <w:p w14:paraId="1E53E8B6">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0.06mg/m</w:t>
                  </w:r>
                  <w:r>
                    <w:rPr>
                      <w:rFonts w:hint="default" w:ascii="Times New Roman" w:hAnsi="Times New Roman" w:eastAsia="宋体" w:cs="Times New Roman"/>
                      <w:color w:val="auto"/>
                      <w:sz w:val="21"/>
                      <w:szCs w:val="21"/>
                      <w:highlight w:val="none"/>
                      <w:vertAlign w:val="superscript"/>
                    </w:rPr>
                    <w:t>3</w:t>
                  </w:r>
                </w:p>
              </w:tc>
            </w:tr>
            <w:tr w14:paraId="60B1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top w:val="nil"/>
                    <w:left w:val="nil"/>
                    <w:bottom w:val="single" w:color="auto" w:sz="12" w:space="0"/>
                    <w:right w:val="single" w:color="auto" w:sz="6" w:space="0"/>
                  </w:tcBorders>
                </w:tcPr>
                <w:p w14:paraId="6EBBD9E2">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8" w:type="dxa"/>
                  <w:tcBorders>
                    <w:top w:val="single" w:color="auto" w:sz="6" w:space="0"/>
                    <w:left w:val="single" w:color="auto" w:sz="6" w:space="0"/>
                    <w:bottom w:val="single" w:color="auto" w:sz="12" w:space="0"/>
                    <w:right w:val="single" w:color="auto" w:sz="6" w:space="0"/>
                  </w:tcBorders>
                  <w:vAlign w:val="top"/>
                </w:tcPr>
                <w:p w14:paraId="297D9777">
                  <w:pPr>
                    <w:pStyle w:val="200"/>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c>
                <w:tcPr>
                  <w:tcW w:w="2743" w:type="dxa"/>
                  <w:tcBorders>
                    <w:top w:val="single" w:color="auto" w:sz="6" w:space="0"/>
                    <w:left w:val="single" w:color="auto" w:sz="6" w:space="0"/>
                    <w:bottom w:val="single" w:color="auto" w:sz="12" w:space="0"/>
                    <w:right w:val="single" w:color="auto" w:sz="6" w:space="0"/>
                  </w:tcBorders>
                  <w:vAlign w:val="center"/>
                </w:tcPr>
                <w:p w14:paraId="4D3C3AF0">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lang w:val="en-US" w:eastAsia="zh-CN"/>
                    </w:rPr>
                    <w:t>臭气</w:t>
                  </w:r>
                  <w:r>
                    <w:rPr>
                      <w:rFonts w:hint="default" w:ascii="Times New Roman" w:hAnsi="Times New Roman" w:eastAsia="宋体" w:cs="Times New Roman"/>
                      <w:color w:val="auto"/>
                      <w:highlight w:val="none"/>
                    </w:rPr>
                    <w:t>浓度</w:t>
                  </w:r>
                </w:p>
              </w:tc>
              <w:tc>
                <w:tcPr>
                  <w:tcW w:w="1972" w:type="dxa"/>
                  <w:tcBorders>
                    <w:top w:val="single" w:color="auto" w:sz="6" w:space="0"/>
                    <w:left w:val="single" w:color="auto" w:sz="6" w:space="0"/>
                    <w:bottom w:val="single" w:color="auto" w:sz="12" w:space="0"/>
                    <w:right w:val="nil"/>
                  </w:tcBorders>
                  <w:vAlign w:val="center"/>
                </w:tcPr>
                <w:p w14:paraId="12BDB53E">
                  <w:pPr>
                    <w:pStyle w:val="191"/>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rPr>
                    <w:t>20（无量纲）</w:t>
                  </w:r>
                </w:p>
              </w:tc>
            </w:tr>
          </w:tbl>
          <w:p w14:paraId="6500A281">
            <w:pPr>
              <w:pStyle w:val="4"/>
              <w:numPr>
                <w:ilvl w:val="2"/>
                <w:numId w:val="0"/>
              </w:numPr>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3.9.3</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噪声排放标准</w:t>
            </w:r>
          </w:p>
          <w:p w14:paraId="2B7A3182">
            <w:pPr>
              <w:pStyle w:val="159"/>
              <w:ind w:firstLine="480"/>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val="en-US" w:eastAsia="zh-CN"/>
              </w:rPr>
              <w:t>周围厂界</w:t>
            </w:r>
            <w:r>
              <w:rPr>
                <w:rFonts w:hint="default" w:ascii="Times New Roman" w:hAnsi="Times New Roman" w:eastAsia="宋体" w:cs="Times New Roman"/>
                <w:color w:val="auto"/>
                <w:highlight w:val="none"/>
              </w:rPr>
              <w:t>噪声排放执行《社会生活环境噪声排放标准》（GB22337-2008）中表1的2类标准，靠近</w:t>
            </w:r>
            <w:r>
              <w:rPr>
                <w:rFonts w:hint="default" w:ascii="Times New Roman" w:hAnsi="Times New Roman" w:eastAsia="宋体" w:cs="Times New Roman"/>
                <w:color w:val="auto"/>
                <w:highlight w:val="none"/>
                <w:lang w:val="en-US" w:eastAsia="zh-CN"/>
              </w:rPr>
              <w:t>清盛大道一</w:t>
            </w:r>
            <w:r>
              <w:rPr>
                <w:rFonts w:hint="default" w:ascii="Times New Roman" w:hAnsi="Times New Roman" w:eastAsia="宋体" w:cs="Times New Roman"/>
                <w:color w:val="auto"/>
                <w:highlight w:val="none"/>
              </w:rPr>
              <w:t>侧执行《社会生活环境噪声排放标准》（GB22337-2008）中表1的</w:t>
            </w:r>
            <w:r>
              <w:rPr>
                <w:rFonts w:hint="default" w:ascii="Times New Roman" w:hAnsi="Times New Roman" w:eastAsia="宋体" w:cs="Times New Roman"/>
                <w:color w:val="auto"/>
                <w:highlight w:val="none"/>
                <w:lang w:eastAsia="zh-CN"/>
              </w:rPr>
              <w:t>4类</w:t>
            </w:r>
            <w:r>
              <w:rPr>
                <w:rFonts w:hint="default" w:ascii="Times New Roman" w:hAnsi="Times New Roman" w:eastAsia="宋体" w:cs="Times New Roman"/>
                <w:color w:val="auto"/>
                <w:highlight w:val="none"/>
              </w:rPr>
              <w:t>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具体见表3-1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p>
          <w:p w14:paraId="6D37CB4E">
            <w:pPr>
              <w:pStyle w:val="200"/>
              <w:spacing w:line="240" w:lineRule="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表3-</w:t>
            </w:r>
            <w:r>
              <w:rPr>
                <w:rFonts w:hint="default" w:ascii="Times New Roman" w:hAnsi="Times New Roman" w:eastAsia="宋体" w:cs="Times New Roman"/>
                <w:color w:val="auto"/>
                <w:szCs w:val="24"/>
                <w:highlight w:val="none"/>
                <w:lang w:val="en-US" w:eastAsia="zh-CN"/>
              </w:rPr>
              <w:t>1</w:t>
            </w:r>
            <w:r>
              <w:rPr>
                <w:rFonts w:hint="eastAsia" w:ascii="Times New Roman" w:hAnsi="Times New Roman" w:cs="Times New Roman"/>
                <w:color w:val="auto"/>
                <w:szCs w:val="24"/>
                <w:highlight w:val="none"/>
                <w:lang w:val="en-US" w:eastAsia="zh-CN"/>
              </w:rPr>
              <w:t>1</w:t>
            </w:r>
            <w:r>
              <w:rPr>
                <w:rFonts w:hint="default" w:ascii="Times New Roman" w:hAnsi="Times New Roman" w:eastAsia="宋体" w:cs="Times New Roman"/>
                <w:color w:val="auto"/>
                <w:szCs w:val="24"/>
                <w:highlight w:val="none"/>
              </w:rPr>
              <w:t xml:space="preserve">  《社会生活环境噪声排放标准》（GB22337-2008）单位：dB(A)</w:t>
            </w:r>
          </w:p>
          <w:tbl>
            <w:tblPr>
              <w:tblStyle w:val="50"/>
              <w:tblW w:w="81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1979"/>
              <w:gridCol w:w="1527"/>
              <w:gridCol w:w="1731"/>
            </w:tblGrid>
            <w:tr w14:paraId="0A083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873" w:type="dxa"/>
                  <w:tcBorders>
                    <w:tl2br w:val="single" w:color="auto" w:sz="4" w:space="0"/>
                  </w:tcBorders>
                  <w:vAlign w:val="center"/>
                </w:tcPr>
                <w:p w14:paraId="6104CF8F">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时段</w:t>
                  </w:r>
                </w:p>
                <w:p w14:paraId="6B139280">
                  <w:pPr>
                    <w:pStyle w:val="191"/>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环境功能区类别</w:t>
                  </w:r>
                </w:p>
                <w:p w14:paraId="398B1E13">
                  <w:pPr>
                    <w:pStyle w:val="191"/>
                    <w:rPr>
                      <w:rFonts w:hint="default" w:ascii="Times New Roman" w:hAnsi="Times New Roman" w:eastAsia="宋体" w:cs="Times New Roman"/>
                      <w:color w:val="auto"/>
                      <w:highlight w:val="none"/>
                    </w:rPr>
                  </w:pPr>
                </w:p>
                <w:p w14:paraId="51E2FAE5">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厂界外声环境功能区类别</w:t>
                  </w:r>
                </w:p>
              </w:tc>
              <w:tc>
                <w:tcPr>
                  <w:tcW w:w="1979" w:type="dxa"/>
                  <w:vAlign w:val="center"/>
                </w:tcPr>
                <w:p w14:paraId="09CEC71B">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适用范围</w:t>
                  </w:r>
                </w:p>
              </w:tc>
              <w:tc>
                <w:tcPr>
                  <w:tcW w:w="1527" w:type="dxa"/>
                  <w:vAlign w:val="center"/>
                </w:tcPr>
                <w:p w14:paraId="3EE64275">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1731" w:type="dxa"/>
                  <w:vAlign w:val="center"/>
                </w:tcPr>
                <w:p w14:paraId="322A6CEE">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14:paraId="52815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873" w:type="dxa"/>
                  <w:vAlign w:val="center"/>
                </w:tcPr>
                <w:p w14:paraId="0B4EDCF0">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979" w:type="dxa"/>
                  <w:vAlign w:val="center"/>
                </w:tcPr>
                <w:p w14:paraId="48E89755">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其他边界</w:t>
                  </w:r>
                </w:p>
              </w:tc>
              <w:tc>
                <w:tcPr>
                  <w:tcW w:w="1527" w:type="dxa"/>
                  <w:vAlign w:val="center"/>
                </w:tcPr>
                <w:p w14:paraId="0AD52D48">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1731" w:type="dxa"/>
                  <w:vAlign w:val="center"/>
                </w:tcPr>
                <w:p w14:paraId="60B60D16">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14:paraId="342F8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873" w:type="dxa"/>
                  <w:vAlign w:val="center"/>
                </w:tcPr>
                <w:p w14:paraId="6C6EFB8A">
                  <w:pPr>
                    <w:pStyle w:val="191"/>
                    <w:rPr>
                      <w:rFonts w:hint="default" w:ascii="Times New Roman" w:hAnsi="Times New Roman" w:eastAsia="宋体" w:cs="Times New Roman"/>
                      <w:color w:val="auto"/>
                      <w:highlight w:val="none"/>
                      <w:lang w:val="en-US" w:eastAsia="zh-CN"/>
                    </w:rPr>
                  </w:pPr>
                  <w:bookmarkStart w:id="74" w:name="_Toc28279"/>
                  <w:bookmarkStart w:id="75" w:name="_Toc6969"/>
                  <w:bookmarkStart w:id="76" w:name="_Toc3956"/>
                  <w:r>
                    <w:rPr>
                      <w:rFonts w:hint="default" w:ascii="Times New Roman" w:hAnsi="Times New Roman" w:eastAsia="宋体" w:cs="Times New Roman"/>
                      <w:color w:val="auto"/>
                      <w:highlight w:val="none"/>
                      <w:lang w:val="en-US" w:eastAsia="zh-CN"/>
                    </w:rPr>
                    <w:t>4</w:t>
                  </w:r>
                </w:p>
              </w:tc>
              <w:tc>
                <w:tcPr>
                  <w:tcW w:w="1979" w:type="dxa"/>
                  <w:vAlign w:val="center"/>
                </w:tcPr>
                <w:p w14:paraId="3741F3E8">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靠近清盛大道一侧</w:t>
                  </w:r>
                </w:p>
              </w:tc>
              <w:tc>
                <w:tcPr>
                  <w:tcW w:w="1527" w:type="dxa"/>
                  <w:vAlign w:val="center"/>
                </w:tcPr>
                <w:p w14:paraId="5BAED4F3">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w:t>
                  </w:r>
                </w:p>
              </w:tc>
              <w:tc>
                <w:tcPr>
                  <w:tcW w:w="1731" w:type="dxa"/>
                  <w:vAlign w:val="center"/>
                </w:tcPr>
                <w:p w14:paraId="664E685D">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14:paraId="726FBE61">
            <w:pPr>
              <w:pStyle w:val="4"/>
              <w:numPr>
                <w:ilvl w:val="2"/>
                <w:numId w:val="0"/>
              </w:numPr>
              <w:ind w:left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3.9.4</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固体废弃物</w:t>
            </w:r>
            <w:bookmarkEnd w:id="74"/>
            <w:bookmarkEnd w:id="75"/>
            <w:bookmarkEnd w:id="76"/>
          </w:p>
          <w:p w14:paraId="0AB81B31">
            <w:pPr>
              <w:pStyle w:val="159"/>
              <w:ind w:firstLine="48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4"/>
                <w:highlight w:val="none"/>
                <w:lang w:val="en-US" w:eastAsia="zh-CN"/>
              </w:rPr>
              <w:t>生活垃圾分类收集、处置执行《生活垃圾分类标志》（GB/T19095-2019）标准要求</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的规定：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w:t>
            </w:r>
          </w:p>
        </w:tc>
      </w:tr>
      <w:tr w14:paraId="16145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1178" w:type="dxa"/>
            <w:vAlign w:val="center"/>
          </w:tcPr>
          <w:p w14:paraId="6904C5F4">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总量控制指标</w:t>
            </w:r>
          </w:p>
        </w:tc>
        <w:tc>
          <w:tcPr>
            <w:tcW w:w="8676" w:type="dxa"/>
            <w:vAlign w:val="center"/>
          </w:tcPr>
          <w:p w14:paraId="78550A4B">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现有项目废水排放量为443.475</w:t>
            </w:r>
            <w:r>
              <w:rPr>
                <w:rFonts w:hint="default" w:ascii="Times New Roman" w:hAnsi="Times New Roman" w:eastAsia="宋体" w:cs="Times New Roman"/>
                <w:color w:val="auto"/>
                <w:szCs w:val="24"/>
                <w:highlight w:val="none"/>
                <w:shd w:val="clear" w:fill="FFFFFF" w:themeFill="background1"/>
              </w:rPr>
              <w:t>t/a</w:t>
            </w:r>
            <w:r>
              <w:rPr>
                <w:rFonts w:hint="eastAsia" w:cs="Times New Roman"/>
                <w:color w:val="auto"/>
                <w:sz w:val="24"/>
                <w:highlight w:val="none"/>
                <w:lang w:val="en-US" w:eastAsia="zh-CN"/>
              </w:rPr>
              <w:t>，本项目建成后全院废水排放量为468.1125</w:t>
            </w:r>
            <w:r>
              <w:rPr>
                <w:rFonts w:hint="default" w:ascii="Times New Roman" w:hAnsi="Times New Roman" w:eastAsia="宋体" w:cs="Times New Roman"/>
                <w:color w:val="auto"/>
                <w:szCs w:val="24"/>
                <w:highlight w:val="none"/>
                <w:shd w:val="clear" w:fill="FFFFFF" w:themeFill="background1"/>
              </w:rPr>
              <w:t>t/a</w:t>
            </w:r>
            <w:r>
              <w:rPr>
                <w:rFonts w:hint="eastAsia" w:cs="Times New Roman"/>
                <w:color w:val="auto"/>
                <w:sz w:val="24"/>
                <w:highlight w:val="none"/>
                <w:lang w:val="en-US" w:eastAsia="zh-CN"/>
              </w:rPr>
              <w:t>，主要为生活污水，宠物美容废水和宠物诊疗废水。</w:t>
            </w:r>
            <w:r>
              <w:rPr>
                <w:rFonts w:hint="default" w:ascii="Times New Roman" w:hAnsi="Times New Roman" w:eastAsia="宋体" w:cs="Times New Roman"/>
                <w:color w:val="auto"/>
                <w:sz w:val="24"/>
                <w:highlight w:val="none"/>
                <w:lang w:eastAsia="zh-CN"/>
              </w:rPr>
              <w:t>生活污水直接通过</w:t>
            </w:r>
            <w:r>
              <w:rPr>
                <w:rFonts w:hint="default" w:ascii="Times New Roman" w:hAnsi="Times New Roman"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cs="Times New Roman"/>
                <w:color w:val="auto"/>
                <w:sz w:val="24"/>
                <w:highlight w:val="none"/>
                <w:lang w:val="en-US" w:eastAsia="zh-CN"/>
              </w:rPr>
              <w:t>化粪池</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w:t>
            </w:r>
            <w:r>
              <w:rPr>
                <w:rFonts w:hint="default" w:ascii="Times New Roman" w:hAnsi="Times New Roman" w:cs="Times New Roman"/>
                <w:color w:val="auto"/>
                <w:sz w:val="24"/>
                <w:highlight w:val="none"/>
                <w:lang w:val="en-US" w:eastAsia="zh-CN"/>
              </w:rPr>
              <w:t>和宠物美容废水</w:t>
            </w:r>
            <w:r>
              <w:rPr>
                <w:rFonts w:hint="default" w:ascii="Times New Roman" w:hAnsi="Times New Roman" w:eastAsia="宋体" w:cs="Times New Roman"/>
                <w:color w:val="auto"/>
                <w:sz w:val="24"/>
                <w:highlight w:val="none"/>
                <w:lang w:eastAsia="zh-CN"/>
              </w:rPr>
              <w:t>排入</w:t>
            </w:r>
            <w:r>
              <w:rPr>
                <w:rFonts w:hint="default" w:ascii="Times New Roman" w:hAnsi="Times New Roman" w:cs="Times New Roman"/>
                <w:color w:val="auto"/>
                <w:sz w:val="24"/>
                <w:highlight w:val="none"/>
                <w:lang w:val="en-US" w:eastAsia="zh-CN"/>
              </w:rPr>
              <w:t>配套的消毒设备消毒</w:t>
            </w:r>
            <w:r>
              <w:rPr>
                <w:rFonts w:hint="default" w:ascii="Times New Roman" w:hAnsi="Times New Roman" w:eastAsia="宋体" w:cs="Times New Roman"/>
                <w:color w:val="auto"/>
                <w:sz w:val="24"/>
                <w:highlight w:val="none"/>
                <w:lang w:eastAsia="zh-CN"/>
              </w:rPr>
              <w:t>后再排入</w:t>
            </w:r>
            <w:r>
              <w:rPr>
                <w:rFonts w:hint="default" w:ascii="Times New Roman" w:hAnsi="Times New Roman" w:cs="Times New Roman"/>
                <w:color w:val="auto"/>
                <w:sz w:val="24"/>
                <w:highlight w:val="none"/>
                <w:lang w:eastAsia="zh-CN"/>
              </w:rPr>
              <w:t>化粪池</w:t>
            </w:r>
            <w:r>
              <w:rPr>
                <w:rFonts w:hint="default" w:ascii="Times New Roman" w:hAnsi="Times New Roman" w:eastAsia="宋体" w:cs="Times New Roman"/>
                <w:color w:val="auto"/>
                <w:sz w:val="24"/>
                <w:highlight w:val="none"/>
                <w:lang w:eastAsia="zh-CN"/>
              </w:rPr>
              <w:t>处理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综合废水</w:t>
            </w:r>
            <w:r>
              <w:rPr>
                <w:rFonts w:hint="eastAsia" w:cs="Times New Roman"/>
                <w:color w:val="auto"/>
                <w:sz w:val="24"/>
                <w:highlight w:val="none"/>
                <w:lang w:val="en-US" w:eastAsia="zh-CN"/>
              </w:rPr>
              <w:t>统一</w:t>
            </w:r>
            <w:r>
              <w:rPr>
                <w:rFonts w:hint="default" w:ascii="Times New Roman" w:hAnsi="Times New Roman" w:cs="Times New Roman"/>
                <w:color w:val="auto"/>
                <w:highlight w:val="none"/>
                <w:lang w:val="en-US" w:eastAsia="zh-CN"/>
              </w:rPr>
              <w:t>纳入</w:t>
            </w:r>
            <w:r>
              <w:rPr>
                <w:rFonts w:hint="default" w:ascii="Times New Roman" w:hAnsi="Times New Roman" w:eastAsia="宋体" w:cs="Times New Roman"/>
                <w:color w:val="auto"/>
                <w:sz w:val="24"/>
                <w:highlight w:val="none"/>
              </w:rPr>
              <w:t>市政污水管网</w:t>
            </w:r>
            <w:r>
              <w:rPr>
                <w:rFonts w:hint="eastAsia" w:cs="Times New Roman"/>
                <w:color w:val="auto"/>
                <w:sz w:val="24"/>
                <w:highlight w:val="none"/>
                <w:lang w:eastAsia="zh-CN"/>
              </w:rPr>
              <w:t>，</w:t>
            </w:r>
            <w:r>
              <w:rPr>
                <w:rFonts w:hint="eastAsia" w:cs="Times New Roman"/>
                <w:color w:val="auto"/>
                <w:sz w:val="24"/>
                <w:highlight w:val="none"/>
                <w:lang w:val="en-US" w:eastAsia="zh-CN"/>
              </w:rPr>
              <w:t>由</w:t>
            </w:r>
            <w:r>
              <w:rPr>
                <w:rFonts w:hint="default" w:ascii="Times New Roman" w:hAnsi="Times New Roman" w:cs="Times New Roman"/>
                <w:color w:val="auto"/>
                <w:sz w:val="24"/>
                <w:highlight w:val="none"/>
                <w:lang w:val="en-US" w:eastAsia="zh-CN"/>
              </w:rPr>
              <w:t>福清市融元污水处理厂集中处理</w:t>
            </w:r>
            <w:r>
              <w:rPr>
                <w:rFonts w:hint="default" w:ascii="Times New Roman" w:hAnsi="Times New Roman" w:eastAsia="宋体" w:cs="Times New Roman"/>
                <w:color w:val="auto"/>
                <w:sz w:val="24"/>
                <w:highlight w:val="none"/>
              </w:rPr>
              <w:t>。</w:t>
            </w:r>
          </w:p>
          <w:p w14:paraId="6CF33C6B">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根据项目的排污特点和生态环境部门有关排污总量控制要求</w:t>
            </w:r>
            <w:r>
              <w:rPr>
                <w:rFonts w:hint="default"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完成后，总量控制指标为COD</w:t>
            </w:r>
            <w:r>
              <w:rPr>
                <w:rFonts w:hint="default" w:ascii="Times New Roman" w:hAnsi="Times New Roman" w:eastAsia="宋体" w:cs="Times New Roman"/>
                <w:color w:val="auto"/>
                <w:szCs w:val="24"/>
                <w:highlight w:val="none"/>
                <w:vertAlign w:val="subscript"/>
                <w:lang w:val="en-US" w:eastAsia="zh-CN"/>
              </w:rPr>
              <w:t>Cr</w:t>
            </w:r>
            <w:r>
              <w:rPr>
                <w:rFonts w:hint="default" w:ascii="Times New Roman" w:hAnsi="Times New Roman" w:eastAsia="宋体" w:cs="Times New Roman"/>
                <w:color w:val="auto"/>
                <w:szCs w:val="24"/>
                <w:highlight w:val="none"/>
              </w:rPr>
              <w:t>、NH</w:t>
            </w:r>
            <w:r>
              <w:rPr>
                <w:rFonts w:hint="default" w:ascii="Times New Roman" w:hAnsi="Times New Roman" w:eastAsia="宋体" w:cs="Times New Roman"/>
                <w:color w:val="auto"/>
                <w:szCs w:val="24"/>
                <w:highlight w:val="none"/>
                <w:vertAlign w:val="subscript"/>
              </w:rPr>
              <w:t>3</w:t>
            </w:r>
            <w:r>
              <w:rPr>
                <w:rFonts w:hint="default" w:ascii="Times New Roman" w:hAnsi="Times New Roman" w:eastAsia="宋体" w:cs="Times New Roman"/>
                <w:color w:val="auto"/>
                <w:szCs w:val="24"/>
                <w:highlight w:val="none"/>
              </w:rPr>
              <w:t>-N。</w:t>
            </w:r>
            <w:r>
              <w:rPr>
                <w:rFonts w:hint="eastAsia"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shd w:val="clear" w:fill="FFFFFF" w:themeFill="background1"/>
                <w:lang w:eastAsia="zh-CN"/>
              </w:rPr>
              <w:t>项目</w:t>
            </w:r>
            <w:r>
              <w:rPr>
                <w:rFonts w:hint="eastAsia" w:ascii="Times New Roman" w:hAnsi="Times New Roman" w:eastAsia="宋体" w:cs="Times New Roman"/>
                <w:color w:val="auto"/>
                <w:szCs w:val="24"/>
                <w:highlight w:val="none"/>
                <w:shd w:val="clear" w:fill="FFFFFF" w:themeFill="background1"/>
                <w:lang w:val="en-US" w:eastAsia="zh-CN"/>
              </w:rPr>
              <w:t>建成后排放废水</w:t>
            </w:r>
            <w:r>
              <w:rPr>
                <w:rFonts w:hint="default" w:ascii="Times New Roman" w:hAnsi="Times New Roman" w:eastAsia="宋体" w:cs="Times New Roman"/>
                <w:color w:val="auto"/>
                <w:szCs w:val="24"/>
                <w:highlight w:val="none"/>
                <w:shd w:val="clear" w:fill="FFFFFF" w:themeFill="background1"/>
              </w:rPr>
              <w:t>相关污染物排放量为COD</w:t>
            </w:r>
            <w:r>
              <w:rPr>
                <w:rFonts w:hint="default" w:ascii="Times New Roman" w:hAnsi="Times New Roman" w:eastAsia="宋体" w:cs="Times New Roman"/>
                <w:color w:val="auto"/>
                <w:szCs w:val="24"/>
                <w:highlight w:val="none"/>
                <w:vertAlign w:val="subscript"/>
                <w:lang w:val="en-US" w:eastAsia="zh-CN"/>
              </w:rPr>
              <w:t>Cr</w:t>
            </w:r>
            <w:r>
              <w:rPr>
                <w:rFonts w:hint="default" w:ascii="Times New Roman" w:hAnsi="Times New Roman" w:eastAsia="宋体" w:cs="Times New Roman"/>
                <w:color w:val="auto"/>
                <w:szCs w:val="24"/>
                <w:highlight w:val="none"/>
                <w:shd w:val="clear" w:fill="FFFFFF" w:themeFill="background1"/>
                <w:lang w:eastAsia="zh-CN"/>
              </w:rPr>
              <w:t>：</w:t>
            </w:r>
            <w:r>
              <w:rPr>
                <w:rFonts w:hint="default" w:ascii="Times New Roman" w:hAnsi="Times New Roman" w:eastAsia="宋体" w:cs="Times New Roman"/>
                <w:color w:val="auto"/>
                <w:szCs w:val="24"/>
                <w:highlight w:val="none"/>
                <w:shd w:val="clear" w:fill="FFFFFF" w:themeFill="background1"/>
              </w:rPr>
              <w:t>0.</w:t>
            </w:r>
            <w:r>
              <w:rPr>
                <w:rFonts w:hint="default" w:ascii="Times New Roman" w:hAnsi="Times New Roman" w:eastAsia="宋体" w:cs="Times New Roman"/>
                <w:color w:val="auto"/>
                <w:szCs w:val="24"/>
                <w:highlight w:val="none"/>
                <w:shd w:val="clear" w:fill="FFFFFF" w:themeFill="background1"/>
                <w:lang w:val="en-US" w:eastAsia="zh-CN"/>
              </w:rPr>
              <w:t>02341</w:t>
            </w:r>
            <w:r>
              <w:rPr>
                <w:rFonts w:hint="default" w:ascii="Times New Roman" w:hAnsi="Times New Roman" w:eastAsia="宋体" w:cs="Times New Roman"/>
                <w:color w:val="auto"/>
                <w:szCs w:val="24"/>
                <w:highlight w:val="none"/>
                <w:shd w:val="clear" w:fill="FFFFFF" w:themeFill="background1"/>
              </w:rPr>
              <w:t>t/a、NH</w:t>
            </w:r>
            <w:r>
              <w:rPr>
                <w:rFonts w:hint="default" w:ascii="Times New Roman" w:hAnsi="Times New Roman" w:eastAsia="宋体" w:cs="Times New Roman"/>
                <w:color w:val="auto"/>
                <w:szCs w:val="24"/>
                <w:highlight w:val="none"/>
                <w:shd w:val="clear" w:fill="FFFFFF" w:themeFill="background1"/>
                <w:vertAlign w:val="subscript"/>
              </w:rPr>
              <w:t>3</w:t>
            </w:r>
            <w:r>
              <w:rPr>
                <w:rFonts w:hint="default" w:ascii="Times New Roman" w:hAnsi="Times New Roman" w:eastAsia="宋体" w:cs="Times New Roman"/>
                <w:color w:val="auto"/>
                <w:szCs w:val="24"/>
                <w:highlight w:val="none"/>
                <w:shd w:val="clear" w:fill="FFFFFF" w:themeFill="background1"/>
              </w:rPr>
              <w:t>-N：</w:t>
            </w:r>
            <w:r>
              <w:rPr>
                <w:rFonts w:hint="default" w:ascii="Times New Roman" w:hAnsi="Times New Roman" w:eastAsia="宋体" w:cs="Times New Roman"/>
                <w:color w:val="auto"/>
                <w:szCs w:val="24"/>
                <w:highlight w:val="none"/>
                <w:shd w:val="clear" w:fill="FFFFFF" w:themeFill="background1"/>
                <w:lang w:val="en-US" w:eastAsia="zh-CN"/>
              </w:rPr>
              <w:t>0.00234</w:t>
            </w:r>
            <w:r>
              <w:rPr>
                <w:rFonts w:hint="default" w:ascii="Times New Roman" w:hAnsi="Times New Roman" w:eastAsia="宋体" w:cs="Times New Roman"/>
                <w:color w:val="auto"/>
                <w:szCs w:val="24"/>
                <w:highlight w:val="none"/>
                <w:shd w:val="clear" w:fill="FFFFFF" w:themeFill="background1"/>
              </w:rPr>
              <w:t>t/a，</w:t>
            </w:r>
            <w:r>
              <w:rPr>
                <w:rFonts w:hint="default" w:ascii="Times New Roman" w:hAnsi="Times New Roman" w:eastAsia="宋体" w:cs="Times New Roman"/>
                <w:color w:val="auto"/>
                <w:szCs w:val="24"/>
                <w:highlight w:val="none"/>
              </w:rPr>
              <w:t>该总量由</w:t>
            </w:r>
            <w:r>
              <w:rPr>
                <w:rFonts w:hint="default" w:ascii="Times New Roman" w:hAnsi="Times New Roman" w:eastAsia="宋体" w:cs="Times New Roman"/>
                <w:color w:val="auto"/>
                <w:szCs w:val="24"/>
                <w:highlight w:val="none"/>
                <w:lang w:eastAsia="zh-CN"/>
              </w:rPr>
              <w:t>福清市融元污水处理厂</w:t>
            </w:r>
            <w:r>
              <w:rPr>
                <w:rFonts w:hint="default" w:ascii="Times New Roman" w:hAnsi="Times New Roman" w:eastAsia="宋体" w:cs="Times New Roman"/>
                <w:color w:val="auto"/>
                <w:szCs w:val="24"/>
                <w:highlight w:val="none"/>
              </w:rPr>
              <w:t>统一调剂，因此</w:t>
            </w:r>
            <w:r>
              <w:rPr>
                <w:rFonts w:hint="eastAsia" w:ascii="Times New Roman" w:hAnsi="Times New Roman" w:eastAsia="宋体" w:cs="Times New Roman"/>
                <w:color w:val="auto"/>
                <w:szCs w:val="24"/>
                <w:highlight w:val="none"/>
                <w:lang w:val="en-US" w:eastAsia="zh-CN"/>
              </w:rPr>
              <w:t>扩建后</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废水不需要申请总量控制项目。</w:t>
            </w:r>
          </w:p>
          <w:p w14:paraId="4E81FF77">
            <w:pPr>
              <w:pStyle w:val="15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Cs w:val="24"/>
                <w:highlight w:val="none"/>
                <w:lang w:val="en-US" w:eastAsia="zh-CN"/>
              </w:rPr>
            </w:pPr>
            <w:r>
              <w:rPr>
                <w:rFonts w:hint="eastAsia" w:ascii="Times New Roman" w:hAnsi="Times New Roman" w:eastAsia="宋体" w:cs="Times New Roman"/>
                <w:b/>
                <w:bCs w:val="0"/>
                <w:color w:val="auto"/>
                <w:szCs w:val="24"/>
                <w:highlight w:val="none"/>
                <w:lang w:val="en-US" w:eastAsia="zh-CN"/>
              </w:rPr>
              <w:t xml:space="preserve">表3-12  </w:t>
            </w:r>
            <w:r>
              <w:rPr>
                <w:rFonts w:hint="default" w:ascii="Times New Roman" w:hAnsi="Times New Roman" w:eastAsia="宋体" w:cs="Times New Roman"/>
                <w:b/>
                <w:bCs w:val="0"/>
                <w:color w:val="auto"/>
                <w:szCs w:val="24"/>
                <w:highlight w:val="none"/>
              </w:rPr>
              <w:t>总量控制指标</w:t>
            </w:r>
            <w:r>
              <w:rPr>
                <w:rFonts w:hint="eastAsia" w:ascii="Times New Roman" w:hAnsi="Times New Roman" w:eastAsia="宋体" w:cs="Times New Roman"/>
                <w:b/>
                <w:bCs w:val="0"/>
                <w:color w:val="auto"/>
                <w:szCs w:val="24"/>
                <w:highlight w:val="none"/>
                <w:lang w:val="en-US" w:eastAsia="zh-CN"/>
              </w:rPr>
              <w:t>一览表</w:t>
            </w:r>
          </w:p>
          <w:tbl>
            <w:tblPr>
              <w:tblStyle w:val="51"/>
              <w:tblW w:w="83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2111"/>
              <w:gridCol w:w="2079"/>
              <w:gridCol w:w="2346"/>
            </w:tblGrid>
            <w:tr w14:paraId="1579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tcBorders>
                    <w:top w:val="single" w:color="auto" w:sz="12" w:space="0"/>
                    <w:left w:val="nil"/>
                    <w:bottom w:val="single" w:color="auto" w:sz="4" w:space="0"/>
                  </w:tcBorders>
                </w:tcPr>
                <w:p w14:paraId="1CC20F1B">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总量控制指标</w:t>
                  </w:r>
                </w:p>
              </w:tc>
              <w:tc>
                <w:tcPr>
                  <w:tcW w:w="2111" w:type="dxa"/>
                  <w:tcBorders>
                    <w:top w:val="single" w:color="auto" w:sz="12" w:space="0"/>
                    <w:bottom w:val="single" w:color="auto" w:sz="4" w:space="0"/>
                  </w:tcBorders>
                </w:tcPr>
                <w:p w14:paraId="7CBB8665">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现有项目</w:t>
                  </w:r>
                </w:p>
              </w:tc>
              <w:tc>
                <w:tcPr>
                  <w:tcW w:w="2079" w:type="dxa"/>
                  <w:tcBorders>
                    <w:top w:val="single" w:color="auto" w:sz="12" w:space="0"/>
                    <w:bottom w:val="single" w:color="auto" w:sz="4" w:space="0"/>
                  </w:tcBorders>
                </w:tcPr>
                <w:p w14:paraId="694F860C">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本项目</w:t>
                  </w:r>
                </w:p>
              </w:tc>
              <w:tc>
                <w:tcPr>
                  <w:tcW w:w="2346" w:type="dxa"/>
                  <w:tcBorders>
                    <w:top w:val="single" w:color="auto" w:sz="12" w:space="0"/>
                    <w:bottom w:val="single" w:color="auto" w:sz="4" w:space="0"/>
                    <w:right w:val="nil"/>
                  </w:tcBorders>
                </w:tcPr>
                <w:p w14:paraId="01CC4561">
                  <w:pPr>
                    <w:pStyle w:val="159"/>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扩建后项目</w:t>
                  </w:r>
                </w:p>
              </w:tc>
            </w:tr>
            <w:tr w14:paraId="7059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8" w:type="dxa"/>
                  <w:tcBorders>
                    <w:top w:val="single" w:color="auto" w:sz="4" w:space="0"/>
                    <w:left w:val="nil"/>
                  </w:tcBorders>
                </w:tcPr>
                <w:p w14:paraId="20B1CCBB">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废水排放量（</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b w:val="0"/>
                      <w:bCs/>
                      <w:color w:val="auto"/>
                      <w:sz w:val="21"/>
                      <w:szCs w:val="21"/>
                      <w:highlight w:val="none"/>
                      <w:lang w:val="en-US" w:eastAsia="zh-CN"/>
                    </w:rPr>
                    <w:t>）</w:t>
                  </w:r>
                </w:p>
              </w:tc>
              <w:tc>
                <w:tcPr>
                  <w:tcW w:w="2111" w:type="dxa"/>
                  <w:tcBorders>
                    <w:top w:val="single" w:color="auto" w:sz="4" w:space="0"/>
                  </w:tcBorders>
                </w:tcPr>
                <w:p w14:paraId="731EBDE9">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443.475</w:t>
                  </w:r>
                </w:p>
              </w:tc>
              <w:tc>
                <w:tcPr>
                  <w:tcW w:w="2079" w:type="dxa"/>
                  <w:tcBorders>
                    <w:top w:val="single" w:color="auto" w:sz="4" w:space="0"/>
                  </w:tcBorders>
                </w:tcPr>
                <w:p w14:paraId="35C5E3C3">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24.6375</w:t>
                  </w:r>
                </w:p>
              </w:tc>
              <w:tc>
                <w:tcPr>
                  <w:tcW w:w="2346" w:type="dxa"/>
                  <w:tcBorders>
                    <w:top w:val="single" w:color="auto" w:sz="4" w:space="0"/>
                    <w:right w:val="nil"/>
                  </w:tcBorders>
                </w:tcPr>
                <w:p w14:paraId="480C6645">
                  <w:pPr>
                    <w:pStyle w:val="159"/>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468.1125</w:t>
                  </w:r>
                </w:p>
              </w:tc>
            </w:tr>
            <w:tr w14:paraId="4C2E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tcBorders>
                    <w:left w:val="nil"/>
                  </w:tcBorders>
                </w:tcPr>
                <w:p w14:paraId="6ACC1302">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b w:val="0"/>
                      <w:bCs/>
                      <w:color w:val="auto"/>
                      <w:sz w:val="21"/>
                      <w:szCs w:val="21"/>
                      <w:highlight w:val="none"/>
                      <w:lang w:val="en-US" w:eastAsia="zh-CN"/>
                    </w:rPr>
                    <w:t>）</w:t>
                  </w:r>
                </w:p>
              </w:tc>
              <w:tc>
                <w:tcPr>
                  <w:tcW w:w="2111" w:type="dxa"/>
                </w:tcPr>
                <w:p w14:paraId="4991CD25">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0.02217</w:t>
                  </w:r>
                </w:p>
              </w:tc>
              <w:tc>
                <w:tcPr>
                  <w:tcW w:w="2079" w:type="dxa"/>
                </w:tcPr>
                <w:p w14:paraId="797ADC8F">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0.00123</w:t>
                  </w:r>
                </w:p>
              </w:tc>
              <w:tc>
                <w:tcPr>
                  <w:tcW w:w="2346" w:type="dxa"/>
                  <w:tcBorders>
                    <w:right w:val="nil"/>
                  </w:tcBorders>
                </w:tcPr>
                <w:p w14:paraId="6B084FBC">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0.02341</w:t>
                  </w:r>
                </w:p>
              </w:tc>
            </w:tr>
            <w:tr w14:paraId="3807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tcBorders>
                    <w:left w:val="nil"/>
                    <w:bottom w:val="single" w:color="auto" w:sz="12" w:space="0"/>
                  </w:tcBorders>
                </w:tcPr>
                <w:p w14:paraId="29D5B430">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b w:val="0"/>
                      <w:bCs/>
                      <w:color w:val="auto"/>
                      <w:sz w:val="21"/>
                      <w:szCs w:val="21"/>
                      <w:highlight w:val="none"/>
                      <w:lang w:val="en-US" w:eastAsia="zh-CN"/>
                    </w:rPr>
                    <w:t>）</w:t>
                  </w:r>
                </w:p>
              </w:tc>
              <w:tc>
                <w:tcPr>
                  <w:tcW w:w="2111" w:type="dxa"/>
                  <w:tcBorders>
                    <w:bottom w:val="single" w:color="auto" w:sz="12" w:space="0"/>
                  </w:tcBorders>
                </w:tcPr>
                <w:p w14:paraId="21491A44">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0.00222</w:t>
                  </w:r>
                </w:p>
              </w:tc>
              <w:tc>
                <w:tcPr>
                  <w:tcW w:w="2079" w:type="dxa"/>
                  <w:tcBorders>
                    <w:bottom w:val="single" w:color="auto" w:sz="12" w:space="0"/>
                  </w:tcBorders>
                </w:tcPr>
                <w:p w14:paraId="464FBB7B">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0.00012</w:t>
                  </w:r>
                </w:p>
              </w:tc>
              <w:tc>
                <w:tcPr>
                  <w:tcW w:w="2346" w:type="dxa"/>
                  <w:tcBorders>
                    <w:bottom w:val="single" w:color="auto" w:sz="12" w:space="0"/>
                    <w:right w:val="nil"/>
                  </w:tcBorders>
                </w:tcPr>
                <w:p w14:paraId="018DD9B9">
                  <w:pPr>
                    <w:pStyle w:val="159"/>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0.00234</w:t>
                  </w:r>
                </w:p>
              </w:tc>
            </w:tr>
          </w:tbl>
          <w:p w14:paraId="703B5045">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lang w:val="en-US" w:eastAsia="zh-CN"/>
              </w:rPr>
              <w:t>根据福建省环保厅关于印发《福建省主要污染物排污权指标核定管理办法（试行）》的通知（闽环发〔2014〕12号）、《福建省环保厅关于进一步加快推进排污权有偿使用和交易工作的意见》（闽环发〔2015〕6号），其适用范围为：福建省范围内现有工业排污单位、集中式水污染治理单位排污权的核定和管理。</w:t>
            </w:r>
            <w:r>
              <w:rPr>
                <w:rFonts w:hint="eastAsia" w:ascii="Times New Roman" w:hAnsi="Times New Roman" w:eastAsia="宋体" w:cs="Times New Roman"/>
                <w:color w:val="auto"/>
                <w:highlight w:val="none"/>
                <w:lang w:val="en-US" w:eastAsia="zh-CN"/>
              </w:rPr>
              <w:t>建设</w:t>
            </w:r>
            <w:r>
              <w:rPr>
                <w:rFonts w:hint="default" w:ascii="Times New Roman" w:hAnsi="Times New Roman" w:eastAsia="宋体" w:cs="Times New Roman"/>
                <w:color w:val="auto"/>
                <w:highlight w:val="none"/>
                <w:lang w:val="en-US" w:eastAsia="zh-CN"/>
              </w:rPr>
              <w:t>项目属于</w:t>
            </w:r>
            <w:r>
              <w:rPr>
                <w:rFonts w:hint="eastAsia" w:ascii="Times New Roman" w:hAnsi="Times New Roman" w:eastAsia="宋体" w:cs="Times New Roman"/>
                <w:color w:val="auto"/>
                <w:highlight w:val="none"/>
                <w:lang w:val="en-US" w:eastAsia="zh-CN"/>
              </w:rPr>
              <w:t>动物医院诊疗</w:t>
            </w:r>
            <w:r>
              <w:rPr>
                <w:rFonts w:hint="default" w:ascii="Times New Roman" w:hAnsi="Times New Roman" w:eastAsia="宋体" w:cs="Times New Roman"/>
                <w:color w:val="auto"/>
                <w:highlight w:val="none"/>
                <w:lang w:val="en-US" w:eastAsia="zh-CN"/>
              </w:rPr>
              <w:t>服务型项目，不在需要购买总量的工业排污单位、集中式水污染治理单位范畴，无需购买总量。</w:t>
            </w:r>
          </w:p>
        </w:tc>
      </w:tr>
    </w:tbl>
    <w:p w14:paraId="4129EFC3">
      <w:pPr>
        <w:pStyle w:val="159"/>
        <w:ind w:firstLine="480"/>
        <w:rPr>
          <w:rFonts w:ascii="Times New Roman" w:hAnsi="Times New Roman" w:cs="Times New Roman"/>
          <w:color w:val="auto"/>
          <w:highlight w:val="none"/>
        </w:rPr>
        <w:sectPr>
          <w:footerReference r:id="rId7" w:type="default"/>
          <w:pgSz w:w="11906" w:h="16838"/>
          <w:pgMar w:top="1418" w:right="1134" w:bottom="1418" w:left="1134" w:header="851" w:footer="992" w:gutter="0"/>
          <w:pgBorders>
            <w:top w:val="none" w:sz="0" w:space="0"/>
            <w:left w:val="none" w:sz="0" w:space="0"/>
            <w:bottom w:val="none" w:sz="0" w:space="0"/>
            <w:right w:val="none" w:sz="0" w:space="0"/>
          </w:pgBorders>
          <w:pgNumType w:fmt="decimal"/>
          <w:cols w:space="720" w:num="1"/>
          <w:docGrid w:linePitch="367" w:charSpace="915"/>
        </w:sectPr>
      </w:pPr>
    </w:p>
    <w:p w14:paraId="5EB0C0B9">
      <w:pPr>
        <w:pStyle w:val="2"/>
        <w:keepNext/>
        <w:keepLines/>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cs="Times New Roman"/>
          <w:color w:val="auto"/>
          <w:highlight w:val="none"/>
        </w:rPr>
      </w:pPr>
      <w:bookmarkStart w:id="77" w:name="_Toc5727"/>
      <w:bookmarkStart w:id="78" w:name="_Toc7723"/>
      <w:bookmarkStart w:id="79" w:name="_Toc133251546"/>
      <w:r>
        <w:rPr>
          <w:rFonts w:hint="eastAsia" w:ascii="宋体" w:hAnsi="宋体" w:eastAsia="宋体" w:cs="宋体"/>
          <w:b/>
          <w:bCs/>
          <w:color w:val="auto"/>
          <w:kern w:val="0"/>
          <w:sz w:val="30"/>
          <w:szCs w:val="30"/>
          <w:lang w:val="en-US" w:eastAsia="zh-CN" w:bidi="ar-SA"/>
        </w:rPr>
        <w:t>四、</w:t>
      </w:r>
      <w:r>
        <w:rPr>
          <w:rFonts w:ascii="Times New Roman" w:hAnsi="Times New Roman" w:cs="Times New Roman"/>
          <w:color w:val="auto"/>
          <w:highlight w:val="none"/>
        </w:rPr>
        <w:t>主要环境影响和保护措施</w:t>
      </w:r>
      <w:bookmarkEnd w:id="77"/>
      <w:bookmarkEnd w:id="78"/>
      <w:bookmarkEnd w:id="79"/>
    </w:p>
    <w:tbl>
      <w:tblPr>
        <w:tblStyle w:val="50"/>
        <w:tblW w:w="92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8324"/>
      </w:tblGrid>
      <w:tr w14:paraId="683D1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956" w:type="dxa"/>
            <w:tcMar>
              <w:left w:w="28" w:type="dxa"/>
              <w:right w:w="28" w:type="dxa"/>
            </w:tcMar>
            <w:vAlign w:val="center"/>
          </w:tcPr>
          <w:p w14:paraId="4660CDBB">
            <w:pPr>
              <w:pStyle w:val="45"/>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highlight w:val="none"/>
              </w:rPr>
              <w:t>施工期环境保护措施</w:t>
            </w:r>
          </w:p>
        </w:tc>
        <w:tc>
          <w:tcPr>
            <w:tcW w:w="8324" w:type="dxa"/>
            <w:vAlign w:val="center"/>
          </w:tcPr>
          <w:p w14:paraId="43BF9463">
            <w:pPr>
              <w:pStyle w:val="3"/>
              <w:numPr>
                <w:ilvl w:val="1"/>
                <w:numId w:val="0"/>
              </w:numPr>
              <w:outlineLvl w:val="1"/>
              <w:rPr>
                <w:rFonts w:hint="default" w:ascii="Times New Roman" w:hAnsi="Times New Roman" w:cs="Times New Roman"/>
                <w:color w:val="auto"/>
                <w:highlight w:val="none"/>
              </w:rPr>
            </w:pPr>
            <w:bookmarkStart w:id="80" w:name="_Toc32485"/>
            <w:bookmarkStart w:id="81" w:name="_Toc133251547"/>
            <w:bookmarkStart w:id="82" w:name="_Toc17490"/>
            <w:bookmarkStart w:id="83" w:name="_Toc23170"/>
            <w:bookmarkStart w:id="84" w:name="_Toc8897"/>
            <w:bookmarkStart w:id="85" w:name="_Toc22545_WPSOffice_Level3"/>
            <w:bookmarkStart w:id="86" w:name="_Toc13421"/>
            <w:bookmarkStart w:id="87" w:name="_Toc14674"/>
            <w:r>
              <w:rPr>
                <w:rFonts w:hint="eastAsia" w:ascii="Times New Roman" w:hAnsi="Times New Roman" w:eastAsia="宋体" w:cs="宋体"/>
                <w:b/>
                <w:bCs/>
                <w:color w:val="auto"/>
                <w:kern w:val="0"/>
                <w:sz w:val="28"/>
                <w:szCs w:val="28"/>
                <w:lang w:val="en-US" w:eastAsia="zh-CN" w:bidi="ar-SA"/>
              </w:rPr>
              <w:t>4.1</w:t>
            </w:r>
            <w:r>
              <w:rPr>
                <w:rFonts w:hint="eastAsia" w:cs="宋体"/>
                <w:b/>
                <w:bCs/>
                <w:color w:val="auto"/>
                <w:kern w:val="0"/>
                <w:sz w:val="28"/>
                <w:szCs w:val="28"/>
                <w:lang w:val="en-US" w:eastAsia="zh-CN" w:bidi="ar-SA"/>
              </w:rPr>
              <w:t xml:space="preserve"> </w:t>
            </w:r>
            <w:r>
              <w:rPr>
                <w:rFonts w:hint="default" w:ascii="Times New Roman" w:hAnsi="Times New Roman" w:cs="Times New Roman"/>
                <w:color w:val="auto"/>
                <w:highlight w:val="none"/>
              </w:rPr>
              <w:t>施工期环境影响分析</w:t>
            </w:r>
            <w:bookmarkEnd w:id="80"/>
            <w:bookmarkEnd w:id="81"/>
            <w:bookmarkEnd w:id="82"/>
          </w:p>
          <w:bookmarkEnd w:id="83"/>
          <w:bookmarkEnd w:id="84"/>
          <w:bookmarkEnd w:id="85"/>
          <w:bookmarkEnd w:id="86"/>
          <w:bookmarkEnd w:id="87"/>
          <w:p w14:paraId="318095C4">
            <w:pPr>
              <w:pStyle w:val="159"/>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根据现场勘查，本项目利用现有</w:t>
            </w:r>
            <w:r>
              <w:rPr>
                <w:rFonts w:hint="default" w:ascii="Times New Roman" w:hAnsi="Times New Roman" w:eastAsia="宋体" w:cs="Times New Roman"/>
                <w:color w:val="auto"/>
                <w:highlight w:val="none"/>
                <w:lang w:val="en-US" w:eastAsia="zh-CN"/>
              </w:rPr>
              <w:t>诊疗场所对各功能区进行合理布局</w:t>
            </w:r>
            <w:r>
              <w:rPr>
                <w:rFonts w:hint="default" w:ascii="Times New Roman" w:hAnsi="Times New Roman" w:eastAsia="宋体" w:cs="Times New Roman"/>
                <w:color w:val="auto"/>
                <w:highlight w:val="none"/>
              </w:rPr>
              <w:t>，现有房间已完成室内装修，施工期</w:t>
            </w:r>
            <w:r>
              <w:rPr>
                <w:rFonts w:hint="default" w:ascii="Times New Roman" w:hAnsi="Times New Roman" w:eastAsia="宋体" w:cs="Times New Roman"/>
                <w:color w:val="auto"/>
                <w:highlight w:val="none"/>
                <w:lang w:val="en-US" w:eastAsia="zh-CN"/>
              </w:rPr>
              <w:t>仅</w:t>
            </w:r>
            <w:r>
              <w:rPr>
                <w:rFonts w:hint="default" w:ascii="Times New Roman" w:hAnsi="Times New Roman" w:eastAsia="宋体" w:cs="Times New Roman"/>
                <w:color w:val="auto"/>
                <w:highlight w:val="none"/>
              </w:rPr>
              <w:t>需要对该建筑进行</w:t>
            </w:r>
            <w:r>
              <w:rPr>
                <w:rFonts w:hint="default" w:ascii="Times New Roman" w:hAnsi="Times New Roman" w:eastAsia="宋体" w:cs="Times New Roman"/>
                <w:color w:val="auto"/>
                <w:highlight w:val="none"/>
                <w:lang w:val="en-US" w:eastAsia="zh-CN"/>
              </w:rPr>
              <w:t>简单</w:t>
            </w:r>
            <w:r>
              <w:rPr>
                <w:rFonts w:hint="default" w:ascii="Times New Roman" w:hAnsi="Times New Roman" w:eastAsia="宋体" w:cs="Times New Roman"/>
                <w:color w:val="auto"/>
                <w:highlight w:val="none"/>
              </w:rPr>
              <w:t>装修和安放设备，施工量小、施工时间短、施工期环境影响微小。设备安装时加强管理，应注意轻拿轻放，避免因设备安装不当产生的噪声。因此，故本次环评对施工期作简单介绍，工程分析主要针对</w:t>
            </w:r>
            <w:r>
              <w:rPr>
                <w:rFonts w:hint="default" w:ascii="Times New Roman" w:hAnsi="Times New Roman" w:eastAsia="宋体" w:cs="Times New Roman"/>
                <w:color w:val="auto"/>
                <w:highlight w:val="none"/>
                <w:lang w:val="en-US" w:eastAsia="zh-CN"/>
              </w:rPr>
              <w:t>运营期</w:t>
            </w:r>
            <w:r>
              <w:rPr>
                <w:rFonts w:hint="default" w:ascii="Times New Roman" w:hAnsi="Times New Roman" w:eastAsia="宋体" w:cs="Times New Roman"/>
                <w:color w:val="auto"/>
                <w:highlight w:val="none"/>
              </w:rPr>
              <w:t>产排污</w:t>
            </w:r>
            <w:r>
              <w:rPr>
                <w:rFonts w:hint="default" w:ascii="Times New Roman" w:hAnsi="Times New Roman" w:eastAsia="宋体" w:cs="Times New Roman"/>
                <w:color w:val="auto"/>
                <w:highlight w:val="none"/>
                <w:lang w:val="en-US" w:eastAsia="zh-CN"/>
              </w:rPr>
              <w:t>情况</w:t>
            </w:r>
            <w:r>
              <w:rPr>
                <w:rFonts w:hint="default" w:ascii="Times New Roman" w:hAnsi="Times New Roman" w:eastAsia="宋体" w:cs="Times New Roman"/>
                <w:color w:val="auto"/>
                <w:highlight w:val="none"/>
              </w:rPr>
              <w:t>进行分析。</w:t>
            </w:r>
          </w:p>
        </w:tc>
      </w:tr>
      <w:tr w14:paraId="30221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9" w:hRule="atLeast"/>
          <w:jc w:val="center"/>
        </w:trPr>
        <w:tc>
          <w:tcPr>
            <w:tcW w:w="956" w:type="dxa"/>
            <w:tcMar>
              <w:left w:w="28" w:type="dxa"/>
              <w:right w:w="28" w:type="dxa"/>
            </w:tcMar>
            <w:vAlign w:val="center"/>
          </w:tcPr>
          <w:p w14:paraId="053064E1">
            <w:pPr>
              <w:pStyle w:val="45"/>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运营期环境影响和保护措施</w:t>
            </w:r>
          </w:p>
        </w:tc>
        <w:tc>
          <w:tcPr>
            <w:tcW w:w="8324" w:type="dxa"/>
            <w:vAlign w:val="center"/>
          </w:tcPr>
          <w:p w14:paraId="4463FFA8">
            <w:pPr>
              <w:pStyle w:val="3"/>
              <w:numPr>
                <w:ilvl w:val="1"/>
                <w:numId w:val="0"/>
              </w:numPr>
              <w:ind w:left="0" w:leftChars="0" w:firstLine="0" w:firstLineChars="0"/>
              <w:jc w:val="both"/>
              <w:rPr>
                <w:rFonts w:hint="default" w:ascii="Times New Roman" w:hAnsi="Times New Roman" w:eastAsia="宋体" w:cs="Times New Roman"/>
                <w:b/>
                <w:bCs/>
                <w:color w:val="auto"/>
                <w:kern w:val="0"/>
                <w:sz w:val="28"/>
                <w:szCs w:val="28"/>
                <w:highlight w:val="none"/>
                <w:lang w:val="en-US" w:eastAsia="zh-CN" w:bidi="ar-SA"/>
              </w:rPr>
            </w:pPr>
            <w:bookmarkStart w:id="88" w:name="_Toc9730"/>
            <w:bookmarkStart w:id="89" w:name="_Toc133251550"/>
            <w:bookmarkStart w:id="90" w:name="_Toc783"/>
            <w:r>
              <w:rPr>
                <w:rFonts w:hint="default" w:ascii="Times New Roman" w:hAnsi="Times New Roman" w:eastAsia="宋体" w:cs="Times New Roman"/>
                <w:b/>
                <w:bCs/>
                <w:color w:val="auto"/>
                <w:kern w:val="0"/>
                <w:sz w:val="28"/>
                <w:szCs w:val="28"/>
                <w:highlight w:val="none"/>
                <w:lang w:val="en-US" w:eastAsia="zh-CN" w:bidi="ar-SA"/>
              </w:rPr>
              <w:t>4.2</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eastAsia="宋体" w:cs="Times New Roman"/>
                <w:b/>
                <w:bCs/>
                <w:color w:val="auto"/>
                <w:kern w:val="0"/>
                <w:sz w:val="28"/>
                <w:szCs w:val="28"/>
                <w:highlight w:val="none"/>
                <w:lang w:val="en-US" w:eastAsia="zh-CN" w:bidi="ar-SA"/>
              </w:rPr>
              <w:t>运营期水环境影响和污染防治措施</w:t>
            </w:r>
          </w:p>
          <w:p w14:paraId="3D6622C6">
            <w:pPr>
              <w:pStyle w:val="4"/>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4.2.1</w:t>
            </w:r>
            <w:r>
              <w:rPr>
                <w:rFonts w:hint="default" w:ascii="Times New Roman" w:hAnsi="Times New Roman"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运营期</w:t>
            </w:r>
            <w:r>
              <w:rPr>
                <w:rFonts w:hint="eastAsia" w:cs="Times New Roman"/>
                <w:b/>
                <w:bCs/>
                <w:color w:val="auto"/>
                <w:kern w:val="2"/>
                <w:sz w:val="24"/>
                <w:szCs w:val="24"/>
                <w:highlight w:val="none"/>
                <w:lang w:val="en-US" w:eastAsia="zh-CN" w:bidi="ar-SA"/>
              </w:rPr>
              <w:t>废水污染物产排情况</w:t>
            </w:r>
          </w:p>
          <w:bookmarkEnd w:id="88"/>
          <w:bookmarkEnd w:id="89"/>
          <w:bookmarkEnd w:id="90"/>
          <w:p w14:paraId="1131268F">
            <w:pPr>
              <w:pStyle w:val="159"/>
              <w:pageBreakBefore w:val="0"/>
              <w:kinsoku/>
              <w:overflowPunct/>
              <w:autoSpaceDE/>
              <w:autoSpaceDN/>
              <w:bidi w:val="0"/>
              <w:jc w:val="both"/>
              <w:rPr>
                <w:rFonts w:hint="default"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val="en-US" w:eastAsia="zh-CN"/>
              </w:rPr>
              <w:t>本</w:t>
            </w:r>
            <w:r>
              <w:rPr>
                <w:rFonts w:hint="default" w:ascii="Times New Roman" w:hAnsi="Times New Roman" w:eastAsia="宋体" w:cs="Times New Roman"/>
                <w:b w:val="0"/>
                <w:bCs/>
                <w:color w:val="auto"/>
                <w:highlight w:val="none"/>
                <w:lang w:eastAsia="zh-CN"/>
              </w:rPr>
              <w:t>项目</w:t>
            </w:r>
            <w:r>
              <w:rPr>
                <w:rFonts w:hint="eastAsia" w:ascii="Times New Roman" w:hAnsi="Times New Roman" w:eastAsia="宋体" w:cs="Times New Roman"/>
                <w:b w:val="0"/>
                <w:bCs/>
                <w:color w:val="auto"/>
                <w:highlight w:val="none"/>
                <w:lang w:val="en-US" w:eastAsia="zh-CN"/>
              </w:rPr>
              <w:t>建成后，员工人数和总建筑面积均未发生变化，扩建工程排放</w:t>
            </w:r>
            <w:r>
              <w:rPr>
                <w:rFonts w:hint="default" w:ascii="Times New Roman" w:hAnsi="Times New Roman" w:eastAsia="宋体" w:cs="Times New Roman"/>
                <w:b w:val="0"/>
                <w:bCs/>
                <w:color w:val="auto"/>
                <w:highlight w:val="none"/>
                <w:lang w:eastAsia="zh-CN"/>
              </w:rPr>
              <w:t>废水主要</w:t>
            </w:r>
            <w:r>
              <w:rPr>
                <w:rFonts w:hint="eastAsia" w:ascii="Times New Roman" w:hAnsi="Times New Roman" w:eastAsia="宋体" w:cs="Times New Roman"/>
                <w:b w:val="0"/>
                <w:bCs/>
                <w:color w:val="auto"/>
                <w:highlight w:val="none"/>
                <w:lang w:val="en-US" w:eastAsia="zh-CN"/>
              </w:rPr>
              <w:t>新增宠物诊疗废水，其余</w:t>
            </w:r>
            <w:r>
              <w:rPr>
                <w:rFonts w:hint="default" w:ascii="Times New Roman" w:hAnsi="Times New Roman" w:eastAsia="宋体" w:cs="Times New Roman"/>
                <w:b w:val="0"/>
                <w:bCs/>
                <w:color w:val="auto"/>
                <w:highlight w:val="none"/>
                <w:lang w:eastAsia="zh-CN"/>
              </w:rPr>
              <w:t>生活污水</w:t>
            </w:r>
            <w:r>
              <w:rPr>
                <w:rFonts w:hint="eastAsia" w:ascii="Times New Roman" w:hAnsi="Times New Roman" w:eastAsia="宋体" w:cs="Times New Roman"/>
                <w:b w:val="0"/>
                <w:bCs/>
                <w:color w:val="auto"/>
                <w:highlight w:val="none"/>
                <w:lang w:val="en-US" w:eastAsia="zh-CN"/>
              </w:rPr>
              <w:t>和宠物美容废水的产排情况均不发生变化</w:t>
            </w:r>
            <w:r>
              <w:rPr>
                <w:rFonts w:hint="default" w:ascii="Times New Roman" w:hAnsi="Times New Roman" w:eastAsia="宋体" w:cs="Times New Roman"/>
                <w:b w:val="0"/>
                <w:bCs/>
                <w:color w:val="auto"/>
                <w:highlight w:val="none"/>
                <w:lang w:eastAsia="zh-CN"/>
              </w:rPr>
              <w:t>。</w:t>
            </w:r>
          </w:p>
          <w:p w14:paraId="3B8CD040">
            <w:pPr>
              <w:pStyle w:val="159"/>
              <w:pageBreakBefore w:val="0"/>
              <w:kinsoku/>
              <w:overflowPunct/>
              <w:autoSpaceDE/>
              <w:autoSpaceDN/>
              <w:bidi w:val="0"/>
              <w:jc w:val="both"/>
              <w:rPr>
                <w:rFonts w:hint="default"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val="en-US" w:eastAsia="zh-CN"/>
              </w:rPr>
              <w:t>为</w:t>
            </w:r>
            <w:r>
              <w:rPr>
                <w:rFonts w:hint="default" w:ascii="Times New Roman" w:hAnsi="Times New Roman" w:eastAsia="宋体" w:cs="Times New Roman"/>
                <w:b w:val="0"/>
                <w:bCs/>
                <w:color w:val="auto"/>
                <w:highlight w:val="none"/>
                <w:lang w:eastAsia="zh-CN"/>
              </w:rPr>
              <w:t>确保</w:t>
            </w:r>
            <w:r>
              <w:rPr>
                <w:rFonts w:hint="eastAsia" w:ascii="Times New Roman" w:hAnsi="Times New Roman" w:eastAsia="宋体" w:cs="Times New Roman"/>
                <w:b w:val="0"/>
                <w:bCs/>
                <w:color w:val="auto"/>
                <w:highlight w:val="none"/>
                <w:lang w:val="en-US" w:eastAsia="zh-CN"/>
              </w:rPr>
              <w:t>扩建后</w:t>
            </w:r>
            <w:r>
              <w:rPr>
                <w:rFonts w:hint="default" w:ascii="Times New Roman" w:hAnsi="Times New Roman" w:eastAsia="宋体" w:cs="Times New Roman"/>
                <w:b w:val="0"/>
                <w:bCs/>
                <w:color w:val="auto"/>
                <w:highlight w:val="none"/>
                <w:lang w:eastAsia="zh-CN"/>
              </w:rPr>
              <w:t>项目废水核算量更准确、合理，废水核算参考</w:t>
            </w:r>
            <w:r>
              <w:rPr>
                <w:rFonts w:hint="eastAsia" w:ascii="Times New Roman" w:hAnsi="Times New Roman" w:eastAsia="宋体" w:cs="Times New Roman"/>
                <w:b w:val="0"/>
                <w:bCs/>
                <w:color w:val="auto"/>
                <w:highlight w:val="none"/>
                <w:lang w:eastAsia="zh-CN"/>
              </w:rPr>
              <w:t>“福州市晋安区青鸟动物医院”</w:t>
            </w:r>
            <w:r>
              <w:rPr>
                <w:rFonts w:hint="eastAsia" w:ascii="Times New Roman" w:hAnsi="Times New Roman" w:eastAsia="宋体" w:cs="Times New Roman"/>
                <w:b w:val="0"/>
                <w:bCs/>
                <w:color w:val="auto"/>
                <w:highlight w:val="none"/>
                <w:lang w:val="en-US" w:eastAsia="zh-CN"/>
              </w:rPr>
              <w:t>建设</w:t>
            </w:r>
            <w:r>
              <w:rPr>
                <w:rFonts w:hint="eastAsia" w:ascii="Times New Roman" w:hAnsi="Times New Roman" w:eastAsia="宋体" w:cs="Times New Roman"/>
                <w:b w:val="0"/>
                <w:bCs/>
                <w:color w:val="auto"/>
                <w:highlight w:val="none"/>
                <w:lang w:eastAsia="zh-CN"/>
              </w:rPr>
              <w:t>项目</w:t>
            </w:r>
            <w:r>
              <w:rPr>
                <w:rFonts w:hint="default" w:ascii="Times New Roman" w:hAnsi="Times New Roman" w:eastAsia="宋体" w:cs="Times New Roman"/>
                <w:b w:val="0"/>
                <w:bCs/>
                <w:color w:val="auto"/>
                <w:highlight w:val="none"/>
                <w:lang w:eastAsia="zh-CN"/>
              </w:rPr>
              <w:t>，该医院已于202</w:t>
            </w:r>
            <w:r>
              <w:rPr>
                <w:rFonts w:hint="eastAsia" w:ascii="Times New Roman" w:hAnsi="Times New Roman" w:eastAsia="宋体" w:cs="Times New Roman"/>
                <w:b w:val="0"/>
                <w:bCs/>
                <w:color w:val="auto"/>
                <w:highlight w:val="none"/>
                <w:lang w:val="en-US" w:eastAsia="zh-CN"/>
              </w:rPr>
              <w:t>4</w:t>
            </w:r>
            <w:r>
              <w:rPr>
                <w:rFonts w:hint="default" w:ascii="Times New Roman" w:hAnsi="Times New Roman" w:eastAsia="宋体" w:cs="Times New Roman"/>
                <w:b w:val="0"/>
                <w:bCs/>
                <w:color w:val="auto"/>
                <w:highlight w:val="none"/>
                <w:lang w:eastAsia="zh-CN"/>
              </w:rPr>
              <w:t>年</w:t>
            </w:r>
            <w:r>
              <w:rPr>
                <w:rFonts w:hint="eastAsia" w:ascii="Times New Roman" w:hAnsi="Times New Roman" w:eastAsia="宋体" w:cs="Times New Roman"/>
                <w:b w:val="0"/>
                <w:bCs/>
                <w:color w:val="auto"/>
                <w:highlight w:val="none"/>
                <w:lang w:val="en-US" w:eastAsia="zh-CN"/>
              </w:rPr>
              <w:t>9</w:t>
            </w:r>
            <w:r>
              <w:rPr>
                <w:rFonts w:hint="default" w:ascii="Times New Roman" w:hAnsi="Times New Roman" w:eastAsia="宋体" w:cs="Times New Roman"/>
                <w:b w:val="0"/>
                <w:bCs/>
                <w:color w:val="auto"/>
                <w:highlight w:val="none"/>
                <w:lang w:eastAsia="zh-CN"/>
              </w:rPr>
              <w:t>月</w:t>
            </w:r>
            <w:r>
              <w:rPr>
                <w:rFonts w:hint="eastAsia" w:ascii="Times New Roman" w:hAnsi="Times New Roman" w:eastAsia="宋体" w:cs="Times New Roman"/>
                <w:b w:val="0"/>
                <w:bCs/>
                <w:color w:val="auto"/>
                <w:highlight w:val="none"/>
                <w:lang w:val="en-US" w:eastAsia="zh-CN"/>
              </w:rPr>
              <w:t>13日</w:t>
            </w:r>
            <w:r>
              <w:rPr>
                <w:rFonts w:hint="default" w:ascii="Times New Roman" w:hAnsi="Times New Roman" w:eastAsia="宋体" w:cs="Times New Roman"/>
                <w:b w:val="0"/>
                <w:bCs/>
                <w:color w:val="auto"/>
                <w:highlight w:val="none"/>
                <w:lang w:eastAsia="zh-CN"/>
              </w:rPr>
              <w:t>取得</w:t>
            </w:r>
            <w:r>
              <w:rPr>
                <w:rFonts w:hint="eastAsia" w:ascii="Times New Roman" w:hAnsi="Times New Roman" w:eastAsia="宋体" w:cs="Times New Roman"/>
                <w:b w:val="0"/>
                <w:bCs/>
                <w:color w:val="auto"/>
                <w:highlight w:val="none"/>
                <w:lang w:val="en-US" w:eastAsia="zh-CN"/>
              </w:rPr>
              <w:t>福州市晋安</w:t>
            </w:r>
            <w:r>
              <w:rPr>
                <w:rFonts w:hint="default" w:ascii="Times New Roman" w:hAnsi="Times New Roman" w:eastAsia="宋体" w:cs="Times New Roman"/>
                <w:b w:val="0"/>
                <w:bCs/>
                <w:color w:val="auto"/>
                <w:highlight w:val="none"/>
                <w:lang w:eastAsia="zh-CN"/>
              </w:rPr>
              <w:t>生态环境局出具的《关于福州市晋安区青鸟动物医院项目环境影响报告表的批复》</w:t>
            </w:r>
            <w:r>
              <w:rPr>
                <w:rFonts w:hint="eastAsia" w:ascii="Times New Roman" w:hAnsi="Times New Roman" w:eastAsia="宋体" w:cs="Times New Roman"/>
                <w:b w:val="0"/>
                <w:bCs/>
                <w:color w:val="auto"/>
                <w:highlight w:val="none"/>
                <w:lang w:eastAsia="zh-CN"/>
              </w:rPr>
              <w:t>（</w:t>
            </w:r>
            <w:r>
              <w:rPr>
                <w:rFonts w:hint="eastAsia" w:ascii="Times New Roman" w:hAnsi="Times New Roman" w:eastAsia="宋体" w:cs="Times New Roman"/>
                <w:b w:val="0"/>
                <w:bCs/>
                <w:color w:val="auto"/>
                <w:highlight w:val="none"/>
                <w:lang w:val="en-US" w:eastAsia="zh-CN"/>
              </w:rPr>
              <w:t>榕晋</w:t>
            </w:r>
            <w:r>
              <w:rPr>
                <w:rFonts w:hint="default" w:ascii="Times New Roman" w:hAnsi="Times New Roman" w:eastAsia="宋体" w:cs="Times New Roman"/>
                <w:b w:val="0"/>
                <w:bCs/>
                <w:color w:val="auto"/>
                <w:highlight w:val="none"/>
                <w:lang w:eastAsia="zh-CN"/>
              </w:rPr>
              <w:t>环评〔2024〕13号</w:t>
            </w:r>
            <w:r>
              <w:rPr>
                <w:rFonts w:hint="eastAsia"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lang w:eastAsia="zh-CN"/>
              </w:rPr>
              <w:t>，</w:t>
            </w:r>
            <w:r>
              <w:rPr>
                <w:rFonts w:hint="eastAsia" w:ascii="Times New Roman" w:hAnsi="Times New Roman" w:eastAsia="宋体" w:cs="Times New Roman"/>
                <w:b w:val="0"/>
                <w:bCs/>
                <w:color w:val="auto"/>
                <w:highlight w:val="none"/>
                <w:lang w:val="en-US" w:eastAsia="zh-CN"/>
              </w:rPr>
              <w:t>并</w:t>
            </w:r>
            <w:r>
              <w:rPr>
                <w:rFonts w:hint="default" w:ascii="Times New Roman" w:hAnsi="Times New Roman" w:eastAsia="宋体" w:cs="Times New Roman"/>
                <w:b w:val="0"/>
                <w:bCs/>
                <w:color w:val="auto"/>
                <w:highlight w:val="none"/>
                <w:lang w:eastAsia="zh-CN"/>
              </w:rPr>
              <w:t>于202</w:t>
            </w:r>
            <w:r>
              <w:rPr>
                <w:rFonts w:hint="eastAsia" w:ascii="Times New Roman" w:hAnsi="Times New Roman" w:eastAsia="宋体" w:cs="Times New Roman"/>
                <w:b w:val="0"/>
                <w:bCs/>
                <w:color w:val="auto"/>
                <w:highlight w:val="none"/>
                <w:lang w:val="en-US" w:eastAsia="zh-CN"/>
              </w:rPr>
              <w:t>4</w:t>
            </w:r>
            <w:r>
              <w:rPr>
                <w:rFonts w:hint="default" w:ascii="Times New Roman" w:hAnsi="Times New Roman" w:eastAsia="宋体" w:cs="Times New Roman"/>
                <w:b w:val="0"/>
                <w:bCs/>
                <w:color w:val="auto"/>
                <w:highlight w:val="none"/>
                <w:lang w:eastAsia="zh-CN"/>
              </w:rPr>
              <w:t>年</w:t>
            </w:r>
            <w:r>
              <w:rPr>
                <w:rFonts w:hint="eastAsia" w:ascii="Times New Roman" w:hAnsi="Times New Roman" w:eastAsia="宋体" w:cs="Times New Roman"/>
                <w:b w:val="0"/>
                <w:bCs/>
                <w:color w:val="auto"/>
                <w:highlight w:val="none"/>
                <w:lang w:val="en-US" w:eastAsia="zh-CN"/>
              </w:rPr>
              <w:t>10</w:t>
            </w:r>
            <w:r>
              <w:rPr>
                <w:rFonts w:hint="default" w:ascii="Times New Roman" w:hAnsi="Times New Roman" w:eastAsia="宋体" w:cs="Times New Roman"/>
                <w:b w:val="0"/>
                <w:bCs/>
                <w:color w:val="auto"/>
                <w:highlight w:val="none"/>
                <w:lang w:eastAsia="zh-CN"/>
              </w:rPr>
              <w:t>月</w:t>
            </w:r>
            <w:r>
              <w:rPr>
                <w:rFonts w:hint="eastAsia" w:ascii="Times New Roman" w:hAnsi="Times New Roman" w:eastAsia="宋体" w:cs="Times New Roman"/>
                <w:b w:val="0"/>
                <w:bCs/>
                <w:color w:val="auto"/>
                <w:highlight w:val="none"/>
                <w:lang w:val="en-US" w:eastAsia="zh-CN"/>
              </w:rPr>
              <w:t>20</w:t>
            </w:r>
            <w:r>
              <w:rPr>
                <w:rFonts w:hint="default" w:ascii="Times New Roman" w:hAnsi="Times New Roman" w:eastAsia="宋体" w:cs="Times New Roman"/>
                <w:b w:val="0"/>
                <w:bCs/>
                <w:color w:val="auto"/>
                <w:highlight w:val="none"/>
                <w:lang w:eastAsia="zh-CN"/>
              </w:rPr>
              <w:t>日完成竣工验收目前已经投入运营</w:t>
            </w:r>
            <w:r>
              <w:rPr>
                <w:rFonts w:hint="eastAsia" w:ascii="Times New Roman" w:hAnsi="Times New Roman" w:eastAsia="宋体" w:cs="Times New Roman"/>
                <w:b w:val="0"/>
                <w:bCs/>
                <w:color w:val="auto"/>
                <w:highlight w:val="none"/>
                <w:lang w:eastAsia="zh-CN"/>
              </w:rPr>
              <w:t>（</w:t>
            </w:r>
            <w:r>
              <w:rPr>
                <w:rFonts w:hint="eastAsia" w:ascii="Times New Roman" w:hAnsi="Times New Roman" w:eastAsia="宋体" w:cs="Times New Roman"/>
                <w:b w:val="0"/>
                <w:bCs/>
                <w:color w:val="auto"/>
                <w:highlight w:val="none"/>
                <w:lang w:val="en-US" w:eastAsia="zh-CN"/>
              </w:rPr>
              <w:t>详见附件7，附件8</w:t>
            </w:r>
            <w:r>
              <w:rPr>
                <w:rFonts w:hint="eastAsia"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lang w:eastAsia="zh-CN"/>
              </w:rPr>
              <w:t>，该医院建设内容及建设规模与</w:t>
            </w:r>
            <w:r>
              <w:rPr>
                <w:rFonts w:hint="eastAsia" w:ascii="Times New Roman" w:hAnsi="Times New Roman" w:eastAsia="宋体" w:cs="Times New Roman"/>
                <w:b w:val="0"/>
                <w:bCs/>
                <w:color w:val="auto"/>
                <w:highlight w:val="none"/>
                <w:lang w:val="en-US" w:eastAsia="zh-CN"/>
              </w:rPr>
              <w:t>建设单位</w:t>
            </w:r>
            <w:r>
              <w:rPr>
                <w:rFonts w:hint="default" w:ascii="Times New Roman" w:hAnsi="Times New Roman" w:eastAsia="宋体" w:cs="Times New Roman"/>
                <w:b w:val="0"/>
                <w:bCs/>
                <w:color w:val="auto"/>
                <w:highlight w:val="none"/>
                <w:lang w:eastAsia="zh-CN"/>
              </w:rPr>
              <w:t>类似。</w:t>
            </w:r>
          </w:p>
          <w:p w14:paraId="2FD9071E">
            <w:pPr>
              <w:pStyle w:val="15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表4-</w:t>
            </w:r>
            <w:r>
              <w:rPr>
                <w:rFonts w:hint="eastAsia" w:ascii="Times New Roman" w:hAnsi="Times New Roman" w:eastAsia="宋体" w:cs="Times New Roman"/>
                <w:b/>
                <w:bCs w:val="0"/>
                <w:color w:val="auto"/>
                <w:sz w:val="24"/>
                <w:szCs w:val="24"/>
                <w:highlight w:val="none"/>
                <w:lang w:val="en-US" w:eastAsia="zh-CN"/>
              </w:rPr>
              <w:t xml:space="preserve">1 </w:t>
            </w:r>
            <w:r>
              <w:rPr>
                <w:rFonts w:hint="default" w:ascii="Times New Roman" w:hAnsi="Times New Roman" w:eastAsia="宋体" w:cs="Times New Roman"/>
                <w:b/>
                <w:bCs w:val="0"/>
                <w:color w:val="auto"/>
                <w:sz w:val="24"/>
                <w:szCs w:val="24"/>
                <w:highlight w:val="none"/>
                <w:lang w:val="en-US" w:eastAsia="zh-CN"/>
              </w:rPr>
              <w:t xml:space="preserve"> 项目与</w:t>
            </w:r>
            <w:r>
              <w:rPr>
                <w:rFonts w:hint="eastAsia" w:ascii="Times New Roman" w:hAnsi="Times New Roman" w:eastAsia="宋体" w:cs="Times New Roman"/>
                <w:b/>
                <w:bCs w:val="0"/>
                <w:color w:val="auto"/>
                <w:highlight w:val="none"/>
                <w:lang w:eastAsia="zh-CN"/>
              </w:rPr>
              <w:t>福州市晋安区青鸟动物医院</w:t>
            </w:r>
            <w:r>
              <w:rPr>
                <w:rFonts w:hint="default" w:ascii="Times New Roman" w:hAnsi="Times New Roman" w:eastAsia="宋体" w:cs="Times New Roman"/>
                <w:b/>
                <w:bCs w:val="0"/>
                <w:color w:val="auto"/>
                <w:sz w:val="24"/>
                <w:szCs w:val="24"/>
                <w:highlight w:val="none"/>
                <w:lang w:val="en-US" w:eastAsia="zh-CN"/>
              </w:rPr>
              <w:t>（验收情况）类比分析一览表</w:t>
            </w:r>
          </w:p>
          <w:tbl>
            <w:tblPr>
              <w:tblStyle w:val="51"/>
              <w:tblW w:w="805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953"/>
              <w:gridCol w:w="2744"/>
              <w:gridCol w:w="1692"/>
            </w:tblGrid>
            <w:tr w14:paraId="5029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12" w:space="0"/>
                    <w:left w:val="nil"/>
                    <w:bottom w:val="single" w:color="auto" w:sz="6" w:space="0"/>
                    <w:right w:val="single" w:color="auto" w:sz="6" w:space="0"/>
                  </w:tcBorders>
                  <w:vAlign w:val="top"/>
                </w:tcPr>
                <w:p w14:paraId="28CBF427">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名称</w:t>
                  </w:r>
                </w:p>
              </w:tc>
              <w:tc>
                <w:tcPr>
                  <w:tcW w:w="2953" w:type="dxa"/>
                  <w:tcBorders>
                    <w:top w:val="single" w:color="auto" w:sz="12" w:space="0"/>
                    <w:left w:val="single" w:color="auto" w:sz="6" w:space="0"/>
                    <w:bottom w:val="single" w:color="auto" w:sz="6" w:space="0"/>
                    <w:right w:val="single" w:color="auto" w:sz="6" w:space="0"/>
                  </w:tcBorders>
                  <w:vAlign w:val="top"/>
                </w:tcPr>
                <w:p w14:paraId="7F94F890">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建设单位</w:t>
                  </w:r>
                </w:p>
              </w:tc>
              <w:tc>
                <w:tcPr>
                  <w:tcW w:w="2744" w:type="dxa"/>
                  <w:tcBorders>
                    <w:top w:val="single" w:color="auto" w:sz="12" w:space="0"/>
                    <w:left w:val="single" w:color="auto" w:sz="6" w:space="0"/>
                    <w:bottom w:val="single" w:color="auto" w:sz="6" w:space="0"/>
                    <w:right w:val="single" w:color="auto" w:sz="6" w:space="0"/>
                  </w:tcBorders>
                  <w:vAlign w:val="top"/>
                </w:tcPr>
                <w:p w14:paraId="3CBC8F8F">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vertAlign w:val="baseline"/>
                      <w:lang w:val="en-US" w:eastAsia="zh-CN" w:bidi="ar-SA"/>
                    </w:rPr>
                    <w:t>福州市晋安区青鸟动物医院</w:t>
                  </w:r>
                </w:p>
              </w:tc>
              <w:tc>
                <w:tcPr>
                  <w:tcW w:w="1692" w:type="dxa"/>
                  <w:tcBorders>
                    <w:top w:val="single" w:color="auto" w:sz="12" w:space="0"/>
                    <w:left w:val="single" w:color="auto" w:sz="6" w:space="0"/>
                    <w:bottom w:val="single" w:color="auto" w:sz="6" w:space="0"/>
                    <w:right w:val="nil"/>
                  </w:tcBorders>
                  <w:vAlign w:val="top"/>
                </w:tcPr>
                <w:p w14:paraId="334AFF0B">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类比可行性分析</w:t>
                  </w:r>
                </w:p>
              </w:tc>
            </w:tr>
            <w:tr w14:paraId="421C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6" w:space="0"/>
                    <w:left w:val="nil"/>
                    <w:bottom w:val="single" w:color="auto" w:sz="6" w:space="0"/>
                    <w:right w:val="single" w:color="auto" w:sz="6" w:space="0"/>
                  </w:tcBorders>
                </w:tcPr>
                <w:p w14:paraId="4E3D1DDF">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经营内容</w:t>
                  </w:r>
                </w:p>
              </w:tc>
              <w:tc>
                <w:tcPr>
                  <w:tcW w:w="2953" w:type="dxa"/>
                  <w:tcBorders>
                    <w:top w:val="single" w:color="auto" w:sz="6" w:space="0"/>
                    <w:left w:val="single" w:color="auto" w:sz="6" w:space="0"/>
                    <w:bottom w:val="single" w:color="auto" w:sz="6" w:space="0"/>
                    <w:right w:val="single" w:color="auto" w:sz="6" w:space="0"/>
                  </w:tcBorders>
                </w:tcPr>
                <w:p w14:paraId="3EE84BA7">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动物疾病预防、诊治，宠物美容洗护，手术（含动物颅腔、胸腔及腹腔手术）和宠物用品销售</w:t>
                  </w:r>
                </w:p>
              </w:tc>
              <w:tc>
                <w:tcPr>
                  <w:tcW w:w="2744" w:type="dxa"/>
                  <w:tcBorders>
                    <w:top w:val="single" w:color="auto" w:sz="6" w:space="0"/>
                    <w:left w:val="single" w:color="auto" w:sz="6" w:space="0"/>
                    <w:bottom w:val="single" w:color="auto" w:sz="6" w:space="0"/>
                    <w:right w:val="single" w:color="auto" w:sz="6" w:space="0"/>
                  </w:tcBorders>
                </w:tcPr>
                <w:p w14:paraId="5554E35D">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动物疾病预防、诊治，宠物美容洗护，手术（含动物颅腔、胸腔及腹腔手术）和宠物用品销售</w:t>
                  </w:r>
                </w:p>
              </w:tc>
              <w:tc>
                <w:tcPr>
                  <w:tcW w:w="1692" w:type="dxa"/>
                  <w:tcBorders>
                    <w:top w:val="single" w:color="auto" w:sz="6" w:space="0"/>
                    <w:left w:val="single" w:color="auto" w:sz="6" w:space="0"/>
                    <w:bottom w:val="single" w:color="auto" w:sz="6" w:space="0"/>
                    <w:right w:val="nil"/>
                  </w:tcBorders>
                </w:tcPr>
                <w:p w14:paraId="7CB4B607">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均为宠物医院，可行</w:t>
                  </w:r>
                </w:p>
              </w:tc>
            </w:tr>
            <w:tr w14:paraId="0A08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6" w:space="0"/>
                    <w:left w:val="nil"/>
                    <w:bottom w:val="single" w:color="auto" w:sz="6" w:space="0"/>
                    <w:right w:val="single" w:color="auto" w:sz="6" w:space="0"/>
                  </w:tcBorders>
                </w:tcPr>
                <w:p w14:paraId="17BB70C0">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建设规模</w:t>
                  </w:r>
                </w:p>
              </w:tc>
              <w:tc>
                <w:tcPr>
                  <w:tcW w:w="2953" w:type="dxa"/>
                  <w:tcBorders>
                    <w:top w:val="single" w:color="auto" w:sz="6" w:space="0"/>
                    <w:left w:val="single" w:color="auto" w:sz="6" w:space="0"/>
                    <w:bottom w:val="single" w:color="auto" w:sz="6" w:space="0"/>
                    <w:right w:val="single" w:color="auto" w:sz="6" w:space="0"/>
                  </w:tcBorders>
                </w:tcPr>
                <w:p w14:paraId="5EF0674C">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平均接待宠物20只/天</w:t>
                  </w:r>
                </w:p>
              </w:tc>
              <w:tc>
                <w:tcPr>
                  <w:tcW w:w="2744" w:type="dxa"/>
                  <w:tcBorders>
                    <w:top w:val="single" w:color="auto" w:sz="6" w:space="0"/>
                    <w:left w:val="single" w:color="auto" w:sz="6" w:space="0"/>
                    <w:bottom w:val="single" w:color="auto" w:sz="6" w:space="0"/>
                    <w:right w:val="single" w:color="auto" w:sz="6" w:space="0"/>
                  </w:tcBorders>
                </w:tcPr>
                <w:p w14:paraId="6C6915A7">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平均接待宠物</w:t>
                  </w:r>
                  <w:r>
                    <w:rPr>
                      <w:rFonts w:hint="eastAsia" w:ascii="Times New Roman" w:hAnsi="Times New Roman" w:eastAsia="宋体" w:cs="Times New Roman"/>
                      <w:color w:val="auto"/>
                      <w:sz w:val="21"/>
                      <w:szCs w:val="21"/>
                      <w:highlight w:val="none"/>
                      <w:vertAlign w:val="baseline"/>
                      <w:lang w:val="en-US" w:eastAsia="zh-CN"/>
                    </w:rPr>
                    <w:t>25</w:t>
                  </w:r>
                  <w:r>
                    <w:rPr>
                      <w:rFonts w:hint="default" w:ascii="Times New Roman" w:hAnsi="Times New Roman" w:eastAsia="宋体" w:cs="Times New Roman"/>
                      <w:color w:val="auto"/>
                      <w:sz w:val="21"/>
                      <w:szCs w:val="21"/>
                      <w:highlight w:val="none"/>
                      <w:vertAlign w:val="baseline"/>
                      <w:lang w:val="en-US" w:eastAsia="zh-CN"/>
                    </w:rPr>
                    <w:t>只/天</w:t>
                  </w:r>
                </w:p>
              </w:tc>
              <w:tc>
                <w:tcPr>
                  <w:tcW w:w="1692" w:type="dxa"/>
                  <w:tcBorders>
                    <w:top w:val="single" w:color="auto" w:sz="6" w:space="0"/>
                    <w:left w:val="single" w:color="auto" w:sz="6" w:space="0"/>
                    <w:bottom w:val="single" w:color="auto" w:sz="6" w:space="0"/>
                    <w:right w:val="nil"/>
                  </w:tcBorders>
                </w:tcPr>
                <w:p w14:paraId="2F7FFD97">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诊疗对象均为宠物，可行</w:t>
                  </w:r>
                </w:p>
              </w:tc>
            </w:tr>
            <w:tr w14:paraId="3599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6" w:space="0"/>
                    <w:left w:val="nil"/>
                    <w:bottom w:val="single" w:color="auto" w:sz="6" w:space="0"/>
                    <w:right w:val="single" w:color="auto" w:sz="6" w:space="0"/>
                  </w:tcBorders>
                </w:tcPr>
                <w:p w14:paraId="36DC6181">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诊疗流程</w:t>
                  </w:r>
                </w:p>
              </w:tc>
              <w:tc>
                <w:tcPr>
                  <w:tcW w:w="2953" w:type="dxa"/>
                  <w:tcBorders>
                    <w:top w:val="single" w:color="auto" w:sz="6" w:space="0"/>
                    <w:left w:val="single" w:color="auto" w:sz="6" w:space="0"/>
                    <w:bottom w:val="single" w:color="auto" w:sz="6" w:space="0"/>
                    <w:right w:val="single" w:color="auto" w:sz="6" w:space="0"/>
                  </w:tcBorders>
                </w:tcPr>
                <w:p w14:paraId="35D25DC0">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初步诊断</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取药</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检验</w:t>
                  </w:r>
                  <w:r>
                    <w:rPr>
                      <w:rFonts w:hint="eastAsia" w:ascii="Times New Roman" w:hAnsi="Times New Roman" w:eastAsia="宋体" w:cs="Times New Roman"/>
                      <w:color w:val="auto"/>
                      <w:sz w:val="21"/>
                      <w:szCs w:val="21"/>
                      <w:highlight w:val="none"/>
                      <w:vertAlign w:val="baseline"/>
                      <w:lang w:val="en-US" w:eastAsia="zh-CN"/>
                    </w:rPr>
                    <w:t>，手术或门诊</w:t>
                  </w:r>
                </w:p>
              </w:tc>
              <w:tc>
                <w:tcPr>
                  <w:tcW w:w="2744" w:type="dxa"/>
                  <w:tcBorders>
                    <w:top w:val="single" w:color="auto" w:sz="6" w:space="0"/>
                    <w:left w:val="single" w:color="auto" w:sz="6" w:space="0"/>
                    <w:bottom w:val="single" w:color="auto" w:sz="6" w:space="0"/>
                    <w:right w:val="single" w:color="auto" w:sz="6" w:space="0"/>
                  </w:tcBorders>
                </w:tcPr>
                <w:p w14:paraId="7CD9D41C">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初步诊断</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取药</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检验</w:t>
                  </w:r>
                  <w:r>
                    <w:rPr>
                      <w:rFonts w:hint="eastAsia" w:ascii="Times New Roman" w:hAnsi="Times New Roman" w:eastAsia="宋体" w:cs="Times New Roman"/>
                      <w:color w:val="auto"/>
                      <w:sz w:val="21"/>
                      <w:szCs w:val="21"/>
                      <w:highlight w:val="none"/>
                      <w:vertAlign w:val="baseline"/>
                      <w:lang w:val="en-US" w:eastAsia="zh-CN"/>
                    </w:rPr>
                    <w:t>，手术或门诊</w:t>
                  </w:r>
                </w:p>
              </w:tc>
              <w:tc>
                <w:tcPr>
                  <w:tcW w:w="1692" w:type="dxa"/>
                  <w:tcBorders>
                    <w:top w:val="single" w:color="auto" w:sz="6" w:space="0"/>
                    <w:left w:val="single" w:color="auto" w:sz="6" w:space="0"/>
                    <w:bottom w:val="single" w:color="auto" w:sz="6" w:space="0"/>
                    <w:right w:val="nil"/>
                  </w:tcBorders>
                </w:tcPr>
                <w:p w14:paraId="61F6A95D">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诊疗流程类似，可行</w:t>
                  </w:r>
                </w:p>
              </w:tc>
            </w:tr>
            <w:tr w14:paraId="41B9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6" w:space="0"/>
                    <w:left w:val="nil"/>
                    <w:bottom w:val="single" w:color="auto" w:sz="6" w:space="0"/>
                    <w:right w:val="single" w:color="auto" w:sz="6" w:space="0"/>
                  </w:tcBorders>
                </w:tcPr>
                <w:p w14:paraId="794D9670">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产污情况</w:t>
                  </w:r>
                </w:p>
              </w:tc>
              <w:tc>
                <w:tcPr>
                  <w:tcW w:w="2953" w:type="dxa"/>
                  <w:tcBorders>
                    <w:top w:val="single" w:color="auto" w:sz="6" w:space="0"/>
                    <w:left w:val="single" w:color="auto" w:sz="6" w:space="0"/>
                    <w:bottom w:val="single" w:color="auto" w:sz="6" w:space="0"/>
                    <w:right w:val="single" w:color="auto" w:sz="6" w:space="0"/>
                  </w:tcBorders>
                </w:tcPr>
                <w:p w14:paraId="10BC7515">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生活污水、</w:t>
                  </w:r>
                  <w:r>
                    <w:rPr>
                      <w:rFonts w:hint="default" w:ascii="Times New Roman" w:hAnsi="Times New Roman" w:eastAsia="宋体" w:cs="Times New Roman"/>
                      <w:color w:val="auto"/>
                      <w:sz w:val="21"/>
                      <w:szCs w:val="21"/>
                      <w:highlight w:val="none"/>
                      <w:vertAlign w:val="baseline"/>
                      <w:lang w:val="en-US" w:eastAsia="zh-CN"/>
                    </w:rPr>
                    <w:t>诊疗废水和宠物美容废水</w:t>
                  </w:r>
                </w:p>
              </w:tc>
              <w:tc>
                <w:tcPr>
                  <w:tcW w:w="2744" w:type="dxa"/>
                  <w:tcBorders>
                    <w:top w:val="single" w:color="auto" w:sz="6" w:space="0"/>
                    <w:left w:val="single" w:color="auto" w:sz="6" w:space="0"/>
                    <w:bottom w:val="single" w:color="auto" w:sz="6" w:space="0"/>
                    <w:right w:val="single" w:color="auto" w:sz="6" w:space="0"/>
                  </w:tcBorders>
                </w:tcPr>
                <w:p w14:paraId="35D2BAFD">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生活污水、</w:t>
                  </w:r>
                  <w:r>
                    <w:rPr>
                      <w:rFonts w:hint="default" w:ascii="Times New Roman" w:hAnsi="Times New Roman" w:eastAsia="宋体" w:cs="Times New Roman"/>
                      <w:color w:val="auto"/>
                      <w:sz w:val="21"/>
                      <w:szCs w:val="21"/>
                      <w:highlight w:val="none"/>
                      <w:vertAlign w:val="baseline"/>
                      <w:lang w:val="en-US" w:eastAsia="zh-CN"/>
                    </w:rPr>
                    <w:t>诊疗废水和宠物美容废水</w:t>
                  </w:r>
                </w:p>
              </w:tc>
              <w:tc>
                <w:tcPr>
                  <w:tcW w:w="1692" w:type="dxa"/>
                  <w:tcBorders>
                    <w:top w:val="single" w:color="auto" w:sz="6" w:space="0"/>
                    <w:left w:val="single" w:color="auto" w:sz="6" w:space="0"/>
                    <w:bottom w:val="single" w:color="auto" w:sz="6" w:space="0"/>
                    <w:right w:val="nil"/>
                  </w:tcBorders>
                </w:tcPr>
                <w:p w14:paraId="6A878CCA">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废水水质相似，可行</w:t>
                  </w:r>
                </w:p>
              </w:tc>
            </w:tr>
            <w:tr w14:paraId="2BC1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6" w:space="0"/>
                    <w:left w:val="nil"/>
                    <w:bottom w:val="single" w:color="auto" w:sz="12" w:space="0"/>
                    <w:right w:val="single" w:color="auto" w:sz="6" w:space="0"/>
                  </w:tcBorders>
                </w:tcPr>
                <w:p w14:paraId="7BC0EA23">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废水处理工艺</w:t>
                  </w:r>
                </w:p>
              </w:tc>
              <w:tc>
                <w:tcPr>
                  <w:tcW w:w="2953" w:type="dxa"/>
                  <w:tcBorders>
                    <w:top w:val="single" w:color="auto" w:sz="6" w:space="0"/>
                    <w:left w:val="single" w:color="auto" w:sz="6" w:space="0"/>
                    <w:bottom w:val="single" w:color="auto" w:sz="12" w:space="0"/>
                    <w:right w:val="single" w:color="auto" w:sz="6" w:space="0"/>
                  </w:tcBorders>
                </w:tcPr>
                <w:p w14:paraId="3D89B7DF">
                  <w:pPr>
                    <w:pStyle w:val="159"/>
                    <w:keepNext w:val="0"/>
                    <w:keepLines w:val="0"/>
                    <w:pageBreakBefore w:val="0"/>
                    <w:widowControl/>
                    <w:kinsoku/>
                    <w:wordWrap w:val="0"/>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小型</w:t>
                  </w:r>
                  <w:r>
                    <w:rPr>
                      <w:rFonts w:hint="default" w:ascii="Times New Roman" w:hAnsi="Times New Roman" w:eastAsia="宋体" w:cs="Times New Roman"/>
                      <w:color w:val="auto"/>
                      <w:sz w:val="21"/>
                      <w:szCs w:val="21"/>
                      <w:highlight w:val="none"/>
                      <w:vertAlign w:val="baseline"/>
                      <w:lang w:val="en-US" w:eastAsia="zh-CN"/>
                    </w:rPr>
                    <w:t>一体化污水处理设备</w:t>
                  </w:r>
                  <w:r>
                    <w:rPr>
                      <w:rFonts w:hint="eastAsia" w:ascii="Times New Roman" w:hAnsi="Times New Roman" w:eastAsia="宋体" w:cs="Times New Roman"/>
                      <w:color w:val="auto"/>
                      <w:sz w:val="21"/>
                      <w:szCs w:val="21"/>
                      <w:highlight w:val="none"/>
                      <w:vertAlign w:val="baseline"/>
                      <w:lang w:val="en-US" w:eastAsia="zh-CN"/>
                    </w:rPr>
                    <w:t>（加氯消毒）</w:t>
                  </w:r>
                </w:p>
              </w:tc>
              <w:tc>
                <w:tcPr>
                  <w:tcW w:w="2744" w:type="dxa"/>
                  <w:tcBorders>
                    <w:top w:val="single" w:color="auto" w:sz="6" w:space="0"/>
                    <w:left w:val="single" w:color="auto" w:sz="6" w:space="0"/>
                    <w:bottom w:val="single" w:color="auto" w:sz="12" w:space="0"/>
                    <w:right w:val="single" w:color="auto" w:sz="6" w:space="0"/>
                  </w:tcBorders>
                </w:tcPr>
                <w:p w14:paraId="37EC0EC0">
                  <w:pPr>
                    <w:pStyle w:val="159"/>
                    <w:keepNext w:val="0"/>
                    <w:keepLines w:val="0"/>
                    <w:pageBreakBefore w:val="0"/>
                    <w:widowControl/>
                    <w:kinsoku/>
                    <w:wordWrap w:val="0"/>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小型</w:t>
                  </w:r>
                  <w:r>
                    <w:rPr>
                      <w:rFonts w:hint="default" w:ascii="Times New Roman" w:hAnsi="Times New Roman" w:eastAsia="宋体" w:cs="Times New Roman"/>
                      <w:color w:val="auto"/>
                      <w:sz w:val="21"/>
                      <w:szCs w:val="21"/>
                      <w:highlight w:val="none"/>
                      <w:vertAlign w:val="baseline"/>
                      <w:lang w:val="en-US" w:eastAsia="zh-CN"/>
                    </w:rPr>
                    <w:t>一体化污水处理设备</w:t>
                  </w:r>
                  <w:r>
                    <w:rPr>
                      <w:rFonts w:hint="eastAsia" w:ascii="Times New Roman" w:hAnsi="Times New Roman" w:eastAsia="宋体" w:cs="Times New Roman"/>
                      <w:color w:val="auto"/>
                      <w:sz w:val="21"/>
                      <w:szCs w:val="21"/>
                      <w:highlight w:val="none"/>
                      <w:vertAlign w:val="baseline"/>
                      <w:lang w:val="en-US" w:eastAsia="zh-CN"/>
                    </w:rPr>
                    <w:t>（加氯消毒）</w:t>
                  </w:r>
                </w:p>
              </w:tc>
              <w:tc>
                <w:tcPr>
                  <w:tcW w:w="1692" w:type="dxa"/>
                  <w:tcBorders>
                    <w:top w:val="single" w:color="auto" w:sz="6" w:space="0"/>
                    <w:left w:val="single" w:color="auto" w:sz="6" w:space="0"/>
                    <w:bottom w:val="single" w:color="auto" w:sz="12" w:space="0"/>
                    <w:right w:val="nil"/>
                  </w:tcBorders>
                </w:tcPr>
                <w:p w14:paraId="56A9FE03">
                  <w:pPr>
                    <w:pStyle w:val="159"/>
                    <w:keepNext w:val="0"/>
                    <w:keepLines w:val="0"/>
                    <w:pageBreakBefore w:val="0"/>
                    <w:widowControl/>
                    <w:kinsoku/>
                    <w:wordWrap w:val="0"/>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废水处理工艺相似，可行</w:t>
                  </w:r>
                </w:p>
              </w:tc>
            </w:tr>
          </w:tbl>
          <w:p w14:paraId="5C8F252F">
            <w:pPr>
              <w:pStyle w:val="4"/>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p>
          <w:p w14:paraId="07ED7BC0">
            <w:pPr>
              <w:pStyle w:val="4"/>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p>
          <w:p w14:paraId="7671ECDE">
            <w:pPr>
              <w:pStyle w:val="4"/>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4.2.</w:t>
            </w:r>
            <w:r>
              <w:rPr>
                <w:rFonts w:hint="eastAsia" w:cs="Times New Roman"/>
                <w:b/>
                <w:bCs/>
                <w:color w:val="auto"/>
                <w:kern w:val="2"/>
                <w:sz w:val="24"/>
                <w:szCs w:val="24"/>
                <w:highlight w:val="none"/>
                <w:lang w:val="en-US" w:eastAsia="zh-CN" w:bidi="ar-SA"/>
              </w:rPr>
              <w:t>2</w:t>
            </w:r>
            <w:r>
              <w:rPr>
                <w:rFonts w:hint="default" w:ascii="Times New Roman" w:hAnsi="Times New Roman"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运营期</w:t>
            </w:r>
            <w:r>
              <w:rPr>
                <w:rFonts w:hint="eastAsia" w:cs="Times New Roman"/>
                <w:b/>
                <w:bCs/>
                <w:color w:val="auto"/>
                <w:kern w:val="2"/>
                <w:sz w:val="24"/>
                <w:szCs w:val="24"/>
                <w:highlight w:val="none"/>
                <w:lang w:val="en-US" w:eastAsia="zh-CN" w:bidi="ar-SA"/>
              </w:rPr>
              <w:t>废水污染物源强核算</w:t>
            </w:r>
          </w:p>
          <w:p w14:paraId="09CD6324">
            <w:pPr>
              <w:pStyle w:val="159"/>
              <w:keepNext w:val="0"/>
              <w:keepLines w:val="0"/>
              <w:pageBreakBefore w:val="0"/>
              <w:widowControl/>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本项目废水治理措施与现有项目一致，扩建完成后，全院废水处理工艺流程如图4-1所示。</w:t>
            </w:r>
          </w:p>
          <w:p w14:paraId="0B698698">
            <w:pPr>
              <w:pStyle w:val="159"/>
              <w:keepNext w:val="0"/>
              <w:keepLines w:val="0"/>
              <w:pageBreakBefore w:val="0"/>
              <w:widowControl/>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auto"/>
                <w:highlight w:val="none"/>
                <w:lang w:eastAsia="zh-CN"/>
              </w:rPr>
            </w:pPr>
            <w:r>
              <w:drawing>
                <wp:inline distT="0" distB="0" distL="114300" distR="114300">
                  <wp:extent cx="5140325" cy="3104515"/>
                  <wp:effectExtent l="0" t="0" r="3175"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8"/>
                          <a:stretch>
                            <a:fillRect/>
                          </a:stretch>
                        </pic:blipFill>
                        <pic:spPr>
                          <a:xfrm>
                            <a:off x="0" y="0"/>
                            <a:ext cx="5140325" cy="3104515"/>
                          </a:xfrm>
                          <a:prstGeom prst="rect">
                            <a:avLst/>
                          </a:prstGeom>
                          <a:noFill/>
                          <a:ln>
                            <a:noFill/>
                          </a:ln>
                        </pic:spPr>
                      </pic:pic>
                    </a:graphicData>
                  </a:graphic>
                </wp:inline>
              </w:drawing>
            </w:r>
          </w:p>
          <w:p w14:paraId="1BF06CA3">
            <w:pPr>
              <w:pStyle w:val="159"/>
              <w:pageBreakBefore w:val="0"/>
              <w:kinsoku/>
              <w:overflowPunct/>
              <w:autoSpaceDE/>
              <w:autoSpaceDN/>
              <w:bidi w:val="0"/>
              <w:jc w:val="center"/>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图4-1 全院排放废水处理工艺流程</w:t>
            </w:r>
          </w:p>
          <w:p w14:paraId="7F4A6F03">
            <w:pPr>
              <w:pStyle w:val="159"/>
              <w:keepNext w:val="0"/>
              <w:keepLines w:val="0"/>
              <w:pageBreakBefore w:val="0"/>
              <w:widowControl/>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生活污水</w:t>
            </w:r>
          </w:p>
          <w:p w14:paraId="75A07035">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本项目建成后，员</w:t>
            </w:r>
            <w:r>
              <w:rPr>
                <w:rFonts w:hint="default" w:ascii="Times New Roman" w:hAnsi="Times New Roman" w:eastAsia="宋体" w:cs="Times New Roman"/>
                <w:color w:val="auto"/>
                <w:szCs w:val="24"/>
                <w:highlight w:val="none"/>
              </w:rPr>
              <w:t>工人数和总建筑面积均未发生变化，根据</w:t>
            </w:r>
            <w:r>
              <w:rPr>
                <w:rFonts w:hint="eastAsia" w:ascii="Times New Roman" w:hAnsi="Times New Roman" w:eastAsia="宋体" w:cs="Times New Roman"/>
                <w:color w:val="auto"/>
                <w:szCs w:val="24"/>
                <w:highlight w:val="none"/>
                <w:lang w:val="en-US" w:eastAsia="zh-CN"/>
              </w:rPr>
              <w:t>建设单位提供资料，</w:t>
            </w:r>
            <w:r>
              <w:rPr>
                <w:rFonts w:hint="default" w:ascii="Times New Roman" w:hAnsi="Times New Roman" w:eastAsia="宋体" w:cs="Times New Roman"/>
                <w:color w:val="auto"/>
                <w:szCs w:val="24"/>
                <w:highlight w:val="none"/>
              </w:rPr>
              <w:t>生活污水排放量</w:t>
            </w:r>
            <w:r>
              <w:rPr>
                <w:rFonts w:hint="default" w:ascii="Times New Roman" w:hAnsi="Times New Roman" w:eastAsia="宋体" w:cs="Times New Roman"/>
                <w:color w:val="auto"/>
                <w:szCs w:val="24"/>
                <w:highlight w:val="none"/>
                <w:lang w:val="en-US" w:eastAsia="zh-CN"/>
              </w:rPr>
              <w:t>为295.65</w:t>
            </w:r>
            <w:r>
              <w:rPr>
                <w:rFonts w:hint="default" w:ascii="Times New Roman" w:hAnsi="Times New Roman" w:eastAsia="宋体" w:cs="Times New Roman"/>
                <w:color w:val="auto"/>
                <w:szCs w:val="24"/>
                <w:highlight w:val="none"/>
              </w:rPr>
              <w:t>t/a</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color w:val="auto"/>
                <w:szCs w:val="24"/>
                <w:highlight w:val="none"/>
              </w:rPr>
              <w:t>《给排水设计手册》（第五册城镇排水，中国建筑工业出版社）典型生活污水水质示例</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见表4-</w:t>
            </w:r>
            <w:r>
              <w:rPr>
                <w:rFonts w:hint="eastAsia"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，项目取COD</w:t>
            </w:r>
            <w:r>
              <w:rPr>
                <w:rFonts w:hint="default" w:ascii="Times New Roman" w:hAnsi="Times New Roman" w:eastAsia="宋体" w:cs="Times New Roman"/>
                <w:color w:val="auto"/>
                <w:highlight w:val="none"/>
                <w:vertAlign w:val="subscript"/>
                <w:lang w:val="en-US" w:eastAsia="zh-CN"/>
              </w:rPr>
              <w:t>Cr</w:t>
            </w:r>
            <w:r>
              <w:rPr>
                <w:rFonts w:hint="default" w:ascii="Times New Roman" w:hAnsi="Times New Roman" w:eastAsia="宋体" w:cs="Times New Roman"/>
                <w:color w:val="auto"/>
                <w:szCs w:val="24"/>
                <w:highlight w:val="none"/>
              </w:rPr>
              <w:t>400mg/L，BOD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200mg/L，SS200mg/L，氨氮45mg/L。经</w:t>
            </w:r>
            <w:r>
              <w:rPr>
                <w:rFonts w:hint="default" w:ascii="Times New Roman" w:hAnsi="Times New Roman" w:eastAsia="宋体" w:cs="Times New Roman"/>
                <w:color w:val="auto"/>
                <w:szCs w:val="24"/>
                <w:highlight w:val="none"/>
                <w:lang w:eastAsia="zh-CN"/>
              </w:rPr>
              <w:t>化粪池</w:t>
            </w:r>
            <w:r>
              <w:rPr>
                <w:rFonts w:hint="default" w:ascii="Times New Roman" w:hAnsi="Times New Roman" w:eastAsia="宋体" w:cs="Times New Roman"/>
                <w:color w:val="auto"/>
                <w:szCs w:val="24"/>
                <w:highlight w:val="none"/>
              </w:rPr>
              <w:t>预处理后，COD</w:t>
            </w:r>
            <w:r>
              <w:rPr>
                <w:rFonts w:hint="default" w:ascii="Times New Roman" w:hAnsi="Times New Roman" w:eastAsia="宋体" w:cs="Times New Roman"/>
                <w:color w:val="auto"/>
                <w:szCs w:val="24"/>
                <w:highlight w:val="none"/>
                <w:u w:val="none"/>
                <w:vertAlign w:val="subscript"/>
                <w:lang w:val="en-US" w:eastAsia="zh-CN"/>
              </w:rPr>
              <w:t>Cr</w:t>
            </w:r>
            <w:r>
              <w:rPr>
                <w:rFonts w:hint="default" w:ascii="Times New Roman" w:hAnsi="Times New Roman" w:eastAsia="宋体" w:cs="Times New Roman"/>
                <w:color w:val="auto"/>
                <w:szCs w:val="24"/>
                <w:highlight w:val="none"/>
              </w:rPr>
              <w:t>、氨氮的去除率参照《建设项目环境影响审批登记表》填表说明中推荐的参数，分别为15%、3%；BOD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、SS的去除率参照刘毅梁发表的《武汉市住宅小区</w:t>
            </w:r>
            <w:r>
              <w:rPr>
                <w:rFonts w:hint="default" w:ascii="Times New Roman" w:hAnsi="Times New Roman" w:eastAsia="宋体" w:cs="Times New Roman"/>
                <w:color w:val="auto"/>
                <w:szCs w:val="24"/>
                <w:highlight w:val="none"/>
                <w:lang w:eastAsia="zh-CN"/>
              </w:rPr>
              <w:t>化粪池</w:t>
            </w:r>
            <w:r>
              <w:rPr>
                <w:rFonts w:hint="default" w:ascii="Times New Roman" w:hAnsi="Times New Roman" w:eastAsia="宋体" w:cs="Times New Roman"/>
                <w:color w:val="auto"/>
                <w:szCs w:val="24"/>
                <w:highlight w:val="none"/>
              </w:rPr>
              <w:t>污染物去除效果调查与分析》中得出的结论，去除率分别为11%、47%。</w:t>
            </w:r>
          </w:p>
          <w:p w14:paraId="55AAA1CF">
            <w:pPr>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b/>
                <w:bCs/>
                <w:color w:val="auto"/>
                <w:szCs w:val="24"/>
                <w:highlight w:val="none"/>
                <w:lang w:val="en-US" w:eastAsia="zh-CN"/>
              </w:rPr>
              <w:t>典型生活污水水质示例</w:t>
            </w:r>
          </w:p>
          <w:tbl>
            <w:tblPr>
              <w:tblStyle w:val="50"/>
              <w:tblpPr w:leftFromText="180" w:rightFromText="180" w:vertAnchor="text" w:tblpXSpec="center" w:tblpY="1"/>
              <w:tblW w:w="81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25"/>
              <w:gridCol w:w="1040"/>
              <w:gridCol w:w="1040"/>
              <w:gridCol w:w="1220"/>
              <w:gridCol w:w="2538"/>
            </w:tblGrid>
            <w:tr w14:paraId="33345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Merge w:val="restart"/>
                  <w:vAlign w:val="center"/>
                </w:tcPr>
                <w:p w14:paraId="59B8216E">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325" w:type="dxa"/>
                  <w:vMerge w:val="restart"/>
                  <w:vAlign w:val="center"/>
                </w:tcPr>
                <w:p w14:paraId="736C7083">
                  <w:pPr>
                    <w:pStyle w:val="191"/>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指标</w:t>
                  </w:r>
                </w:p>
              </w:tc>
              <w:tc>
                <w:tcPr>
                  <w:tcW w:w="3300" w:type="dxa"/>
                  <w:gridSpan w:val="3"/>
                  <w:vAlign w:val="center"/>
                </w:tcPr>
                <w:p w14:paraId="1FF87C39">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浓度（</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w:t>
                  </w:r>
                </w:p>
              </w:tc>
              <w:tc>
                <w:tcPr>
                  <w:tcW w:w="2538" w:type="dxa"/>
                  <w:vMerge w:val="restart"/>
                  <w:vAlign w:val="center"/>
                </w:tcPr>
                <w:p w14:paraId="7D7187EB">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数据</w:t>
                  </w:r>
                  <w:r>
                    <w:rPr>
                      <w:rFonts w:hint="default" w:ascii="Times New Roman" w:hAnsi="Times New Roman" w:eastAsia="宋体" w:cs="Times New Roman"/>
                      <w:color w:val="auto"/>
                      <w:highlight w:val="none"/>
                    </w:rPr>
                    <w:t>来源</w:t>
                  </w:r>
                </w:p>
              </w:tc>
            </w:tr>
            <w:tr w14:paraId="1FA2C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Merge w:val="continue"/>
                  <w:vAlign w:val="center"/>
                </w:tcPr>
                <w:p w14:paraId="3B0CFC7F">
                  <w:pPr>
                    <w:pStyle w:val="191"/>
                    <w:rPr>
                      <w:rFonts w:hint="default" w:ascii="Times New Roman" w:hAnsi="Times New Roman" w:eastAsia="宋体" w:cs="Times New Roman"/>
                      <w:color w:val="auto"/>
                      <w:highlight w:val="none"/>
                    </w:rPr>
                  </w:pPr>
                </w:p>
              </w:tc>
              <w:tc>
                <w:tcPr>
                  <w:tcW w:w="1325" w:type="dxa"/>
                  <w:vMerge w:val="continue"/>
                  <w:vAlign w:val="center"/>
                </w:tcPr>
                <w:p w14:paraId="4AC9B90E">
                  <w:pPr>
                    <w:pStyle w:val="191"/>
                    <w:rPr>
                      <w:rFonts w:hint="default" w:ascii="Times New Roman" w:hAnsi="Times New Roman" w:eastAsia="宋体" w:cs="Times New Roman"/>
                      <w:color w:val="auto"/>
                      <w:highlight w:val="none"/>
                      <w:lang w:val="en-US" w:eastAsia="zh-CN"/>
                    </w:rPr>
                  </w:pPr>
                </w:p>
              </w:tc>
              <w:tc>
                <w:tcPr>
                  <w:tcW w:w="1040" w:type="dxa"/>
                  <w:vAlign w:val="center"/>
                </w:tcPr>
                <w:p w14:paraId="74A1F1E2">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w:t>
                  </w:r>
                </w:p>
              </w:tc>
              <w:tc>
                <w:tcPr>
                  <w:tcW w:w="1040" w:type="dxa"/>
                  <w:vAlign w:val="center"/>
                </w:tcPr>
                <w:p w14:paraId="00E1915D">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w:t>
                  </w:r>
                </w:p>
              </w:tc>
              <w:tc>
                <w:tcPr>
                  <w:tcW w:w="1220" w:type="dxa"/>
                  <w:vAlign w:val="center"/>
                </w:tcPr>
                <w:p w14:paraId="56A79020">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w:t>
                  </w:r>
                </w:p>
              </w:tc>
              <w:tc>
                <w:tcPr>
                  <w:tcW w:w="2538" w:type="dxa"/>
                  <w:vMerge w:val="continue"/>
                  <w:vAlign w:val="center"/>
                </w:tcPr>
                <w:p w14:paraId="7B91711B">
                  <w:pPr>
                    <w:pStyle w:val="191"/>
                    <w:rPr>
                      <w:rFonts w:hint="default" w:ascii="Times New Roman" w:hAnsi="Times New Roman" w:eastAsia="宋体" w:cs="Times New Roman"/>
                      <w:color w:val="auto"/>
                      <w:highlight w:val="none"/>
                      <w:lang w:val="en-US" w:eastAsia="zh-CN"/>
                    </w:rPr>
                  </w:pPr>
                </w:p>
              </w:tc>
            </w:tr>
            <w:tr w14:paraId="2DF19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64864F5A">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325" w:type="dxa"/>
                  <w:vAlign w:val="center"/>
                </w:tcPr>
                <w:p w14:paraId="408759DB">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default" w:ascii="Times New Roman" w:hAnsi="Times New Roman" w:eastAsia="宋体" w:cs="Times New Roman"/>
                      <w:color w:val="auto"/>
                      <w:highlight w:val="none"/>
                      <w:vertAlign w:val="subscript"/>
                      <w:lang w:val="en-US" w:eastAsia="zh-CN"/>
                    </w:rPr>
                    <w:t>Cr</w:t>
                  </w:r>
                </w:p>
              </w:tc>
              <w:tc>
                <w:tcPr>
                  <w:tcW w:w="1040" w:type="dxa"/>
                  <w:vAlign w:val="center"/>
                </w:tcPr>
                <w:p w14:paraId="3DBA7BB9">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w:t>
                  </w:r>
                </w:p>
              </w:tc>
              <w:tc>
                <w:tcPr>
                  <w:tcW w:w="1040" w:type="dxa"/>
                  <w:vAlign w:val="center"/>
                </w:tcPr>
                <w:p w14:paraId="06B58F27">
                  <w:pPr>
                    <w:pStyle w:val="191"/>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400</w:t>
                  </w:r>
                </w:p>
              </w:tc>
              <w:tc>
                <w:tcPr>
                  <w:tcW w:w="1220" w:type="dxa"/>
                  <w:vAlign w:val="center"/>
                </w:tcPr>
                <w:p w14:paraId="108E05DF">
                  <w:pPr>
                    <w:pStyle w:val="191"/>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250</w:t>
                  </w:r>
                </w:p>
              </w:tc>
              <w:tc>
                <w:tcPr>
                  <w:tcW w:w="2538" w:type="dxa"/>
                  <w:vMerge w:val="restart"/>
                  <w:vAlign w:val="center"/>
                </w:tcPr>
                <w:p w14:paraId="24FECDEB">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rPr>
                    <w:t>《给排水设计手册》（第五册城镇排水，中国建筑工业出版社）</w:t>
                  </w:r>
                </w:p>
              </w:tc>
            </w:tr>
            <w:tr w14:paraId="345B5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79A80DE9">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325" w:type="dxa"/>
                  <w:vAlign w:val="center"/>
                </w:tcPr>
                <w:p w14:paraId="6822A957">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40" w:type="dxa"/>
                  <w:vAlign w:val="center"/>
                </w:tcPr>
                <w:p w14:paraId="1BC45EE1">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1040" w:type="dxa"/>
                  <w:vAlign w:val="center"/>
                </w:tcPr>
                <w:p w14:paraId="2AC30303">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220</w:t>
                  </w:r>
                </w:p>
              </w:tc>
              <w:tc>
                <w:tcPr>
                  <w:tcW w:w="1220" w:type="dxa"/>
                  <w:vAlign w:val="center"/>
                </w:tcPr>
                <w:p w14:paraId="338B9C39">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110</w:t>
                  </w:r>
                </w:p>
              </w:tc>
              <w:tc>
                <w:tcPr>
                  <w:tcW w:w="2538" w:type="dxa"/>
                  <w:vMerge w:val="continue"/>
                  <w:vAlign w:val="center"/>
                </w:tcPr>
                <w:p w14:paraId="0CACC984">
                  <w:pPr>
                    <w:pStyle w:val="191"/>
                    <w:rPr>
                      <w:rFonts w:hint="default" w:ascii="Times New Roman" w:hAnsi="Times New Roman" w:eastAsia="宋体" w:cs="Times New Roman"/>
                      <w:color w:val="auto"/>
                      <w:highlight w:val="none"/>
                    </w:rPr>
                  </w:pPr>
                </w:p>
              </w:tc>
            </w:tr>
            <w:tr w14:paraId="0209D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14B49E80">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325" w:type="dxa"/>
                  <w:vAlign w:val="center"/>
                </w:tcPr>
                <w:p w14:paraId="24CDFC01">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SS</w:t>
                  </w:r>
                </w:p>
              </w:tc>
              <w:tc>
                <w:tcPr>
                  <w:tcW w:w="1040" w:type="dxa"/>
                  <w:vAlign w:val="center"/>
                </w:tcPr>
                <w:p w14:paraId="3282A361">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350</w:t>
                  </w:r>
                </w:p>
              </w:tc>
              <w:tc>
                <w:tcPr>
                  <w:tcW w:w="1040" w:type="dxa"/>
                  <w:vAlign w:val="center"/>
                </w:tcPr>
                <w:p w14:paraId="3E3C8570">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1220" w:type="dxa"/>
                  <w:vAlign w:val="center"/>
                </w:tcPr>
                <w:p w14:paraId="65C61F0A">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538" w:type="dxa"/>
                  <w:vMerge w:val="continue"/>
                  <w:vAlign w:val="center"/>
                </w:tcPr>
                <w:p w14:paraId="422559F1">
                  <w:pPr>
                    <w:pStyle w:val="191"/>
                    <w:rPr>
                      <w:rFonts w:hint="default" w:ascii="Times New Roman" w:hAnsi="Times New Roman" w:eastAsia="宋体" w:cs="Times New Roman"/>
                      <w:color w:val="auto"/>
                      <w:highlight w:val="none"/>
                    </w:rPr>
                  </w:pPr>
                </w:p>
              </w:tc>
            </w:tr>
            <w:tr w14:paraId="6A0F6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5AC435FB">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325" w:type="dxa"/>
                  <w:vAlign w:val="center"/>
                </w:tcPr>
                <w:p w14:paraId="51E42E58">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氨氮</w:t>
                  </w:r>
                </w:p>
              </w:tc>
              <w:tc>
                <w:tcPr>
                  <w:tcW w:w="1040" w:type="dxa"/>
                  <w:vAlign w:val="center"/>
                </w:tcPr>
                <w:p w14:paraId="16EF7E4A">
                  <w:pPr>
                    <w:pStyle w:val="19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85</w:t>
                  </w:r>
                </w:p>
              </w:tc>
              <w:tc>
                <w:tcPr>
                  <w:tcW w:w="1040" w:type="dxa"/>
                  <w:vAlign w:val="center"/>
                </w:tcPr>
                <w:p w14:paraId="6D813EB3">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1220" w:type="dxa"/>
                  <w:vAlign w:val="center"/>
                </w:tcPr>
                <w:p w14:paraId="35160713">
                  <w:pPr>
                    <w:pStyle w:val="19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2538" w:type="dxa"/>
                  <w:vMerge w:val="continue"/>
                  <w:vAlign w:val="center"/>
                </w:tcPr>
                <w:p w14:paraId="489EDC36">
                  <w:pPr>
                    <w:pStyle w:val="191"/>
                    <w:rPr>
                      <w:rFonts w:hint="default" w:ascii="Times New Roman" w:hAnsi="Times New Roman" w:eastAsia="宋体" w:cs="Times New Roman"/>
                      <w:color w:val="auto"/>
                      <w:highlight w:val="none"/>
                    </w:rPr>
                  </w:pPr>
                </w:p>
              </w:tc>
            </w:tr>
          </w:tbl>
          <w:p w14:paraId="793B5105">
            <w:pPr>
              <w:pStyle w:val="159"/>
              <w:keepNext w:val="0"/>
              <w:keepLines w:val="0"/>
              <w:pageBreakBefore w:val="0"/>
              <w:widowControl/>
              <w:kinsoku/>
              <w:wordWrap/>
              <w:overflowPunct/>
              <w:topLinePunct w:val="0"/>
              <w:autoSpaceDE/>
              <w:autoSpaceDN/>
              <w:bidi w:val="0"/>
              <w:adjustRightInd/>
              <w:snapToGrid/>
              <w:spacing w:before="185" w:beforeLines="50"/>
              <w:ind w:firstLine="48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诊疗废水、宠物美容废水</w:t>
            </w:r>
          </w:p>
          <w:p w14:paraId="56E52AB3">
            <w:pPr>
              <w:pStyle w:val="159"/>
              <w:keepNext w:val="0"/>
              <w:keepLines w:val="0"/>
              <w:pageBreakBefore w:val="0"/>
              <w:widowControl/>
              <w:kinsoku/>
              <w:wordWrap w:val="0"/>
              <w:overflowPunct/>
              <w:topLinePunct w:val="0"/>
              <w:autoSpaceDE/>
              <w:autoSpaceDN/>
              <w:bidi w:val="0"/>
              <w:adjustRightInd/>
              <w:snapToGrid/>
              <w:ind w:firstLine="480"/>
              <w:textAlignment w:val="auto"/>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本项目建成后，宠物美容废水产排情况不变，仅新增宠物诊疗废水排放量，排放</w:t>
            </w:r>
            <w:r>
              <w:rPr>
                <w:rFonts w:hint="default" w:ascii="Times New Roman" w:hAnsi="Times New Roman" w:eastAsia="宋体" w:cs="Times New Roman"/>
                <w:color w:val="auto"/>
                <w:szCs w:val="24"/>
                <w:highlight w:val="none"/>
                <w:lang w:val="en-US" w:eastAsia="zh-CN"/>
              </w:rPr>
              <w:t>废水</w:t>
            </w:r>
            <w:r>
              <w:rPr>
                <w:rFonts w:hint="eastAsia" w:ascii="Times New Roman" w:hAnsi="Times New Roman" w:eastAsia="宋体" w:cs="Times New Roman"/>
                <w:color w:val="auto"/>
                <w:szCs w:val="24"/>
                <w:highlight w:val="none"/>
                <w:lang w:val="en-US" w:eastAsia="zh-CN"/>
              </w:rPr>
              <w:t>处理工艺与</w:t>
            </w:r>
            <w:r>
              <w:rPr>
                <w:rFonts w:hint="eastAsia" w:ascii="Times New Roman" w:hAnsi="Times New Roman" w:eastAsia="宋体" w:cs="Times New Roman"/>
                <w:b w:val="0"/>
                <w:bCs/>
                <w:color w:val="auto"/>
                <w:highlight w:val="none"/>
                <w:lang w:eastAsia="zh-CN"/>
              </w:rPr>
              <w:t>福州市晋安区青鸟动物医院项目</w:t>
            </w:r>
            <w:r>
              <w:rPr>
                <w:rFonts w:hint="eastAsia" w:ascii="Times New Roman" w:hAnsi="Times New Roman" w:eastAsia="宋体" w:cs="Times New Roman"/>
                <w:color w:val="auto"/>
                <w:szCs w:val="24"/>
                <w:highlight w:val="none"/>
                <w:lang w:val="en-US" w:eastAsia="zh-CN"/>
              </w:rPr>
              <w:t>一体化污水处理设备工艺一致，废水排放浓度类比《</w:t>
            </w:r>
            <w:r>
              <w:rPr>
                <w:rFonts w:hint="eastAsia" w:ascii="Times New Roman" w:hAnsi="Times New Roman" w:eastAsia="宋体" w:cs="Times New Roman"/>
                <w:b w:val="0"/>
                <w:bCs/>
                <w:color w:val="auto"/>
                <w:highlight w:val="none"/>
                <w:lang w:eastAsia="zh-CN"/>
              </w:rPr>
              <w:t>福州市晋安区青鸟动物医院项目</w:t>
            </w:r>
            <w:r>
              <w:rPr>
                <w:rFonts w:hint="eastAsia" w:ascii="Times New Roman" w:hAnsi="Times New Roman" w:eastAsia="宋体" w:cs="Times New Roman"/>
                <w:color w:val="auto"/>
                <w:szCs w:val="24"/>
                <w:highlight w:val="none"/>
                <w:lang w:val="en-US" w:eastAsia="zh-CN"/>
              </w:rPr>
              <w:t>竣工环境保护验收检测报告》（福建山水环境检测有限公司，2024年10月8日）。</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lang w:val="en-US" w:eastAsia="zh-CN"/>
              </w:rPr>
              <w:t>和宠物美容废水</w:t>
            </w:r>
            <w:r>
              <w:rPr>
                <w:rFonts w:ascii="Times New Roman" w:hAnsi="Times New Roman" w:eastAsia="宋体" w:cs="Times New Roman"/>
                <w:color w:val="auto"/>
                <w:szCs w:val="24"/>
                <w:highlight w:val="none"/>
              </w:rPr>
              <w:t>中各污染物产生浓度为：COD</w:t>
            </w:r>
            <w:r>
              <w:rPr>
                <w:rFonts w:hint="default" w:ascii="Times New Roman" w:hAnsi="Times New Roman" w:eastAsia="宋体" w:cs="Times New Roman"/>
                <w:color w:val="auto"/>
                <w:szCs w:val="24"/>
                <w:highlight w:val="none"/>
                <w:vertAlign w:val="subscript"/>
              </w:rPr>
              <w:t>Cr</w:t>
            </w:r>
            <w:r>
              <w:rPr>
                <w:rFonts w:ascii="Times New Roman" w:hAnsi="Times New Roman" w:eastAsia="宋体" w:cs="Times New Roman"/>
                <w:color w:val="auto"/>
                <w:szCs w:val="24"/>
                <w:highlight w:val="none"/>
              </w:rPr>
              <w:t>250mg/L，BOD</w:t>
            </w:r>
            <w:r>
              <w:rPr>
                <w:rFonts w:ascii="Times New Roman" w:hAnsi="Times New Roman" w:eastAsia="宋体" w:cs="Times New Roman"/>
                <w:color w:val="auto"/>
                <w:szCs w:val="24"/>
                <w:highlight w:val="none"/>
                <w:vertAlign w:val="subscript"/>
              </w:rPr>
              <w:t>5</w:t>
            </w:r>
            <w:r>
              <w:rPr>
                <w:rFonts w:ascii="Times New Roman" w:hAnsi="Times New Roman" w:eastAsia="宋体" w:cs="Times New Roman"/>
                <w:color w:val="auto"/>
                <w:szCs w:val="24"/>
                <w:highlight w:val="none"/>
              </w:rPr>
              <w:t>100mg/L，SS80mg/L，氨氮30mg/L，</w:t>
            </w:r>
            <w:r>
              <w:rPr>
                <w:rFonts w:hint="default" w:ascii="Times New Roman" w:hAnsi="Times New Roman" w:eastAsia="宋体" w:cs="Times New Roman"/>
                <w:color w:val="auto"/>
                <w:szCs w:val="24"/>
                <w:highlight w:val="none"/>
              </w:rPr>
              <w:t>粪大肠菌群数</w:t>
            </w:r>
            <w:r>
              <w:rPr>
                <w:rFonts w:ascii="Times New Roman" w:hAnsi="Times New Roman" w:eastAsia="宋体" w:cs="Times New Roman"/>
                <w:color w:val="auto"/>
                <w:szCs w:val="24"/>
                <w:highlight w:val="none"/>
              </w:rPr>
              <w:t>1.6×10</w:t>
            </w:r>
            <w:r>
              <w:rPr>
                <w:rFonts w:ascii="Times New Roman" w:hAnsi="Times New Roman" w:eastAsia="宋体" w:cs="Times New Roman"/>
                <w:color w:val="auto"/>
                <w:szCs w:val="24"/>
                <w:highlight w:val="none"/>
                <w:vertAlign w:val="superscript"/>
              </w:rPr>
              <w:t>5</w:t>
            </w:r>
            <w:r>
              <w:rPr>
                <w:rFonts w:ascii="Times New Roman" w:hAnsi="Times New Roman" w:eastAsia="宋体" w:cs="Times New Roman"/>
                <w:color w:val="auto"/>
                <w:szCs w:val="24"/>
                <w:highlight w:val="none"/>
              </w:rPr>
              <w:t>个/L。</w:t>
            </w:r>
          </w:p>
          <w:p w14:paraId="4A49BC07">
            <w:pPr>
              <w:pStyle w:val="159"/>
              <w:keepNext w:val="0"/>
              <w:keepLines w:val="0"/>
              <w:pageBreakBefore w:val="0"/>
              <w:widowControl/>
              <w:kinsoku/>
              <w:wordWrap w:val="0"/>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根据消毒设备厂家提供的检验报告，青岛环湾检测评价股份有限公司对潍坊润洁环保水处理设备有限公司污水消毒设备消毒进行现场试验（青环检字（CP190591）号），加入缓释氯片1片（200克），开启设备，从进水口（水流量：0.5L/min）通入医疗污水1L进行消毒，作用45min，消毒后医疗污水中粪大肠菌群未检出，符合《医疗机构水污染物排放标准》（GB18466-2005），因此取灭杀效率99.99%。</w:t>
            </w:r>
          </w:p>
          <w:p w14:paraId="4E28E024">
            <w:pPr>
              <w:pStyle w:val="159"/>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表4-</w:t>
            </w:r>
            <w:r>
              <w:rPr>
                <w:rFonts w:hint="eastAsia" w:ascii="Times New Roman" w:hAnsi="Times New Roman" w:eastAsia="宋体" w:cs="Times New Roman"/>
                <w:b/>
                <w:bCs w:val="0"/>
                <w:color w:val="auto"/>
                <w:szCs w:val="24"/>
                <w:highlight w:val="none"/>
                <w:lang w:val="en-US" w:eastAsia="zh-CN"/>
              </w:rPr>
              <w:t>3</w:t>
            </w:r>
            <w:r>
              <w:rPr>
                <w:rFonts w:hint="default" w:ascii="Times New Roman" w:hAnsi="Times New Roman" w:eastAsia="宋体" w:cs="Times New Roman"/>
                <w:b/>
                <w:bCs w:val="0"/>
                <w:color w:val="auto"/>
                <w:szCs w:val="24"/>
                <w:highlight w:val="none"/>
                <w:lang w:val="en-US" w:eastAsia="zh-CN"/>
              </w:rPr>
              <w:t xml:space="preserve">  对医疗污水消毒现场试验结果</w:t>
            </w:r>
          </w:p>
          <w:tbl>
            <w:tblPr>
              <w:tblStyle w:val="51"/>
              <w:tblW w:w="82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354"/>
              <w:gridCol w:w="2146"/>
              <w:gridCol w:w="2898"/>
            </w:tblGrid>
            <w:tr w14:paraId="5123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12" w:space="0"/>
                    <w:left w:val="nil"/>
                    <w:bottom w:val="single" w:color="auto" w:sz="6" w:space="0"/>
                    <w:right w:val="single" w:color="auto" w:sz="6" w:space="0"/>
                  </w:tcBorders>
                  <w:vAlign w:val="top"/>
                </w:tcPr>
                <w:p w14:paraId="0DD979E8">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实验序号</w:t>
                  </w:r>
                </w:p>
              </w:tc>
              <w:tc>
                <w:tcPr>
                  <w:tcW w:w="2354" w:type="dxa"/>
                  <w:tcBorders>
                    <w:top w:val="single" w:color="auto" w:sz="12" w:space="0"/>
                    <w:left w:val="single" w:color="auto" w:sz="6" w:space="0"/>
                    <w:bottom w:val="single" w:color="auto" w:sz="6" w:space="0"/>
                    <w:right w:val="single" w:color="auto" w:sz="6" w:space="0"/>
                  </w:tcBorders>
                  <w:vAlign w:val="top"/>
                </w:tcPr>
                <w:p w14:paraId="58DE1267">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消毒前污水中粪大肠菌群（MPN/L）</w:t>
                  </w:r>
                </w:p>
              </w:tc>
              <w:tc>
                <w:tcPr>
                  <w:tcW w:w="2146" w:type="dxa"/>
                  <w:tcBorders>
                    <w:top w:val="single" w:color="auto" w:sz="12" w:space="0"/>
                    <w:left w:val="single" w:color="auto" w:sz="6" w:space="0"/>
                    <w:bottom w:val="single" w:color="auto" w:sz="6" w:space="0"/>
                    <w:right w:val="single" w:color="auto" w:sz="6" w:space="0"/>
                  </w:tcBorders>
                  <w:vAlign w:val="top"/>
                </w:tcPr>
                <w:p w14:paraId="372D518B">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消毒后污水中粪大肠菌群（MPN/L）</w:t>
                  </w:r>
                </w:p>
              </w:tc>
              <w:tc>
                <w:tcPr>
                  <w:tcW w:w="2898" w:type="dxa"/>
                  <w:tcBorders>
                    <w:top w:val="single" w:color="auto" w:sz="12" w:space="0"/>
                    <w:left w:val="single" w:color="auto" w:sz="6" w:space="0"/>
                    <w:bottom w:val="single" w:color="auto" w:sz="6" w:space="0"/>
                    <w:right w:val="nil"/>
                  </w:tcBorders>
                  <w:vAlign w:val="top"/>
                </w:tcPr>
                <w:p w14:paraId="413CFE19">
                  <w:pPr>
                    <w:pStyle w:val="159"/>
                    <w:keepNext w:val="0"/>
                    <w:keepLines w:val="0"/>
                    <w:pageBreakBefore w:val="0"/>
                    <w:widowControl/>
                    <w:kinsoku/>
                    <w:wordWrap w:val="0"/>
                    <w:overflowPunct/>
                    <w:topLinePunct w:val="0"/>
                    <w:autoSpaceDE/>
                    <w:autoSpaceDN/>
                    <w:bidi w:val="0"/>
                    <w:adjustRightInd/>
                    <w:snapToGrid/>
                    <w:spacing w:line="288" w:lineRule="auto"/>
                    <w:ind w:right="0" w:rightChars="0" w:firstLine="0" w:firstLineChars="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消毒后污水中粪大肠菌群日均值（MPN/L）</w:t>
                  </w:r>
                </w:p>
              </w:tc>
            </w:tr>
            <w:tr w14:paraId="61D5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6" w:space="0"/>
                    <w:left w:val="nil"/>
                  </w:tcBorders>
                </w:tcPr>
                <w:p w14:paraId="75458BE8">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354" w:type="dxa"/>
                  <w:tcBorders>
                    <w:top w:val="single" w:color="auto" w:sz="6" w:space="0"/>
                  </w:tcBorders>
                </w:tcPr>
                <w:p w14:paraId="4E98CAB2">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微软雅黑" w:cs="Times New Roman"/>
                      <w:color w:val="auto"/>
                      <w:sz w:val="21"/>
                      <w:szCs w:val="21"/>
                      <w:highlight w:val="none"/>
                      <w:vertAlign w:val="baseline"/>
                      <w:lang w:val="en-US" w:eastAsia="zh-CN"/>
                    </w:rPr>
                    <w:t>&gt;</w:t>
                  </w:r>
                  <w:r>
                    <w:rPr>
                      <w:rFonts w:hint="default" w:ascii="Times New Roman" w:hAnsi="Times New Roman" w:eastAsia="宋体" w:cs="Times New Roman"/>
                      <w:color w:val="auto"/>
                      <w:sz w:val="21"/>
                      <w:szCs w:val="21"/>
                      <w:highlight w:val="none"/>
                      <w:vertAlign w:val="baseline"/>
                      <w:lang w:val="en-US" w:eastAsia="zh-CN"/>
                    </w:rPr>
                    <w:t>16000</w:t>
                  </w:r>
                </w:p>
              </w:tc>
              <w:tc>
                <w:tcPr>
                  <w:tcW w:w="2146" w:type="dxa"/>
                  <w:tcBorders>
                    <w:top w:val="single" w:color="auto" w:sz="6" w:space="0"/>
                  </w:tcBorders>
                </w:tcPr>
                <w:p w14:paraId="063C1BD1">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898" w:type="dxa"/>
                  <w:tcBorders>
                    <w:top w:val="single" w:color="auto" w:sz="6" w:space="0"/>
                    <w:right w:val="nil"/>
                  </w:tcBorders>
                </w:tcPr>
                <w:p w14:paraId="678E4E17">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14:paraId="458C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left w:val="nil"/>
                  </w:tcBorders>
                </w:tcPr>
                <w:p w14:paraId="0935DF69">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354" w:type="dxa"/>
                </w:tcPr>
                <w:p w14:paraId="3B1410B5">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微软雅黑" w:cs="Times New Roman"/>
                      <w:color w:val="auto"/>
                      <w:sz w:val="21"/>
                      <w:szCs w:val="21"/>
                      <w:highlight w:val="none"/>
                      <w:vertAlign w:val="baseline"/>
                      <w:lang w:val="en-US" w:eastAsia="zh-CN"/>
                    </w:rPr>
                    <w:t>&gt;</w:t>
                  </w:r>
                  <w:r>
                    <w:rPr>
                      <w:rFonts w:hint="default" w:ascii="Times New Roman" w:hAnsi="Times New Roman" w:eastAsia="宋体" w:cs="Times New Roman"/>
                      <w:color w:val="auto"/>
                      <w:sz w:val="21"/>
                      <w:szCs w:val="21"/>
                      <w:highlight w:val="none"/>
                      <w:vertAlign w:val="baseline"/>
                      <w:lang w:val="en-US" w:eastAsia="zh-CN"/>
                    </w:rPr>
                    <w:t>16000</w:t>
                  </w:r>
                </w:p>
              </w:tc>
              <w:tc>
                <w:tcPr>
                  <w:tcW w:w="2146" w:type="dxa"/>
                </w:tcPr>
                <w:p w14:paraId="751661E1">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898" w:type="dxa"/>
                  <w:tcBorders>
                    <w:right w:val="nil"/>
                  </w:tcBorders>
                </w:tcPr>
                <w:p w14:paraId="302B7F40">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14:paraId="0ADB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left w:val="nil"/>
                  </w:tcBorders>
                </w:tcPr>
                <w:p w14:paraId="7F9B7530">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354" w:type="dxa"/>
                </w:tcPr>
                <w:p w14:paraId="4B929AAE">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微软雅黑" w:cs="Times New Roman"/>
                      <w:color w:val="auto"/>
                      <w:sz w:val="21"/>
                      <w:szCs w:val="21"/>
                      <w:highlight w:val="none"/>
                      <w:vertAlign w:val="baseline"/>
                      <w:lang w:val="en-US" w:eastAsia="zh-CN"/>
                    </w:rPr>
                    <w:t>&gt;</w:t>
                  </w:r>
                  <w:r>
                    <w:rPr>
                      <w:rFonts w:hint="default" w:ascii="Times New Roman" w:hAnsi="Times New Roman" w:eastAsia="宋体" w:cs="Times New Roman"/>
                      <w:color w:val="auto"/>
                      <w:sz w:val="21"/>
                      <w:szCs w:val="21"/>
                      <w:highlight w:val="none"/>
                      <w:vertAlign w:val="baseline"/>
                      <w:lang w:val="en-US" w:eastAsia="zh-CN"/>
                    </w:rPr>
                    <w:t>16000</w:t>
                  </w:r>
                </w:p>
              </w:tc>
              <w:tc>
                <w:tcPr>
                  <w:tcW w:w="2146" w:type="dxa"/>
                </w:tcPr>
                <w:p w14:paraId="3BD48C70">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898" w:type="dxa"/>
                  <w:tcBorders>
                    <w:right w:val="nil"/>
                  </w:tcBorders>
                </w:tcPr>
                <w:p w14:paraId="68701981">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14:paraId="7879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3" w:type="dxa"/>
                  <w:gridSpan w:val="4"/>
                  <w:tcBorders>
                    <w:left w:val="nil"/>
                    <w:bottom w:val="single" w:color="auto" w:sz="12" w:space="0"/>
                    <w:right w:val="nil"/>
                  </w:tcBorders>
                </w:tcPr>
                <w:p w14:paraId="64B8AC7B">
                  <w:pPr>
                    <w:pStyle w:val="159"/>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注：阴性对照无菌生长</w:t>
                  </w:r>
                </w:p>
              </w:tc>
            </w:tr>
          </w:tbl>
          <w:p w14:paraId="7FDF374F">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项目</w:t>
            </w:r>
            <w:r>
              <w:rPr>
                <w:rFonts w:hint="default" w:ascii="Times New Roman" w:hAnsi="Times New Roman" w:eastAsia="宋体" w:cs="Times New Roman"/>
                <w:color w:val="auto"/>
                <w:szCs w:val="24"/>
                <w:highlight w:val="none"/>
              </w:rPr>
              <w:t>废水污染源强见表4-</w:t>
            </w:r>
            <w:r>
              <w:rPr>
                <w:rFonts w:hint="eastAsia" w:ascii="Times New Roman" w:hAnsi="Times New Roman" w:eastAsia="宋体" w:cs="Times New Roman"/>
                <w:color w:val="auto"/>
                <w:szCs w:val="24"/>
                <w:highlight w:val="none"/>
                <w:lang w:val="en-US" w:eastAsia="zh-CN"/>
              </w:rPr>
              <w:t>4</w:t>
            </w:r>
            <w:r>
              <w:rPr>
                <w:rFonts w:hint="default" w:ascii="Times New Roman" w:hAnsi="Times New Roman" w:eastAsia="宋体" w:cs="Times New Roman"/>
                <w:color w:val="auto"/>
                <w:szCs w:val="24"/>
                <w:highlight w:val="none"/>
              </w:rPr>
              <w:t>。</w:t>
            </w:r>
          </w:p>
          <w:p w14:paraId="2F309CD0">
            <w:pPr>
              <w:pStyle w:val="200"/>
              <w:pageBreakBefore w:val="0"/>
              <w:kinsoku/>
              <w:overflowPunct/>
              <w:autoSpaceDE/>
              <w:autoSpaceDN/>
              <w:bidi w:val="0"/>
              <w:spacing w:line="240" w:lineRule="auto"/>
              <w:jc w:val="center"/>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表4-</w:t>
            </w:r>
            <w:r>
              <w:rPr>
                <w:rFonts w:hint="eastAsia" w:ascii="Times New Roman" w:hAnsi="Times New Roman" w:cs="Times New Roman"/>
                <w:color w:val="auto"/>
                <w:szCs w:val="32"/>
                <w:highlight w:val="none"/>
                <w:lang w:val="en-US" w:eastAsia="zh-CN"/>
              </w:rPr>
              <w:t>4</w:t>
            </w:r>
            <w:r>
              <w:rPr>
                <w:rFonts w:hint="default" w:ascii="Times New Roman" w:hAns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eastAsia="zh-CN"/>
              </w:rPr>
              <w:t>项目</w:t>
            </w:r>
            <w:r>
              <w:rPr>
                <w:rFonts w:hint="default" w:ascii="Times New Roman" w:hAnsi="Times New Roman" w:cs="Times New Roman"/>
                <w:color w:val="auto"/>
                <w:szCs w:val="32"/>
                <w:highlight w:val="none"/>
              </w:rPr>
              <w:t>废水及其污染物产生量和排放情况表</w:t>
            </w:r>
          </w:p>
          <w:tbl>
            <w:tblPr>
              <w:tblStyle w:val="50"/>
              <w:tblW w:w="80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816"/>
              <w:gridCol w:w="814"/>
              <w:gridCol w:w="913"/>
              <w:gridCol w:w="917"/>
              <w:gridCol w:w="908"/>
              <w:gridCol w:w="899"/>
              <w:gridCol w:w="1690"/>
            </w:tblGrid>
            <w:tr w14:paraId="54F76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Align w:val="center"/>
                </w:tcPr>
                <w:p w14:paraId="3CD33CB0">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w:t>
                  </w:r>
                </w:p>
              </w:tc>
              <w:tc>
                <w:tcPr>
                  <w:tcW w:w="816" w:type="dxa"/>
                  <w:vAlign w:val="center"/>
                </w:tcPr>
                <w:p w14:paraId="7C5D9780">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废水量t/a</w:t>
                  </w:r>
                </w:p>
              </w:tc>
              <w:tc>
                <w:tcPr>
                  <w:tcW w:w="814" w:type="dxa"/>
                  <w:vAlign w:val="center"/>
                </w:tcPr>
                <w:p w14:paraId="59753EB5">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排放情况</w:t>
                  </w:r>
                </w:p>
              </w:tc>
              <w:tc>
                <w:tcPr>
                  <w:tcW w:w="913" w:type="dxa"/>
                  <w:vAlign w:val="center"/>
                </w:tcPr>
                <w:p w14:paraId="711367F9">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COD</w:t>
                  </w:r>
                  <w:r>
                    <w:rPr>
                      <w:rFonts w:hint="default" w:ascii="Times New Roman" w:hAnsi="Times New Roman" w:eastAsia="宋体" w:cs="Times New Roman"/>
                      <w:b/>
                      <w:bCs/>
                      <w:color w:val="auto"/>
                      <w:highlight w:val="none"/>
                      <w:vertAlign w:val="subscript"/>
                      <w:lang w:val="en-US" w:eastAsia="zh-CN"/>
                    </w:rPr>
                    <w:t>Cr</w:t>
                  </w:r>
                </w:p>
              </w:tc>
              <w:tc>
                <w:tcPr>
                  <w:tcW w:w="917" w:type="dxa"/>
                  <w:vAlign w:val="center"/>
                </w:tcPr>
                <w:p w14:paraId="495ED9E2">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BOD</w:t>
                  </w:r>
                  <w:r>
                    <w:rPr>
                      <w:rFonts w:hint="default" w:ascii="Times New Roman" w:hAnsi="Times New Roman" w:eastAsia="宋体" w:cs="Times New Roman"/>
                      <w:b/>
                      <w:bCs/>
                      <w:color w:val="auto"/>
                      <w:highlight w:val="none"/>
                      <w:vertAlign w:val="subscript"/>
                    </w:rPr>
                    <w:t>5</w:t>
                  </w:r>
                </w:p>
              </w:tc>
              <w:tc>
                <w:tcPr>
                  <w:tcW w:w="908" w:type="dxa"/>
                  <w:vAlign w:val="center"/>
                </w:tcPr>
                <w:p w14:paraId="45B77360">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SS</w:t>
                  </w:r>
                </w:p>
              </w:tc>
              <w:tc>
                <w:tcPr>
                  <w:tcW w:w="899" w:type="dxa"/>
                  <w:vAlign w:val="center"/>
                </w:tcPr>
                <w:p w14:paraId="65A5A33B">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氨氮</w:t>
                  </w:r>
                </w:p>
              </w:tc>
              <w:tc>
                <w:tcPr>
                  <w:tcW w:w="1690" w:type="dxa"/>
                  <w:vAlign w:val="center"/>
                </w:tcPr>
                <w:p w14:paraId="669248AA">
                  <w:pPr>
                    <w:pStyle w:val="191"/>
                    <w:pageBreakBefore w:val="0"/>
                    <w:kinsoku/>
                    <w:overflowPunct/>
                    <w:autoSpaceDE/>
                    <w:autoSpaceDN/>
                    <w:bidi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粪大肠菌群</w:t>
                  </w:r>
                </w:p>
              </w:tc>
            </w:tr>
            <w:tr w14:paraId="5BC1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restart"/>
                  <w:vAlign w:val="center"/>
                </w:tcPr>
                <w:p w14:paraId="1CFD8747">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生活污水</w:t>
                  </w:r>
                  <w:r>
                    <w:rPr>
                      <w:rFonts w:hint="eastAsia" w:ascii="Times New Roman" w:hAnsi="Times New Roman" w:eastAsia="宋体" w:cs="Times New Roman"/>
                      <w:color w:val="auto"/>
                      <w:highlight w:val="none"/>
                      <w:lang w:val="en-US" w:eastAsia="zh-CN"/>
                    </w:rPr>
                    <w:t>（现有）</w:t>
                  </w:r>
                </w:p>
              </w:tc>
              <w:tc>
                <w:tcPr>
                  <w:tcW w:w="816" w:type="dxa"/>
                  <w:vMerge w:val="restart"/>
                  <w:vAlign w:val="center"/>
                </w:tcPr>
                <w:p w14:paraId="338F0E4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295.65</w:t>
                  </w:r>
                </w:p>
              </w:tc>
              <w:tc>
                <w:tcPr>
                  <w:tcW w:w="814" w:type="dxa"/>
                  <w:vAlign w:val="center"/>
                </w:tcPr>
                <w:p w14:paraId="37C17C7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13" w:type="dxa"/>
                  <w:vAlign w:val="center"/>
                </w:tcPr>
                <w:p w14:paraId="6BC95F6D">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400</w:t>
                  </w:r>
                </w:p>
              </w:tc>
              <w:tc>
                <w:tcPr>
                  <w:tcW w:w="917" w:type="dxa"/>
                  <w:vAlign w:val="center"/>
                </w:tcPr>
                <w:p w14:paraId="72E79ABD">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908" w:type="dxa"/>
                  <w:vAlign w:val="center"/>
                </w:tcPr>
                <w:p w14:paraId="3546C7FA">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899" w:type="dxa"/>
                  <w:vAlign w:val="center"/>
                </w:tcPr>
                <w:p w14:paraId="0CA43F5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45</w:t>
                  </w:r>
                </w:p>
              </w:tc>
              <w:tc>
                <w:tcPr>
                  <w:tcW w:w="1690" w:type="dxa"/>
                  <w:vAlign w:val="center"/>
                </w:tcPr>
                <w:p w14:paraId="717460D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318C8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vMerge w:val="continue"/>
                  <w:vAlign w:val="center"/>
                </w:tcPr>
                <w:p w14:paraId="6FC8740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vAlign w:val="center"/>
                </w:tcPr>
                <w:p w14:paraId="10379164">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69994853">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13" w:type="dxa"/>
                  <w:vAlign w:val="center"/>
                </w:tcPr>
                <w:p w14:paraId="7D0F124D">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0.11826</w:t>
                  </w:r>
                </w:p>
              </w:tc>
              <w:tc>
                <w:tcPr>
                  <w:tcW w:w="917" w:type="dxa"/>
                  <w:vAlign w:val="center"/>
                </w:tcPr>
                <w:p w14:paraId="4CCB9B73">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05913</w:t>
                  </w:r>
                </w:p>
              </w:tc>
              <w:tc>
                <w:tcPr>
                  <w:tcW w:w="908" w:type="dxa"/>
                  <w:vAlign w:val="center"/>
                </w:tcPr>
                <w:p w14:paraId="258663CB">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0.05913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99" w:type="dxa"/>
                  <w:vAlign w:val="center"/>
                </w:tcPr>
                <w:p w14:paraId="57FD65E4">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0133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0" w:type="dxa"/>
                  <w:vAlign w:val="center"/>
                </w:tcPr>
                <w:p w14:paraId="5E0828D1">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57DDE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vMerge w:val="restart"/>
                  <w:vAlign w:val="center"/>
                </w:tcPr>
                <w:p w14:paraId="43FF1B1C">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宠物美容废水</w:t>
                  </w:r>
                  <w:r>
                    <w:rPr>
                      <w:rFonts w:hint="eastAsia" w:ascii="Times New Roman" w:hAnsi="Times New Roman" w:eastAsia="宋体" w:cs="Times New Roman"/>
                      <w:color w:val="auto"/>
                      <w:highlight w:val="none"/>
                      <w:lang w:val="en-US" w:eastAsia="zh-CN"/>
                    </w:rPr>
                    <w:t>（现有）</w:t>
                  </w:r>
                </w:p>
              </w:tc>
              <w:tc>
                <w:tcPr>
                  <w:tcW w:w="816" w:type="dxa"/>
                  <w:vMerge w:val="restart"/>
                  <w:vAlign w:val="center"/>
                </w:tcPr>
                <w:p w14:paraId="2CAD0CFE">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98.55</w:t>
                  </w:r>
                </w:p>
              </w:tc>
              <w:tc>
                <w:tcPr>
                  <w:tcW w:w="814" w:type="dxa"/>
                  <w:shd w:val="clear" w:color="auto" w:fill="auto"/>
                  <w:vAlign w:val="center"/>
                </w:tcPr>
                <w:p w14:paraId="1D55F79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13" w:type="dxa"/>
                  <w:shd w:val="clear" w:color="auto" w:fill="auto"/>
                  <w:vAlign w:val="center"/>
                </w:tcPr>
                <w:p w14:paraId="4310CBC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917" w:type="dxa"/>
                  <w:shd w:val="clear" w:color="auto" w:fill="auto"/>
                  <w:vAlign w:val="center"/>
                </w:tcPr>
                <w:p w14:paraId="1174BC0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908" w:type="dxa"/>
                  <w:shd w:val="clear" w:color="auto" w:fill="auto"/>
                  <w:vAlign w:val="center"/>
                </w:tcPr>
                <w:p w14:paraId="082F092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899" w:type="dxa"/>
                  <w:shd w:val="clear" w:color="auto" w:fill="auto"/>
                  <w:vAlign w:val="center"/>
                </w:tcPr>
                <w:p w14:paraId="08C5532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0" w:type="dxa"/>
                  <w:vAlign w:val="center"/>
                </w:tcPr>
                <w:p w14:paraId="103A948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1.6×10</w:t>
                  </w:r>
                  <w:r>
                    <w:rPr>
                      <w:rFonts w:hint="default" w:ascii="Times New Roman" w:hAnsi="Times New Roman" w:eastAsia="宋体" w:cs="Times New Roman"/>
                      <w:color w:val="auto"/>
                      <w:highlight w:val="none"/>
                      <w:vertAlign w:val="superscript"/>
                    </w:rPr>
                    <w:t>5</w:t>
                  </w:r>
                  <w:r>
                    <w:rPr>
                      <w:rFonts w:hint="default" w:ascii="Times New Roman" w:hAnsi="Times New Roman" w:eastAsia="宋体" w:cs="Times New Roman"/>
                      <w:color w:val="auto"/>
                      <w:highlight w:val="none"/>
                    </w:rPr>
                    <w:t>MPN/L</w:t>
                  </w:r>
                </w:p>
              </w:tc>
            </w:tr>
            <w:tr w14:paraId="39E12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vMerge w:val="continue"/>
                  <w:vAlign w:val="center"/>
                </w:tcPr>
                <w:p w14:paraId="46E28301">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vAlign w:val="center"/>
                </w:tcPr>
                <w:p w14:paraId="5C3D56A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5FB856E2">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13" w:type="dxa"/>
                  <w:vAlign w:val="center"/>
                </w:tcPr>
                <w:p w14:paraId="1E669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0.02464</w:t>
                  </w:r>
                </w:p>
              </w:tc>
              <w:tc>
                <w:tcPr>
                  <w:tcW w:w="917" w:type="dxa"/>
                  <w:vAlign w:val="center"/>
                </w:tcPr>
                <w:p w14:paraId="3C56F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0.00986</w:t>
                  </w:r>
                </w:p>
              </w:tc>
              <w:tc>
                <w:tcPr>
                  <w:tcW w:w="908" w:type="dxa"/>
                  <w:vAlign w:val="center"/>
                </w:tcPr>
                <w:p w14:paraId="1FBDE0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0.00788</w:t>
                  </w:r>
                </w:p>
              </w:tc>
              <w:tc>
                <w:tcPr>
                  <w:tcW w:w="899" w:type="dxa"/>
                  <w:vAlign w:val="center"/>
                </w:tcPr>
                <w:p w14:paraId="4F1F4D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0.00296</w:t>
                  </w:r>
                </w:p>
              </w:tc>
              <w:tc>
                <w:tcPr>
                  <w:tcW w:w="1690" w:type="dxa"/>
                  <w:vAlign w:val="center"/>
                </w:tcPr>
                <w:p w14:paraId="6E30995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1.58</w:t>
                  </w: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rPr>
                    <w:t>MPN/L</w:t>
                  </w:r>
                </w:p>
              </w:tc>
            </w:tr>
            <w:tr w14:paraId="697E2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vMerge w:val="continue"/>
                  <w:vAlign w:val="center"/>
                </w:tcPr>
                <w:p w14:paraId="751284E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vAlign w:val="center"/>
                </w:tcPr>
                <w:p w14:paraId="71F1B69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3603712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913" w:type="dxa"/>
                  <w:shd w:val="clear" w:color="auto" w:fill="auto"/>
                  <w:vAlign w:val="center"/>
                </w:tcPr>
                <w:p w14:paraId="7B50764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17" w:type="dxa"/>
                  <w:shd w:val="clear" w:color="auto" w:fill="auto"/>
                  <w:vAlign w:val="center"/>
                </w:tcPr>
                <w:p w14:paraId="158D86B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08" w:type="dxa"/>
                  <w:shd w:val="clear" w:color="auto" w:fill="auto"/>
                  <w:vAlign w:val="center"/>
                </w:tcPr>
                <w:p w14:paraId="3FEC59E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899" w:type="dxa"/>
                  <w:shd w:val="clear" w:color="auto" w:fill="auto"/>
                  <w:vAlign w:val="center"/>
                </w:tcPr>
                <w:p w14:paraId="5A89BF8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1690" w:type="dxa"/>
                  <w:shd w:val="clear" w:color="auto" w:fill="auto"/>
                  <w:vAlign w:val="center"/>
                </w:tcPr>
                <w:p w14:paraId="263C0FF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99.99</w:t>
                  </w:r>
                  <w:r>
                    <w:rPr>
                      <w:rFonts w:hint="default" w:ascii="Times New Roman" w:hAnsi="Times New Roman" w:eastAsia="宋体" w:cs="Times New Roman"/>
                      <w:color w:val="auto"/>
                      <w:highlight w:val="none"/>
                    </w:rPr>
                    <w:t>%</w:t>
                  </w:r>
                </w:p>
              </w:tc>
            </w:tr>
            <w:tr w14:paraId="520E1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vMerge w:val="continue"/>
                  <w:vAlign w:val="center"/>
                </w:tcPr>
                <w:p w14:paraId="1FCF5B84">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vAlign w:val="center"/>
                </w:tcPr>
                <w:p w14:paraId="0C60D5D9">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4FE6A4D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13" w:type="dxa"/>
                  <w:vAlign w:val="center"/>
                </w:tcPr>
                <w:p w14:paraId="1485DB28">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250</w:t>
                  </w:r>
                </w:p>
              </w:tc>
              <w:tc>
                <w:tcPr>
                  <w:tcW w:w="917" w:type="dxa"/>
                  <w:vAlign w:val="center"/>
                </w:tcPr>
                <w:p w14:paraId="1B6A1132">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100</w:t>
                  </w:r>
                </w:p>
              </w:tc>
              <w:tc>
                <w:tcPr>
                  <w:tcW w:w="908" w:type="dxa"/>
                  <w:vAlign w:val="center"/>
                </w:tcPr>
                <w:p w14:paraId="2C3AF7A3">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80</w:t>
                  </w:r>
                </w:p>
              </w:tc>
              <w:tc>
                <w:tcPr>
                  <w:tcW w:w="899" w:type="dxa"/>
                  <w:vAlign w:val="center"/>
                </w:tcPr>
                <w:p w14:paraId="15DFD4BA">
                  <w:pPr>
                    <w:pStyle w:val="191"/>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30</w:t>
                  </w:r>
                </w:p>
              </w:tc>
              <w:tc>
                <w:tcPr>
                  <w:tcW w:w="1690" w:type="dxa"/>
                  <w:vAlign w:val="center"/>
                </w:tcPr>
                <w:p w14:paraId="2B59D68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r>
            <w:tr w14:paraId="1FC1B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vMerge w:val="continue"/>
                  <w:vAlign w:val="center"/>
                </w:tcPr>
                <w:p w14:paraId="426519A4">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vAlign w:val="center"/>
                </w:tcPr>
                <w:p w14:paraId="6734563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1BAA02A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913" w:type="dxa"/>
                  <w:shd w:val="clear" w:color="auto" w:fill="auto"/>
                  <w:vAlign w:val="center"/>
                </w:tcPr>
                <w:p w14:paraId="600CAF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0.02464</w:t>
                  </w:r>
                </w:p>
              </w:tc>
              <w:tc>
                <w:tcPr>
                  <w:tcW w:w="917" w:type="dxa"/>
                  <w:shd w:val="clear" w:color="auto" w:fill="auto"/>
                  <w:vAlign w:val="center"/>
                </w:tcPr>
                <w:p w14:paraId="176A5A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0.00986</w:t>
                  </w:r>
                </w:p>
              </w:tc>
              <w:tc>
                <w:tcPr>
                  <w:tcW w:w="908" w:type="dxa"/>
                  <w:shd w:val="clear" w:color="auto" w:fill="auto"/>
                  <w:vAlign w:val="center"/>
                </w:tcPr>
                <w:p w14:paraId="499CA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0.00788</w:t>
                  </w:r>
                </w:p>
              </w:tc>
              <w:tc>
                <w:tcPr>
                  <w:tcW w:w="899" w:type="dxa"/>
                  <w:shd w:val="clear" w:color="auto" w:fill="auto"/>
                  <w:vAlign w:val="center"/>
                </w:tcPr>
                <w:p w14:paraId="6634B8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0.00296</w:t>
                  </w:r>
                </w:p>
              </w:tc>
              <w:tc>
                <w:tcPr>
                  <w:tcW w:w="1690" w:type="dxa"/>
                  <w:vAlign w:val="center"/>
                </w:tcPr>
                <w:p w14:paraId="62EF1EB2">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1.58</w:t>
                  </w: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vertAlign w:val="superscript"/>
                      <w:lang w:val="en-US" w:eastAsia="zh-CN"/>
                    </w:rPr>
                    <w:t>6</w:t>
                  </w:r>
                  <w:r>
                    <w:rPr>
                      <w:rFonts w:hint="default" w:ascii="Times New Roman" w:hAnsi="Times New Roman" w:eastAsia="宋体" w:cs="Times New Roman"/>
                      <w:color w:val="auto"/>
                      <w:highlight w:val="none"/>
                    </w:rPr>
                    <w:t>MPN/L</w:t>
                  </w:r>
                </w:p>
              </w:tc>
            </w:tr>
            <w:tr w14:paraId="4AFDC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restart"/>
                  <w:vAlign w:val="center"/>
                </w:tcPr>
                <w:p w14:paraId="7244516C">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宠物诊疗废水</w:t>
                  </w:r>
                  <w:r>
                    <w:rPr>
                      <w:rFonts w:hint="eastAsia" w:ascii="Times New Roman" w:hAnsi="Times New Roman" w:eastAsia="宋体" w:cs="Times New Roman"/>
                      <w:color w:val="auto"/>
                      <w:highlight w:val="none"/>
                      <w:lang w:val="en-US" w:eastAsia="zh-CN"/>
                    </w:rPr>
                    <w:t>（现有）</w:t>
                  </w:r>
                </w:p>
              </w:tc>
              <w:tc>
                <w:tcPr>
                  <w:tcW w:w="816" w:type="dxa"/>
                  <w:vMerge w:val="restart"/>
                  <w:vAlign w:val="center"/>
                </w:tcPr>
                <w:p w14:paraId="1F368AC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49.275</w:t>
                  </w:r>
                </w:p>
              </w:tc>
              <w:tc>
                <w:tcPr>
                  <w:tcW w:w="814" w:type="dxa"/>
                  <w:vAlign w:val="center"/>
                </w:tcPr>
                <w:p w14:paraId="3EE7E818">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13" w:type="dxa"/>
                  <w:vAlign w:val="center"/>
                </w:tcPr>
                <w:p w14:paraId="41FDD137">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917" w:type="dxa"/>
                  <w:vAlign w:val="center"/>
                </w:tcPr>
                <w:p w14:paraId="24439E7C">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908" w:type="dxa"/>
                  <w:vAlign w:val="center"/>
                </w:tcPr>
                <w:p w14:paraId="0690141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899" w:type="dxa"/>
                  <w:vAlign w:val="center"/>
                </w:tcPr>
                <w:p w14:paraId="30503E1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0" w:type="dxa"/>
                  <w:vAlign w:val="center"/>
                </w:tcPr>
                <w:p w14:paraId="30F68DBC">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1.6×10</w:t>
                  </w:r>
                  <w:r>
                    <w:rPr>
                      <w:rFonts w:hint="default" w:ascii="Times New Roman" w:hAnsi="Times New Roman" w:eastAsia="宋体" w:cs="Times New Roman"/>
                      <w:color w:val="auto"/>
                      <w:highlight w:val="none"/>
                      <w:vertAlign w:val="superscript"/>
                    </w:rPr>
                    <w:t>5</w:t>
                  </w:r>
                  <w:r>
                    <w:rPr>
                      <w:rFonts w:hint="default" w:ascii="Times New Roman" w:hAnsi="Times New Roman" w:eastAsia="宋体" w:cs="Times New Roman"/>
                      <w:color w:val="auto"/>
                      <w:highlight w:val="none"/>
                    </w:rPr>
                    <w:t>MPN/L</w:t>
                  </w:r>
                </w:p>
              </w:tc>
            </w:tr>
            <w:tr w14:paraId="5905B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72" w:type="dxa"/>
                  <w:vMerge w:val="continue"/>
                  <w:vAlign w:val="center"/>
                </w:tcPr>
                <w:p w14:paraId="1695BE89">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7A157B9D">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6EB0DA34">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13" w:type="dxa"/>
                  <w:vAlign w:val="center"/>
                </w:tcPr>
                <w:p w14:paraId="1A5D75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0.01232 </w:t>
                  </w:r>
                </w:p>
              </w:tc>
              <w:tc>
                <w:tcPr>
                  <w:tcW w:w="917" w:type="dxa"/>
                  <w:vAlign w:val="center"/>
                </w:tcPr>
                <w:p w14:paraId="6396213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0.00493 </w:t>
                  </w:r>
                </w:p>
              </w:tc>
              <w:tc>
                <w:tcPr>
                  <w:tcW w:w="908" w:type="dxa"/>
                  <w:vAlign w:val="center"/>
                </w:tcPr>
                <w:p w14:paraId="09D9DB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0.00394 </w:t>
                  </w:r>
                </w:p>
              </w:tc>
              <w:tc>
                <w:tcPr>
                  <w:tcW w:w="899" w:type="dxa"/>
                  <w:vAlign w:val="center"/>
                </w:tcPr>
                <w:p w14:paraId="642DE66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0.00148 </w:t>
                  </w:r>
                </w:p>
              </w:tc>
              <w:tc>
                <w:tcPr>
                  <w:tcW w:w="1690" w:type="dxa"/>
                  <w:vAlign w:val="center"/>
                </w:tcPr>
                <w:p w14:paraId="0203F5A2">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7.88</w:t>
                  </w:r>
                  <w:r>
                    <w:rPr>
                      <w:rFonts w:hint="default" w:ascii="Times New Roman" w:hAnsi="Times New Roman" w:eastAsia="宋体" w:cs="Times New Roman"/>
                      <w:color w:val="auto"/>
                      <w:sz w:val="21"/>
                      <w:szCs w:val="21"/>
                      <w:highlight w:val="none"/>
                    </w:rPr>
                    <w:t>×10</w:t>
                  </w:r>
                  <w:r>
                    <w:rPr>
                      <w:rFonts w:hint="eastAsia" w:ascii="Times New Roman" w:hAnsi="Times New Roman" w:cs="Times New Roman"/>
                      <w:color w:val="auto"/>
                      <w:sz w:val="21"/>
                      <w:szCs w:val="21"/>
                      <w:highlight w:val="none"/>
                      <w:vertAlign w:val="superscript"/>
                      <w:lang w:val="en-US" w:eastAsia="zh-CN"/>
                    </w:rPr>
                    <w:t>9</w:t>
                  </w:r>
                  <w:r>
                    <w:rPr>
                      <w:rFonts w:hint="default" w:ascii="Times New Roman" w:hAnsi="Times New Roman" w:eastAsia="宋体" w:cs="Times New Roman"/>
                      <w:color w:val="auto"/>
                      <w:highlight w:val="none"/>
                    </w:rPr>
                    <w:t>MPN</w:t>
                  </w:r>
                </w:p>
              </w:tc>
            </w:tr>
            <w:tr w14:paraId="5B2D0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0EE16F22">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2CE8C05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4D31F2B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913" w:type="dxa"/>
                  <w:vAlign w:val="center"/>
                </w:tcPr>
                <w:p w14:paraId="02CD3973">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17" w:type="dxa"/>
                  <w:vAlign w:val="center"/>
                </w:tcPr>
                <w:p w14:paraId="110AA1E5">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08" w:type="dxa"/>
                  <w:vAlign w:val="center"/>
                </w:tcPr>
                <w:p w14:paraId="052B879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899" w:type="dxa"/>
                  <w:vAlign w:val="center"/>
                </w:tcPr>
                <w:p w14:paraId="64722BB1">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1690" w:type="dxa"/>
                  <w:vAlign w:val="center"/>
                </w:tcPr>
                <w:p w14:paraId="33457F94">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99.99</w:t>
                  </w:r>
                  <w:r>
                    <w:rPr>
                      <w:rFonts w:hint="default" w:ascii="Times New Roman" w:hAnsi="Times New Roman" w:eastAsia="宋体" w:cs="Times New Roman"/>
                      <w:color w:val="auto"/>
                      <w:highlight w:val="none"/>
                    </w:rPr>
                    <w:t>%</w:t>
                  </w:r>
                </w:p>
              </w:tc>
            </w:tr>
            <w:tr w14:paraId="2B3D8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571E517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1E6AC6D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564E89FA">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13" w:type="dxa"/>
                  <w:vAlign w:val="center"/>
                </w:tcPr>
                <w:p w14:paraId="7A8067D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250</w:t>
                  </w:r>
                </w:p>
              </w:tc>
              <w:tc>
                <w:tcPr>
                  <w:tcW w:w="917" w:type="dxa"/>
                  <w:vAlign w:val="center"/>
                </w:tcPr>
                <w:p w14:paraId="4FCF3177">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100</w:t>
                  </w:r>
                </w:p>
              </w:tc>
              <w:tc>
                <w:tcPr>
                  <w:tcW w:w="908" w:type="dxa"/>
                  <w:vAlign w:val="center"/>
                </w:tcPr>
                <w:p w14:paraId="59D3610C">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899" w:type="dxa"/>
                  <w:vAlign w:val="center"/>
                </w:tcPr>
                <w:p w14:paraId="71196F3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0" w:type="dxa"/>
                  <w:vAlign w:val="center"/>
                </w:tcPr>
                <w:p w14:paraId="53153B14">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r>
            <w:tr w14:paraId="2E5A9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2" w:type="dxa"/>
                  <w:vMerge w:val="continue"/>
                  <w:vAlign w:val="center"/>
                </w:tcPr>
                <w:p w14:paraId="33B3EC0E">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bookmarkStart w:id="91" w:name="_Toc8415"/>
                  <w:bookmarkStart w:id="92" w:name="_Toc23159"/>
                  <w:bookmarkStart w:id="93" w:name="_Toc32708_WPSOffice_Level3"/>
                </w:p>
              </w:tc>
              <w:tc>
                <w:tcPr>
                  <w:tcW w:w="816" w:type="dxa"/>
                  <w:vMerge w:val="continue"/>
                </w:tcPr>
                <w:p w14:paraId="7A435CFE">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7F3A2C0C">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913" w:type="dxa"/>
                  <w:vAlign w:val="center"/>
                </w:tcPr>
                <w:p w14:paraId="660DEE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0.01232 </w:t>
                  </w:r>
                </w:p>
              </w:tc>
              <w:tc>
                <w:tcPr>
                  <w:tcW w:w="917" w:type="dxa"/>
                  <w:vAlign w:val="center"/>
                </w:tcPr>
                <w:p w14:paraId="51F8DEC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0.00493 </w:t>
                  </w:r>
                </w:p>
              </w:tc>
              <w:tc>
                <w:tcPr>
                  <w:tcW w:w="908" w:type="dxa"/>
                  <w:vAlign w:val="center"/>
                </w:tcPr>
                <w:p w14:paraId="437C2E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0.00394 </w:t>
                  </w:r>
                </w:p>
              </w:tc>
              <w:tc>
                <w:tcPr>
                  <w:tcW w:w="899" w:type="dxa"/>
                  <w:vAlign w:val="center"/>
                </w:tcPr>
                <w:p w14:paraId="66ED056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0.00148 </w:t>
                  </w:r>
                </w:p>
              </w:tc>
              <w:tc>
                <w:tcPr>
                  <w:tcW w:w="1690" w:type="dxa"/>
                  <w:vAlign w:val="center"/>
                </w:tcPr>
                <w:p w14:paraId="6EBE1C1D">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7.88</w:t>
                  </w:r>
                  <w:r>
                    <w:rPr>
                      <w:rFonts w:hint="default" w:ascii="Times New Roman" w:hAnsi="Times New Roman" w:eastAsia="宋体" w:cs="Times New Roman"/>
                      <w:color w:val="auto"/>
                      <w:sz w:val="21"/>
                      <w:szCs w:val="21"/>
                      <w:highlight w:val="none"/>
                    </w:rPr>
                    <w:t>×10</w:t>
                  </w:r>
                  <w:r>
                    <w:rPr>
                      <w:rFonts w:hint="eastAsia" w:ascii="Times New Roman" w:hAnsi="Times New Roman" w:cs="Times New Roman"/>
                      <w:color w:val="auto"/>
                      <w:sz w:val="21"/>
                      <w:szCs w:val="21"/>
                      <w:highlight w:val="none"/>
                      <w:vertAlign w:val="superscript"/>
                      <w:lang w:val="en-US" w:eastAsia="zh-CN"/>
                    </w:rPr>
                    <w:t>5</w:t>
                  </w:r>
                  <w:r>
                    <w:rPr>
                      <w:rFonts w:hint="default" w:ascii="Times New Roman" w:hAnsi="Times New Roman" w:eastAsia="宋体" w:cs="Times New Roman"/>
                      <w:color w:val="auto"/>
                      <w:highlight w:val="none"/>
                    </w:rPr>
                    <w:t>MPN</w:t>
                  </w:r>
                </w:p>
              </w:tc>
            </w:tr>
            <w:tr w14:paraId="7337A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2" w:type="dxa"/>
                  <w:vMerge w:val="restart"/>
                  <w:vAlign w:val="center"/>
                </w:tcPr>
                <w:p w14:paraId="551AAE8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宠物诊疗废水</w:t>
                  </w:r>
                  <w:r>
                    <w:rPr>
                      <w:rFonts w:hint="eastAsia" w:ascii="Times New Roman" w:hAnsi="Times New Roman" w:eastAsia="宋体" w:cs="Times New Roman"/>
                      <w:color w:val="auto"/>
                      <w:highlight w:val="none"/>
                      <w:lang w:val="en-US" w:eastAsia="zh-CN"/>
                    </w:rPr>
                    <w:t>（新增）</w:t>
                  </w:r>
                </w:p>
              </w:tc>
              <w:tc>
                <w:tcPr>
                  <w:tcW w:w="816" w:type="dxa"/>
                  <w:vMerge w:val="restart"/>
                </w:tcPr>
                <w:p w14:paraId="1355A980">
                  <w:pPr>
                    <w:pStyle w:val="191"/>
                    <w:keepNext w:val="0"/>
                    <w:keepLines w:val="0"/>
                    <w:pageBreakBefore w:val="0"/>
                    <w:widowControl w:val="0"/>
                    <w:kinsoku/>
                    <w:wordWrap/>
                    <w:overflowPunct/>
                    <w:topLinePunct w:val="0"/>
                    <w:autoSpaceDE/>
                    <w:autoSpaceDN/>
                    <w:bidi w:val="0"/>
                    <w:adjustRightInd/>
                    <w:snapToGrid/>
                    <w:spacing w:before="2937" w:beforeLines="800"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24.6375</w:t>
                  </w:r>
                </w:p>
              </w:tc>
              <w:tc>
                <w:tcPr>
                  <w:tcW w:w="814" w:type="dxa"/>
                  <w:shd w:val="clear" w:color="auto" w:fill="auto"/>
                  <w:vAlign w:val="center"/>
                </w:tcPr>
                <w:p w14:paraId="684A7FB1">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913" w:type="dxa"/>
                  <w:shd w:val="clear" w:color="auto" w:fill="auto"/>
                  <w:vAlign w:val="center"/>
                </w:tcPr>
                <w:p w14:paraId="0944AF0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917" w:type="dxa"/>
                  <w:shd w:val="clear" w:color="auto" w:fill="auto"/>
                  <w:vAlign w:val="center"/>
                </w:tcPr>
                <w:p w14:paraId="2F855D4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908" w:type="dxa"/>
                  <w:shd w:val="clear" w:color="auto" w:fill="auto"/>
                  <w:vAlign w:val="center"/>
                </w:tcPr>
                <w:p w14:paraId="1570F79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899" w:type="dxa"/>
                  <w:shd w:val="clear" w:color="auto" w:fill="auto"/>
                  <w:vAlign w:val="center"/>
                </w:tcPr>
                <w:p w14:paraId="7548FF8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0" w:type="dxa"/>
                  <w:shd w:val="clear" w:color="auto" w:fill="auto"/>
                  <w:vAlign w:val="center"/>
                </w:tcPr>
                <w:p w14:paraId="4660320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1.6×10</w:t>
                  </w:r>
                  <w:r>
                    <w:rPr>
                      <w:rFonts w:hint="default" w:ascii="Times New Roman" w:hAnsi="Times New Roman" w:eastAsia="宋体" w:cs="Times New Roman"/>
                      <w:color w:val="auto"/>
                      <w:highlight w:val="none"/>
                      <w:vertAlign w:val="superscript"/>
                    </w:rPr>
                    <w:t>5</w:t>
                  </w:r>
                  <w:r>
                    <w:rPr>
                      <w:rFonts w:hint="default" w:ascii="Times New Roman" w:hAnsi="Times New Roman" w:eastAsia="宋体" w:cs="Times New Roman"/>
                      <w:color w:val="auto"/>
                      <w:highlight w:val="none"/>
                    </w:rPr>
                    <w:t>MPN/L</w:t>
                  </w:r>
                </w:p>
              </w:tc>
            </w:tr>
            <w:tr w14:paraId="0064D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2" w:type="dxa"/>
                  <w:vMerge w:val="continue"/>
                  <w:vAlign w:val="center"/>
                </w:tcPr>
                <w:p w14:paraId="681CADBD">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41C8C75D">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72F74C97">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913" w:type="dxa"/>
                  <w:shd w:val="clear" w:color="auto" w:fill="auto"/>
                  <w:vAlign w:val="center"/>
                </w:tcPr>
                <w:p w14:paraId="6E2CF9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0.00616 </w:t>
                  </w:r>
                </w:p>
              </w:tc>
              <w:tc>
                <w:tcPr>
                  <w:tcW w:w="917" w:type="dxa"/>
                  <w:shd w:val="clear" w:color="auto" w:fill="auto"/>
                  <w:vAlign w:val="center"/>
                </w:tcPr>
                <w:p w14:paraId="434A1A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0.00246 </w:t>
                  </w:r>
                </w:p>
              </w:tc>
              <w:tc>
                <w:tcPr>
                  <w:tcW w:w="908" w:type="dxa"/>
                  <w:shd w:val="clear" w:color="auto" w:fill="auto"/>
                  <w:vAlign w:val="center"/>
                </w:tcPr>
                <w:p w14:paraId="56D23F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0.00197 </w:t>
                  </w:r>
                </w:p>
              </w:tc>
              <w:tc>
                <w:tcPr>
                  <w:tcW w:w="899" w:type="dxa"/>
                  <w:shd w:val="clear" w:color="auto" w:fill="auto"/>
                  <w:vAlign w:val="center"/>
                </w:tcPr>
                <w:p w14:paraId="666A11C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0.00074 </w:t>
                  </w:r>
                </w:p>
              </w:tc>
              <w:tc>
                <w:tcPr>
                  <w:tcW w:w="1690" w:type="dxa"/>
                  <w:shd w:val="clear" w:color="auto" w:fill="auto"/>
                  <w:vAlign w:val="center"/>
                </w:tcPr>
                <w:p w14:paraId="50E5933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3.94</w:t>
                  </w:r>
                  <w:r>
                    <w:rPr>
                      <w:rFonts w:hint="default" w:ascii="Times New Roman" w:hAnsi="Times New Roman" w:eastAsia="宋体" w:cs="Times New Roman"/>
                      <w:color w:val="auto"/>
                      <w:sz w:val="21"/>
                      <w:szCs w:val="21"/>
                      <w:highlight w:val="none"/>
                    </w:rPr>
                    <w:t>×10</w:t>
                  </w:r>
                  <w:r>
                    <w:rPr>
                      <w:rFonts w:hint="eastAsia" w:ascii="Times New Roman" w:hAnsi="Times New Roman" w:cs="Times New Roman"/>
                      <w:color w:val="auto"/>
                      <w:sz w:val="21"/>
                      <w:szCs w:val="21"/>
                      <w:highlight w:val="none"/>
                      <w:vertAlign w:val="superscript"/>
                      <w:lang w:val="en-US" w:eastAsia="zh-CN"/>
                    </w:rPr>
                    <w:t>9</w:t>
                  </w:r>
                  <w:r>
                    <w:rPr>
                      <w:rFonts w:hint="default" w:ascii="Times New Roman" w:hAnsi="Times New Roman" w:eastAsia="宋体" w:cs="Times New Roman"/>
                      <w:color w:val="auto"/>
                      <w:highlight w:val="none"/>
                    </w:rPr>
                    <w:t>MPN</w:t>
                  </w:r>
                </w:p>
              </w:tc>
            </w:tr>
            <w:tr w14:paraId="223BF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2" w:type="dxa"/>
                  <w:vMerge w:val="continue"/>
                  <w:vAlign w:val="center"/>
                </w:tcPr>
                <w:p w14:paraId="5E058F8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1E23FDCB">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3651F5C8">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913" w:type="dxa"/>
                  <w:shd w:val="clear" w:color="auto" w:fill="auto"/>
                  <w:vAlign w:val="center"/>
                </w:tcPr>
                <w:p w14:paraId="2C4633DA">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17" w:type="dxa"/>
                  <w:shd w:val="clear" w:color="auto" w:fill="auto"/>
                  <w:vAlign w:val="center"/>
                </w:tcPr>
                <w:p w14:paraId="1D76E3F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908" w:type="dxa"/>
                  <w:shd w:val="clear" w:color="auto" w:fill="auto"/>
                  <w:vAlign w:val="center"/>
                </w:tcPr>
                <w:p w14:paraId="5FB2D022">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899" w:type="dxa"/>
                  <w:shd w:val="clear" w:color="auto" w:fill="auto"/>
                  <w:vAlign w:val="center"/>
                </w:tcPr>
                <w:p w14:paraId="2248C32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c>
                <w:tcPr>
                  <w:tcW w:w="1690" w:type="dxa"/>
                  <w:shd w:val="clear" w:color="auto" w:fill="auto"/>
                  <w:vAlign w:val="center"/>
                </w:tcPr>
                <w:p w14:paraId="223C356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99.99</w:t>
                  </w:r>
                  <w:r>
                    <w:rPr>
                      <w:rFonts w:hint="default" w:ascii="Times New Roman" w:hAnsi="Times New Roman" w:eastAsia="宋体" w:cs="Times New Roman"/>
                      <w:color w:val="auto"/>
                      <w:highlight w:val="none"/>
                    </w:rPr>
                    <w:t>%</w:t>
                  </w:r>
                </w:p>
              </w:tc>
            </w:tr>
            <w:tr w14:paraId="449A6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2" w:type="dxa"/>
                  <w:vMerge w:val="continue"/>
                  <w:vAlign w:val="center"/>
                </w:tcPr>
                <w:p w14:paraId="3E4FCF6F">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2BE6F05C">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6C753CA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13" w:type="dxa"/>
                  <w:shd w:val="clear" w:color="auto" w:fill="auto"/>
                  <w:vAlign w:val="center"/>
                </w:tcPr>
                <w:p w14:paraId="5E65D33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250</w:t>
                  </w:r>
                </w:p>
              </w:tc>
              <w:tc>
                <w:tcPr>
                  <w:tcW w:w="917" w:type="dxa"/>
                  <w:shd w:val="clear" w:color="auto" w:fill="auto"/>
                  <w:vAlign w:val="center"/>
                </w:tcPr>
                <w:p w14:paraId="4F4C7E0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100</w:t>
                  </w:r>
                </w:p>
              </w:tc>
              <w:tc>
                <w:tcPr>
                  <w:tcW w:w="908" w:type="dxa"/>
                  <w:shd w:val="clear" w:color="auto" w:fill="auto"/>
                  <w:vAlign w:val="center"/>
                </w:tcPr>
                <w:p w14:paraId="715F7868">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899" w:type="dxa"/>
                  <w:shd w:val="clear" w:color="auto" w:fill="auto"/>
                  <w:vAlign w:val="center"/>
                </w:tcPr>
                <w:p w14:paraId="2941F5DC">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690" w:type="dxa"/>
                  <w:shd w:val="clear" w:color="auto" w:fill="auto"/>
                  <w:vAlign w:val="center"/>
                </w:tcPr>
                <w:p w14:paraId="3A9B48BD">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r>
            <w:tr w14:paraId="13635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2" w:type="dxa"/>
                  <w:vMerge w:val="continue"/>
                  <w:vAlign w:val="center"/>
                </w:tcPr>
                <w:p w14:paraId="0790A821">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79D6798D">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shd w:val="clear" w:color="auto" w:fill="auto"/>
                  <w:vAlign w:val="center"/>
                </w:tcPr>
                <w:p w14:paraId="3C468BEB">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913" w:type="dxa"/>
                  <w:shd w:val="clear" w:color="auto" w:fill="auto"/>
                  <w:vAlign w:val="center"/>
                </w:tcPr>
                <w:p w14:paraId="127295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0.00616 </w:t>
                  </w:r>
                </w:p>
              </w:tc>
              <w:tc>
                <w:tcPr>
                  <w:tcW w:w="917" w:type="dxa"/>
                  <w:shd w:val="clear" w:color="auto" w:fill="auto"/>
                  <w:vAlign w:val="center"/>
                </w:tcPr>
                <w:p w14:paraId="33AB6B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0.00246 </w:t>
                  </w:r>
                </w:p>
              </w:tc>
              <w:tc>
                <w:tcPr>
                  <w:tcW w:w="908" w:type="dxa"/>
                  <w:shd w:val="clear" w:color="auto" w:fill="auto"/>
                  <w:vAlign w:val="center"/>
                </w:tcPr>
                <w:p w14:paraId="2CB110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0.00197 </w:t>
                  </w:r>
                </w:p>
              </w:tc>
              <w:tc>
                <w:tcPr>
                  <w:tcW w:w="899" w:type="dxa"/>
                  <w:shd w:val="clear" w:color="auto" w:fill="auto"/>
                  <w:vAlign w:val="center"/>
                </w:tcPr>
                <w:p w14:paraId="68660D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0.00074 </w:t>
                  </w:r>
                </w:p>
              </w:tc>
              <w:tc>
                <w:tcPr>
                  <w:tcW w:w="1690" w:type="dxa"/>
                  <w:shd w:val="clear" w:color="auto" w:fill="auto"/>
                  <w:vAlign w:val="center"/>
                </w:tcPr>
                <w:p w14:paraId="4277AE93">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3.94</w:t>
                  </w:r>
                  <w:r>
                    <w:rPr>
                      <w:rFonts w:hint="default" w:ascii="Times New Roman" w:hAnsi="Times New Roman" w:eastAsia="宋体" w:cs="Times New Roman"/>
                      <w:color w:val="auto"/>
                      <w:sz w:val="21"/>
                      <w:szCs w:val="21"/>
                      <w:highlight w:val="none"/>
                    </w:rPr>
                    <w:t>×10</w:t>
                  </w:r>
                  <w:r>
                    <w:rPr>
                      <w:rFonts w:hint="eastAsia" w:ascii="Times New Roman" w:hAnsi="Times New Roman" w:cs="Times New Roman"/>
                      <w:color w:val="auto"/>
                      <w:sz w:val="21"/>
                      <w:szCs w:val="21"/>
                      <w:highlight w:val="none"/>
                      <w:vertAlign w:val="superscript"/>
                      <w:lang w:val="en-US" w:eastAsia="zh-CN"/>
                    </w:rPr>
                    <w:t>5</w:t>
                  </w:r>
                  <w:r>
                    <w:rPr>
                      <w:rFonts w:hint="default" w:ascii="Times New Roman" w:hAnsi="Times New Roman" w:eastAsia="宋体" w:cs="Times New Roman"/>
                      <w:color w:val="auto"/>
                      <w:highlight w:val="none"/>
                    </w:rPr>
                    <w:t>MPN</w:t>
                  </w:r>
                </w:p>
              </w:tc>
            </w:tr>
            <w:tr w14:paraId="7C511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72" w:type="dxa"/>
                  <w:vMerge w:val="restart"/>
                  <w:vAlign w:val="center"/>
                </w:tcPr>
                <w:p w14:paraId="3D50D4DB">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综合废水</w:t>
                  </w:r>
                  <w:r>
                    <w:rPr>
                      <w:rFonts w:hint="eastAsia" w:ascii="Times New Roman" w:hAnsi="Times New Roman" w:eastAsia="宋体" w:cs="Times New Roman"/>
                      <w:color w:val="auto"/>
                      <w:highlight w:val="none"/>
                      <w:lang w:val="en-US" w:eastAsia="zh-CN"/>
                    </w:rPr>
                    <w:t>（现有）</w:t>
                  </w:r>
                </w:p>
              </w:tc>
              <w:tc>
                <w:tcPr>
                  <w:tcW w:w="816" w:type="dxa"/>
                  <w:vMerge w:val="restart"/>
                </w:tcPr>
                <w:p w14:paraId="6647D842">
                  <w:pPr>
                    <w:pStyle w:val="191"/>
                    <w:keepNext w:val="0"/>
                    <w:keepLines w:val="0"/>
                    <w:pageBreakBefore w:val="0"/>
                    <w:widowControl w:val="0"/>
                    <w:kinsoku/>
                    <w:wordWrap/>
                    <w:overflowPunct/>
                    <w:topLinePunct w:val="0"/>
                    <w:autoSpaceDE/>
                    <w:autoSpaceDN/>
                    <w:bidi w:val="0"/>
                    <w:adjustRightInd/>
                    <w:snapToGrid/>
                    <w:spacing w:before="1836" w:beforeLines="500"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443.475</w:t>
                  </w:r>
                </w:p>
              </w:tc>
              <w:tc>
                <w:tcPr>
                  <w:tcW w:w="814" w:type="dxa"/>
                  <w:vAlign w:val="center"/>
                </w:tcPr>
                <w:p w14:paraId="576D413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汇合总量t/a</w:t>
                  </w:r>
                </w:p>
              </w:tc>
              <w:tc>
                <w:tcPr>
                  <w:tcW w:w="913" w:type="dxa"/>
                  <w:vAlign w:val="center"/>
                </w:tcPr>
                <w:p w14:paraId="128EF6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0.15522 </w:t>
                  </w:r>
                </w:p>
              </w:tc>
              <w:tc>
                <w:tcPr>
                  <w:tcW w:w="917" w:type="dxa"/>
                  <w:vAlign w:val="center"/>
                </w:tcPr>
                <w:p w14:paraId="1169457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0.07391 </w:t>
                  </w:r>
                </w:p>
              </w:tc>
              <w:tc>
                <w:tcPr>
                  <w:tcW w:w="908" w:type="dxa"/>
                  <w:vAlign w:val="center"/>
                </w:tcPr>
                <w:p w14:paraId="79AF5F1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0.07096 </w:t>
                  </w:r>
                </w:p>
              </w:tc>
              <w:tc>
                <w:tcPr>
                  <w:tcW w:w="899" w:type="dxa"/>
                  <w:vAlign w:val="center"/>
                </w:tcPr>
                <w:p w14:paraId="47792E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0.01774 </w:t>
                  </w:r>
                </w:p>
              </w:tc>
              <w:tc>
                <w:tcPr>
                  <w:tcW w:w="1690" w:type="dxa"/>
                  <w:vAlign w:val="center"/>
                </w:tcPr>
                <w:p w14:paraId="30430394">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15D10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72" w:type="dxa"/>
                  <w:vMerge w:val="continue"/>
                  <w:vAlign w:val="center"/>
                </w:tcPr>
                <w:p w14:paraId="4DA0927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0A20AD44">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10D7E4D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rPr>
                    <w:t>处理效率%</w:t>
                  </w:r>
                </w:p>
              </w:tc>
              <w:tc>
                <w:tcPr>
                  <w:tcW w:w="913" w:type="dxa"/>
                  <w:vAlign w:val="center"/>
                </w:tcPr>
                <w:p w14:paraId="7BBAE21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15</w:t>
                  </w:r>
                </w:p>
              </w:tc>
              <w:tc>
                <w:tcPr>
                  <w:tcW w:w="917" w:type="dxa"/>
                  <w:vAlign w:val="center"/>
                </w:tcPr>
                <w:p w14:paraId="393E51B2">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11</w:t>
                  </w:r>
                </w:p>
              </w:tc>
              <w:tc>
                <w:tcPr>
                  <w:tcW w:w="908" w:type="dxa"/>
                  <w:vAlign w:val="center"/>
                </w:tcPr>
                <w:p w14:paraId="72562398">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47</w:t>
                  </w:r>
                </w:p>
              </w:tc>
              <w:tc>
                <w:tcPr>
                  <w:tcW w:w="899" w:type="dxa"/>
                  <w:vAlign w:val="center"/>
                </w:tcPr>
                <w:p w14:paraId="7DF9BFEA">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w:t>
                  </w:r>
                </w:p>
              </w:tc>
              <w:tc>
                <w:tcPr>
                  <w:tcW w:w="1690" w:type="dxa"/>
                  <w:vAlign w:val="center"/>
                </w:tcPr>
                <w:p w14:paraId="7F0D829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1946B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02DC0A7B">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49C98E0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60BC69C8">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总排放量t/a</w:t>
                  </w:r>
                </w:p>
              </w:tc>
              <w:tc>
                <w:tcPr>
                  <w:tcW w:w="913" w:type="dxa"/>
                  <w:vAlign w:val="center"/>
                </w:tcPr>
                <w:p w14:paraId="738B3A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0.13193 </w:t>
                  </w:r>
                </w:p>
              </w:tc>
              <w:tc>
                <w:tcPr>
                  <w:tcW w:w="917" w:type="dxa"/>
                  <w:vAlign w:val="center"/>
                </w:tcPr>
                <w:p w14:paraId="49F77B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0.06578 </w:t>
                  </w:r>
                </w:p>
              </w:tc>
              <w:tc>
                <w:tcPr>
                  <w:tcW w:w="908" w:type="dxa"/>
                  <w:vAlign w:val="center"/>
                </w:tcPr>
                <w:p w14:paraId="67FE517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0.03761 </w:t>
                  </w:r>
                </w:p>
              </w:tc>
              <w:tc>
                <w:tcPr>
                  <w:tcW w:w="899" w:type="dxa"/>
                  <w:vAlign w:val="center"/>
                </w:tcPr>
                <w:p w14:paraId="23FD12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0.01721 </w:t>
                  </w:r>
                </w:p>
              </w:tc>
              <w:tc>
                <w:tcPr>
                  <w:tcW w:w="1690" w:type="dxa"/>
                  <w:vAlign w:val="center"/>
                </w:tcPr>
                <w:p w14:paraId="5DE4D7E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2D54F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24CAF99B">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6" w:type="dxa"/>
                  <w:vMerge w:val="continue"/>
                </w:tcPr>
                <w:p w14:paraId="77833811">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14" w:type="dxa"/>
                  <w:vAlign w:val="center"/>
                </w:tcPr>
                <w:p w14:paraId="1B260F6E">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13" w:type="dxa"/>
                  <w:vAlign w:val="center"/>
                </w:tcPr>
                <w:p w14:paraId="23AEFA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297.5 </w:t>
                  </w:r>
                </w:p>
              </w:tc>
              <w:tc>
                <w:tcPr>
                  <w:tcW w:w="917" w:type="dxa"/>
                  <w:vAlign w:val="center"/>
                </w:tcPr>
                <w:p w14:paraId="6FBA9D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148.3 </w:t>
                  </w:r>
                </w:p>
              </w:tc>
              <w:tc>
                <w:tcPr>
                  <w:tcW w:w="908" w:type="dxa"/>
                  <w:vAlign w:val="center"/>
                </w:tcPr>
                <w:p w14:paraId="471688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84.8 </w:t>
                  </w:r>
                </w:p>
              </w:tc>
              <w:tc>
                <w:tcPr>
                  <w:tcW w:w="899" w:type="dxa"/>
                  <w:vAlign w:val="center"/>
                </w:tcPr>
                <w:p w14:paraId="47B7BF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38.8 </w:t>
                  </w:r>
                </w:p>
              </w:tc>
              <w:tc>
                <w:tcPr>
                  <w:tcW w:w="1690" w:type="dxa"/>
                  <w:vAlign w:val="center"/>
                </w:tcPr>
                <w:p w14:paraId="29F18F9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13654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2" w:type="dxa"/>
                  <w:gridSpan w:val="3"/>
                  <w:vAlign w:val="center"/>
                </w:tcPr>
                <w:p w14:paraId="5B034667">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排放标准</w:t>
                  </w:r>
                  <w:r>
                    <w:rPr>
                      <w:rFonts w:hint="default" w:ascii="Times New Roman" w:hAnsi="Times New Roman" w:eastAsia="宋体" w:cs="Times New Roman"/>
                      <w:color w:val="auto"/>
                      <w:highlight w:val="none"/>
                    </w:rPr>
                    <w:t>mg/L</w:t>
                  </w:r>
                </w:p>
              </w:tc>
              <w:tc>
                <w:tcPr>
                  <w:tcW w:w="913" w:type="dxa"/>
                  <w:vAlign w:val="center"/>
                </w:tcPr>
                <w:p w14:paraId="6B91BD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p>
              </w:tc>
              <w:tc>
                <w:tcPr>
                  <w:tcW w:w="917" w:type="dxa"/>
                  <w:vAlign w:val="center"/>
                </w:tcPr>
                <w:p w14:paraId="5084DA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300</w:t>
                  </w:r>
                </w:p>
              </w:tc>
              <w:tc>
                <w:tcPr>
                  <w:tcW w:w="908" w:type="dxa"/>
                  <w:vAlign w:val="center"/>
                </w:tcPr>
                <w:p w14:paraId="220BA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400</w:t>
                  </w:r>
                </w:p>
              </w:tc>
              <w:tc>
                <w:tcPr>
                  <w:tcW w:w="899" w:type="dxa"/>
                  <w:vAlign w:val="center"/>
                </w:tcPr>
                <w:p w14:paraId="612711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45</w:t>
                  </w:r>
                </w:p>
              </w:tc>
              <w:tc>
                <w:tcPr>
                  <w:tcW w:w="1690" w:type="dxa"/>
                  <w:vAlign w:val="center"/>
                </w:tcPr>
                <w:p w14:paraId="2A476F9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5000MPN/L</w:t>
                  </w:r>
                </w:p>
              </w:tc>
            </w:tr>
            <w:tr w14:paraId="1C2C1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2" w:type="dxa"/>
                  <w:gridSpan w:val="3"/>
                  <w:vAlign w:val="center"/>
                </w:tcPr>
                <w:p w14:paraId="01CACFA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达标情况</w:t>
                  </w:r>
                </w:p>
              </w:tc>
              <w:tc>
                <w:tcPr>
                  <w:tcW w:w="913" w:type="dxa"/>
                  <w:vAlign w:val="center"/>
                </w:tcPr>
                <w:p w14:paraId="2A2A6D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17" w:type="dxa"/>
                  <w:vAlign w:val="center"/>
                </w:tcPr>
                <w:p w14:paraId="57DC67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08" w:type="dxa"/>
                  <w:vAlign w:val="center"/>
                </w:tcPr>
                <w:p w14:paraId="4E0ECB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899" w:type="dxa"/>
                  <w:vAlign w:val="center"/>
                </w:tcPr>
                <w:p w14:paraId="7C5AF3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690" w:type="dxa"/>
                  <w:vAlign w:val="center"/>
                </w:tcPr>
                <w:p w14:paraId="3B2B2C3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达标</w:t>
                  </w:r>
                </w:p>
              </w:tc>
            </w:tr>
            <w:tr w14:paraId="1A9FD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restart"/>
                  <w:shd w:val="clear" w:color="auto" w:fill="auto"/>
                  <w:vAlign w:val="center"/>
                </w:tcPr>
                <w:p w14:paraId="75319BF1">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综合废水</w:t>
                  </w:r>
                  <w:r>
                    <w:rPr>
                      <w:rFonts w:hint="eastAsia" w:ascii="Times New Roman" w:hAnsi="Times New Roman" w:eastAsia="宋体" w:cs="Times New Roman"/>
                      <w:color w:val="auto"/>
                      <w:highlight w:val="none"/>
                      <w:lang w:val="en-US" w:eastAsia="zh-CN"/>
                    </w:rPr>
                    <w:t>（扩建后）</w:t>
                  </w:r>
                </w:p>
              </w:tc>
              <w:tc>
                <w:tcPr>
                  <w:tcW w:w="816" w:type="dxa"/>
                  <w:vMerge w:val="restart"/>
                  <w:shd w:val="clear" w:color="auto" w:fill="auto"/>
                  <w:vAlign w:val="top"/>
                </w:tcPr>
                <w:p w14:paraId="7FE2337B">
                  <w:pPr>
                    <w:pStyle w:val="191"/>
                    <w:keepNext w:val="0"/>
                    <w:keepLines w:val="0"/>
                    <w:pageBreakBefore w:val="0"/>
                    <w:widowControl w:val="0"/>
                    <w:kinsoku/>
                    <w:wordWrap/>
                    <w:overflowPunct/>
                    <w:topLinePunct w:val="0"/>
                    <w:autoSpaceDE/>
                    <w:autoSpaceDN/>
                    <w:bidi w:val="0"/>
                    <w:adjustRightInd/>
                    <w:snapToGrid/>
                    <w:spacing w:before="1836" w:beforeLines="500" w:line="240" w:lineRule="auto"/>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468.1125</w:t>
                  </w:r>
                </w:p>
              </w:tc>
              <w:tc>
                <w:tcPr>
                  <w:tcW w:w="814" w:type="dxa"/>
                  <w:shd w:val="clear" w:color="auto" w:fill="auto"/>
                  <w:vAlign w:val="center"/>
                </w:tcPr>
                <w:p w14:paraId="36425243">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汇合总量t/a</w:t>
                  </w:r>
                </w:p>
              </w:tc>
              <w:tc>
                <w:tcPr>
                  <w:tcW w:w="913" w:type="dxa"/>
                  <w:shd w:val="clear" w:color="auto" w:fill="auto"/>
                  <w:vAlign w:val="center"/>
                </w:tcPr>
                <w:p w14:paraId="4921951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0.16138</w:t>
                  </w:r>
                </w:p>
              </w:tc>
              <w:tc>
                <w:tcPr>
                  <w:tcW w:w="917" w:type="dxa"/>
                  <w:shd w:val="clear" w:color="auto" w:fill="auto"/>
                  <w:vAlign w:val="center"/>
                </w:tcPr>
                <w:p w14:paraId="4E4721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07638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08" w:type="dxa"/>
                  <w:shd w:val="clear" w:color="auto" w:fill="auto"/>
                  <w:vAlign w:val="center"/>
                </w:tcPr>
                <w:p w14:paraId="775E57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07293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99" w:type="dxa"/>
                  <w:shd w:val="clear" w:color="auto" w:fill="auto"/>
                  <w:vAlign w:val="center"/>
                </w:tcPr>
                <w:p w14:paraId="7F3A3D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1848</w:t>
                  </w:r>
                </w:p>
              </w:tc>
              <w:tc>
                <w:tcPr>
                  <w:tcW w:w="1690" w:type="dxa"/>
                  <w:shd w:val="clear" w:color="auto" w:fill="auto"/>
                  <w:vAlign w:val="center"/>
                </w:tcPr>
                <w:p w14:paraId="6A888C01">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105EE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1105076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p>
              </w:tc>
              <w:tc>
                <w:tcPr>
                  <w:tcW w:w="816" w:type="dxa"/>
                  <w:vMerge w:val="continue"/>
                  <w:vAlign w:val="center"/>
                </w:tcPr>
                <w:p w14:paraId="78118A1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p>
              </w:tc>
              <w:tc>
                <w:tcPr>
                  <w:tcW w:w="814" w:type="dxa"/>
                  <w:shd w:val="clear" w:color="auto" w:fill="auto"/>
                  <w:vAlign w:val="center"/>
                </w:tcPr>
                <w:p w14:paraId="292D615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rPr>
                    <w:t>处理效率%</w:t>
                  </w:r>
                </w:p>
              </w:tc>
              <w:tc>
                <w:tcPr>
                  <w:tcW w:w="913" w:type="dxa"/>
                  <w:shd w:val="clear" w:color="auto" w:fill="auto"/>
                  <w:vAlign w:val="center"/>
                </w:tcPr>
                <w:p w14:paraId="3FF253A3">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15</w:t>
                  </w:r>
                </w:p>
              </w:tc>
              <w:tc>
                <w:tcPr>
                  <w:tcW w:w="917" w:type="dxa"/>
                  <w:shd w:val="clear" w:color="auto" w:fill="auto"/>
                  <w:vAlign w:val="center"/>
                </w:tcPr>
                <w:p w14:paraId="2680A3AA">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11</w:t>
                  </w:r>
                </w:p>
              </w:tc>
              <w:tc>
                <w:tcPr>
                  <w:tcW w:w="908" w:type="dxa"/>
                  <w:shd w:val="clear" w:color="auto" w:fill="auto"/>
                  <w:vAlign w:val="center"/>
                </w:tcPr>
                <w:p w14:paraId="5A6D3E61">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47</w:t>
                  </w:r>
                </w:p>
              </w:tc>
              <w:tc>
                <w:tcPr>
                  <w:tcW w:w="899" w:type="dxa"/>
                  <w:shd w:val="clear" w:color="auto" w:fill="auto"/>
                  <w:vAlign w:val="center"/>
                </w:tcPr>
                <w:p w14:paraId="769F261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w:t>
                  </w:r>
                </w:p>
              </w:tc>
              <w:tc>
                <w:tcPr>
                  <w:tcW w:w="1690" w:type="dxa"/>
                  <w:shd w:val="clear" w:color="auto" w:fill="auto"/>
                  <w:vAlign w:val="center"/>
                </w:tcPr>
                <w:p w14:paraId="320433B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078FB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0D15AE3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p>
              </w:tc>
              <w:tc>
                <w:tcPr>
                  <w:tcW w:w="816" w:type="dxa"/>
                  <w:vMerge w:val="continue"/>
                  <w:vAlign w:val="center"/>
                </w:tcPr>
                <w:p w14:paraId="1D34894C">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p>
              </w:tc>
              <w:tc>
                <w:tcPr>
                  <w:tcW w:w="814" w:type="dxa"/>
                  <w:shd w:val="clear" w:color="auto" w:fill="auto"/>
                  <w:vAlign w:val="center"/>
                </w:tcPr>
                <w:p w14:paraId="5942A5F2">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总排放量t/a</w:t>
                  </w:r>
                </w:p>
              </w:tc>
              <w:tc>
                <w:tcPr>
                  <w:tcW w:w="913" w:type="dxa"/>
                  <w:shd w:val="clear" w:color="auto" w:fill="auto"/>
                  <w:vAlign w:val="center"/>
                </w:tcPr>
                <w:p w14:paraId="7D99E5A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0.13717</w:t>
                  </w:r>
                </w:p>
              </w:tc>
              <w:tc>
                <w:tcPr>
                  <w:tcW w:w="917" w:type="dxa"/>
                  <w:shd w:val="clear" w:color="auto" w:fill="auto"/>
                  <w:vAlign w:val="center"/>
                </w:tcPr>
                <w:p w14:paraId="378DC4B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0.06797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08" w:type="dxa"/>
                  <w:shd w:val="clear" w:color="auto" w:fill="auto"/>
                  <w:vAlign w:val="center"/>
                </w:tcPr>
                <w:p w14:paraId="661FA2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0.03865</w:t>
                  </w:r>
                </w:p>
              </w:tc>
              <w:tc>
                <w:tcPr>
                  <w:tcW w:w="899" w:type="dxa"/>
                  <w:shd w:val="clear" w:color="auto" w:fill="auto"/>
                  <w:vAlign w:val="center"/>
                </w:tcPr>
                <w:p w14:paraId="6E146E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0.01972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0" w:type="dxa"/>
                  <w:shd w:val="clear" w:color="auto" w:fill="auto"/>
                  <w:vAlign w:val="center"/>
                </w:tcPr>
                <w:p w14:paraId="43FA5824">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72C3E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2" w:type="dxa"/>
                  <w:vMerge w:val="continue"/>
                  <w:vAlign w:val="center"/>
                </w:tcPr>
                <w:p w14:paraId="0C42A464">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p>
              </w:tc>
              <w:tc>
                <w:tcPr>
                  <w:tcW w:w="816" w:type="dxa"/>
                  <w:vMerge w:val="continue"/>
                  <w:vAlign w:val="center"/>
                </w:tcPr>
                <w:p w14:paraId="691A87CC">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p>
              </w:tc>
              <w:tc>
                <w:tcPr>
                  <w:tcW w:w="814" w:type="dxa"/>
                  <w:shd w:val="clear" w:color="auto" w:fill="auto"/>
                  <w:vAlign w:val="center"/>
                </w:tcPr>
                <w:p w14:paraId="2D86C57F">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913" w:type="dxa"/>
                  <w:shd w:val="clear" w:color="auto" w:fill="auto"/>
                  <w:vAlign w:val="center"/>
                </w:tcPr>
                <w:p w14:paraId="0C26B4D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293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17" w:type="dxa"/>
                  <w:shd w:val="clear" w:color="auto" w:fill="auto"/>
                  <w:vAlign w:val="center"/>
                </w:tcPr>
                <w:p w14:paraId="5A281A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145.2</w:t>
                  </w:r>
                </w:p>
              </w:tc>
              <w:tc>
                <w:tcPr>
                  <w:tcW w:w="908" w:type="dxa"/>
                  <w:shd w:val="clear" w:color="auto" w:fill="auto"/>
                  <w:vAlign w:val="center"/>
                </w:tcPr>
                <w:p w14:paraId="3F52D4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82.6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99" w:type="dxa"/>
                  <w:shd w:val="clear" w:color="auto" w:fill="auto"/>
                  <w:vAlign w:val="center"/>
                </w:tcPr>
                <w:p w14:paraId="3AF065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38.3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690" w:type="dxa"/>
                  <w:shd w:val="clear" w:color="auto" w:fill="auto"/>
                  <w:vAlign w:val="center"/>
                </w:tcPr>
                <w:p w14:paraId="710C072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14163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2" w:type="dxa"/>
                  <w:gridSpan w:val="3"/>
                  <w:shd w:val="clear" w:color="auto" w:fill="auto"/>
                  <w:vAlign w:val="center"/>
                </w:tcPr>
                <w:p w14:paraId="7B4FD4F0">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排放标准</w:t>
                  </w:r>
                  <w:r>
                    <w:rPr>
                      <w:rFonts w:hint="default" w:ascii="Times New Roman" w:hAnsi="Times New Roman" w:eastAsia="宋体" w:cs="Times New Roman"/>
                      <w:color w:val="auto"/>
                      <w:highlight w:val="none"/>
                    </w:rPr>
                    <w:t>mg/L</w:t>
                  </w:r>
                </w:p>
              </w:tc>
              <w:tc>
                <w:tcPr>
                  <w:tcW w:w="913" w:type="dxa"/>
                  <w:shd w:val="clear" w:color="auto" w:fill="auto"/>
                  <w:vAlign w:val="center"/>
                </w:tcPr>
                <w:p w14:paraId="5A009F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p>
              </w:tc>
              <w:tc>
                <w:tcPr>
                  <w:tcW w:w="917" w:type="dxa"/>
                  <w:shd w:val="clear" w:color="auto" w:fill="auto"/>
                  <w:vAlign w:val="center"/>
                </w:tcPr>
                <w:p w14:paraId="00F3B6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300</w:t>
                  </w:r>
                </w:p>
              </w:tc>
              <w:tc>
                <w:tcPr>
                  <w:tcW w:w="908" w:type="dxa"/>
                  <w:shd w:val="clear" w:color="auto" w:fill="auto"/>
                  <w:vAlign w:val="center"/>
                </w:tcPr>
                <w:p w14:paraId="42E54A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400</w:t>
                  </w:r>
                </w:p>
              </w:tc>
              <w:tc>
                <w:tcPr>
                  <w:tcW w:w="899" w:type="dxa"/>
                  <w:shd w:val="clear" w:color="auto" w:fill="auto"/>
                  <w:vAlign w:val="center"/>
                </w:tcPr>
                <w:p w14:paraId="7BB78F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45</w:t>
                  </w:r>
                </w:p>
              </w:tc>
              <w:tc>
                <w:tcPr>
                  <w:tcW w:w="1690" w:type="dxa"/>
                  <w:shd w:val="clear" w:color="auto" w:fill="auto"/>
                  <w:vAlign w:val="center"/>
                </w:tcPr>
                <w:p w14:paraId="3E307477">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5000MPN/L</w:t>
                  </w:r>
                </w:p>
              </w:tc>
            </w:tr>
            <w:tr w14:paraId="07369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2" w:type="dxa"/>
                  <w:gridSpan w:val="3"/>
                  <w:shd w:val="clear" w:color="auto" w:fill="auto"/>
                  <w:vAlign w:val="center"/>
                </w:tcPr>
                <w:p w14:paraId="6DBFF5E6">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达标情况</w:t>
                  </w:r>
                </w:p>
              </w:tc>
              <w:tc>
                <w:tcPr>
                  <w:tcW w:w="913" w:type="dxa"/>
                  <w:shd w:val="clear" w:color="auto" w:fill="auto"/>
                  <w:vAlign w:val="center"/>
                </w:tcPr>
                <w:p w14:paraId="34F824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17" w:type="dxa"/>
                  <w:shd w:val="clear" w:color="auto" w:fill="auto"/>
                  <w:vAlign w:val="center"/>
                </w:tcPr>
                <w:p w14:paraId="34314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08" w:type="dxa"/>
                  <w:shd w:val="clear" w:color="auto" w:fill="auto"/>
                  <w:vAlign w:val="center"/>
                </w:tcPr>
                <w:p w14:paraId="5A56A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899" w:type="dxa"/>
                  <w:shd w:val="clear" w:color="auto" w:fill="auto"/>
                  <w:vAlign w:val="center"/>
                </w:tcPr>
                <w:p w14:paraId="25591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690" w:type="dxa"/>
                  <w:shd w:val="clear" w:color="auto" w:fill="auto"/>
                  <w:vAlign w:val="center"/>
                </w:tcPr>
                <w:p w14:paraId="73B1B2A9">
                  <w:pPr>
                    <w:pStyle w:val="191"/>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1F950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9" w:type="dxa"/>
                  <w:gridSpan w:val="8"/>
                  <w:vAlign w:val="center"/>
                </w:tcPr>
                <w:p w14:paraId="6A505D98">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化验废液作为危废，委托有资质单位定期处理</w:t>
                  </w:r>
                </w:p>
              </w:tc>
            </w:tr>
          </w:tbl>
          <w:p w14:paraId="08DEB18A">
            <w:pPr>
              <w:pStyle w:val="3"/>
              <w:numPr>
                <w:ilvl w:val="1"/>
                <w:numId w:val="0"/>
              </w:numPr>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4.2.2 </w:t>
            </w:r>
            <w:r>
              <w:rPr>
                <w:rFonts w:hint="default" w:ascii="Times New Roman" w:hAnsi="Times New Roman" w:cs="Times New Roman"/>
                <w:color w:val="auto"/>
                <w:sz w:val="24"/>
                <w:szCs w:val="24"/>
                <w:highlight w:val="none"/>
                <w:lang w:val="en-US" w:eastAsia="zh-CN"/>
              </w:rPr>
              <w:t>运营期废水处理及排放方案</w:t>
            </w:r>
          </w:p>
          <w:p w14:paraId="1216C4E0">
            <w:pPr>
              <w:pStyle w:val="159"/>
              <w:pageBreakBefore w:val="0"/>
              <w:kinsoku/>
              <w:overflowPunct/>
              <w:autoSpaceDE/>
              <w:autoSpaceDN/>
              <w:bidi w:val="0"/>
              <w:ind w:firstLine="480"/>
              <w:jc w:val="both"/>
              <w:rPr>
                <w:rFonts w:hint="default" w:ascii="Times New Roman" w:hAnsi="Times New Roman" w:eastAsia="宋体" w:cs="Times New Roman"/>
                <w:b/>
                <w:bCs w:val="0"/>
                <w:color w:val="auto"/>
                <w:highlight w:val="none"/>
                <w:lang w:eastAsia="zh-CN"/>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1</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生活污水</w:t>
            </w:r>
          </w:p>
          <w:p w14:paraId="224FC6CF">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生活污水</w:t>
            </w:r>
            <w:r>
              <w:rPr>
                <w:rFonts w:hint="default" w:ascii="Times New Roman" w:hAnsi="Times New Roman" w:eastAsia="宋体" w:cs="Times New Roman"/>
                <w:color w:val="auto"/>
                <w:highlight w:val="none"/>
                <w:lang w:val="en-US" w:eastAsia="zh-CN"/>
              </w:rPr>
              <w:t>通过下水管道直接排放</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预处理，后通过</w:t>
            </w:r>
            <w:r>
              <w:rPr>
                <w:rFonts w:hint="default" w:ascii="Times New Roman" w:hAnsi="Times New Roman" w:eastAsia="宋体" w:cs="Times New Roman"/>
                <w:color w:val="auto"/>
                <w:highlight w:val="none"/>
                <w:lang w:eastAsia="zh-CN"/>
              </w:rPr>
              <w:t>市政污水管网</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highlight w:val="none"/>
                <w:lang w:eastAsia="zh-CN"/>
              </w:rPr>
              <w:t>福清市融元污水处理厂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lang w:eastAsia="zh-CN"/>
              </w:rPr>
              <w:t>。</w:t>
            </w:r>
          </w:p>
          <w:p w14:paraId="3332F76F">
            <w:pPr>
              <w:pStyle w:val="159"/>
              <w:pageBreakBefore w:val="0"/>
              <w:kinsoku/>
              <w:overflowPunct/>
              <w:autoSpaceDE/>
              <w:autoSpaceDN/>
              <w:bidi w:val="0"/>
              <w:ind w:firstLine="480"/>
              <w:jc w:val="both"/>
              <w:rPr>
                <w:rFonts w:hint="default" w:ascii="Times New Roman" w:hAnsi="Times New Roman" w:eastAsia="宋体" w:cs="Times New Roman"/>
                <w:b/>
                <w:bCs w:val="0"/>
                <w:color w:val="auto"/>
                <w:highlight w:val="none"/>
                <w:lang w:eastAsia="zh-CN"/>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2</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eastAsia="zh-CN"/>
              </w:rPr>
              <w:t>诊疗废水、</w:t>
            </w:r>
            <w:r>
              <w:rPr>
                <w:rFonts w:hint="default" w:ascii="Times New Roman" w:hAnsi="Times New Roman" w:eastAsia="宋体" w:cs="Times New Roman"/>
                <w:b/>
                <w:bCs w:val="0"/>
                <w:color w:val="auto"/>
                <w:highlight w:val="none"/>
                <w:lang w:val="en-US" w:eastAsia="zh-CN"/>
              </w:rPr>
              <w:t>宠物美容废水</w:t>
            </w:r>
          </w:p>
          <w:p w14:paraId="636879A7">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lang w:val="en-US" w:eastAsia="zh-CN"/>
              </w:rPr>
              <w:t>宠物美容废水经配套的</w:t>
            </w:r>
            <w:r>
              <w:rPr>
                <w:rFonts w:hint="default" w:ascii="Times New Roman" w:hAnsi="Times New Roman" w:eastAsia="宋体" w:cs="Times New Roman"/>
                <w:color w:val="auto"/>
                <w:highlight w:val="none"/>
                <w:lang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default" w:ascii="Times New Roman" w:hAnsi="Times New Roman" w:eastAsia="宋体" w:cs="Times New Roman"/>
                <w:color w:val="auto"/>
                <w:highlight w:val="none"/>
                <w:lang w:eastAsia="zh-CN"/>
              </w:rPr>
              <w:t>达到《污水综合排放标准》（GB8978-1996）表4中的三级排放标准（氨氮排放标准参考《污水排入城镇下水道水质标准》（GB/T31962-2015）B等级标准限值）</w:t>
            </w:r>
            <w:r>
              <w:rPr>
                <w:rFonts w:hint="default" w:ascii="Times New Roman" w:hAnsi="Times New Roman" w:eastAsia="宋体" w:cs="Times New Roman"/>
                <w:color w:val="auto"/>
                <w:highlight w:val="none"/>
                <w:lang w:val="en-US" w:eastAsia="zh-CN"/>
              </w:rPr>
              <w:t>后</w:t>
            </w:r>
            <w:r>
              <w:rPr>
                <w:rFonts w:hint="eastAsia" w:ascii="Times New Roman" w:hAnsi="Times New Roman" w:eastAsia="宋体" w:cs="Times New Roman"/>
                <w:color w:val="auto"/>
                <w:highlight w:val="none"/>
                <w:lang w:val="en-US" w:eastAsia="zh-CN"/>
              </w:rPr>
              <w:t>统一纳入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rPr>
              <w:t>。</w:t>
            </w:r>
          </w:p>
          <w:p w14:paraId="1BFA8F54">
            <w:pPr>
              <w:pStyle w:val="159"/>
              <w:ind w:firstLine="0" w:firstLineChars="0"/>
              <w:rPr>
                <w:rFonts w:ascii="Times New Roman" w:hAnsi="Times New Roman" w:eastAsia="宋体" w:cs="Times New Roman"/>
                <w:b/>
                <w:bCs w:val="0"/>
                <w:color w:val="auto"/>
                <w:highlight w:val="none"/>
              </w:rPr>
            </w:pPr>
            <w:r>
              <w:rPr>
                <w:rFonts w:ascii="Times New Roman" w:hAnsi="Times New Roman" w:eastAsia="宋体" w:cs="Times New Roman"/>
                <w:b/>
                <w:bCs w:val="0"/>
                <w:color w:val="auto"/>
                <w:szCs w:val="24"/>
                <w:highlight w:val="none"/>
              </w:rPr>
              <w:t>4.2.</w:t>
            </w:r>
            <w:r>
              <w:rPr>
                <w:rFonts w:hint="default" w:ascii="Times New Roman" w:hAnsi="Times New Roman" w:eastAsia="宋体" w:cs="Times New Roman"/>
                <w:b/>
                <w:bCs w:val="0"/>
                <w:color w:val="auto"/>
                <w:szCs w:val="24"/>
                <w:highlight w:val="none"/>
                <w:lang w:val="en-US" w:eastAsia="zh-CN"/>
              </w:rPr>
              <w:t>3 福清市融元污水处理厂</w:t>
            </w:r>
            <w:r>
              <w:rPr>
                <w:rFonts w:ascii="Times New Roman" w:hAnsi="Times New Roman" w:eastAsia="宋体" w:cs="Times New Roman"/>
                <w:b/>
                <w:bCs w:val="0"/>
                <w:color w:val="auto"/>
                <w:highlight w:val="none"/>
              </w:rPr>
              <w:t>污水排放可行性分析</w:t>
            </w:r>
          </w:p>
          <w:p w14:paraId="097D2B93">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1</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废水水量可行性分析</w:t>
            </w:r>
          </w:p>
          <w:p w14:paraId="4B501B26">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福清市融元污水处理厂为城市二级污水处理厂，厂址位于福清市龙山街道玉塘村，规划远期总规模为18万m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/d，工程分三期实施，现状（已实施的一期及二期工程）规模为12万m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/d，远期扩建规模为6万m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/d。工程的规划建设年限为：近期2020年，远期2030年。</w:t>
            </w:r>
          </w:p>
          <w:p w14:paraId="42B6E568">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福清市融元污水厂现有处理规模为12万m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尾水排放口设置在猪母湾西南岸，排入龙江。一期工程于2008年1月通过了竣工环保验收；二期工程于2014年5月通过了竣工环保验收。2014年以来福清市融元污水处理厂出水水质效果好，能够满足一级B标准的排放要求。</w:t>
            </w:r>
          </w:p>
          <w:p w14:paraId="4A08D4A4">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2016年10月，福清黎阳水务有限公司对现状福清市融元污水处理厂厂内提标及改造，本次提标改造工程按近期规模12.0万m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/d设计和建设，主要技改内容：技改后一期工程降低处理负荷，污水处理规模由6万m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/d调整为4万m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/d运行，并在现有一期工程生化池基础上增设化学除磷和投加碳源措施，以进一步改善出水水质。厂区原二期工程提标后污水处理规模由6万m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/d调整为8万m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运行，旋流沉砂池出水与生化池进水管之间增设精细格栅间，在现有二期工程生化池基础上增设化学除磷和投加碳源措施、在缺氧池至厌氧池之间、好氧池与缺氧池之间改造污泥回流泵、在现有生化处理池基础上改造新增MP-MBR膜系统，改造后污水处理工艺详见图4</w:t>
            </w: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default" w:ascii="Times New Roman" w:hAnsi="Times New Roman" w:eastAsia="宋体" w:cs="Times New Roman"/>
                <w:color w:val="auto"/>
              </w:rPr>
              <w:t>。</w:t>
            </w:r>
          </w:p>
          <w:p w14:paraId="28CF133C">
            <w:pPr>
              <w:pStyle w:val="496"/>
              <w:widowControl w:val="0"/>
              <w:ind w:firstLine="0" w:firstLineChars="0"/>
              <w:rPr>
                <w:rFonts w:ascii="Times New Roman" w:hAnsi="Times New Roman" w:cs="Times New Roman"/>
                <w:color w:val="auto"/>
              </w:rPr>
            </w:pPr>
            <w:r>
              <w:rPr>
                <w:rFonts w:ascii="Times New Roman" w:hAnsi="Times New Roman" w:cs="Times New Roman"/>
                <w:color w:val="auto"/>
              </w:rPr>
              <w:drawing>
                <wp:inline distT="0" distB="0" distL="114300" distR="114300">
                  <wp:extent cx="5130165" cy="2668905"/>
                  <wp:effectExtent l="0" t="0" r="13335" b="17145"/>
                  <wp:docPr id="11"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图片1"/>
                          <pic:cNvPicPr>
                            <a:picLocks noChangeAspect="1"/>
                          </pic:cNvPicPr>
                        </pic:nvPicPr>
                        <pic:blipFill>
                          <a:blip r:embed="rId29"/>
                          <a:srcRect l="1492" t="1729" r="2499"/>
                          <a:stretch>
                            <a:fillRect/>
                          </a:stretch>
                        </pic:blipFill>
                        <pic:spPr>
                          <a:xfrm>
                            <a:off x="0" y="0"/>
                            <a:ext cx="5130165" cy="2668905"/>
                          </a:xfrm>
                          <a:prstGeom prst="rect">
                            <a:avLst/>
                          </a:prstGeom>
                          <a:noFill/>
                          <a:ln>
                            <a:noFill/>
                          </a:ln>
                        </pic:spPr>
                      </pic:pic>
                    </a:graphicData>
                  </a:graphic>
                </wp:inline>
              </w:drawing>
            </w:r>
          </w:p>
          <w:p w14:paraId="272FC463">
            <w:pPr>
              <w:pStyle w:val="251"/>
              <w:numPr>
                <w:ilvl w:val="0"/>
                <w:numId w:val="0"/>
              </w:numPr>
              <w:spacing w:line="240" w:lineRule="auto"/>
              <w:ind w:left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福清融元污水处理厂处理污水处理流程图</w:t>
            </w:r>
          </w:p>
          <w:p w14:paraId="4919F621">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根据调查，目前福清市融元污水处理厂厂内提标及改造工程已经完成并正常使用，平均处理规模约为11.85万m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/d。处理后的尾水执行《城镇污水处理厂污染物排放标准》</w:t>
            </w:r>
            <w:r>
              <w:rPr>
                <w:rFonts w:hint="eastAsia" w:cs="Times New Roman"/>
                <w:color w:val="auto"/>
                <w:lang w:eastAsia="zh-CN"/>
              </w:rPr>
              <w:t>（</w:t>
            </w:r>
            <w:r>
              <w:rPr>
                <w:rFonts w:hint="default" w:ascii="Times New Roman" w:hAnsi="Times New Roman" w:eastAsia="宋体" w:cs="Times New Roman"/>
                <w:color w:val="auto"/>
              </w:rPr>
              <w:t>GB18918-2002</w:t>
            </w:r>
            <w:r>
              <w:rPr>
                <w:rFonts w:hint="eastAsia" w:cs="Times New Roman"/>
                <w:color w:val="auto"/>
                <w:lang w:eastAsia="zh-CN"/>
              </w:rPr>
              <w:t>）</w:t>
            </w:r>
            <w:r>
              <w:rPr>
                <w:rFonts w:hint="default" w:ascii="Times New Roman" w:hAnsi="Times New Roman" w:eastAsia="宋体" w:cs="Times New Roman"/>
                <w:color w:val="auto"/>
              </w:rPr>
              <w:t>及其修改单中的一级A标准，尾水排放龙江。</w:t>
            </w:r>
          </w:p>
          <w:p w14:paraId="36E129AE">
            <w:pPr>
              <w:pStyle w:val="496"/>
              <w:widowControl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项目污水排放量为</w:t>
            </w:r>
            <w:r>
              <w:rPr>
                <w:rFonts w:hint="default" w:ascii="Times New Roman" w:hAnsi="Times New Roman" w:cs="Times New Roman"/>
                <w:color w:val="auto"/>
                <w:szCs w:val="24"/>
                <w:lang w:val="en-US" w:eastAsia="zh-CN"/>
              </w:rPr>
              <w:t>1.425</w:t>
            </w:r>
            <w:r>
              <w:rPr>
                <w:rFonts w:hint="default" w:ascii="Times New Roman" w:hAnsi="Times New Roman" w:eastAsia="宋体" w:cs="Times New Roman"/>
                <w:color w:val="auto"/>
                <w:szCs w:val="24"/>
                <w:lang w:val="en-US" w:eastAsia="zh-CN"/>
              </w:rPr>
              <w:t>t</w:t>
            </w:r>
            <w:r>
              <w:rPr>
                <w:rFonts w:hint="default" w:ascii="Times New Roman" w:hAnsi="Times New Roman" w:eastAsia="宋体" w:cs="Times New Roman"/>
                <w:color w:val="auto"/>
                <w:szCs w:val="24"/>
              </w:rPr>
              <w:t>/d，福清市融元污水处理厂有足够的余量处理</w:t>
            </w:r>
            <w:r>
              <w:rPr>
                <w:rFonts w:hint="eastAsia" w:cs="Times New Roman"/>
                <w:color w:val="auto"/>
                <w:szCs w:val="24"/>
                <w:lang w:val="en-US" w:eastAsia="zh-CN"/>
              </w:rPr>
              <w:t>建设单位</w:t>
            </w:r>
            <w:r>
              <w:rPr>
                <w:rFonts w:hint="default" w:ascii="Times New Roman" w:hAnsi="Times New Roman" w:eastAsia="宋体" w:cs="Times New Roman"/>
                <w:color w:val="auto"/>
                <w:szCs w:val="24"/>
              </w:rPr>
              <w:t>外排废水，因此，</w:t>
            </w:r>
            <w:r>
              <w:rPr>
                <w:rFonts w:hint="eastAsia" w:cs="Times New Roman"/>
                <w:color w:val="auto"/>
                <w:szCs w:val="24"/>
                <w:lang w:val="en-US" w:eastAsia="zh-CN"/>
              </w:rPr>
              <w:t>建设项目</w:t>
            </w:r>
            <w:r>
              <w:rPr>
                <w:rFonts w:hint="default" w:ascii="Times New Roman" w:hAnsi="Times New Roman" w:eastAsia="宋体" w:cs="Times New Roman"/>
                <w:color w:val="auto"/>
                <w:szCs w:val="24"/>
              </w:rPr>
              <w:t>废水</w:t>
            </w:r>
            <w:r>
              <w:rPr>
                <w:rFonts w:hint="eastAsia" w:cs="Times New Roman"/>
                <w:color w:val="auto"/>
                <w:szCs w:val="24"/>
                <w:lang w:val="en-US" w:eastAsia="zh-CN"/>
              </w:rPr>
              <w:t>排放</w:t>
            </w:r>
            <w:r>
              <w:rPr>
                <w:rFonts w:hint="default" w:ascii="Times New Roman" w:hAnsi="Times New Roman" w:eastAsia="宋体" w:cs="Times New Roman"/>
                <w:color w:val="auto"/>
                <w:szCs w:val="24"/>
              </w:rPr>
              <w:t>不会对福清市融元污水处理厂造成明显的负荷冲击。</w:t>
            </w:r>
          </w:p>
          <w:p w14:paraId="3CA21CD0">
            <w:pPr>
              <w:pStyle w:val="159"/>
              <w:pageBreakBefore w:val="0"/>
              <w:kinsoku/>
              <w:overflowPunct/>
              <w:autoSpaceDE/>
              <w:autoSpaceDN/>
              <w:bidi w:val="0"/>
              <w:ind w:firstLine="480"/>
              <w:jc w:val="both"/>
              <w:rPr>
                <w:rFonts w:hint="default" w:ascii="Times New Roman" w:hAnsi="Times New Roman" w:eastAsia="宋体" w:cs="Times New Roman"/>
                <w:b/>
                <w:bCs w:val="0"/>
                <w:color w:val="auto"/>
                <w:highlight w:val="none"/>
              </w:rPr>
            </w:pPr>
            <w:r>
              <w:rPr>
                <w:rFonts w:hint="eastAsia" w:ascii="Times New Roman" w:hAnsi="Times New Roman" w:eastAsia="宋体" w:cs="Times New Roman"/>
                <w:b/>
                <w:bCs w:val="0"/>
                <w:color w:val="auto"/>
                <w:highlight w:val="none"/>
                <w:lang w:eastAsia="zh-CN"/>
              </w:rPr>
              <w:t>（</w:t>
            </w:r>
            <w:r>
              <w:rPr>
                <w:rFonts w:hint="eastAsia" w:ascii="Times New Roman" w:hAnsi="Times New Roman" w:eastAsia="宋体" w:cs="Times New Roman"/>
                <w:b/>
                <w:bCs w:val="0"/>
                <w:color w:val="auto"/>
                <w:highlight w:val="none"/>
                <w:lang w:val="en-US" w:eastAsia="zh-CN"/>
              </w:rPr>
              <w:t>2</w:t>
            </w:r>
            <w:r>
              <w:rPr>
                <w:rFonts w:hint="eastAsia"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项目污水接管的可行性分析</w:t>
            </w:r>
          </w:p>
          <w:p w14:paraId="69AF3C80">
            <w:pPr>
              <w:pStyle w:val="496"/>
              <w:widowControl w:val="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根据调查，福清市融元污水处理厂主要负责处理福清市城关区、融侨区、洪宽区的生活污水和部分工业废水。</w:t>
            </w:r>
          </w:p>
          <w:p w14:paraId="2251015F">
            <w:pPr>
              <w:pStyle w:val="501"/>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所在地属于</w:t>
            </w:r>
            <w:r>
              <w:rPr>
                <w:rFonts w:hint="default" w:ascii="Times New Roman" w:hAnsi="Times New Roman" w:eastAsia="宋体" w:cs="Times New Roman"/>
                <w:color w:val="auto"/>
                <w:szCs w:val="24"/>
                <w:highlight w:val="none"/>
                <w:lang w:eastAsia="zh-CN"/>
              </w:rPr>
              <w:t>福清市融元污水处理厂</w:t>
            </w:r>
            <w:r>
              <w:rPr>
                <w:rFonts w:hint="default" w:ascii="Times New Roman" w:hAnsi="Times New Roman" w:eastAsia="宋体" w:cs="Times New Roman"/>
                <w:color w:val="auto"/>
                <w:szCs w:val="24"/>
                <w:highlight w:val="none"/>
              </w:rPr>
              <w:t>纳污范围，项目污水通过周边现有道路的市政污水管网</w:t>
            </w:r>
            <w:r>
              <w:rPr>
                <w:rFonts w:hint="default" w:ascii="Times New Roman" w:hAnsi="Times New Roman" w:eastAsia="宋体" w:cs="Times New Roman"/>
                <w:color w:val="auto"/>
                <w:szCs w:val="24"/>
                <w:highlight w:val="none"/>
                <w:lang w:val="en-US" w:eastAsia="zh-CN"/>
              </w:rPr>
              <w:t>统一排入</w:t>
            </w:r>
            <w:r>
              <w:rPr>
                <w:rFonts w:hint="default" w:ascii="Times New Roman" w:hAnsi="Times New Roman" w:eastAsia="宋体" w:cs="Times New Roman"/>
                <w:color w:val="auto"/>
                <w:szCs w:val="24"/>
                <w:highlight w:val="none"/>
                <w:lang w:eastAsia="zh-CN"/>
              </w:rPr>
              <w:t>福清市融元污水处理厂</w:t>
            </w:r>
            <w:r>
              <w:rPr>
                <w:rFonts w:hint="default" w:ascii="Times New Roman" w:hAnsi="Times New Roman" w:eastAsia="宋体" w:cs="Times New Roman"/>
                <w:color w:val="auto"/>
                <w:szCs w:val="24"/>
                <w:highlight w:val="none"/>
              </w:rPr>
              <w:t>。</w:t>
            </w:r>
          </w:p>
          <w:p w14:paraId="500E5DE4">
            <w:pPr>
              <w:pStyle w:val="159"/>
              <w:pageBreakBefore w:val="0"/>
              <w:kinsoku/>
              <w:overflowPunct/>
              <w:autoSpaceDE/>
              <w:autoSpaceDN/>
              <w:bidi w:val="0"/>
              <w:spacing w:line="240" w:lineRule="auto"/>
              <w:ind w:firstLine="0" w:firstLineChars="0"/>
              <w:jc w:val="center"/>
              <w:rPr>
                <w:rFonts w:hint="default" w:ascii="Times New Roman" w:hAnsi="Times New Roman" w:eastAsia="宋体" w:cs="Times New Roman"/>
                <w:b/>
                <w:bCs w:val="0"/>
                <w:color w:val="auto"/>
                <w:highlight w:val="none"/>
              </w:rPr>
            </w:pPr>
          </w:p>
          <w:p w14:paraId="7E99EEA8">
            <w:pPr>
              <w:pStyle w:val="159"/>
              <w:pageBreakBefore w:val="0"/>
              <w:kinsoku/>
              <w:overflowPunct/>
              <w:autoSpaceDE/>
              <w:autoSpaceDN/>
              <w:bidi w:val="0"/>
              <w:spacing w:line="240" w:lineRule="auto"/>
              <w:ind w:firstLine="0" w:firstLineChars="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eastAsia" w:ascii="Times New Roman" w:hAnsi="Times New Roman" w:eastAsia="宋体" w:cs="Times New Roman"/>
                <w:b/>
                <w:bCs w:val="0"/>
                <w:color w:val="auto"/>
                <w:highlight w:val="none"/>
                <w:lang w:val="en-US" w:eastAsia="zh-CN"/>
              </w:rPr>
              <w:t>5</w:t>
            </w:r>
            <w:r>
              <w:rPr>
                <w:rFonts w:hint="default" w:ascii="Times New Roman" w:hAnsi="Times New Roman" w:eastAsia="宋体" w:cs="Times New Roman"/>
                <w:b/>
                <w:bCs w:val="0"/>
                <w:color w:val="auto"/>
                <w:highlight w:val="none"/>
              </w:rPr>
              <w:t xml:space="preserve">  废水类别、污染物及污染治理设施信息表</w:t>
            </w:r>
          </w:p>
          <w:tbl>
            <w:tblPr>
              <w:tblStyle w:val="50"/>
              <w:tblW w:w="8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006"/>
              <w:gridCol w:w="758"/>
              <w:gridCol w:w="758"/>
              <w:gridCol w:w="827"/>
              <w:gridCol w:w="758"/>
              <w:gridCol w:w="462"/>
              <w:gridCol w:w="986"/>
              <w:gridCol w:w="758"/>
              <w:gridCol w:w="1254"/>
            </w:tblGrid>
            <w:tr w14:paraId="12520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7" w:type="dxa"/>
                  <w:vMerge w:val="restart"/>
                  <w:vAlign w:val="center"/>
                </w:tcPr>
                <w:p w14:paraId="13E78AE2">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废水类别（1）</w:t>
                  </w:r>
                </w:p>
              </w:tc>
              <w:tc>
                <w:tcPr>
                  <w:tcW w:w="1006" w:type="dxa"/>
                  <w:vMerge w:val="restart"/>
                  <w:vAlign w:val="center"/>
                </w:tcPr>
                <w:p w14:paraId="64147FFB">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污染物种类（2）</w:t>
                  </w:r>
                </w:p>
              </w:tc>
              <w:tc>
                <w:tcPr>
                  <w:tcW w:w="758" w:type="dxa"/>
                  <w:vMerge w:val="restart"/>
                  <w:vAlign w:val="center"/>
                </w:tcPr>
                <w:p w14:paraId="4DEBF52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排放去向（3）</w:t>
                  </w:r>
                </w:p>
              </w:tc>
              <w:tc>
                <w:tcPr>
                  <w:tcW w:w="758" w:type="dxa"/>
                  <w:vMerge w:val="restart"/>
                  <w:vAlign w:val="center"/>
                </w:tcPr>
                <w:p w14:paraId="2F8C3FB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排放规律（4）</w:t>
                  </w:r>
                </w:p>
              </w:tc>
              <w:tc>
                <w:tcPr>
                  <w:tcW w:w="2047" w:type="dxa"/>
                  <w:gridSpan w:val="3"/>
                  <w:vAlign w:val="center"/>
                </w:tcPr>
                <w:p w14:paraId="2AB5C4C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w:t>
                  </w:r>
                </w:p>
              </w:tc>
              <w:tc>
                <w:tcPr>
                  <w:tcW w:w="986" w:type="dxa"/>
                  <w:vMerge w:val="restart"/>
                  <w:vAlign w:val="center"/>
                </w:tcPr>
                <w:p w14:paraId="34CFA01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排放口编号（6）</w:t>
                  </w:r>
                </w:p>
              </w:tc>
              <w:tc>
                <w:tcPr>
                  <w:tcW w:w="758" w:type="dxa"/>
                  <w:vMerge w:val="restart"/>
                  <w:vAlign w:val="center"/>
                </w:tcPr>
                <w:p w14:paraId="745CEC4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排放口设置是否符合要求（7）</w:t>
                  </w:r>
                </w:p>
              </w:tc>
              <w:tc>
                <w:tcPr>
                  <w:tcW w:w="1254" w:type="dxa"/>
                  <w:vMerge w:val="restart"/>
                  <w:vAlign w:val="center"/>
                </w:tcPr>
                <w:p w14:paraId="2C1A19E8">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排放口类型</w:t>
                  </w:r>
                </w:p>
              </w:tc>
            </w:tr>
            <w:tr w14:paraId="3D17A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57" w:type="dxa"/>
                  <w:vMerge w:val="continue"/>
                  <w:vAlign w:val="center"/>
                </w:tcPr>
                <w:p w14:paraId="65D67F3D">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1006" w:type="dxa"/>
                  <w:vMerge w:val="continue"/>
                  <w:vAlign w:val="center"/>
                </w:tcPr>
                <w:p w14:paraId="51A5B626">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758" w:type="dxa"/>
                  <w:vMerge w:val="continue"/>
                  <w:vAlign w:val="center"/>
                </w:tcPr>
                <w:p w14:paraId="6593EAE7">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758" w:type="dxa"/>
                  <w:vMerge w:val="continue"/>
                  <w:vAlign w:val="center"/>
                </w:tcPr>
                <w:p w14:paraId="2D62B5E5">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827" w:type="dxa"/>
                  <w:vAlign w:val="center"/>
                </w:tcPr>
                <w:p w14:paraId="4A74B6E1">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污染治理设施编号</w:t>
                  </w:r>
                </w:p>
              </w:tc>
              <w:tc>
                <w:tcPr>
                  <w:tcW w:w="758" w:type="dxa"/>
                  <w:vAlign w:val="center"/>
                </w:tcPr>
                <w:p w14:paraId="298819C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污染治理设施名称（5）</w:t>
                  </w:r>
                </w:p>
              </w:tc>
              <w:tc>
                <w:tcPr>
                  <w:tcW w:w="462" w:type="dxa"/>
                  <w:vAlign w:val="center"/>
                </w:tcPr>
                <w:p w14:paraId="674F5FA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污染治理设施工艺</w:t>
                  </w:r>
                </w:p>
              </w:tc>
              <w:tc>
                <w:tcPr>
                  <w:tcW w:w="986" w:type="dxa"/>
                  <w:vMerge w:val="continue"/>
                  <w:vAlign w:val="center"/>
                </w:tcPr>
                <w:p w14:paraId="08952E37">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758" w:type="dxa"/>
                  <w:vMerge w:val="continue"/>
                  <w:vAlign w:val="center"/>
                </w:tcPr>
                <w:p w14:paraId="5F1E90E2">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c>
                <w:tcPr>
                  <w:tcW w:w="1254" w:type="dxa"/>
                  <w:vMerge w:val="continue"/>
                </w:tcPr>
                <w:p w14:paraId="70FD5DFA">
                  <w:pPr>
                    <w:pStyle w:val="191"/>
                    <w:pageBreakBefore w:val="0"/>
                    <w:kinsoku/>
                    <w:overflowPunct/>
                    <w:autoSpaceDE/>
                    <w:autoSpaceDN/>
                    <w:bidi w:val="0"/>
                    <w:spacing w:line="240" w:lineRule="auto"/>
                    <w:jc w:val="both"/>
                    <w:rPr>
                      <w:rFonts w:hint="default" w:ascii="Times New Roman" w:hAnsi="Times New Roman" w:eastAsia="宋体" w:cs="Times New Roman"/>
                      <w:color w:val="auto"/>
                      <w:highlight w:val="none"/>
                    </w:rPr>
                  </w:pPr>
                </w:p>
              </w:tc>
            </w:tr>
            <w:tr w14:paraId="5EBF6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757" w:type="dxa"/>
                  <w:vAlign w:val="center"/>
                </w:tcPr>
                <w:p w14:paraId="601D2F7A">
                  <w:pPr>
                    <w:pStyle w:val="191"/>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生活废水</w:t>
                  </w:r>
                </w:p>
              </w:tc>
              <w:tc>
                <w:tcPr>
                  <w:tcW w:w="1006" w:type="dxa"/>
                  <w:vAlign w:val="center"/>
                </w:tcPr>
                <w:p w14:paraId="14A73961">
                  <w:pPr>
                    <w:pStyle w:val="191"/>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COD</w:t>
                  </w:r>
                  <w:r>
                    <w:rPr>
                      <w:rFonts w:hint="eastAsia" w:ascii="Times New Roman" w:hAnsi="Times New Roman" w:eastAsia="宋体" w:cs="Times New Roman"/>
                      <w:color w:val="auto"/>
                      <w:highlight w:val="none"/>
                      <w:vertAlign w:val="subscript"/>
                      <w:lang w:eastAsia="zh-CN"/>
                    </w:rPr>
                    <w:t>Cr</w:t>
                  </w:r>
                  <w:r>
                    <w:rPr>
                      <w:rFonts w:hint="eastAsia" w:ascii="Times New Roman" w:hAnsi="Times New Roman" w:eastAsia="宋体" w:cs="Times New Roman"/>
                      <w:color w:val="auto"/>
                      <w:highlight w:val="none"/>
                      <w:lang w:eastAsia="zh-CN"/>
                    </w:rPr>
                    <w:t>、BOD</w:t>
                  </w:r>
                  <w:r>
                    <w:rPr>
                      <w:rFonts w:hint="eastAsia" w:ascii="Times New Roman" w:hAnsi="Times New Roman" w:eastAsia="宋体" w:cs="Times New Roman"/>
                      <w:color w:val="auto"/>
                      <w:highlight w:val="none"/>
                      <w:vertAlign w:val="subscript"/>
                      <w:lang w:eastAsia="zh-CN"/>
                    </w:rPr>
                    <w:t>5</w:t>
                  </w:r>
                  <w:r>
                    <w:rPr>
                      <w:rFonts w:hint="eastAsia" w:ascii="Times New Roman" w:hAnsi="Times New Roman" w:eastAsia="宋体" w:cs="Times New Roman"/>
                      <w:color w:val="auto"/>
                      <w:highlight w:val="none"/>
                      <w:lang w:eastAsia="zh-CN"/>
                    </w:rPr>
                    <w:t>、pH、SS、氨氮</w:t>
                  </w:r>
                </w:p>
              </w:tc>
              <w:tc>
                <w:tcPr>
                  <w:tcW w:w="758" w:type="dxa"/>
                  <w:vMerge w:val="restart"/>
                  <w:vAlign w:val="center"/>
                </w:tcPr>
                <w:p w14:paraId="4311FE1F">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福清市融元污水处理厂</w:t>
                  </w:r>
                </w:p>
              </w:tc>
              <w:tc>
                <w:tcPr>
                  <w:tcW w:w="758" w:type="dxa"/>
                  <w:vMerge w:val="restart"/>
                  <w:vAlign w:val="center"/>
                </w:tcPr>
                <w:p w14:paraId="2BA34C9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间断排放，排放期间流量稳定</w:t>
                  </w:r>
                </w:p>
              </w:tc>
              <w:tc>
                <w:tcPr>
                  <w:tcW w:w="827" w:type="dxa"/>
                  <w:vMerge w:val="restart"/>
                  <w:vAlign w:val="center"/>
                </w:tcPr>
                <w:p w14:paraId="4734951E">
                  <w:pPr>
                    <w:keepNext w:val="0"/>
                    <w:keepLines w:val="0"/>
                    <w:pageBreakBefore w:val="0"/>
                    <w:widowControl/>
                    <w:suppressLineNumbers w:val="0"/>
                    <w:kinsoku/>
                    <w:overflowPunct/>
                    <w:autoSpaceDE/>
                    <w:autoSpaceDN/>
                    <w:bidi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0"/>
                      <w:szCs w:val="20"/>
                      <w:highlight w:val="none"/>
                      <w:lang w:val="en-US" w:eastAsia="zh-CN" w:bidi="ar"/>
                    </w:rPr>
                    <w:t>TW001</w:t>
                  </w:r>
                </w:p>
                <w:p w14:paraId="4DC4EAA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restart"/>
                  <w:vAlign w:val="center"/>
                </w:tcPr>
                <w:p w14:paraId="1757880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462" w:type="dxa"/>
                  <w:vMerge w:val="restart"/>
                  <w:vAlign w:val="center"/>
                </w:tcPr>
                <w:p w14:paraId="78C503C3">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86" w:type="dxa"/>
                  <w:vMerge w:val="restart"/>
                  <w:vAlign w:val="center"/>
                </w:tcPr>
                <w:p w14:paraId="0716AB74">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D</w:t>
                  </w:r>
                  <w:r>
                    <w:rPr>
                      <w:rFonts w:hint="default" w:ascii="Times New Roman" w:hAnsi="Times New Roman" w:eastAsia="宋体" w:cs="Times New Roman"/>
                      <w:color w:val="auto"/>
                      <w:highlight w:val="none"/>
                    </w:rPr>
                    <w:t>W0001</w:t>
                  </w:r>
                </w:p>
              </w:tc>
              <w:tc>
                <w:tcPr>
                  <w:tcW w:w="758" w:type="dxa"/>
                  <w:vMerge w:val="restart"/>
                  <w:vAlign w:val="center"/>
                </w:tcPr>
                <w:p w14:paraId="57B2ABF2">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是</w:t>
                  </w:r>
                </w:p>
                <w:p w14:paraId="38AC4791">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否</w:t>
                  </w:r>
                </w:p>
              </w:tc>
              <w:tc>
                <w:tcPr>
                  <w:tcW w:w="1254" w:type="dxa"/>
                  <w:vMerge w:val="restart"/>
                  <w:vAlign w:val="center"/>
                </w:tcPr>
                <w:p w14:paraId="7150AE58">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企业总排</w:t>
                  </w:r>
                </w:p>
                <w:p w14:paraId="470881A8">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雨水排放</w:t>
                  </w:r>
                </w:p>
                <w:p w14:paraId="56B39EA6">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清净下水排放</w:t>
                  </w:r>
                </w:p>
                <w:p w14:paraId="413A7D32">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温排水排放</w:t>
                  </w:r>
                </w:p>
                <w:p w14:paraId="5433B679">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车间或车间处理设施排放口</w:t>
                  </w:r>
                </w:p>
              </w:tc>
            </w:tr>
            <w:tr w14:paraId="547D0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757" w:type="dxa"/>
                  <w:vAlign w:val="center"/>
                </w:tcPr>
                <w:p w14:paraId="1A253F12">
                  <w:pPr>
                    <w:pStyle w:val="191"/>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诊疗废水</w:t>
                  </w:r>
                </w:p>
              </w:tc>
              <w:tc>
                <w:tcPr>
                  <w:tcW w:w="1006" w:type="dxa"/>
                  <w:vAlign w:val="center"/>
                </w:tcPr>
                <w:p w14:paraId="3D7BD4C4">
                  <w:pPr>
                    <w:pStyle w:val="191"/>
                    <w:spacing w:line="240" w:lineRule="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hint="eastAsia"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pH、</w:t>
                  </w:r>
                  <w:r>
                    <w:rPr>
                      <w:rFonts w:ascii="Times New Roman" w:hAnsi="Times New Roman" w:eastAsia="宋体" w:cs="Times New Roman"/>
                      <w:color w:val="auto"/>
                      <w:highlight w:val="none"/>
                    </w:rPr>
                    <w:t>SS、氨氮、粪大肠菌群</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总余氯</w:t>
                  </w:r>
                </w:p>
              </w:tc>
              <w:tc>
                <w:tcPr>
                  <w:tcW w:w="758" w:type="dxa"/>
                  <w:vMerge w:val="continue"/>
                  <w:vAlign w:val="center"/>
                </w:tcPr>
                <w:p w14:paraId="64814DDA">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continue"/>
                  <w:vAlign w:val="center"/>
                </w:tcPr>
                <w:p w14:paraId="47C1B435">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27" w:type="dxa"/>
                  <w:vMerge w:val="continue"/>
                  <w:vAlign w:val="center"/>
                </w:tcPr>
                <w:p w14:paraId="25D910B2">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continue"/>
                  <w:vAlign w:val="center"/>
                </w:tcPr>
                <w:p w14:paraId="2ACF64FA">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462" w:type="dxa"/>
                  <w:vMerge w:val="continue"/>
                  <w:vAlign w:val="center"/>
                </w:tcPr>
                <w:p w14:paraId="2EF02AC0">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986" w:type="dxa"/>
                  <w:vMerge w:val="continue"/>
                  <w:vAlign w:val="center"/>
                </w:tcPr>
                <w:p w14:paraId="180F756D">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758" w:type="dxa"/>
                  <w:vMerge w:val="continue"/>
                  <w:vAlign w:val="center"/>
                </w:tcPr>
                <w:p w14:paraId="7AA6870D">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254" w:type="dxa"/>
                  <w:vMerge w:val="continue"/>
                  <w:vAlign w:val="center"/>
                </w:tcPr>
                <w:p w14:paraId="67FB912F">
                  <w:pPr>
                    <w:pStyle w:val="191"/>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r>
          </w:tbl>
          <w:p w14:paraId="758D6B5F">
            <w:pPr>
              <w:pStyle w:val="4"/>
              <w:numPr>
                <w:ilvl w:val="0"/>
                <w:numId w:val="0"/>
              </w:numPr>
              <w:ind w:firstLine="0" w:firstLineChars="0"/>
              <w:jc w:val="both"/>
              <w:rPr>
                <w:rFonts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 xml:space="preserve">4.2.4 </w:t>
            </w:r>
            <w:r>
              <w:rPr>
                <w:rFonts w:hint="default" w:ascii="Times New Roman" w:hAnsi="Times New Roman" w:eastAsia="宋体" w:cs="Times New Roman"/>
                <w:color w:val="auto"/>
                <w:szCs w:val="24"/>
                <w:highlight w:val="none"/>
                <w:lang w:eastAsia="zh-CN"/>
              </w:rPr>
              <w:t>消毒设备</w:t>
            </w:r>
            <w:r>
              <w:rPr>
                <w:rFonts w:hint="eastAsia" w:ascii="Times New Roman" w:hAnsi="Times New Roman" w:eastAsia="宋体" w:cs="Times New Roman"/>
                <w:color w:val="auto"/>
                <w:szCs w:val="24"/>
                <w:highlight w:val="none"/>
                <w:lang w:val="en-US" w:eastAsia="zh-CN"/>
              </w:rPr>
              <w:t>规模可行性分析</w:t>
            </w:r>
          </w:p>
          <w:p w14:paraId="0204C09F">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建设</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采用</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lang w:val="en-US" w:eastAsia="zh-CN"/>
              </w:rPr>
              <w:t>对诊疗废水和宠物美容废水</w:t>
            </w:r>
            <w:r>
              <w:rPr>
                <w:rFonts w:hint="default" w:ascii="Times New Roman" w:hAnsi="Times New Roman" w:eastAsia="宋体" w:cs="Times New Roman"/>
                <w:color w:val="auto"/>
                <w:highlight w:val="none"/>
                <w:lang w:val="en-US" w:eastAsia="zh-CN"/>
              </w:rPr>
              <w:t>进行杀菌、消毒</w:t>
            </w:r>
            <w:r>
              <w:rPr>
                <w:rFonts w:hint="default" w:ascii="Times New Roman" w:hAnsi="Times New Roman" w:eastAsia="宋体" w:cs="Times New Roman"/>
                <w:color w:val="auto"/>
                <w:szCs w:val="24"/>
                <w:highlight w:val="none"/>
                <w:lang w:eastAsia="zh-CN"/>
              </w:rPr>
              <w:t>。消毒设备</w:t>
            </w:r>
            <w:r>
              <w:rPr>
                <w:rFonts w:ascii="Times New Roman" w:hAnsi="Times New Roman" w:eastAsia="宋体" w:cs="Times New Roman"/>
                <w:color w:val="auto"/>
                <w:szCs w:val="24"/>
                <w:highlight w:val="none"/>
              </w:rPr>
              <w:t>的处理工艺简析：</w:t>
            </w:r>
            <w:r>
              <w:rPr>
                <w:rFonts w:hint="default" w:ascii="Times New Roman" w:hAnsi="Times New Roman" w:eastAsia="宋体" w:cs="Times New Roman"/>
                <w:color w:val="auto"/>
                <w:szCs w:val="24"/>
                <w:highlight w:val="none"/>
              </w:rPr>
              <w:t>建设单位定期</w:t>
            </w:r>
            <w:r>
              <w:rPr>
                <w:rFonts w:hint="default" w:ascii="Times New Roman" w:hAnsi="Times New Roman" w:eastAsia="宋体" w:cs="Times New Roman"/>
                <w:color w:val="auto"/>
                <w:szCs w:val="24"/>
                <w:highlight w:val="none"/>
                <w:lang w:val="en-US" w:eastAsia="zh-CN"/>
              </w:rPr>
              <w:t>往</w:t>
            </w:r>
            <w:r>
              <w:rPr>
                <w:rFonts w:ascii="Times New Roman" w:hAnsi="Times New Roman" w:eastAsia="宋体" w:cs="Times New Roman"/>
                <w:color w:val="auto"/>
                <w:szCs w:val="24"/>
                <w:highlight w:val="none"/>
              </w:rPr>
              <w:t>收集</w:t>
            </w:r>
            <w:r>
              <w:rPr>
                <w:rFonts w:hint="default" w:ascii="Times New Roman" w:hAnsi="Times New Roman" w:eastAsia="宋体" w:cs="Times New Roman"/>
                <w:color w:val="auto"/>
                <w:szCs w:val="24"/>
                <w:highlight w:val="none"/>
              </w:rPr>
              <w:t>箱</w:t>
            </w:r>
            <w:r>
              <w:rPr>
                <w:rFonts w:hint="default" w:ascii="Times New Roman" w:hAnsi="Times New Roman" w:eastAsia="宋体" w:cs="Times New Roman"/>
                <w:color w:val="auto"/>
                <w:szCs w:val="24"/>
                <w:highlight w:val="none"/>
                <w:lang w:val="en-US" w:eastAsia="zh-CN"/>
              </w:rPr>
              <w:t>中</w:t>
            </w:r>
            <w:r>
              <w:rPr>
                <w:rFonts w:ascii="Times New Roman" w:hAnsi="Times New Roman" w:eastAsia="宋体" w:cs="Times New Roman"/>
                <w:color w:val="auto"/>
                <w:szCs w:val="24"/>
                <w:highlight w:val="none"/>
              </w:rPr>
              <w:t>加</w:t>
            </w:r>
            <w:r>
              <w:rPr>
                <w:rFonts w:hint="default" w:ascii="Times New Roman" w:hAnsi="Times New Roman" w:eastAsia="宋体" w:cs="Times New Roman"/>
                <w:color w:val="auto"/>
                <w:szCs w:val="24"/>
                <w:highlight w:val="none"/>
              </w:rPr>
              <w:t>入缓释</w:t>
            </w:r>
            <w:r>
              <w:rPr>
                <w:rFonts w:ascii="Times New Roman" w:hAnsi="Times New Roman" w:eastAsia="宋体" w:cs="Times New Roman"/>
                <w:color w:val="auto"/>
                <w:szCs w:val="24"/>
                <w:highlight w:val="none"/>
              </w:rPr>
              <w:t>氯</w:t>
            </w:r>
            <w:r>
              <w:rPr>
                <w:rFonts w:hint="default" w:ascii="Times New Roman" w:hAnsi="Times New Roman" w:eastAsia="宋体" w:cs="Times New Roman"/>
                <w:color w:val="auto"/>
                <w:szCs w:val="24"/>
                <w:highlight w:val="none"/>
              </w:rPr>
              <w:t>片（200克/片，打开加药盖，一次加一片，可用</w:t>
            </w:r>
            <w:r>
              <w:rPr>
                <w:rFonts w:hint="default" w:ascii="Times New Roman" w:hAnsi="Times New Roman" w:eastAsia="宋体" w:cs="Times New Roman"/>
                <w:color w:val="auto"/>
                <w:szCs w:val="24"/>
                <w:highlight w:val="none"/>
                <w:lang w:eastAsia="zh-CN"/>
              </w:rPr>
              <w:t>15天</w:t>
            </w:r>
            <w:r>
              <w:rPr>
                <w:rFonts w:hint="default" w:ascii="Times New Roman" w:hAnsi="Times New Roman" w:eastAsia="宋体" w:cs="Times New Roman"/>
                <w:color w:val="auto"/>
                <w:szCs w:val="24"/>
                <w:highlight w:val="none"/>
              </w:rPr>
              <w:t>左右）</w:t>
            </w:r>
            <w:r>
              <w:rPr>
                <w:rFonts w:ascii="Times New Roman" w:hAnsi="Times New Roman" w:eastAsia="宋体" w:cs="Times New Roman"/>
                <w:color w:val="auto"/>
                <w:szCs w:val="24"/>
                <w:highlight w:val="none"/>
              </w:rPr>
              <w:t>消毒</w:t>
            </w:r>
            <w:r>
              <w:rPr>
                <w:rFonts w:hint="default" w:ascii="Times New Roman" w:hAnsi="Times New Roman" w:eastAsia="宋体" w:cs="Times New Roman"/>
                <w:color w:val="auto"/>
                <w:szCs w:val="24"/>
                <w:highlight w:val="none"/>
                <w:lang w:eastAsia="zh-CN"/>
              </w:rPr>
              <w:t>。</w:t>
            </w:r>
            <w:r>
              <w:rPr>
                <w:rFonts w:ascii="Times New Roman" w:hAnsi="Times New Roman" w:eastAsia="宋体" w:cs="Times New Roman"/>
                <w:color w:val="auto"/>
                <w:szCs w:val="24"/>
                <w:highlight w:val="none"/>
              </w:rPr>
              <w:t>经沉淀后，在收集</w:t>
            </w:r>
            <w:r>
              <w:rPr>
                <w:rFonts w:hint="default" w:ascii="Times New Roman" w:hAnsi="Times New Roman" w:eastAsia="宋体" w:cs="Times New Roman"/>
                <w:color w:val="auto"/>
                <w:szCs w:val="24"/>
                <w:highlight w:val="none"/>
              </w:rPr>
              <w:t>箱</w:t>
            </w:r>
            <w:r>
              <w:rPr>
                <w:rFonts w:hint="default" w:ascii="Times New Roman" w:hAnsi="Times New Roman" w:eastAsia="宋体" w:cs="Times New Roman"/>
                <w:color w:val="auto"/>
                <w:szCs w:val="24"/>
                <w:highlight w:val="none"/>
                <w:lang w:val="en-US" w:eastAsia="zh-CN"/>
              </w:rPr>
              <w:t>中</w:t>
            </w:r>
            <w:r>
              <w:rPr>
                <w:rFonts w:ascii="Times New Roman" w:hAnsi="Times New Roman" w:eastAsia="宋体" w:cs="Times New Roman"/>
                <w:color w:val="auto"/>
                <w:szCs w:val="24"/>
                <w:highlight w:val="none"/>
              </w:rPr>
              <w:t>进行加氯消毒，消毒</w:t>
            </w:r>
            <w:r>
              <w:rPr>
                <w:rFonts w:hint="default" w:ascii="Times New Roman" w:hAnsi="Times New Roman" w:eastAsia="宋体" w:cs="Times New Roman"/>
                <w:color w:val="auto"/>
                <w:szCs w:val="24"/>
                <w:highlight w:val="none"/>
                <w:lang w:val="en-US" w:eastAsia="zh-CN"/>
              </w:rPr>
              <w:t>后</w:t>
            </w:r>
            <w:r>
              <w:rPr>
                <w:rFonts w:ascii="Times New Roman" w:hAnsi="Times New Roman" w:eastAsia="宋体" w:cs="Times New Roman"/>
                <w:color w:val="auto"/>
                <w:szCs w:val="24"/>
                <w:highlight w:val="none"/>
              </w:rPr>
              <w:t>排入化粪池</w:t>
            </w:r>
            <w:r>
              <w:rPr>
                <w:rFonts w:hint="default" w:ascii="Times New Roman" w:hAnsi="Times New Roman" w:eastAsia="宋体" w:cs="Times New Roman"/>
                <w:color w:val="auto"/>
                <w:szCs w:val="24"/>
                <w:highlight w:val="none"/>
                <w:lang w:val="en-US" w:eastAsia="zh-CN"/>
              </w:rPr>
              <w:t>处理</w:t>
            </w:r>
            <w:r>
              <w:rPr>
                <w:rFonts w:hint="eastAsia" w:ascii="Times New Roman" w:hAnsi="Times New Roman" w:eastAsia="宋体" w:cs="Times New Roman"/>
                <w:color w:val="auto"/>
                <w:szCs w:val="24"/>
                <w:highlight w:val="none"/>
                <w:lang w:val="en-US" w:eastAsia="zh-CN"/>
              </w:rPr>
              <w:t>后统一纳入</w:t>
            </w:r>
            <w:r>
              <w:rPr>
                <w:rFonts w:hint="default" w:ascii="Times New Roman" w:hAnsi="Times New Roman" w:eastAsia="宋体" w:cs="Times New Roman"/>
                <w:color w:val="auto"/>
                <w:szCs w:val="24"/>
                <w:highlight w:val="none"/>
                <w:lang w:val="en-US" w:eastAsia="zh-CN"/>
              </w:rPr>
              <w:t>市政污水管网</w:t>
            </w:r>
            <w:r>
              <w:rPr>
                <w:rFonts w:hint="eastAsia" w:ascii="Times New Roman" w:hAnsi="Times New Roman" w:eastAsia="宋体" w:cs="Times New Roman"/>
                <w:color w:val="auto"/>
                <w:szCs w:val="24"/>
                <w:highlight w:val="none"/>
                <w:lang w:val="en-US" w:eastAsia="zh-CN"/>
              </w:rPr>
              <w:t>，由福清市融元污水处理厂</w:t>
            </w:r>
            <w:r>
              <w:rPr>
                <w:rFonts w:hint="default" w:ascii="Times New Roman" w:hAnsi="Times New Roman" w:eastAsia="宋体" w:cs="Times New Roman"/>
                <w:color w:val="auto"/>
                <w:szCs w:val="24"/>
                <w:highlight w:val="none"/>
                <w:lang w:val="en-US" w:eastAsia="zh-CN"/>
              </w:rPr>
              <w:t>集中处理</w:t>
            </w:r>
            <w:r>
              <w:rPr>
                <w:rFonts w:hint="default" w:ascii="Times New Roman" w:hAnsi="Times New Roman" w:eastAsia="宋体" w:cs="Times New Roman"/>
                <w:color w:val="auto"/>
                <w:szCs w:val="24"/>
                <w:highlight w:val="none"/>
              </w:rPr>
              <w:t>。</w:t>
            </w:r>
          </w:p>
          <w:p w14:paraId="695B94D0">
            <w:pPr>
              <w:pStyle w:val="159"/>
              <w:keepNext w:val="0"/>
              <w:keepLines w:val="0"/>
              <w:pageBreakBefore w:val="0"/>
              <w:widowControl/>
              <w:kinsoku/>
              <w:wordWrap w:val="0"/>
              <w:overflowPunct/>
              <w:topLinePunct w:val="0"/>
              <w:autoSpaceDE/>
              <w:autoSpaceDN/>
              <w:bidi w:val="0"/>
              <w:adjustRightInd/>
              <w:snapToGrid/>
              <w:ind w:firstLine="480"/>
              <w:jc w:val="both"/>
              <w:textAlignment w:val="auto"/>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现有项目已有两台消毒设备（HB-50，尺寸（cm）：30×30×30），分别设于手术准备间和美容间。扩建后项目诊疗废水产生量为73.9125t/a（0.2025t/d），宠物美容废水产生量为98.55t/a（0.27t/d）。消毒设备设计污水处理能力为1t/d，因此现有项目使用的消毒设备</w:t>
            </w:r>
            <w:r>
              <w:rPr>
                <w:rFonts w:ascii="Times New Roman" w:hAnsi="Times New Roman" w:eastAsia="宋体" w:cs="Times New Roman"/>
                <w:color w:val="auto"/>
                <w:szCs w:val="24"/>
                <w:highlight w:val="none"/>
              </w:rPr>
              <w:t>可满足</w:t>
            </w:r>
            <w:r>
              <w:rPr>
                <w:rFonts w:hint="eastAsia" w:ascii="Times New Roman" w:hAnsi="Times New Roman" w:eastAsia="宋体" w:cs="Times New Roman"/>
                <w:color w:val="auto"/>
                <w:szCs w:val="24"/>
                <w:highlight w:val="none"/>
                <w:lang w:val="en-US" w:eastAsia="zh-CN"/>
              </w:rPr>
              <w:t>扩建后项目排放</w:t>
            </w:r>
            <w:r>
              <w:rPr>
                <w:rFonts w:hint="default" w:ascii="Times New Roman" w:hAnsi="Times New Roman" w:eastAsia="宋体" w:cs="Times New Roman"/>
                <w:color w:val="auto"/>
                <w:szCs w:val="24"/>
                <w:highlight w:val="none"/>
                <w:lang w:eastAsia="zh-CN"/>
              </w:rPr>
              <w:t>废水</w:t>
            </w:r>
            <w:r>
              <w:rPr>
                <w:rFonts w:ascii="Times New Roman" w:hAnsi="Times New Roman" w:eastAsia="宋体" w:cs="Times New Roman"/>
                <w:color w:val="auto"/>
                <w:szCs w:val="24"/>
                <w:highlight w:val="none"/>
              </w:rPr>
              <w:t>处理需求。</w:t>
            </w:r>
          </w:p>
          <w:tbl>
            <w:tblPr>
              <w:tblStyle w:val="51"/>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6"/>
              <w:gridCol w:w="4043"/>
            </w:tblGrid>
            <w:tr w14:paraId="30EE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1716F0C0">
                  <w:pPr>
                    <w:pStyle w:val="159"/>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drawing>
                      <wp:inline distT="0" distB="0" distL="114300" distR="114300">
                        <wp:extent cx="2554605" cy="2122805"/>
                        <wp:effectExtent l="0" t="0" r="17145" b="10795"/>
                        <wp:docPr id="96" name="图片 96" descr="8126b68927d440d86f8320fda652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8126b68927d440d86f8320fda652cc9"/>
                                <pic:cNvPicPr>
                                  <a:picLocks noChangeAspect="1"/>
                                </pic:cNvPicPr>
                              </pic:nvPicPr>
                              <pic:blipFill>
                                <a:blip r:embed="rId30"/>
                                <a:srcRect t="33245" b="32103"/>
                                <a:stretch>
                                  <a:fillRect/>
                                </a:stretch>
                              </pic:blipFill>
                              <pic:spPr>
                                <a:xfrm>
                                  <a:off x="0" y="0"/>
                                  <a:ext cx="2554605" cy="2122805"/>
                                </a:xfrm>
                                <a:prstGeom prst="rect">
                                  <a:avLst/>
                                </a:prstGeom>
                              </pic:spPr>
                            </pic:pic>
                          </a:graphicData>
                        </a:graphic>
                      </wp:inline>
                    </w:drawing>
                  </w:r>
                </w:p>
              </w:tc>
              <w:tc>
                <w:tcPr>
                  <w:tcW w:w="4043" w:type="dxa"/>
                </w:tcPr>
                <w:p w14:paraId="67EC2C0B">
                  <w:pPr>
                    <w:pStyle w:val="159"/>
                    <w:ind w:firstLine="0" w:firstLineChars="0"/>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drawing>
                      <wp:inline distT="0" distB="0" distL="114300" distR="114300">
                        <wp:extent cx="2101215" cy="2405380"/>
                        <wp:effectExtent l="0" t="0" r="13970" b="13335"/>
                        <wp:docPr id="99" name="图片 99" descr="3bc68c2d497d5cc46d0f06f2aec0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bc68c2d497d5cc46d0f06f2aec0ea2"/>
                                <pic:cNvPicPr>
                                  <a:picLocks noChangeAspect="1"/>
                                </pic:cNvPicPr>
                              </pic:nvPicPr>
                              <pic:blipFill>
                                <a:blip r:embed="rId31"/>
                                <a:srcRect b="18269"/>
                                <a:stretch>
                                  <a:fillRect/>
                                </a:stretch>
                              </pic:blipFill>
                              <pic:spPr>
                                <a:xfrm rot="5400000">
                                  <a:off x="0" y="0"/>
                                  <a:ext cx="2101215" cy="2405380"/>
                                </a:xfrm>
                                <a:prstGeom prst="rect">
                                  <a:avLst/>
                                </a:prstGeom>
                              </pic:spPr>
                            </pic:pic>
                          </a:graphicData>
                        </a:graphic>
                      </wp:inline>
                    </w:drawing>
                  </w:r>
                </w:p>
              </w:tc>
            </w:tr>
            <w:tr w14:paraId="33A2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9" w:type="dxa"/>
                  <w:gridSpan w:val="2"/>
                </w:tcPr>
                <w:p w14:paraId="5C1D8FA0">
                  <w:pPr>
                    <w:pStyle w:val="159"/>
                    <w:spacing w:line="240" w:lineRule="auto"/>
                    <w:ind w:firstLine="0" w:firstLineChars="0"/>
                    <w:jc w:val="center"/>
                    <w:rPr>
                      <w:rFonts w:ascii="Times New Roman" w:hAnsi="Times New Roman" w:eastAsia="宋体" w:cs="Times New Roman"/>
                      <w:color w:val="auto"/>
                      <w:szCs w:val="24"/>
                    </w:rPr>
                  </w:pPr>
                  <w:r>
                    <w:rPr>
                      <w:rFonts w:hint="eastAsia" w:ascii="Times New Roman" w:hAnsi="Times New Roman" w:eastAsia="宋体" w:cs="Times New Roman"/>
                      <w:b/>
                      <w:bCs w:val="0"/>
                      <w:color w:val="auto"/>
                      <w:kern w:val="0"/>
                      <w:szCs w:val="24"/>
                    </w:rPr>
                    <w:t>图4-</w:t>
                  </w:r>
                  <w:r>
                    <w:rPr>
                      <w:rFonts w:hint="eastAsia" w:ascii="Times New Roman" w:hAnsi="Times New Roman" w:eastAsia="宋体" w:cs="Times New Roman"/>
                      <w:b/>
                      <w:bCs w:val="0"/>
                      <w:color w:val="auto"/>
                      <w:kern w:val="0"/>
                      <w:szCs w:val="24"/>
                      <w:lang w:val="en-US" w:eastAsia="zh-CN"/>
                    </w:rPr>
                    <w:t>3</w:t>
                  </w:r>
                  <w:r>
                    <w:rPr>
                      <w:rFonts w:hint="eastAsia" w:ascii="Times New Roman" w:hAnsi="Times New Roman" w:eastAsia="宋体" w:cs="Times New Roman"/>
                      <w:b/>
                      <w:bCs w:val="0"/>
                      <w:color w:val="auto"/>
                      <w:kern w:val="0"/>
                      <w:szCs w:val="24"/>
                    </w:rPr>
                    <w:t xml:space="preserve">  消毒设备接管及消毒方式</w:t>
                  </w:r>
                </w:p>
              </w:tc>
            </w:tr>
          </w:tbl>
          <w:p w14:paraId="37B77C04">
            <w:pPr>
              <w:pStyle w:val="159"/>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加氯消毒，是以氯为消毒剂对给水及污水进行的消毒处理方法。由于氯的价格低廉，消毒效果好和使用方便，是传统的水消毒工艺。氯投加到水中后，生成次氯酸和次氯酸根，两者在水中的比例取决于pH值。由于次氯酸为中性分子不带电而能够扩散到带负电的细菌表面，从而破坏菌体中的酶及其相胞功能使细菌死亡，因此，pH值愈低，水中HClO含量比例愈高，产生的消毒效果愈好。</w:t>
            </w:r>
            <w:r>
              <w:rPr>
                <w:rFonts w:hint="eastAsia" w:ascii="Times New Roman" w:hAnsi="Times New Roman" w:eastAsia="宋体" w:cs="Times New Roman"/>
                <w:color w:val="auto"/>
                <w:szCs w:val="24"/>
                <w:highlight w:val="none"/>
                <w:lang w:val="en-US" w:eastAsia="zh-CN"/>
              </w:rPr>
              <w:t>建设单位</w:t>
            </w:r>
            <w:r>
              <w:rPr>
                <w:rFonts w:ascii="Times New Roman" w:hAnsi="Times New Roman" w:eastAsia="宋体" w:cs="Times New Roman"/>
                <w:color w:val="auto"/>
                <w:szCs w:val="24"/>
                <w:highlight w:val="none"/>
              </w:rPr>
              <w:t>使用投加缓释氯片的方式对</w:t>
            </w:r>
            <w:r>
              <w:rPr>
                <w:rFonts w:hint="default" w:ascii="Times New Roman" w:hAnsi="Times New Roman" w:eastAsia="宋体" w:cs="Times New Roman"/>
                <w:color w:val="auto"/>
                <w:szCs w:val="24"/>
                <w:highlight w:val="none"/>
                <w:lang w:eastAsia="zh-CN"/>
              </w:rPr>
              <w:t>废水</w:t>
            </w:r>
            <w:r>
              <w:rPr>
                <w:rFonts w:ascii="Times New Roman" w:hAnsi="Times New Roman" w:eastAsia="宋体" w:cs="Times New Roman"/>
                <w:color w:val="auto"/>
                <w:szCs w:val="24"/>
                <w:highlight w:val="none"/>
              </w:rPr>
              <w:t>进行处理，投加的缓释氯片应在单独的储物柜中避光保存，避免和酸碱物质及油脂混放。</w:t>
            </w:r>
          </w:p>
          <w:p w14:paraId="76650C4C">
            <w:pPr>
              <w:pStyle w:val="159"/>
              <w:ind w:firstLine="480"/>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消毒设备</w:t>
            </w:r>
            <w:r>
              <w:rPr>
                <w:rFonts w:ascii="Times New Roman" w:hAnsi="Times New Roman" w:eastAsia="宋体" w:cs="Times New Roman"/>
                <w:color w:val="auto"/>
                <w:szCs w:val="24"/>
                <w:highlight w:val="none"/>
              </w:rPr>
              <w:t>产生的污泥含有病原微生物</w:t>
            </w:r>
            <w:r>
              <w:rPr>
                <w:rFonts w:hint="default" w:ascii="Times New Roman" w:hAnsi="Times New Roman" w:eastAsia="宋体" w:cs="Times New Roman"/>
                <w:color w:val="auto"/>
                <w:szCs w:val="24"/>
                <w:highlight w:val="none"/>
              </w:rPr>
              <w:t>，每</w:t>
            </w:r>
            <w:r>
              <w:rPr>
                <w:rFonts w:hint="eastAsia" w:ascii="Times New Roman" w:hAnsi="Times New Roman" w:eastAsia="宋体" w:cs="Times New Roman"/>
                <w:color w:val="auto"/>
                <w:szCs w:val="24"/>
                <w:highlight w:val="none"/>
                <w:lang w:val="en-US" w:eastAsia="zh-CN"/>
              </w:rPr>
              <w:t>10~</w:t>
            </w:r>
            <w:r>
              <w:rPr>
                <w:rFonts w:hint="default" w:ascii="Times New Roman" w:hAnsi="Times New Roman" w:eastAsia="宋体" w:cs="Times New Roman"/>
                <w:color w:val="auto"/>
                <w:szCs w:val="24"/>
                <w:highlight w:val="none"/>
                <w:lang w:eastAsia="zh-CN"/>
              </w:rPr>
              <w:t>15天</w:t>
            </w:r>
            <w:r>
              <w:rPr>
                <w:rFonts w:ascii="Times New Roman" w:hAnsi="Times New Roman" w:eastAsia="宋体" w:cs="Times New Roman"/>
                <w:color w:val="auto"/>
                <w:szCs w:val="24"/>
                <w:highlight w:val="none"/>
              </w:rPr>
              <w:t>清掏一次</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由资质单位定期清运</w:t>
            </w:r>
            <w:r>
              <w:rPr>
                <w:rFonts w:ascii="Times New Roman" w:hAnsi="Times New Roman" w:eastAsia="宋体" w:cs="Times New Roman"/>
                <w:color w:val="auto"/>
                <w:szCs w:val="24"/>
                <w:highlight w:val="none"/>
              </w:rPr>
              <w:t>。</w:t>
            </w:r>
          </w:p>
          <w:p w14:paraId="0CC29E63">
            <w:pPr>
              <w:pStyle w:val="4"/>
              <w:numPr>
                <w:ilvl w:val="0"/>
                <w:numId w:val="0"/>
              </w:numPr>
              <w:jc w:val="both"/>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en-US" w:eastAsia="zh-CN"/>
              </w:rPr>
              <w:t>3</w:t>
            </w:r>
            <w:r>
              <w:rPr>
                <w:rFonts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lang w:val="en-US" w:eastAsia="zh-CN"/>
              </w:rPr>
              <w:t>运营期大气环境影响和污染防治措施</w:t>
            </w:r>
          </w:p>
          <w:p w14:paraId="3CE5372F">
            <w:pPr>
              <w:pStyle w:val="4"/>
              <w:numPr>
                <w:ilvl w:val="0"/>
                <w:numId w:val="0"/>
              </w:numPr>
              <w:jc w:val="both"/>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t>4.3.</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运营期大气污染源强分析</w:t>
            </w:r>
          </w:p>
          <w:p w14:paraId="23AD0B6A">
            <w:pPr>
              <w:pStyle w:val="159"/>
              <w:pageBreakBefore w:val="0"/>
              <w:shd w:val="clear"/>
              <w:kinsoku/>
              <w:overflowPunct/>
              <w:autoSpaceDE/>
              <w:autoSpaceDN/>
              <w:bidi w:val="0"/>
              <w:ind w:firstLine="480"/>
              <w:jc w:val="both"/>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lang w:eastAsia="zh-CN"/>
              </w:rPr>
              <w:t>消毒设备</w:t>
            </w:r>
            <w:r>
              <w:rPr>
                <w:rFonts w:hint="default" w:ascii="Times New Roman" w:hAnsi="Times New Roman" w:eastAsia="宋体" w:cs="Times New Roman"/>
                <w:b/>
                <w:bCs w:val="0"/>
                <w:color w:val="auto"/>
                <w:highlight w:val="none"/>
              </w:rPr>
              <w:t>产生的</w:t>
            </w:r>
            <w:r>
              <w:rPr>
                <w:rFonts w:hint="default" w:ascii="Times New Roman" w:hAnsi="Times New Roman" w:eastAsia="宋体" w:cs="Times New Roman"/>
                <w:b/>
                <w:bCs w:val="0"/>
                <w:color w:val="auto"/>
                <w:highlight w:val="none"/>
                <w:lang w:eastAsia="zh-CN"/>
              </w:rPr>
              <w:t>异味</w:t>
            </w:r>
          </w:p>
          <w:p w14:paraId="45FE6C3E">
            <w:pPr>
              <w:spacing w:line="360" w:lineRule="auto"/>
              <w:ind w:firstLine="480" w:firstLineChars="200"/>
              <w:rPr>
                <w:b/>
                <w:bCs/>
                <w:sz w:val="24"/>
                <w:highlight w:val="none"/>
              </w:rPr>
            </w:pPr>
            <w:r>
              <w:rPr>
                <w:rFonts w:hint="default" w:ascii="Times New Roman" w:hAnsi="Times New Roman" w:eastAsia="宋体" w:cs="Times New Roman"/>
                <w:color w:val="auto"/>
                <w:szCs w:val="24"/>
                <w:highlight w:val="none"/>
              </w:rPr>
              <w:t>建设单位</w:t>
            </w:r>
            <w:r>
              <w:rPr>
                <w:rFonts w:ascii="Times New Roman" w:hAnsi="Times New Roman" w:eastAsia="宋体" w:cs="Times New Roman"/>
                <w:color w:val="auto"/>
                <w:szCs w:val="24"/>
                <w:highlight w:val="none"/>
              </w:rPr>
              <w:t>采用一体化封闭的</w:t>
            </w:r>
            <w:r>
              <w:rPr>
                <w:rFonts w:hint="default" w:ascii="Times New Roman" w:hAnsi="Times New Roman" w:eastAsia="宋体" w:cs="Times New Roman"/>
                <w:color w:val="auto"/>
                <w:szCs w:val="24"/>
                <w:highlight w:val="none"/>
                <w:lang w:eastAsia="zh-CN"/>
              </w:rPr>
              <w:t>消毒设备</w:t>
            </w:r>
            <w:r>
              <w:rPr>
                <w:rFonts w:ascii="Times New Roman" w:hAnsi="Times New Roman" w:eastAsia="宋体" w:cs="Times New Roman"/>
                <w:color w:val="auto"/>
                <w:szCs w:val="24"/>
                <w:highlight w:val="none"/>
              </w:rPr>
              <w:t>，设于室内</w:t>
            </w:r>
            <w:r>
              <w:rPr>
                <w:rFonts w:hint="eastAsia" w:cs="Times New Roman"/>
                <w:color w:val="auto"/>
                <w:szCs w:val="24"/>
                <w:highlight w:val="none"/>
                <w:lang w:eastAsia="zh-CN"/>
              </w:rPr>
              <w:t>。</w:t>
            </w:r>
            <w:r>
              <w:rPr>
                <w:rFonts w:hint="eastAsia" w:cs="Times New Roman"/>
                <w:color w:val="auto"/>
                <w:szCs w:val="24"/>
                <w:highlight w:val="none"/>
                <w:lang w:val="en-US" w:eastAsia="zh-CN"/>
              </w:rPr>
              <w:t>诊疗废水</w:t>
            </w:r>
            <w:r>
              <w:rPr>
                <w:sz w:val="24"/>
                <w:highlight w:val="none"/>
              </w:rPr>
              <w:t>经</w:t>
            </w:r>
            <w:r>
              <w:rPr>
                <w:rFonts w:hint="eastAsia"/>
                <w:sz w:val="24"/>
                <w:highlight w:val="none"/>
                <w:lang w:val="en-US" w:eastAsia="zh-CN"/>
              </w:rPr>
              <w:t>消毒设备消毒</w:t>
            </w:r>
            <w:r>
              <w:rPr>
                <w:sz w:val="24"/>
                <w:highlight w:val="none"/>
              </w:rPr>
              <w:t>后排入</w:t>
            </w:r>
            <w:r>
              <w:rPr>
                <w:rFonts w:hint="eastAsia"/>
                <w:sz w:val="24"/>
                <w:highlight w:val="none"/>
                <w:lang w:val="en-US" w:eastAsia="zh-CN"/>
              </w:rPr>
              <w:t>化粪池</w:t>
            </w:r>
            <w:r>
              <w:rPr>
                <w:sz w:val="24"/>
                <w:highlight w:val="none"/>
              </w:rPr>
              <w:t>，废水在</w:t>
            </w:r>
            <w:r>
              <w:rPr>
                <w:rFonts w:hint="eastAsia"/>
                <w:sz w:val="24"/>
                <w:highlight w:val="none"/>
                <w:lang w:val="en-US" w:eastAsia="zh-CN"/>
              </w:rPr>
              <w:t>消毒设备</w:t>
            </w:r>
            <w:r>
              <w:rPr>
                <w:sz w:val="24"/>
                <w:highlight w:val="none"/>
              </w:rPr>
              <w:t>内停留时间极短，产生的异味影响强度极小，且废水处理设施密闭，</w:t>
            </w:r>
            <w:r>
              <w:rPr>
                <w:rFonts w:hint="eastAsia"/>
                <w:sz w:val="24"/>
                <w:highlight w:val="none"/>
                <w:lang w:val="en-US" w:eastAsia="zh-CN"/>
              </w:rPr>
              <w:t>设备需定期</w:t>
            </w:r>
            <w:r>
              <w:rPr>
                <w:sz w:val="24"/>
                <w:highlight w:val="none"/>
              </w:rPr>
              <w:t>清掏污泥，因此不会对周边环境产生明显影响。建设单位应安排专人对废水处理设施进行管理和监护，确保废水处理设施的正常运行。</w:t>
            </w:r>
          </w:p>
          <w:p w14:paraId="3F64523C">
            <w:pPr>
              <w:pStyle w:val="159"/>
              <w:pageBreakBefore w:val="0"/>
              <w:kinsoku/>
              <w:overflowPunct/>
              <w:autoSpaceDE/>
              <w:autoSpaceDN/>
              <w:bidi w:val="0"/>
              <w:ind w:firstLine="480"/>
              <w:jc w:val="both"/>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宠物散发的</w:t>
            </w:r>
            <w:r>
              <w:rPr>
                <w:rFonts w:hint="default" w:ascii="Times New Roman" w:hAnsi="Times New Roman" w:eastAsia="宋体" w:cs="Times New Roman"/>
                <w:b/>
                <w:bCs/>
                <w:color w:val="auto"/>
                <w:highlight w:val="none"/>
                <w:lang w:eastAsia="zh-CN"/>
              </w:rPr>
              <w:t>异味</w:t>
            </w:r>
          </w:p>
          <w:p w14:paraId="7CA31A85">
            <w:pPr>
              <w:spacing w:line="360" w:lineRule="auto"/>
              <w:ind w:firstLine="480" w:firstLineChars="200"/>
              <w:rPr>
                <w:rFonts w:hint="eastAsia" w:eastAsia="宋体"/>
                <w:sz w:val="24"/>
                <w:lang w:val="en-US" w:eastAsia="zh-CN"/>
              </w:rPr>
            </w:pPr>
            <w:r>
              <w:rPr>
                <w:rFonts w:hint="eastAsia"/>
                <w:sz w:val="24"/>
              </w:rPr>
              <w:t>为防止宠物自身及其排泄物产生的臭味对周围环境及居民的影响，建设</w:t>
            </w:r>
            <w:r>
              <w:rPr>
                <w:rFonts w:hint="eastAsia"/>
                <w:sz w:val="24"/>
                <w:lang w:val="en-US" w:eastAsia="zh-CN"/>
              </w:rPr>
              <w:t>单位</w:t>
            </w:r>
            <w:r>
              <w:rPr>
                <w:rFonts w:hint="eastAsia"/>
                <w:sz w:val="24"/>
              </w:rPr>
              <w:t>在营运过程中应加强管理，及时清理动物排泄物，保证室内卫生清洁，并喷洒消毒液</w:t>
            </w:r>
            <w:r>
              <w:rPr>
                <w:rFonts w:hint="eastAsia"/>
                <w:sz w:val="24"/>
                <w:lang w:eastAsia="zh-CN"/>
              </w:rPr>
              <w:t>；</w:t>
            </w:r>
            <w:r>
              <w:rPr>
                <w:rFonts w:hint="eastAsia"/>
                <w:sz w:val="24"/>
              </w:rPr>
              <w:t>此外为了避免产生的臭气直接扩散至周边环境，</w:t>
            </w:r>
            <w:r>
              <w:rPr>
                <w:rFonts w:hint="eastAsia"/>
                <w:sz w:val="24"/>
                <w:lang w:val="en-US" w:eastAsia="zh-CN"/>
              </w:rPr>
              <w:t>建设单位</w:t>
            </w:r>
            <w:r>
              <w:rPr>
                <w:rFonts w:hint="eastAsia"/>
                <w:sz w:val="24"/>
              </w:rPr>
              <w:t>日常经营时保持门窗常闭，采用</w:t>
            </w:r>
            <w:r>
              <w:rPr>
                <w:rFonts w:hint="eastAsia"/>
                <w:sz w:val="24"/>
                <w:lang w:val="en-US" w:eastAsia="zh-CN"/>
              </w:rPr>
              <w:t>新风</w:t>
            </w:r>
            <w:r>
              <w:rPr>
                <w:rFonts w:hint="eastAsia"/>
                <w:sz w:val="24"/>
              </w:rPr>
              <w:t>系统对空气进行收集置换，出风口均朝向南侧马路，不朝向北侧居民楼，周边空气流通条件好</w:t>
            </w:r>
            <w:r>
              <w:rPr>
                <w:rFonts w:hint="eastAsia"/>
                <w:sz w:val="24"/>
                <w:lang w:eastAsia="zh-CN"/>
              </w:rPr>
              <w:t>。</w:t>
            </w:r>
          </w:p>
          <w:p w14:paraId="33975C09">
            <w:pPr>
              <w:pStyle w:val="492"/>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highlight w:val="none"/>
              </w:rPr>
              <w:t>4.3.</w:t>
            </w:r>
            <w:r>
              <w:rPr>
                <w:rFonts w:hint="default" w:ascii="Times New Roman" w:hAnsi="Times New Roman" w:cs="Times New Roman"/>
                <w:b/>
                <w:bCs/>
                <w:color w:val="auto"/>
                <w:highlight w:val="none"/>
                <w:lang w:val="en-US" w:eastAsia="zh-CN"/>
              </w:rPr>
              <w:t xml:space="preserve">2 </w:t>
            </w:r>
            <w:r>
              <w:rPr>
                <w:rFonts w:hint="default" w:ascii="Times New Roman" w:hAnsi="Times New Roman" w:cs="Times New Roman"/>
                <w:b/>
                <w:bCs/>
                <w:color w:val="auto"/>
                <w:szCs w:val="24"/>
                <w:highlight w:val="none"/>
                <w:lang w:val="en-US" w:eastAsia="zh-CN"/>
              </w:rPr>
              <w:t>大气环境污染防治措施</w:t>
            </w:r>
          </w:p>
          <w:p w14:paraId="1B4D8972">
            <w:pPr>
              <w:pStyle w:val="492"/>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建设单位</w:t>
            </w:r>
            <w:r>
              <w:rPr>
                <w:rFonts w:hint="default" w:ascii="Times New Roman" w:hAnsi="Times New Roman" w:cs="Times New Roman"/>
                <w:color w:val="auto"/>
                <w:highlight w:val="none"/>
              </w:rPr>
              <w:t>无燃煤、燃油、燃气设施，不设食堂。</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只进行消毒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杀菌</w:t>
            </w:r>
            <w:r>
              <w:rPr>
                <w:rFonts w:hint="default" w:ascii="Times New Roman" w:hAnsi="Times New Roman" w:cs="Times New Roman"/>
                <w:color w:val="auto"/>
                <w:highlight w:val="none"/>
              </w:rPr>
              <w:t>，无厌氧和好氧工艺，消毒过程会有少量臭气和消毒药水气味，废水消毒</w:t>
            </w:r>
            <w:r>
              <w:rPr>
                <w:rFonts w:hint="default" w:ascii="Times New Roman" w:hAnsi="Times New Roman" w:cs="Times New Roman"/>
                <w:color w:val="auto"/>
                <w:highlight w:val="none"/>
                <w:lang w:val="en-US" w:eastAsia="zh-CN"/>
              </w:rPr>
              <w:t>设备</w:t>
            </w:r>
            <w:r>
              <w:rPr>
                <w:rFonts w:hint="default" w:ascii="Times New Roman" w:hAnsi="Times New Roman" w:cs="Times New Roman"/>
                <w:color w:val="auto"/>
                <w:highlight w:val="none"/>
              </w:rPr>
              <w:t>安装在室内且密闭，异味基本无逸散出去。</w:t>
            </w:r>
          </w:p>
          <w:p w14:paraId="5BA8C25C">
            <w:pPr>
              <w:pStyle w:val="159"/>
              <w:ind w:firstLine="480"/>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建设单位</w:t>
            </w:r>
            <w:r>
              <w:rPr>
                <w:rFonts w:ascii="Times New Roman" w:hAnsi="Times New Roman" w:eastAsia="宋体" w:cs="Times New Roman"/>
                <w:color w:val="auto"/>
                <w:szCs w:val="24"/>
                <w:highlight w:val="none"/>
              </w:rPr>
              <w:t>对宠物产生的粪便及时清理，诊室、</w:t>
            </w:r>
            <w:r>
              <w:rPr>
                <w:rFonts w:hint="default" w:ascii="Times New Roman" w:hAnsi="Times New Roman" w:eastAsia="宋体" w:cs="Times New Roman"/>
                <w:color w:val="auto"/>
                <w:szCs w:val="24"/>
                <w:highlight w:val="none"/>
              </w:rPr>
              <w:t>住院部等</w:t>
            </w:r>
            <w:r>
              <w:rPr>
                <w:rFonts w:ascii="Times New Roman" w:hAnsi="Times New Roman" w:eastAsia="宋体" w:cs="Times New Roman"/>
                <w:color w:val="auto"/>
                <w:szCs w:val="24"/>
                <w:highlight w:val="none"/>
              </w:rPr>
              <w:t>定期</w:t>
            </w:r>
            <w:r>
              <w:rPr>
                <w:rFonts w:hint="default" w:ascii="Times New Roman" w:hAnsi="Times New Roman" w:eastAsia="宋体" w:cs="Times New Roman"/>
                <w:color w:val="auto"/>
                <w:szCs w:val="24"/>
                <w:highlight w:val="none"/>
                <w:lang w:val="en-US" w:eastAsia="zh-CN"/>
              </w:rPr>
              <w:t>进行</w:t>
            </w:r>
            <w:r>
              <w:rPr>
                <w:rFonts w:ascii="Times New Roman" w:hAnsi="Times New Roman" w:eastAsia="宋体" w:cs="Times New Roman"/>
                <w:color w:val="auto"/>
                <w:szCs w:val="24"/>
                <w:highlight w:val="none"/>
              </w:rPr>
              <w:t>清洁消毒，通过使用猫砂</w:t>
            </w:r>
            <w:r>
              <w:rPr>
                <w:rFonts w:hint="default" w:ascii="Times New Roman" w:hAnsi="Times New Roman" w:eastAsia="宋体" w:cs="Times New Roman"/>
                <w:color w:val="auto"/>
                <w:szCs w:val="24"/>
                <w:highlight w:val="none"/>
              </w:rPr>
              <w:t>、喷洒除臭剂，</w:t>
            </w:r>
            <w:r>
              <w:rPr>
                <w:rFonts w:ascii="Times New Roman" w:hAnsi="Times New Roman" w:eastAsia="宋体" w:cs="Times New Roman"/>
                <w:color w:val="auto"/>
                <w:szCs w:val="24"/>
                <w:highlight w:val="none"/>
              </w:rPr>
              <w:t>安装</w:t>
            </w:r>
            <w:r>
              <w:rPr>
                <w:rFonts w:hint="default" w:ascii="Times New Roman" w:hAnsi="Times New Roman" w:eastAsia="宋体" w:cs="Times New Roman"/>
                <w:color w:val="auto"/>
                <w:szCs w:val="24"/>
                <w:highlight w:val="none"/>
                <w:lang w:eastAsia="zh-CN"/>
              </w:rPr>
              <w:t>新风系统</w:t>
            </w:r>
            <w:r>
              <w:rPr>
                <w:rFonts w:ascii="Times New Roman" w:hAnsi="Times New Roman" w:eastAsia="宋体" w:cs="Times New Roman"/>
                <w:color w:val="auto"/>
                <w:szCs w:val="24"/>
                <w:highlight w:val="none"/>
              </w:rPr>
              <w:t>加强通风换气等措施后可以</w:t>
            </w:r>
            <w:r>
              <w:rPr>
                <w:rFonts w:hint="default" w:ascii="Times New Roman" w:hAnsi="Times New Roman" w:eastAsia="宋体" w:cs="Times New Roman"/>
                <w:color w:val="auto"/>
                <w:szCs w:val="24"/>
                <w:highlight w:val="none"/>
              </w:rPr>
              <w:t>削减</w:t>
            </w:r>
            <w:r>
              <w:rPr>
                <w:rFonts w:ascii="Times New Roman" w:hAnsi="Times New Roman" w:eastAsia="宋体" w:cs="Times New Roman"/>
                <w:color w:val="auto"/>
                <w:szCs w:val="24"/>
                <w:highlight w:val="none"/>
              </w:rPr>
              <w:t>难闻的异味</w:t>
            </w:r>
            <w:r>
              <w:rPr>
                <w:rFonts w:hint="default" w:ascii="Times New Roman" w:hAnsi="Times New Roman" w:eastAsia="宋体" w:cs="Times New Roman"/>
                <w:color w:val="auto"/>
                <w:szCs w:val="24"/>
                <w:highlight w:val="none"/>
              </w:rPr>
              <w:t>，产生的异味较小且</w:t>
            </w:r>
            <w:r>
              <w:rPr>
                <w:rFonts w:ascii="Times New Roman" w:hAnsi="Times New Roman" w:eastAsia="宋体" w:cs="Times New Roman"/>
                <w:color w:val="auto"/>
                <w:szCs w:val="24"/>
                <w:highlight w:val="none"/>
              </w:rPr>
              <w:t>对敏感点住宅楼居民无显著影响。</w:t>
            </w:r>
          </w:p>
          <w:p w14:paraId="1C8E153D">
            <w:pPr>
              <w:pStyle w:val="159"/>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经上述措施处理后，其</w:t>
            </w:r>
            <w:r>
              <w:rPr>
                <w:rFonts w:hint="default" w:ascii="Times New Roman" w:hAnsi="Times New Roman" w:eastAsia="宋体" w:cs="Times New Roman"/>
                <w:color w:val="auto"/>
                <w:szCs w:val="24"/>
                <w:highlight w:val="none"/>
              </w:rPr>
              <w:t>臭气浓度</w:t>
            </w:r>
            <w:r>
              <w:rPr>
                <w:rFonts w:ascii="Times New Roman" w:hAnsi="Times New Roman" w:eastAsia="宋体" w:cs="Times New Roman"/>
                <w:color w:val="auto"/>
                <w:szCs w:val="24"/>
                <w:highlight w:val="none"/>
              </w:rPr>
              <w:t>排放满足《恶臭污染物排放标准》（GB14554-93）表1</w:t>
            </w:r>
            <w:r>
              <w:rPr>
                <w:rFonts w:hint="default" w:ascii="Times New Roman" w:hAnsi="Times New Roman" w:eastAsia="宋体" w:cs="Times New Roman"/>
                <w:color w:val="auto"/>
                <w:szCs w:val="24"/>
                <w:highlight w:val="none"/>
              </w:rPr>
              <w:t>二级标准</w:t>
            </w:r>
            <w:r>
              <w:rPr>
                <w:rFonts w:ascii="Times New Roman" w:hAnsi="Times New Roman" w:eastAsia="宋体" w:cs="Times New Roman"/>
                <w:color w:val="auto"/>
                <w:szCs w:val="24"/>
                <w:highlight w:val="none"/>
              </w:rPr>
              <w:t>，其</w:t>
            </w:r>
            <w:r>
              <w:rPr>
                <w:rFonts w:hint="default" w:ascii="Times New Roman" w:hAnsi="Times New Roman" w:eastAsia="宋体" w:cs="Times New Roman"/>
                <w:color w:val="auto"/>
                <w:szCs w:val="24"/>
                <w:highlight w:val="none"/>
              </w:rPr>
              <w:t>臭气浓度</w:t>
            </w:r>
            <w:r>
              <w:rPr>
                <w:rFonts w:ascii="Times New Roman" w:hAnsi="Times New Roman" w:eastAsia="宋体" w:cs="Times New Roman"/>
                <w:color w:val="auto"/>
                <w:szCs w:val="24"/>
                <w:highlight w:val="none"/>
              </w:rPr>
              <w:t>排放对</w:t>
            </w:r>
            <w:r>
              <w:rPr>
                <w:rFonts w:hint="default" w:ascii="Times New Roman" w:hAnsi="Times New Roman" w:eastAsia="宋体" w:cs="Times New Roman"/>
                <w:color w:val="auto"/>
                <w:szCs w:val="24"/>
                <w:highlight w:val="none"/>
              </w:rPr>
              <w:t>周边</w:t>
            </w:r>
            <w:r>
              <w:rPr>
                <w:rFonts w:ascii="Times New Roman" w:hAnsi="Times New Roman" w:eastAsia="宋体" w:cs="Times New Roman"/>
                <w:color w:val="auto"/>
                <w:szCs w:val="24"/>
                <w:highlight w:val="none"/>
              </w:rPr>
              <w:t>住宅楼居民影响小。</w:t>
            </w:r>
          </w:p>
          <w:p w14:paraId="0BE26A5E">
            <w:pPr>
              <w:pStyle w:val="159"/>
              <w:pageBreakBefore w:val="0"/>
              <w:kinsoku/>
              <w:overflowPunct/>
              <w:autoSpaceDE/>
              <w:autoSpaceDN/>
              <w:bidi w:val="0"/>
              <w:ind w:firstLine="482"/>
              <w:jc w:val="both"/>
              <w:rPr>
                <w:rFonts w:hint="default" w:ascii="Times New Roman" w:hAnsi="Times New Roman" w:cs="Times New Roman"/>
                <w:color w:val="auto"/>
                <w:highlight w:val="none"/>
              </w:rPr>
            </w:pPr>
            <w:r>
              <w:rPr>
                <w:rFonts w:hint="default" w:ascii="Times New Roman" w:hAnsi="Times New Roman" w:eastAsia="宋体" w:cs="Times New Roman"/>
                <w:b/>
                <w:bCs w:val="0"/>
                <w:color w:val="auto"/>
                <w:highlight w:val="none"/>
              </w:rPr>
              <w:t>新风系统原理：</w:t>
            </w:r>
            <w:r>
              <w:rPr>
                <w:rFonts w:hint="default" w:ascii="Times New Roman" w:hAnsi="Times New Roman" w:eastAsia="宋体" w:cs="Times New Roman"/>
                <w:color w:val="auto"/>
                <w:szCs w:val="24"/>
                <w:highlight w:val="none"/>
              </w:rPr>
              <w:t>新风系统是根据在密闭的室内一侧用专用设备向室内送新风，再从另一侧由专用设备向室外排出，在室内会形成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新风流动场</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从而满足室内新风换气的需要。实施方案是：采用高风压、大流量风机、依靠机械强力由一侧向室内送风，由另一侧用专门设计的排风风机向室外排出的方式强迫在系统内形成新风流动场。在送风的同时通过滤芯对进入室内的空气进过滤、消毒、杀菌、增氧、预热（冬天）。新风系统的原理图详见图4-</w:t>
            </w:r>
            <w:r>
              <w:rPr>
                <w:rFonts w:hint="eastAsia" w:ascii="Times New Roman" w:hAnsi="Times New Roman" w:eastAsia="宋体" w:cs="Times New Roman"/>
                <w:color w:val="auto"/>
                <w:szCs w:val="24"/>
                <w:highlight w:val="none"/>
                <w:lang w:val="en-US" w:eastAsia="zh-CN"/>
              </w:rPr>
              <w:t>4</w:t>
            </w:r>
            <w:r>
              <w:rPr>
                <w:rFonts w:hint="default" w:ascii="Times New Roman" w:hAnsi="Times New Roman" w:eastAsia="宋体" w:cs="Times New Roman"/>
                <w:color w:val="auto"/>
                <w:szCs w:val="24"/>
                <w:highlight w:val="none"/>
              </w:rPr>
              <w:t>。</w:t>
            </w:r>
          </w:p>
          <w:p w14:paraId="24788651">
            <w:pPr>
              <w:pStyle w:val="159"/>
              <w:pageBreakBefore w:val="0"/>
              <w:kinsoku/>
              <w:overflowPunct/>
              <w:autoSpaceDE/>
              <w:autoSpaceDN/>
              <w:bidi w:val="0"/>
              <w:ind w:firstLine="482"/>
              <w:jc w:val="both"/>
              <w:rPr>
                <w:rFonts w:hint="default" w:ascii="Times New Roman" w:hAnsi="Times New Roman" w:cs="Times New Roman"/>
                <w:color w:val="auto"/>
                <w:highlight w:val="none"/>
              </w:rPr>
            </w:pPr>
            <w:r>
              <w:rPr>
                <w:rFonts w:hint="default" w:ascii="Times New Roman" w:hAnsi="Times New Roman" w:eastAsia="宋体" w:cs="Times New Roman"/>
                <w:b/>
                <w:bCs w:val="0"/>
                <w:color w:val="auto"/>
                <w:highlight w:val="none"/>
              </w:rPr>
              <w:t>新风系统功能：</w:t>
            </w:r>
            <w:r>
              <w:rPr>
                <w:rFonts w:hint="default" w:ascii="Times New Roman" w:hAnsi="Times New Roman" w:eastAsia="宋体" w:cs="Times New Roman"/>
                <w:color w:val="auto"/>
                <w:szCs w:val="24"/>
                <w:highlight w:val="none"/>
              </w:rPr>
              <w:t>①用室外的新鲜空气更新室内由于居住及生活过程而污染了的空气，以保持室内空气的洁净度达到某一最低标准的水平。②增加体内散热及防止由皮肤潮湿引起的不舒适，此类通风可称为热舒适通风。③当室内气温高于室外的气温时，使建筑构件降温，此类通风名为建筑的降温通风。</w:t>
            </w:r>
          </w:p>
          <w:p w14:paraId="7920FEB5">
            <w:pPr>
              <w:pStyle w:val="159"/>
              <w:pageBreakBefore w:val="0"/>
              <w:kinsoku/>
              <w:overflowPunct/>
              <w:autoSpaceDE/>
              <w:autoSpaceDN/>
              <w:bidi w:val="0"/>
              <w:ind w:firstLine="482"/>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val="0"/>
                <w:color w:val="auto"/>
                <w:highlight w:val="none"/>
              </w:rPr>
              <w:t>新风系统维护：</w:t>
            </w:r>
            <w:r>
              <w:rPr>
                <w:rFonts w:hint="default" w:ascii="Times New Roman" w:hAnsi="Times New Roman" w:eastAsia="宋体" w:cs="Times New Roman"/>
                <w:color w:val="auto"/>
                <w:highlight w:val="none"/>
              </w:rPr>
              <w:t>新</w:t>
            </w:r>
            <w:r>
              <w:rPr>
                <w:rFonts w:hint="default" w:ascii="Times New Roman" w:hAnsi="Times New Roman" w:eastAsia="宋体" w:cs="Times New Roman"/>
                <w:color w:val="auto"/>
                <w:szCs w:val="24"/>
                <w:highlight w:val="none"/>
              </w:rPr>
              <w:t>风系统的维护首先要考虑的是滤芯的更换，这是最主要的一部分，滤芯一般分为静电除尘滤芯和物理过滤滤芯。①静电除尘滤芯不需要更换，只要定期清理就可以了。②物理滤芯一般分为三层：初效滤芯、活性炭过滤和高效过滤。初效过滤滤芯主要过滤空气中较大的灰尘、毛发等物质；活性炭滤网主要吸附空气中的有害气体；高效过滤主要是精准的过滤掉空气中的细菌、病毒、PM</w:t>
            </w:r>
            <w:r>
              <w:rPr>
                <w:rFonts w:hint="default" w:ascii="Times New Roman" w:hAnsi="Times New Roman" w:eastAsia="宋体" w:cs="Times New Roman"/>
                <w:color w:val="auto"/>
                <w:szCs w:val="24"/>
                <w:highlight w:val="none"/>
                <w:vertAlign w:val="subscript"/>
              </w:rPr>
              <w:t>2.5</w:t>
            </w:r>
            <w:r>
              <w:rPr>
                <w:rFonts w:hint="default" w:ascii="Times New Roman" w:hAnsi="Times New Roman" w:eastAsia="宋体" w:cs="Times New Roman"/>
                <w:color w:val="auto"/>
                <w:szCs w:val="24"/>
                <w:highlight w:val="none"/>
              </w:rPr>
              <w:t>和PM</w:t>
            </w:r>
            <w:r>
              <w:rPr>
                <w:rFonts w:hint="default" w:ascii="Times New Roman" w:hAnsi="Times New Roman" w:eastAsia="宋体" w:cs="Times New Roman"/>
                <w:color w:val="auto"/>
                <w:szCs w:val="24"/>
                <w:highlight w:val="none"/>
                <w:vertAlign w:val="subscript"/>
              </w:rPr>
              <w:t>0.3</w:t>
            </w:r>
            <w:r>
              <w:rPr>
                <w:rFonts w:hint="default" w:ascii="Times New Roman" w:hAnsi="Times New Roman" w:eastAsia="宋体" w:cs="Times New Roman"/>
                <w:color w:val="auto"/>
                <w:szCs w:val="24"/>
                <w:highlight w:val="none"/>
              </w:rPr>
              <w:t>等。物理滤芯的更换可由厂家定期更换。</w:t>
            </w:r>
          </w:p>
          <w:p w14:paraId="63DF3D74">
            <w:pPr>
              <w:pStyle w:val="159"/>
              <w:pageBreakBefore w:val="0"/>
              <w:kinsoku/>
              <w:overflowPunct/>
              <w:autoSpaceDE/>
              <w:autoSpaceDN/>
              <w:bidi w:val="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3408045" cy="2342515"/>
                  <wp:effectExtent l="0" t="0" r="1905" b="635"/>
                  <wp:docPr id="88" name="图片 8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示, 工程绘图&#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l="4338"/>
                          <a:stretch>
                            <a:fillRect/>
                          </a:stretch>
                        </pic:blipFill>
                        <pic:spPr>
                          <a:xfrm>
                            <a:off x="0" y="0"/>
                            <a:ext cx="3408045" cy="2342515"/>
                          </a:xfrm>
                          <a:prstGeom prst="rect">
                            <a:avLst/>
                          </a:prstGeom>
                          <a:noFill/>
                          <a:ln>
                            <a:noFill/>
                          </a:ln>
                        </pic:spPr>
                      </pic:pic>
                    </a:graphicData>
                  </a:graphic>
                </wp:inline>
              </w:drawing>
            </w:r>
          </w:p>
          <w:p w14:paraId="7EC9DF3C">
            <w:pPr>
              <w:pStyle w:val="200"/>
              <w:jc w:val="center"/>
              <w:rPr>
                <w:rFonts w:hint="default" w:ascii="Times New Roman" w:hAnsi="Times New Roman" w:eastAsia="宋体" w:cs="Times New Roman"/>
                <w:color w:val="auto"/>
                <w:szCs w:val="24"/>
                <w:highlight w:val="none"/>
              </w:rPr>
            </w:pPr>
            <w:r>
              <w:rPr>
                <w:rFonts w:hint="default" w:ascii="Times New Roman" w:hAnsi="Times New Roman" w:cs="Times New Roman"/>
                <w:color w:val="auto"/>
                <w:szCs w:val="24"/>
                <w:highlight w:val="none"/>
              </w:rPr>
              <w:t>图4-</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 xml:space="preserve">  新风系统原理示意图</w:t>
            </w:r>
          </w:p>
          <w:p w14:paraId="60B98815">
            <w:pPr>
              <w:pStyle w:val="4"/>
              <w:numPr>
                <w:ilvl w:val="0"/>
                <w:numId w:val="0"/>
              </w:numPr>
              <w:jc w:val="both"/>
              <w:rPr>
                <w:rFonts w:ascii="Times New Roman" w:hAnsi="Times New Roman" w:cs="Times New Roman"/>
                <w:color w:val="auto"/>
                <w:sz w:val="28"/>
                <w:szCs w:val="28"/>
                <w:highlight w:val="none"/>
              </w:rPr>
            </w:pPr>
            <w:bookmarkStart w:id="94" w:name="_Toc11151"/>
            <w:bookmarkStart w:id="95" w:name="_Toc21387"/>
            <w:bookmarkStart w:id="96" w:name="_Toc22280"/>
            <w:bookmarkStart w:id="97" w:name="_Toc23395"/>
            <w:r>
              <w:rPr>
                <w:rFonts w:ascii="Times New Roman" w:hAnsi="Times New Roman" w:cs="Times New Roman"/>
                <w:color w:val="auto"/>
                <w:sz w:val="28"/>
                <w:szCs w:val="28"/>
                <w:highlight w:val="none"/>
              </w:rPr>
              <w:t xml:space="preserve">4.4 </w:t>
            </w:r>
            <w:r>
              <w:rPr>
                <w:rFonts w:hint="default" w:ascii="Times New Roman" w:hAnsi="Times New Roman" w:cs="Times New Roman"/>
                <w:color w:val="auto"/>
                <w:sz w:val="28"/>
                <w:szCs w:val="28"/>
                <w:highlight w:val="none"/>
                <w:lang w:val="en-US" w:eastAsia="zh-CN"/>
              </w:rPr>
              <w:t>运营期声环境影响和污染防治措施</w:t>
            </w:r>
          </w:p>
          <w:p w14:paraId="1351AD96">
            <w:pPr>
              <w:pStyle w:val="159"/>
              <w:ind w:firstLine="0" w:firstLineChars="0"/>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4.4.1 运营期噪声污染源强分析</w:t>
            </w:r>
          </w:p>
          <w:bookmarkEnd w:id="94"/>
          <w:bookmarkEnd w:id="95"/>
          <w:bookmarkEnd w:id="96"/>
          <w:bookmarkEnd w:id="97"/>
          <w:p w14:paraId="7796F7CE">
            <w:pPr>
              <w:pStyle w:val="159"/>
              <w:ind w:firstLine="480"/>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建设单位</w:t>
            </w:r>
            <w:r>
              <w:rPr>
                <w:rFonts w:hint="default" w:ascii="Times New Roman" w:hAnsi="Times New Roman" w:eastAsia="宋体" w:cs="Times New Roman"/>
                <w:color w:val="auto"/>
                <w:szCs w:val="24"/>
                <w:highlight w:val="none"/>
              </w:rPr>
              <w:t>常用</w:t>
            </w:r>
            <w:r>
              <w:rPr>
                <w:rFonts w:hint="eastAsia" w:ascii="Times New Roman" w:hAnsi="Times New Roman" w:eastAsia="宋体" w:cs="Times New Roman"/>
                <w:color w:val="auto"/>
                <w:szCs w:val="24"/>
                <w:highlight w:val="none"/>
                <w:lang w:val="en-US" w:eastAsia="zh-CN"/>
              </w:rPr>
              <w:t>的</w:t>
            </w:r>
            <w:r>
              <w:rPr>
                <w:rFonts w:hint="default" w:ascii="Times New Roman" w:hAnsi="Times New Roman" w:eastAsia="宋体" w:cs="Times New Roman"/>
                <w:color w:val="auto"/>
                <w:szCs w:val="24"/>
                <w:highlight w:val="none"/>
                <w:lang w:eastAsia="zh-CN"/>
              </w:rPr>
              <w:t>诊疗设备</w:t>
            </w:r>
            <w:r>
              <w:rPr>
                <w:rFonts w:hint="eastAsia" w:ascii="Times New Roman" w:hAnsi="Times New Roman" w:eastAsia="宋体" w:cs="Times New Roman"/>
                <w:color w:val="auto"/>
                <w:szCs w:val="24"/>
                <w:highlight w:val="none"/>
                <w:lang w:val="en-US" w:eastAsia="zh-CN"/>
              </w:rPr>
              <w:t>在</w:t>
            </w:r>
            <w:r>
              <w:rPr>
                <w:rFonts w:hint="default" w:ascii="Times New Roman" w:hAnsi="Times New Roman" w:eastAsia="宋体" w:cs="Times New Roman"/>
                <w:color w:val="auto"/>
                <w:szCs w:val="24"/>
                <w:highlight w:val="none"/>
              </w:rPr>
              <w:t>运行过程中基本无明显噪声产生</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宠物就诊后病情轻者可直接离开，病情严重的宠物需安排住院观察，主要噪声为宠物就诊及住院观察期间叫声以及人员活动产生的噪声。</w:t>
            </w:r>
          </w:p>
          <w:p w14:paraId="73BCAEED">
            <w:pPr>
              <w:keepNext w:val="0"/>
              <w:keepLines w:val="0"/>
              <w:widowControl/>
              <w:suppressLineNumbers w:val="0"/>
              <w:spacing w:line="360" w:lineRule="auto"/>
              <w:jc w:val="left"/>
              <w:rPr>
                <w:rFonts w:ascii="Times New Roman" w:hAnsi="Times New Roman" w:cs="Times New Roman"/>
              </w:rPr>
            </w:pPr>
            <w:r>
              <w:rPr>
                <w:rFonts w:hint="default" w:ascii="Times New Roman" w:hAnsi="Times New Roman" w:eastAsia="宋体" w:cs="Times New Roman"/>
                <w:b/>
                <w:bCs w:val="0"/>
                <w:color w:val="auto"/>
                <w:szCs w:val="24"/>
                <w:highlight w:val="none"/>
                <w:lang w:val="en-US" w:eastAsia="zh-CN"/>
              </w:rPr>
              <w:t xml:space="preserve">4.4.2 </w:t>
            </w:r>
            <w:r>
              <w:rPr>
                <w:rFonts w:hint="default" w:ascii="Times New Roman" w:hAnsi="Times New Roman" w:eastAsia="宋体" w:cs="Times New Roman"/>
                <w:b/>
                <w:bCs/>
                <w:color w:val="000000"/>
                <w:kern w:val="0"/>
                <w:sz w:val="24"/>
                <w:szCs w:val="24"/>
                <w:lang w:val="en-US" w:eastAsia="zh-CN" w:bidi="ar"/>
              </w:rPr>
              <w:t>声环境影响分析及污染防治措施</w:t>
            </w:r>
          </w:p>
          <w:p w14:paraId="3F97ADCE">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宠物叫声虽然具有不定时性和突发性，但是也具有可控性。一般宠物在饥饿或口渴时以及人为骚扰情况下易烦躁、多动，才会发出叫声。因此工作人员应合理喂食，避免宠物因饥饿或口渴而发出叫声，有效控制宠物活动噪声；同时减少人为的骚扰、驱赶；对病房采取一定的隔声减噪措施。项目产生的噪声经过距离衰减，再经过墙体衰减后[一般可削减10－15dB</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A</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建设单位</w:t>
            </w:r>
            <w:r>
              <w:rPr>
                <w:rFonts w:hint="default" w:ascii="Times New Roman" w:hAnsi="Times New Roman" w:eastAsia="宋体" w:cs="Times New Roman"/>
                <w:color w:val="auto"/>
                <w:highlight w:val="none"/>
                <w:lang w:val="en-US" w:eastAsia="zh-CN"/>
              </w:rPr>
              <w:t>周围厂界</w:t>
            </w:r>
            <w:r>
              <w:rPr>
                <w:rFonts w:hint="default" w:ascii="Times New Roman" w:hAnsi="Times New Roman" w:eastAsia="宋体" w:cs="Times New Roman"/>
                <w:color w:val="auto"/>
                <w:szCs w:val="24"/>
                <w:highlight w:val="none"/>
              </w:rPr>
              <w:t>噪声的排放可符合《社会生活环境噪声排放标准》（GB22337-2008）中表1中的2类标准，</w:t>
            </w:r>
            <w:r>
              <w:rPr>
                <w:rFonts w:hint="default" w:ascii="Times New Roman" w:hAnsi="Times New Roman" w:eastAsia="宋体" w:cs="Times New Roman"/>
                <w:color w:val="auto"/>
                <w:szCs w:val="24"/>
                <w:highlight w:val="none"/>
                <w:lang w:val="en-US" w:eastAsia="zh-CN"/>
              </w:rPr>
              <w:t>靠近清盛大道一侧的</w:t>
            </w:r>
            <w:r>
              <w:rPr>
                <w:rFonts w:hint="default" w:ascii="Times New Roman" w:hAnsi="Times New Roman" w:eastAsia="宋体" w:cs="Times New Roman"/>
                <w:color w:val="auto"/>
                <w:highlight w:val="none"/>
                <w:lang w:val="en-US" w:eastAsia="zh-CN"/>
              </w:rPr>
              <w:t>噪声排放可符合《社会生活环境噪声排放标准》（GB22337-2008）中表1中的4类标准，</w:t>
            </w:r>
            <w:r>
              <w:rPr>
                <w:rFonts w:hint="default" w:ascii="Times New Roman" w:hAnsi="Times New Roman" w:eastAsia="宋体" w:cs="Times New Roman"/>
                <w:color w:val="auto"/>
                <w:szCs w:val="24"/>
                <w:highlight w:val="none"/>
              </w:rPr>
              <w:t>对周围环境的影响不大。</w:t>
            </w:r>
          </w:p>
          <w:p w14:paraId="1BF727D7">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建设单位所在位置属于</w:t>
            </w:r>
            <w:r>
              <w:rPr>
                <w:rFonts w:hint="default" w:ascii="Times New Roman" w:hAnsi="Times New Roman" w:eastAsia="宋体" w:cs="Times New Roman"/>
                <w:color w:val="auto"/>
                <w:szCs w:val="24"/>
                <w:highlight w:val="none"/>
              </w:rPr>
              <w:t>沿街店面，交通噪声影响是主要噪声源，噪声影响对周边小区居民造成的影响可忽略不计。综上所述，</w:t>
            </w:r>
            <w:r>
              <w:rPr>
                <w:rFonts w:hint="eastAsia" w:ascii="Times New Roman" w:hAnsi="Times New Roman" w:eastAsia="宋体" w:cs="Times New Roman"/>
                <w:color w:val="auto"/>
                <w:szCs w:val="24"/>
                <w:highlight w:val="none"/>
                <w:lang w:val="en-US" w:eastAsia="zh-CN"/>
              </w:rPr>
              <w:t>建设</w:t>
            </w:r>
            <w:r>
              <w:rPr>
                <w:rFonts w:hint="default" w:ascii="Times New Roman" w:hAnsi="Times New Roman" w:eastAsia="宋体" w:cs="Times New Roman"/>
                <w:color w:val="auto"/>
                <w:szCs w:val="24"/>
                <w:highlight w:val="none"/>
              </w:rPr>
              <w:t>项目经人为控制能最大限度降低对项目</w:t>
            </w:r>
            <w:r>
              <w:rPr>
                <w:rFonts w:hint="default" w:ascii="Times New Roman" w:hAnsi="Times New Roman" w:eastAsia="宋体" w:cs="Times New Roman"/>
                <w:color w:val="auto"/>
                <w:szCs w:val="24"/>
                <w:highlight w:val="none"/>
                <w:lang w:val="en-US" w:eastAsia="zh-CN"/>
              </w:rPr>
              <w:t>周边住宅楼</w:t>
            </w:r>
            <w:r>
              <w:rPr>
                <w:rFonts w:hint="default" w:ascii="Times New Roman" w:hAnsi="Times New Roman" w:eastAsia="宋体" w:cs="Times New Roman"/>
                <w:color w:val="auto"/>
                <w:szCs w:val="24"/>
                <w:highlight w:val="none"/>
              </w:rPr>
              <w:t>居民产生的影响。</w:t>
            </w:r>
          </w:p>
          <w:p w14:paraId="08B28AF0">
            <w:pPr>
              <w:pStyle w:val="159"/>
              <w:ind w:firstLine="0" w:firstLineChars="0"/>
              <w:rPr>
                <w:rFonts w:ascii="Times New Roman" w:hAnsi="Times New Roman" w:eastAsia="宋体" w:cs="Times New Roman"/>
                <w:b/>
                <w:bCs w:val="0"/>
                <w:color w:val="auto"/>
                <w:sz w:val="28"/>
                <w:szCs w:val="28"/>
                <w:highlight w:val="none"/>
              </w:rPr>
            </w:pPr>
            <w:r>
              <w:rPr>
                <w:rFonts w:ascii="Times New Roman" w:hAnsi="Times New Roman" w:eastAsia="宋体" w:cs="Times New Roman"/>
                <w:b/>
                <w:bCs w:val="0"/>
                <w:color w:val="auto"/>
                <w:sz w:val="28"/>
                <w:szCs w:val="28"/>
                <w:highlight w:val="none"/>
              </w:rPr>
              <w:t xml:space="preserve">4.5 </w:t>
            </w:r>
            <w:r>
              <w:rPr>
                <w:rFonts w:hint="default" w:ascii="Times New Roman" w:hAnsi="Times New Roman" w:eastAsia="宋体" w:cs="Times New Roman"/>
                <w:b/>
                <w:bCs w:val="0"/>
                <w:color w:val="auto"/>
                <w:sz w:val="28"/>
                <w:szCs w:val="28"/>
                <w:highlight w:val="none"/>
                <w:lang w:val="en-US" w:eastAsia="zh-CN"/>
              </w:rPr>
              <w:t>运营期固体废物影响分析和污染防治措施</w:t>
            </w:r>
          </w:p>
          <w:p w14:paraId="3F9A9096">
            <w:pPr>
              <w:keepNext w:val="0"/>
              <w:keepLines w:val="0"/>
              <w:widowControl/>
              <w:suppressLineNumbers w:val="0"/>
              <w:spacing w:line="360" w:lineRule="auto"/>
              <w:jc w:val="left"/>
              <w:rPr>
                <w:rFonts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4.5.1 运营期固体废物源强核算</w:t>
            </w:r>
          </w:p>
          <w:bookmarkEnd w:id="91"/>
          <w:bookmarkEnd w:id="92"/>
          <w:bookmarkEnd w:id="93"/>
          <w:p w14:paraId="4D4E7562">
            <w:pPr>
              <w:pStyle w:val="159"/>
              <w:pageBreakBefore w:val="0"/>
              <w:kinsoku/>
              <w:overflowPunct/>
              <w:autoSpaceDE/>
              <w:autoSpaceDN/>
              <w:bidi w:val="0"/>
              <w:jc w:val="both"/>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生活垃圾</w:t>
            </w:r>
          </w:p>
          <w:p w14:paraId="38ED1A01">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医院</w:t>
            </w:r>
            <w:r>
              <w:rPr>
                <w:rFonts w:hint="default" w:ascii="Times New Roman" w:hAnsi="Times New Roman" w:eastAsia="宋体" w:cs="Times New Roman"/>
                <w:color w:val="auto"/>
                <w:szCs w:val="24"/>
                <w:highlight w:val="none"/>
              </w:rPr>
              <w:t>聘用</w:t>
            </w:r>
            <w:r>
              <w:rPr>
                <w:rFonts w:hint="default" w:ascii="Times New Roman" w:hAnsi="Times New Roman" w:eastAsia="宋体" w:cs="Times New Roman"/>
                <w:color w:val="auto"/>
                <w:szCs w:val="24"/>
                <w:highlight w:val="none"/>
                <w:lang w:eastAsia="zh-CN"/>
              </w:rPr>
              <w:t>员工</w:t>
            </w:r>
            <w:r>
              <w:rPr>
                <w:rFonts w:hint="default" w:ascii="Times New Roman" w:hAnsi="Times New Roman" w:eastAsia="宋体" w:cs="Times New Roman"/>
                <w:color w:val="auto"/>
                <w:szCs w:val="24"/>
                <w:highlight w:val="none"/>
                <w:lang w:val="en-US" w:eastAsia="zh-CN"/>
              </w:rPr>
              <w:t>18</w:t>
            </w:r>
            <w:r>
              <w:rPr>
                <w:rFonts w:hint="default" w:ascii="Times New Roman" w:hAnsi="Times New Roman" w:eastAsia="宋体" w:cs="Times New Roman"/>
                <w:color w:val="auto"/>
                <w:szCs w:val="24"/>
                <w:highlight w:val="none"/>
                <w:lang w:eastAsia="zh-CN"/>
              </w:rPr>
              <w:t>人</w:t>
            </w:r>
            <w:r>
              <w:rPr>
                <w:rFonts w:hint="default" w:ascii="Times New Roman" w:hAnsi="Times New Roman" w:eastAsia="宋体" w:cs="Times New Roman"/>
                <w:color w:val="auto"/>
                <w:szCs w:val="24"/>
                <w:highlight w:val="none"/>
              </w:rPr>
              <w:t>，均无住宿</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医院年营业365</w:t>
            </w:r>
            <w:r>
              <w:rPr>
                <w:rFonts w:hint="default" w:ascii="Times New Roman" w:hAnsi="Times New Roman" w:eastAsia="宋体" w:cs="Times New Roman"/>
                <w:color w:val="auto"/>
                <w:szCs w:val="24"/>
                <w:highlight w:val="none"/>
              </w:rPr>
              <w:t>天</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生活垃圾量按0.5kg/人·d，则产生的生活垃圾产生量约</w:t>
            </w:r>
            <w:r>
              <w:rPr>
                <w:rFonts w:hint="default" w:ascii="Times New Roman" w:hAnsi="Times New Roman" w:eastAsia="宋体" w:cs="Times New Roman"/>
                <w:color w:val="auto"/>
                <w:szCs w:val="24"/>
                <w:highlight w:val="none"/>
                <w:lang w:val="en-US" w:eastAsia="zh-CN"/>
              </w:rPr>
              <w:t>3.285</w:t>
            </w:r>
            <w:r>
              <w:rPr>
                <w:rFonts w:hint="default" w:ascii="Times New Roman" w:hAnsi="Times New Roman" w:eastAsia="宋体" w:cs="Times New Roman"/>
                <w:color w:val="auto"/>
                <w:szCs w:val="24"/>
                <w:highlight w:val="none"/>
              </w:rPr>
              <w:t>t/a。</w:t>
            </w:r>
          </w:p>
          <w:p w14:paraId="25CBD841">
            <w:pPr>
              <w:pStyle w:val="159"/>
              <w:pageBreakBefore w:val="0"/>
              <w:numPr>
                <w:ilvl w:val="0"/>
                <w:numId w:val="0"/>
              </w:numPr>
              <w:kinsoku/>
              <w:overflowPunct/>
              <w:autoSpaceDE/>
              <w:autoSpaceDN/>
              <w:bidi w:val="0"/>
              <w:ind w:left="0" w:leftChars="0" w:firstLine="482" w:firstLineChars="200"/>
              <w:jc w:val="both"/>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2"/>
                <w:sz w:val="24"/>
                <w:szCs w:val="32"/>
                <w:highlight w:val="none"/>
                <w:lang w:val="en-US" w:eastAsia="zh-CN" w:bidi="ar-SA"/>
              </w:rPr>
              <w:t>（2）</w:t>
            </w:r>
            <w:r>
              <w:rPr>
                <w:rFonts w:hint="default" w:ascii="Times New Roman" w:hAnsi="Times New Roman" w:eastAsia="宋体" w:cs="Times New Roman"/>
                <w:b/>
                <w:bCs w:val="0"/>
                <w:color w:val="auto"/>
                <w:szCs w:val="24"/>
                <w:highlight w:val="none"/>
                <w:lang w:val="en-US" w:eastAsia="zh-CN"/>
              </w:rPr>
              <w:t>诊疗废物</w:t>
            </w:r>
          </w:p>
          <w:p w14:paraId="25873F39">
            <w:pPr>
              <w:pStyle w:val="159"/>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bCs/>
                <w:color w:val="auto"/>
                <w:kern w:val="2"/>
                <w:sz w:val="24"/>
                <w:szCs w:val="28"/>
                <w:highlight w:val="none"/>
                <w:lang w:val="en-US" w:eastAsia="zh-CN" w:bidi="ar-SA"/>
              </w:rPr>
              <w:t>建设项目</w:t>
            </w:r>
            <w:r>
              <w:rPr>
                <w:rFonts w:hint="default" w:ascii="Times New Roman" w:hAnsi="Times New Roman" w:eastAsia="宋体" w:cs="Times New Roman"/>
                <w:bCs/>
                <w:color w:val="auto"/>
                <w:kern w:val="2"/>
                <w:sz w:val="24"/>
                <w:szCs w:val="28"/>
                <w:highlight w:val="none"/>
                <w:lang w:val="en-US" w:eastAsia="zh-CN" w:bidi="ar-SA"/>
              </w:rPr>
              <w:t>为宠物医院</w:t>
            </w:r>
            <w:r>
              <w:rPr>
                <w:rFonts w:hint="eastAsia" w:ascii="Times New Roman" w:hAnsi="Times New Roman" w:eastAsia="宋体" w:cs="Times New Roman"/>
                <w:bCs/>
                <w:color w:val="auto"/>
                <w:kern w:val="2"/>
                <w:sz w:val="24"/>
                <w:szCs w:val="28"/>
                <w:highlight w:val="none"/>
                <w:lang w:val="en-US" w:eastAsia="zh-CN" w:bidi="ar-SA"/>
              </w:rPr>
              <w:t>诊疗服务</w:t>
            </w:r>
            <w:r>
              <w:rPr>
                <w:rFonts w:hint="default" w:ascii="Times New Roman" w:hAnsi="Times New Roman" w:eastAsia="宋体" w:cs="Times New Roman"/>
                <w:bCs/>
                <w:color w:val="auto"/>
                <w:kern w:val="2"/>
                <w:sz w:val="24"/>
                <w:szCs w:val="28"/>
                <w:highlight w:val="none"/>
                <w:lang w:val="en-US" w:eastAsia="zh-CN" w:bidi="ar-SA"/>
              </w:rPr>
              <w:t>项目，主管部门为农业部门，属于动物农业板块。根据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ascii="Times New Roman" w:hAnsi="Times New Roman" w:eastAsia="宋体" w:cs="Times New Roman"/>
                <w:color w:val="auto"/>
                <w:szCs w:val="24"/>
                <w:highlight w:val="none"/>
              </w:rPr>
              <w:t>。</w:t>
            </w:r>
          </w:p>
          <w:p w14:paraId="5680845B">
            <w:pPr>
              <w:spacing w:line="360" w:lineRule="auto"/>
              <w:ind w:firstLine="480" w:firstLineChars="200"/>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根据查阅相关资料及同类项目运行经验，</w:t>
            </w:r>
            <w:r>
              <w:rPr>
                <w:rFonts w:hint="default" w:ascii="Times New Roman" w:hAnsi="Times New Roman" w:cs="Times New Roman"/>
                <w:b w:val="0"/>
                <w:bCs/>
                <w:color w:val="auto"/>
                <w:sz w:val="24"/>
                <w:szCs w:val="24"/>
                <w:highlight w:val="none"/>
                <w:lang w:val="en-US" w:eastAsia="zh-CN"/>
              </w:rPr>
              <w:t>诊疗废物</w:t>
            </w:r>
            <w:r>
              <w:rPr>
                <w:rFonts w:hint="default" w:ascii="Times New Roman" w:hAnsi="Times New Roman" w:eastAsia="宋体" w:cs="Times New Roman"/>
                <w:b w:val="0"/>
                <w:bCs/>
                <w:color w:val="auto"/>
                <w:sz w:val="24"/>
                <w:szCs w:val="24"/>
                <w:highlight w:val="none"/>
                <w:lang w:val="en-US" w:eastAsia="zh-CN"/>
              </w:rPr>
              <w:t>产生量约为0.2kg/只•d，就诊宠物按</w:t>
            </w:r>
            <w:r>
              <w:rPr>
                <w:rFonts w:hint="default" w:ascii="Times New Roman" w:hAnsi="Times New Roman" w:cs="Times New Roman"/>
                <w:b w:val="0"/>
                <w:bCs/>
                <w:color w:val="auto"/>
                <w:sz w:val="24"/>
                <w:szCs w:val="24"/>
                <w:highlight w:val="none"/>
                <w:lang w:val="en-US" w:eastAsia="zh-CN"/>
              </w:rPr>
              <w:t>20</w:t>
            </w:r>
            <w:r>
              <w:rPr>
                <w:rFonts w:hint="default" w:ascii="Times New Roman" w:hAnsi="Times New Roman" w:eastAsia="宋体" w:cs="Times New Roman"/>
                <w:b w:val="0"/>
                <w:bCs/>
                <w:color w:val="auto"/>
                <w:sz w:val="24"/>
                <w:szCs w:val="24"/>
                <w:highlight w:val="none"/>
                <w:lang w:val="en-US" w:eastAsia="zh-CN"/>
              </w:rPr>
              <w:t>只/d计，则</w:t>
            </w:r>
            <w:r>
              <w:rPr>
                <w:rFonts w:hint="default" w:ascii="Times New Roman" w:hAnsi="Times New Roman" w:cs="Times New Roman"/>
                <w:b w:val="0"/>
                <w:bCs/>
                <w:color w:val="auto"/>
                <w:sz w:val="24"/>
                <w:szCs w:val="24"/>
                <w:highlight w:val="none"/>
                <w:lang w:val="en-US" w:eastAsia="zh-CN"/>
              </w:rPr>
              <w:t>诊疗废物</w:t>
            </w:r>
            <w:r>
              <w:rPr>
                <w:rFonts w:hint="default" w:ascii="Times New Roman" w:hAnsi="Times New Roman" w:eastAsia="宋体" w:cs="Times New Roman"/>
                <w:b w:val="0"/>
                <w:bCs/>
                <w:color w:val="auto"/>
                <w:sz w:val="24"/>
                <w:szCs w:val="24"/>
                <w:highlight w:val="none"/>
                <w:lang w:val="en-US" w:eastAsia="zh-CN"/>
              </w:rPr>
              <w:t>年产生量为</w:t>
            </w:r>
            <w:r>
              <w:rPr>
                <w:rFonts w:hint="default" w:ascii="Times New Roman" w:hAnsi="Times New Roman" w:cs="Times New Roman"/>
                <w:b w:val="0"/>
                <w:bCs/>
                <w:color w:val="auto"/>
                <w:sz w:val="24"/>
                <w:szCs w:val="24"/>
                <w:highlight w:val="none"/>
                <w:lang w:val="en-US" w:eastAsia="zh-CN"/>
              </w:rPr>
              <w:t>1.46</w:t>
            </w:r>
            <w:r>
              <w:rPr>
                <w:rFonts w:hint="default" w:ascii="Times New Roman" w:hAnsi="Times New Roman" w:eastAsia="宋体" w:cs="Times New Roman"/>
                <w:b w:val="0"/>
                <w:bCs/>
                <w:color w:val="auto"/>
                <w:sz w:val="24"/>
                <w:szCs w:val="24"/>
                <w:highlight w:val="none"/>
                <w:lang w:val="en-US" w:eastAsia="zh-CN"/>
              </w:rPr>
              <w:t>t/a。项目产生的</w:t>
            </w:r>
            <w:r>
              <w:rPr>
                <w:rFonts w:hint="default" w:ascii="Times New Roman" w:hAnsi="Times New Roman" w:cs="Times New Roman"/>
                <w:b w:val="0"/>
                <w:bCs/>
                <w:color w:val="auto"/>
                <w:sz w:val="24"/>
                <w:szCs w:val="24"/>
                <w:highlight w:val="none"/>
                <w:lang w:val="en-US" w:eastAsia="zh-CN"/>
              </w:rPr>
              <w:t>诊疗</w:t>
            </w:r>
            <w:r>
              <w:rPr>
                <w:rFonts w:hint="default" w:ascii="Times New Roman" w:hAnsi="Times New Roman" w:eastAsia="宋体" w:cs="Times New Roman"/>
                <w:b w:val="0"/>
                <w:bCs/>
                <w:color w:val="auto"/>
                <w:sz w:val="24"/>
                <w:szCs w:val="24"/>
                <w:highlight w:val="none"/>
                <w:lang w:val="en-US" w:eastAsia="zh-CN"/>
              </w:rPr>
              <w:t>废物，分类收集，暂存于危废间内，由资质单位定期清运处置。</w:t>
            </w:r>
          </w:p>
          <w:p w14:paraId="0EAFED00">
            <w:pPr>
              <w:pStyle w:val="61"/>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（3）污水处理污泥</w:t>
            </w:r>
          </w:p>
          <w:p w14:paraId="1C28B5B9">
            <w:pPr>
              <w:pStyle w:val="6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消毒设备处理污水总量为172.46</w:t>
            </w:r>
            <w:r>
              <w:rPr>
                <w:rFonts w:hint="eastAsia" w:ascii="Times New Roman" w:hAnsi="Times New Roman" w:eastAsia="宋体" w:cs="Times New Roman"/>
                <w:color w:val="auto"/>
                <w:highlight w:val="none"/>
                <w:lang w:val="en-US" w:eastAsia="zh-CN"/>
              </w:rPr>
              <w:t>25</w:t>
            </w:r>
            <w:r>
              <w:rPr>
                <w:rFonts w:hint="default" w:ascii="Times New Roman" w:hAnsi="Times New Roman" w:eastAsia="宋体" w:cs="Times New Roman"/>
                <w:color w:val="auto"/>
                <w:highlight w:val="none"/>
                <w:lang w:val="en-US" w:eastAsia="zh-CN"/>
              </w:rPr>
              <w:t>t/a，污泥产生系数按0.1kg污泥/t废水计，则该医院污泥产生量约为0.01725t/a，污泥每10~15天排渣一次，由资质单位定期清运。</w:t>
            </w:r>
          </w:p>
          <w:p w14:paraId="1348C19C">
            <w:pPr>
              <w:pStyle w:val="159"/>
              <w:ind w:firstLine="480"/>
              <w:rPr>
                <w:rFonts w:ascii="Times New Roman" w:hAnsi="Times New Roman" w:eastAsia="宋体" w:cs="Times New Roman"/>
                <w:b/>
                <w:bCs w:val="0"/>
                <w:color w:val="auto"/>
                <w:highlight w:val="none"/>
              </w:rPr>
            </w:pPr>
            <w:r>
              <w:rPr>
                <w:rFonts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4</w:t>
            </w:r>
            <w:r>
              <w:rPr>
                <w:rFonts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化验废液</w:t>
            </w:r>
          </w:p>
          <w:p w14:paraId="40F7AD2F">
            <w:pPr>
              <w:pStyle w:val="159"/>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b w:val="0"/>
                <w:bCs/>
                <w:color w:val="auto"/>
                <w:szCs w:val="32"/>
                <w:highlight w:val="none"/>
                <w:lang w:val="en-US" w:eastAsia="zh-CN"/>
              </w:rPr>
            </w:pPr>
            <w:r>
              <w:rPr>
                <w:rFonts w:hint="default" w:ascii="Times New Roman" w:hAnsi="Times New Roman" w:eastAsia="宋体" w:cs="Times New Roman"/>
                <w:b w:val="0"/>
                <w:bCs/>
                <w:color w:val="auto"/>
                <w:szCs w:val="32"/>
                <w:highlight w:val="none"/>
                <w:lang w:val="en-US" w:eastAsia="zh-CN"/>
              </w:rPr>
              <w:t>化验室检验过程中产生的废液收集后作危废处理，由</w:t>
            </w:r>
            <w:r>
              <w:rPr>
                <w:rFonts w:hint="default" w:ascii="Times New Roman" w:hAnsi="Times New Roman" w:eastAsia="宋体" w:cs="Times New Roman"/>
                <w:b w:val="0"/>
                <w:bCs/>
                <w:color w:val="auto"/>
                <w:szCs w:val="32"/>
                <w:highlight w:val="none"/>
              </w:rPr>
              <w:t>资质单位</w:t>
            </w:r>
            <w:r>
              <w:rPr>
                <w:rFonts w:hint="default" w:ascii="Times New Roman" w:hAnsi="Times New Roman" w:eastAsia="宋体" w:cs="Times New Roman"/>
                <w:b w:val="0"/>
                <w:bCs/>
                <w:color w:val="auto"/>
                <w:szCs w:val="32"/>
                <w:highlight w:val="none"/>
                <w:lang w:val="en-US" w:eastAsia="zh-CN"/>
              </w:rPr>
              <w:t>定期清运，不外排。</w:t>
            </w:r>
          </w:p>
          <w:p w14:paraId="0C504A75">
            <w:pPr>
              <w:pStyle w:val="159"/>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24"/>
                <w:highlight w:val="none"/>
              </w:rPr>
              <w:t>全院固体废物产生及处置情况一览表见表4-</w:t>
            </w:r>
            <w:r>
              <w:rPr>
                <w:rFonts w:hint="eastAsia" w:ascii="Times New Roman" w:hAnsi="Times New Roman" w:eastAsia="宋体" w:cs="Times New Roman"/>
                <w:color w:val="auto"/>
                <w:szCs w:val="24"/>
                <w:highlight w:val="none"/>
                <w:lang w:val="en-US" w:eastAsia="zh-CN"/>
              </w:rPr>
              <w:t>6</w:t>
            </w:r>
            <w:r>
              <w:rPr>
                <w:rFonts w:hint="default" w:ascii="Times New Roman" w:hAnsi="Times New Roman" w:eastAsia="宋体" w:cs="Times New Roman"/>
                <w:color w:val="auto"/>
                <w:szCs w:val="24"/>
                <w:highlight w:val="none"/>
              </w:rPr>
              <w:t>。</w:t>
            </w:r>
          </w:p>
          <w:p w14:paraId="5ED63DAD">
            <w:pPr>
              <w:pStyle w:val="20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Cs w:val="32"/>
                <w:highlight w:val="none"/>
              </w:rPr>
            </w:pPr>
            <w:r>
              <w:rPr>
                <w:rFonts w:ascii="Times New Roman" w:hAnsi="Times New Roman" w:cs="Times New Roman"/>
                <w:color w:val="auto"/>
                <w:szCs w:val="32"/>
                <w:highlight w:val="none"/>
              </w:rPr>
              <w:t>表4-</w:t>
            </w:r>
            <w:r>
              <w:rPr>
                <w:rFonts w:hint="eastAsia" w:ascii="Times New Roman" w:hAnsi="Times New Roman" w:cs="Times New Roman"/>
                <w:color w:val="auto"/>
                <w:szCs w:val="32"/>
                <w:highlight w:val="none"/>
                <w:lang w:val="en-US" w:eastAsia="zh-CN"/>
              </w:rPr>
              <w:t>6</w:t>
            </w:r>
            <w:r>
              <w:rPr>
                <w:rFonts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rPr>
              <w:t xml:space="preserve"> 项目</w:t>
            </w:r>
            <w:r>
              <w:rPr>
                <w:rFonts w:ascii="Times New Roman" w:hAnsi="Times New Roman" w:cs="Times New Roman"/>
                <w:color w:val="auto"/>
                <w:szCs w:val="32"/>
                <w:highlight w:val="none"/>
              </w:rPr>
              <w:t>固体废物产生及处置情况一览表</w:t>
            </w:r>
          </w:p>
          <w:tbl>
            <w:tblPr>
              <w:tblStyle w:val="50"/>
              <w:tblW w:w="829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27"/>
              <w:gridCol w:w="769"/>
              <w:gridCol w:w="910"/>
              <w:gridCol w:w="1014"/>
              <w:gridCol w:w="953"/>
              <w:gridCol w:w="856"/>
              <w:gridCol w:w="2344"/>
              <w:gridCol w:w="1024"/>
            </w:tblGrid>
            <w:tr w14:paraId="0D7C9DA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4" w:hRule="atLeast"/>
              </w:trPr>
              <w:tc>
                <w:tcPr>
                  <w:tcW w:w="427" w:type="dxa"/>
                  <w:vMerge w:val="restart"/>
                  <w:vAlign w:val="center"/>
                </w:tcPr>
                <w:p w14:paraId="52AACD3F">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序号</w:t>
                  </w:r>
                </w:p>
              </w:tc>
              <w:tc>
                <w:tcPr>
                  <w:tcW w:w="769" w:type="dxa"/>
                  <w:vMerge w:val="restart"/>
                  <w:vAlign w:val="center"/>
                </w:tcPr>
                <w:p w14:paraId="45029700">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类别</w:t>
                  </w:r>
                </w:p>
              </w:tc>
              <w:tc>
                <w:tcPr>
                  <w:tcW w:w="2877" w:type="dxa"/>
                  <w:gridSpan w:val="3"/>
                  <w:vAlign w:val="center"/>
                </w:tcPr>
                <w:p w14:paraId="39A4B14A">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产生量t/a</w:t>
                  </w:r>
                </w:p>
              </w:tc>
              <w:tc>
                <w:tcPr>
                  <w:tcW w:w="856" w:type="dxa"/>
                  <w:vMerge w:val="restart"/>
                  <w:vAlign w:val="center"/>
                </w:tcPr>
                <w:p w14:paraId="3D4E441F">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贮存场所</w:t>
                  </w:r>
                </w:p>
              </w:tc>
              <w:tc>
                <w:tcPr>
                  <w:tcW w:w="2344" w:type="dxa"/>
                  <w:vMerge w:val="restart"/>
                  <w:vAlign w:val="center"/>
                </w:tcPr>
                <w:p w14:paraId="2DECE13E">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处理措施</w:t>
                  </w:r>
                </w:p>
              </w:tc>
              <w:tc>
                <w:tcPr>
                  <w:tcW w:w="1024" w:type="dxa"/>
                  <w:vMerge w:val="restart"/>
                  <w:vAlign w:val="center"/>
                </w:tcPr>
                <w:p w14:paraId="7080E434">
                  <w:pPr>
                    <w:pStyle w:val="19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贮存周期</w:t>
                  </w:r>
                </w:p>
              </w:tc>
            </w:tr>
            <w:tr w14:paraId="42D8184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4" w:hRule="atLeast"/>
              </w:trPr>
              <w:tc>
                <w:tcPr>
                  <w:tcW w:w="427" w:type="dxa"/>
                  <w:vMerge w:val="continue"/>
                  <w:vAlign w:val="center"/>
                </w:tcPr>
                <w:p w14:paraId="0C400388">
                  <w:pPr>
                    <w:pStyle w:val="191"/>
                    <w:keepNext w:val="0"/>
                    <w:keepLines w:val="0"/>
                    <w:pageBreakBefore w:val="0"/>
                    <w:kinsoku/>
                    <w:wordWrap/>
                    <w:overflowPunct/>
                    <w:topLinePunct w:val="0"/>
                    <w:autoSpaceDE/>
                    <w:autoSpaceDN/>
                    <w:bidi w:val="0"/>
                    <w:adjustRightInd/>
                    <w:snapToGrid/>
                    <w:spacing w:line="240" w:lineRule="auto"/>
                    <w:textAlignment w:val="auto"/>
                  </w:pPr>
                </w:p>
              </w:tc>
              <w:tc>
                <w:tcPr>
                  <w:tcW w:w="769" w:type="dxa"/>
                  <w:vMerge w:val="continue"/>
                  <w:vAlign w:val="center"/>
                </w:tcPr>
                <w:p w14:paraId="2B70E6AF">
                  <w:pPr>
                    <w:pStyle w:val="191"/>
                    <w:keepNext w:val="0"/>
                    <w:keepLines w:val="0"/>
                    <w:pageBreakBefore w:val="0"/>
                    <w:kinsoku/>
                    <w:wordWrap/>
                    <w:overflowPunct/>
                    <w:topLinePunct w:val="0"/>
                    <w:autoSpaceDE/>
                    <w:autoSpaceDN/>
                    <w:bidi w:val="0"/>
                    <w:adjustRightInd/>
                    <w:snapToGrid/>
                    <w:spacing w:line="240" w:lineRule="auto"/>
                    <w:textAlignment w:val="auto"/>
                  </w:pPr>
                </w:p>
              </w:tc>
              <w:tc>
                <w:tcPr>
                  <w:tcW w:w="910" w:type="dxa"/>
                  <w:vAlign w:val="center"/>
                </w:tcPr>
                <w:p w14:paraId="299B88BE">
                  <w:pPr>
                    <w:pStyle w:val="191"/>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现有项目</w:t>
                  </w:r>
                </w:p>
              </w:tc>
              <w:tc>
                <w:tcPr>
                  <w:tcW w:w="1014" w:type="dxa"/>
                  <w:vAlign w:val="center"/>
                </w:tcPr>
                <w:p w14:paraId="36F16CAC">
                  <w:pPr>
                    <w:pStyle w:val="191"/>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本项目</w:t>
                  </w:r>
                </w:p>
              </w:tc>
              <w:tc>
                <w:tcPr>
                  <w:tcW w:w="953" w:type="dxa"/>
                  <w:vAlign w:val="center"/>
                </w:tcPr>
                <w:p w14:paraId="3BC7D793">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扩建后项目</w:t>
                  </w:r>
                </w:p>
              </w:tc>
              <w:tc>
                <w:tcPr>
                  <w:tcW w:w="856" w:type="dxa"/>
                  <w:vMerge w:val="continue"/>
                  <w:vAlign w:val="center"/>
                </w:tcPr>
                <w:p w14:paraId="1756884E">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p>
              </w:tc>
              <w:tc>
                <w:tcPr>
                  <w:tcW w:w="2344" w:type="dxa"/>
                  <w:vMerge w:val="continue"/>
                  <w:vAlign w:val="center"/>
                </w:tcPr>
                <w:p w14:paraId="47805874">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p>
              </w:tc>
              <w:tc>
                <w:tcPr>
                  <w:tcW w:w="1024" w:type="dxa"/>
                  <w:vMerge w:val="continue"/>
                  <w:vAlign w:val="center"/>
                </w:tcPr>
                <w:p w14:paraId="40CDBABA">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p>
              </w:tc>
            </w:tr>
            <w:tr w14:paraId="567CA0B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09" w:hRule="atLeast"/>
              </w:trPr>
              <w:tc>
                <w:tcPr>
                  <w:tcW w:w="427" w:type="dxa"/>
                  <w:tcBorders>
                    <w:top w:val="single" w:color="auto" w:sz="4" w:space="0"/>
                    <w:bottom w:val="single" w:color="auto" w:sz="4" w:space="0"/>
                  </w:tcBorders>
                  <w:vAlign w:val="center"/>
                </w:tcPr>
                <w:p w14:paraId="191784E8">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769" w:type="dxa"/>
                  <w:tcBorders>
                    <w:top w:val="single" w:color="auto" w:sz="4" w:space="0"/>
                    <w:bottom w:val="single" w:color="auto" w:sz="4" w:space="0"/>
                  </w:tcBorders>
                  <w:vAlign w:val="center"/>
                </w:tcPr>
                <w:p w14:paraId="7612D81A">
                  <w:pPr>
                    <w:pStyle w:val="191"/>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lang w:val="zh-CN"/>
                    </w:rPr>
                    <w:t>生活垃圾</w:t>
                  </w:r>
                </w:p>
              </w:tc>
              <w:tc>
                <w:tcPr>
                  <w:tcW w:w="910" w:type="dxa"/>
                  <w:tcBorders>
                    <w:bottom w:val="single" w:color="auto" w:sz="4" w:space="0"/>
                  </w:tcBorders>
                  <w:vAlign w:val="center"/>
                </w:tcPr>
                <w:p w14:paraId="6B9EA186">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3.285</w:t>
                  </w:r>
                </w:p>
              </w:tc>
              <w:tc>
                <w:tcPr>
                  <w:tcW w:w="1014" w:type="dxa"/>
                  <w:tcBorders>
                    <w:bottom w:val="single" w:color="auto" w:sz="4" w:space="0"/>
                  </w:tcBorders>
                  <w:vAlign w:val="center"/>
                </w:tcPr>
                <w:p w14:paraId="15007287">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iCs/>
                      <w:color w:val="auto"/>
                      <w:kern w:val="2"/>
                      <w:sz w:val="21"/>
                      <w:szCs w:val="21"/>
                      <w:highlight w:val="none"/>
                      <w:lang w:val="en-US" w:eastAsia="zh-CN" w:bidi="ar-SA"/>
                    </w:rPr>
                    <w:t>0</w:t>
                  </w:r>
                </w:p>
              </w:tc>
              <w:tc>
                <w:tcPr>
                  <w:tcW w:w="953" w:type="dxa"/>
                  <w:tcBorders>
                    <w:bottom w:val="single" w:color="auto" w:sz="4" w:space="0"/>
                  </w:tcBorders>
                  <w:shd w:val="clear" w:color="auto" w:fill="auto"/>
                  <w:vAlign w:val="center"/>
                </w:tcPr>
                <w:p w14:paraId="3CFD1DA8">
                  <w:pPr>
                    <w:pStyle w:val="191"/>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3.285</w:t>
                  </w:r>
                </w:p>
              </w:tc>
              <w:tc>
                <w:tcPr>
                  <w:tcW w:w="856" w:type="dxa"/>
                  <w:tcBorders>
                    <w:bottom w:val="single" w:color="auto" w:sz="4" w:space="0"/>
                  </w:tcBorders>
                  <w:vAlign w:val="center"/>
                </w:tcPr>
                <w:p w14:paraId="4F3F6288">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各功能区垃圾桶</w:t>
                  </w:r>
                </w:p>
              </w:tc>
              <w:tc>
                <w:tcPr>
                  <w:tcW w:w="2344" w:type="dxa"/>
                  <w:tcBorders>
                    <w:bottom w:val="single" w:color="auto" w:sz="4" w:space="0"/>
                  </w:tcBorders>
                  <w:vAlign w:val="center"/>
                </w:tcPr>
                <w:p w14:paraId="298A6832">
                  <w:pPr>
                    <w:pStyle w:val="191"/>
                    <w:rPr>
                      <w:rFonts w:hint="default" w:ascii="Times New Roman" w:hAnsi="Times New Roman" w:eastAsia="宋体" w:cs="Times New Roman"/>
                      <w:color w:val="auto"/>
                      <w:highlight w:val="none"/>
                      <w:lang w:val="zh-CN"/>
                    </w:rPr>
                  </w:pPr>
                  <w:r>
                    <w:rPr>
                      <w:rFonts w:ascii="Times New Roman" w:hAnsi="Times New Roman" w:eastAsia="宋体" w:cs="Times New Roman"/>
                      <w:color w:val="auto"/>
                      <w:highlight w:val="none"/>
                      <w:lang w:val="zh-CN"/>
                    </w:rPr>
                    <w:t>环卫</w:t>
                  </w:r>
                  <w:r>
                    <w:rPr>
                      <w:rFonts w:hint="default" w:ascii="Times New Roman" w:hAnsi="Times New Roman" w:eastAsia="宋体" w:cs="Times New Roman"/>
                      <w:color w:val="auto"/>
                      <w:highlight w:val="none"/>
                    </w:rPr>
                    <w:t>部门</w:t>
                  </w:r>
                  <w:r>
                    <w:rPr>
                      <w:rFonts w:ascii="Times New Roman" w:hAnsi="Times New Roman" w:eastAsia="宋体" w:cs="Times New Roman"/>
                      <w:color w:val="auto"/>
                      <w:highlight w:val="none"/>
                      <w:lang w:val="zh-CN"/>
                    </w:rPr>
                    <w:t>收集转运</w:t>
                  </w:r>
                </w:p>
              </w:tc>
              <w:tc>
                <w:tcPr>
                  <w:tcW w:w="1024" w:type="dxa"/>
                  <w:tcBorders>
                    <w:bottom w:val="single" w:color="auto" w:sz="4" w:space="0"/>
                  </w:tcBorders>
                  <w:vAlign w:val="center"/>
                </w:tcPr>
                <w:p w14:paraId="612DA840">
                  <w:pPr>
                    <w:pStyle w:val="19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每天</w:t>
                  </w:r>
                </w:p>
              </w:tc>
            </w:tr>
            <w:tr w14:paraId="652169B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35" w:hRule="atLeast"/>
              </w:trPr>
              <w:tc>
                <w:tcPr>
                  <w:tcW w:w="427" w:type="dxa"/>
                  <w:tcBorders>
                    <w:top w:val="single" w:color="auto" w:sz="4" w:space="0"/>
                    <w:bottom w:val="single" w:color="auto" w:sz="4" w:space="0"/>
                  </w:tcBorders>
                  <w:vAlign w:val="center"/>
                </w:tcPr>
                <w:p w14:paraId="58173533">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769" w:type="dxa"/>
                  <w:tcBorders>
                    <w:top w:val="single" w:color="auto" w:sz="4" w:space="0"/>
                    <w:bottom w:val="single" w:color="auto" w:sz="4" w:space="0"/>
                  </w:tcBorders>
                  <w:vAlign w:val="center"/>
                </w:tcPr>
                <w:p w14:paraId="5AE48BEE">
                  <w:pPr>
                    <w:pStyle w:val="191"/>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诊疗废物</w:t>
                  </w:r>
                </w:p>
              </w:tc>
              <w:tc>
                <w:tcPr>
                  <w:tcW w:w="910" w:type="dxa"/>
                  <w:tcBorders>
                    <w:top w:val="single" w:color="auto" w:sz="4" w:space="0"/>
                    <w:bottom w:val="single" w:color="auto" w:sz="4" w:space="0"/>
                  </w:tcBorders>
                  <w:vAlign w:val="center"/>
                </w:tcPr>
                <w:p w14:paraId="4C4C43AB">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4"/>
                      <w:highlight w:val="none"/>
                      <w:lang w:val="en-US" w:eastAsia="zh-CN"/>
                    </w:rPr>
                    <w:t>0.365</w:t>
                  </w:r>
                </w:p>
              </w:tc>
              <w:tc>
                <w:tcPr>
                  <w:tcW w:w="1014" w:type="dxa"/>
                  <w:tcBorders>
                    <w:top w:val="single" w:color="auto" w:sz="4" w:space="0"/>
                  </w:tcBorders>
                  <w:vAlign w:val="center"/>
                </w:tcPr>
                <w:p w14:paraId="14482856">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iCs/>
                      <w:color w:val="auto"/>
                      <w:kern w:val="2"/>
                      <w:sz w:val="21"/>
                      <w:szCs w:val="21"/>
                      <w:highlight w:val="none"/>
                      <w:lang w:val="en-US" w:eastAsia="zh-CN" w:bidi="ar-SA"/>
                    </w:rPr>
                    <w:t>1.095</w:t>
                  </w:r>
                </w:p>
              </w:tc>
              <w:tc>
                <w:tcPr>
                  <w:tcW w:w="953" w:type="dxa"/>
                  <w:tcBorders>
                    <w:top w:val="single" w:color="auto" w:sz="4" w:space="0"/>
                  </w:tcBorders>
                  <w:shd w:val="clear" w:color="auto" w:fill="auto"/>
                  <w:vAlign w:val="center"/>
                </w:tcPr>
                <w:p w14:paraId="30E270D6">
                  <w:pPr>
                    <w:pStyle w:val="191"/>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Cs w:val="24"/>
                      <w:highlight w:val="none"/>
                      <w:lang w:val="en-US" w:eastAsia="zh-CN"/>
                    </w:rPr>
                    <w:t>1.46</w:t>
                  </w:r>
                </w:p>
              </w:tc>
              <w:tc>
                <w:tcPr>
                  <w:tcW w:w="856" w:type="dxa"/>
                  <w:tcBorders>
                    <w:top w:val="single" w:color="auto" w:sz="4" w:space="0"/>
                  </w:tcBorders>
                  <w:vAlign w:val="center"/>
                </w:tcPr>
                <w:p w14:paraId="1CD88AF4">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344" w:type="dxa"/>
                  <w:tcBorders>
                    <w:top w:val="single" w:color="auto" w:sz="4" w:space="0"/>
                    <w:bottom w:val="single" w:color="auto" w:sz="4" w:space="0"/>
                  </w:tcBorders>
                  <w:vAlign w:val="center"/>
                </w:tcPr>
                <w:p w14:paraId="08760D3B">
                  <w:pPr>
                    <w:pStyle w:val="191"/>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lang w:val="zh-CN"/>
                    </w:rPr>
                    <w:t>统一收集后储存于危废间，委托</w:t>
                  </w:r>
                  <w:r>
                    <w:rPr>
                      <w:rFonts w:hint="default" w:ascii="Times New Roman" w:hAnsi="Times New Roman" w:eastAsia="宋体" w:cs="Times New Roman"/>
                      <w:color w:val="auto"/>
                      <w:highlight w:val="none"/>
                      <w:lang w:val="en-US" w:eastAsia="zh-CN"/>
                    </w:rPr>
                    <w:t>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024" w:type="dxa"/>
                  <w:tcBorders>
                    <w:top w:val="single" w:color="auto" w:sz="4" w:space="0"/>
                  </w:tcBorders>
                  <w:vAlign w:val="center"/>
                </w:tcPr>
                <w:p w14:paraId="5551D74C">
                  <w:pPr>
                    <w:pStyle w:val="19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Cs/>
                      <w:color w:val="auto"/>
                      <w:kern w:val="2"/>
                      <w:sz w:val="21"/>
                      <w:szCs w:val="21"/>
                      <w:highlight w:val="none"/>
                      <w:lang w:val="zh-CN" w:eastAsia="zh-CN" w:bidi="ar-SA"/>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天</w:t>
                  </w:r>
                </w:p>
              </w:tc>
            </w:tr>
            <w:tr w14:paraId="2270A52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bottom w:val="single" w:color="auto" w:sz="4" w:space="0"/>
                  </w:tcBorders>
                  <w:vAlign w:val="center"/>
                </w:tcPr>
                <w:p w14:paraId="1A7AB587">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769" w:type="dxa"/>
                  <w:tcBorders>
                    <w:top w:val="single" w:color="auto" w:sz="4" w:space="0"/>
                    <w:bottom w:val="single" w:color="auto" w:sz="4" w:space="0"/>
                  </w:tcBorders>
                  <w:vAlign w:val="center"/>
                </w:tcPr>
                <w:p w14:paraId="27187284">
                  <w:pPr>
                    <w:pStyle w:val="191"/>
                    <w:spacing w:line="240" w:lineRule="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eastAsia="zh-CN"/>
                    </w:rPr>
                    <w:t>化验废液</w:t>
                  </w:r>
                </w:p>
              </w:tc>
              <w:tc>
                <w:tcPr>
                  <w:tcW w:w="910" w:type="dxa"/>
                  <w:tcBorders>
                    <w:top w:val="single" w:color="auto" w:sz="4" w:space="0"/>
                    <w:bottom w:val="single" w:color="auto" w:sz="4" w:space="0"/>
                  </w:tcBorders>
                  <w:vAlign w:val="center"/>
                </w:tcPr>
                <w:p w14:paraId="3BEB3499">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0.12</w:t>
                  </w:r>
                </w:p>
              </w:tc>
              <w:tc>
                <w:tcPr>
                  <w:tcW w:w="1014" w:type="dxa"/>
                  <w:tcBorders>
                    <w:bottom w:val="single" w:color="auto" w:sz="4" w:space="0"/>
                  </w:tcBorders>
                  <w:vAlign w:val="center"/>
                </w:tcPr>
                <w:p w14:paraId="64D44ADE">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iCs/>
                      <w:color w:val="auto"/>
                      <w:kern w:val="2"/>
                      <w:sz w:val="21"/>
                      <w:szCs w:val="21"/>
                      <w:highlight w:val="none"/>
                      <w:lang w:val="en-US" w:eastAsia="zh-CN" w:bidi="ar-SA"/>
                    </w:rPr>
                    <w:t>0</w:t>
                  </w:r>
                </w:p>
              </w:tc>
              <w:tc>
                <w:tcPr>
                  <w:tcW w:w="953" w:type="dxa"/>
                  <w:tcBorders>
                    <w:bottom w:val="single" w:color="auto" w:sz="4" w:space="0"/>
                  </w:tcBorders>
                  <w:shd w:val="clear" w:color="auto" w:fill="auto"/>
                  <w:vAlign w:val="center"/>
                </w:tcPr>
                <w:p w14:paraId="1954791C">
                  <w:pPr>
                    <w:pStyle w:val="193"/>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0.12</w:t>
                  </w:r>
                </w:p>
              </w:tc>
              <w:tc>
                <w:tcPr>
                  <w:tcW w:w="856" w:type="dxa"/>
                  <w:tcBorders>
                    <w:bottom w:val="single" w:color="auto" w:sz="4" w:space="0"/>
                  </w:tcBorders>
                  <w:vAlign w:val="center"/>
                </w:tcPr>
                <w:p w14:paraId="79EB3165">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专用</w:t>
                  </w:r>
                  <w:r>
                    <w:rPr>
                      <w:rFonts w:hint="default" w:ascii="Times New Roman" w:hAnsi="Times New Roman" w:eastAsia="宋体" w:cs="Times New Roman"/>
                      <w:color w:val="auto"/>
                      <w:sz w:val="21"/>
                      <w:szCs w:val="21"/>
                      <w:highlight w:val="none"/>
                      <w:lang w:val="en-US" w:eastAsia="zh-CN"/>
                    </w:rPr>
                    <w:t>废液</w:t>
                  </w:r>
                  <w:r>
                    <w:rPr>
                      <w:rFonts w:hint="default" w:ascii="Times New Roman" w:hAnsi="Times New Roman" w:eastAsia="宋体" w:cs="Times New Roman"/>
                      <w:color w:val="auto"/>
                      <w:sz w:val="21"/>
                      <w:szCs w:val="21"/>
                      <w:highlight w:val="none"/>
                      <w:lang w:eastAsia="zh-CN"/>
                    </w:rPr>
                    <w:t>包装袋</w:t>
                  </w:r>
                </w:p>
              </w:tc>
              <w:tc>
                <w:tcPr>
                  <w:tcW w:w="2344" w:type="dxa"/>
                  <w:tcBorders>
                    <w:top w:val="single" w:color="auto" w:sz="4" w:space="0"/>
                    <w:bottom w:val="single" w:color="auto" w:sz="4" w:space="0"/>
                  </w:tcBorders>
                  <w:vAlign w:val="center"/>
                </w:tcPr>
                <w:p w14:paraId="4D3D67EA">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eastAsia="zh-CN"/>
                    </w:rPr>
                    <w:t>专用</w:t>
                  </w:r>
                  <w:r>
                    <w:rPr>
                      <w:rFonts w:hint="default" w:ascii="Times New Roman" w:hAnsi="Times New Roman" w:eastAsia="宋体" w:cs="Times New Roman"/>
                      <w:color w:val="auto"/>
                      <w:sz w:val="21"/>
                      <w:szCs w:val="21"/>
                      <w:highlight w:val="none"/>
                      <w:lang w:val="en-US" w:eastAsia="zh-CN"/>
                    </w:rPr>
                    <w:t>废液</w:t>
                  </w:r>
                  <w:r>
                    <w:rPr>
                      <w:rFonts w:hint="default" w:ascii="Times New Roman" w:hAnsi="Times New Roman" w:eastAsia="宋体" w:cs="Times New Roman"/>
                      <w:color w:val="auto"/>
                      <w:sz w:val="21"/>
                      <w:szCs w:val="21"/>
                      <w:highlight w:val="none"/>
                      <w:lang w:eastAsia="zh-CN"/>
                    </w:rPr>
                    <w:t>包装袋</w:t>
                  </w:r>
                  <w:r>
                    <w:rPr>
                      <w:rFonts w:hint="default" w:ascii="Times New Roman" w:hAnsi="Times New Roman" w:eastAsia="宋体" w:cs="Times New Roman"/>
                      <w:color w:val="auto"/>
                      <w:sz w:val="21"/>
                      <w:szCs w:val="21"/>
                      <w:highlight w:val="none"/>
                    </w:rPr>
                    <w:t>收集，</w:t>
                  </w:r>
                  <w:r>
                    <w:rPr>
                      <w:rFonts w:hint="default" w:ascii="Times New Roman" w:hAnsi="Times New Roman" w:eastAsia="宋体" w:cs="Times New Roman"/>
                      <w:color w:val="auto"/>
                      <w:sz w:val="21"/>
                      <w:szCs w:val="21"/>
                      <w:highlight w:val="none"/>
                      <w:lang w:val="en-US" w:eastAsia="zh-CN"/>
                    </w:rPr>
                    <w:t>作危废处理，</w:t>
                  </w:r>
                  <w:r>
                    <w:rPr>
                      <w:rFonts w:hint="default" w:ascii="Times New Roman" w:hAnsi="Times New Roman" w:eastAsia="宋体" w:cs="Times New Roman"/>
                      <w:color w:val="auto"/>
                      <w:szCs w:val="24"/>
                      <w:highlight w:val="none"/>
                      <w:lang w:val="en-US" w:eastAsia="zh-CN"/>
                    </w:rPr>
                    <w:t>由资质单位定期清运，</w:t>
                  </w:r>
                  <w:r>
                    <w:rPr>
                      <w:rFonts w:hint="default" w:ascii="Times New Roman" w:hAnsi="Times New Roman" w:eastAsia="宋体" w:cs="Times New Roman"/>
                      <w:color w:val="auto"/>
                      <w:sz w:val="21"/>
                      <w:szCs w:val="21"/>
                      <w:highlight w:val="none"/>
                      <w:lang w:val="en-US" w:eastAsia="zh-CN"/>
                    </w:rPr>
                    <w:t>不外排</w:t>
                  </w:r>
                </w:p>
              </w:tc>
              <w:tc>
                <w:tcPr>
                  <w:tcW w:w="1024" w:type="dxa"/>
                  <w:vAlign w:val="center"/>
                </w:tcPr>
                <w:p w14:paraId="4E56485F">
                  <w:pPr>
                    <w:pStyle w:val="191"/>
                    <w:spacing w:line="240" w:lineRule="auto"/>
                    <w:jc w:val="center"/>
                    <w:rPr>
                      <w:rFonts w:hint="default" w:ascii="Times New Roman" w:hAnsi="Times New Roman" w:eastAsia="宋体" w:cs="Times New Roman"/>
                      <w:iCs/>
                      <w:color w:val="auto"/>
                      <w:kern w:val="2"/>
                      <w:sz w:val="21"/>
                      <w:szCs w:val="21"/>
                      <w:highlight w:val="none"/>
                      <w:lang w:val="zh-CN" w:eastAsia="zh-CN" w:bidi="ar-SA"/>
                    </w:rPr>
                  </w:pPr>
                  <w:r>
                    <w:rPr>
                      <w:rFonts w:hint="eastAsia"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lang w:val="en-US" w:eastAsia="zh-CN"/>
                    </w:rPr>
                    <w:t>个月</w:t>
                  </w:r>
                </w:p>
              </w:tc>
            </w:tr>
            <w:tr w14:paraId="33AFDC8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2" w:hRule="atLeast"/>
              </w:trPr>
              <w:tc>
                <w:tcPr>
                  <w:tcW w:w="427" w:type="dxa"/>
                  <w:tcBorders>
                    <w:top w:val="single" w:color="auto" w:sz="4" w:space="0"/>
                  </w:tcBorders>
                  <w:vAlign w:val="center"/>
                </w:tcPr>
                <w:p w14:paraId="11CF8B5E">
                  <w:pPr>
                    <w:pStyle w:val="19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4</w:t>
                  </w:r>
                </w:p>
              </w:tc>
              <w:tc>
                <w:tcPr>
                  <w:tcW w:w="769" w:type="dxa"/>
                  <w:tcBorders>
                    <w:top w:val="single" w:color="auto" w:sz="4" w:space="0"/>
                  </w:tcBorders>
                  <w:vAlign w:val="center"/>
                </w:tcPr>
                <w:p w14:paraId="07602B52">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废水处理污泥</w:t>
                  </w:r>
                </w:p>
              </w:tc>
              <w:tc>
                <w:tcPr>
                  <w:tcW w:w="910" w:type="dxa"/>
                  <w:tcBorders>
                    <w:top w:val="single" w:color="auto" w:sz="4" w:space="0"/>
                  </w:tcBorders>
                  <w:vAlign w:val="center"/>
                </w:tcPr>
                <w:p w14:paraId="5FAB27AB">
                  <w:pPr>
                    <w:pStyle w:val="193"/>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01478</w:t>
                  </w:r>
                </w:p>
              </w:tc>
              <w:tc>
                <w:tcPr>
                  <w:tcW w:w="1014" w:type="dxa"/>
                  <w:tcBorders>
                    <w:top w:val="single" w:color="auto" w:sz="4" w:space="0"/>
                  </w:tcBorders>
                  <w:vAlign w:val="top"/>
                </w:tcPr>
                <w:p w14:paraId="1A9DB65E">
                  <w:pPr>
                    <w:keepNext w:val="0"/>
                    <w:keepLines w:val="0"/>
                    <w:pageBreakBefore w:val="0"/>
                    <w:widowControl w:val="0"/>
                    <w:kinsoku/>
                    <w:wordWrap/>
                    <w:overflowPunct/>
                    <w:topLinePunct w:val="0"/>
                    <w:autoSpaceDE/>
                    <w:autoSpaceDN/>
                    <w:bidi w:val="0"/>
                    <w:adjustRightInd/>
                    <w:snapToGrid/>
                    <w:spacing w:before="368" w:beforeLines="10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0.00246</w:t>
                  </w:r>
                </w:p>
              </w:tc>
              <w:tc>
                <w:tcPr>
                  <w:tcW w:w="953" w:type="dxa"/>
                  <w:tcBorders>
                    <w:top w:val="single" w:color="auto" w:sz="4" w:space="0"/>
                  </w:tcBorders>
                  <w:shd w:val="clear" w:color="auto" w:fill="auto"/>
                  <w:vAlign w:val="center"/>
                </w:tcPr>
                <w:p w14:paraId="569AD2B9">
                  <w:pPr>
                    <w:pStyle w:val="193"/>
                    <w:rPr>
                      <w:rFonts w:hint="default" w:ascii="Times New Roman" w:hAnsi="Times New Roman" w:eastAsia="宋体" w:cs="Times New Roman"/>
                      <w:color w:val="auto"/>
                      <w:kern w:val="2"/>
                      <w:position w:val="-10"/>
                      <w:sz w:val="21"/>
                      <w:szCs w:val="24"/>
                      <w:highlight w:val="none"/>
                      <w:lang w:val="en-US" w:eastAsia="zh-CN" w:bidi="ar-SA"/>
                    </w:rPr>
                  </w:pPr>
                  <w:r>
                    <w:rPr>
                      <w:rFonts w:hint="default" w:ascii="Times New Roman" w:hAnsi="Times New Roman" w:eastAsia="宋体" w:cs="Times New Roman"/>
                      <w:color w:val="auto"/>
                      <w:highlight w:val="none"/>
                      <w:lang w:val="en-US" w:eastAsia="zh-CN"/>
                    </w:rPr>
                    <w:t>0.01725</w:t>
                  </w:r>
                </w:p>
              </w:tc>
              <w:tc>
                <w:tcPr>
                  <w:tcW w:w="856" w:type="dxa"/>
                  <w:tcBorders>
                    <w:top w:val="single" w:color="auto" w:sz="4" w:space="0"/>
                  </w:tcBorders>
                  <w:vAlign w:val="center"/>
                </w:tcPr>
                <w:p w14:paraId="2181B90D">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344" w:type="dxa"/>
                  <w:tcBorders>
                    <w:top w:val="single" w:color="auto" w:sz="4" w:space="0"/>
                  </w:tcBorders>
                  <w:vAlign w:val="center"/>
                </w:tcPr>
                <w:p w14:paraId="0B267072">
                  <w:pPr>
                    <w:pStyle w:val="191"/>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zh-CN"/>
                    </w:rPr>
                    <w:t>每10~15天</w:t>
                  </w:r>
                  <w:r>
                    <w:rPr>
                      <w:rFonts w:ascii="Times New Roman" w:hAnsi="Times New Roman" w:eastAsia="宋体" w:cs="Times New Roman"/>
                      <w:color w:val="auto"/>
                      <w:highlight w:val="none"/>
                      <w:lang w:val="zh-CN"/>
                    </w:rPr>
                    <w:t>清掏一次，</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024" w:type="dxa"/>
                  <w:vAlign w:val="center"/>
                </w:tcPr>
                <w:p w14:paraId="471A076A">
                  <w:pPr>
                    <w:pStyle w:val="191"/>
                    <w:spacing w:line="240" w:lineRule="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highlight w:val="none"/>
                      <w:lang w:val="zh-CN"/>
                    </w:rPr>
                    <w:t>10~15天</w:t>
                  </w:r>
                </w:p>
              </w:tc>
            </w:tr>
          </w:tbl>
          <w:p w14:paraId="54DC9C85"/>
          <w:p w14:paraId="63F0326B">
            <w:pPr>
              <w:pStyle w:val="4"/>
              <w:numPr>
                <w:ilvl w:val="0"/>
                <w:numId w:val="0"/>
              </w:numPr>
              <w:jc w:val="both"/>
              <w:rPr>
                <w:rFonts w:hint="default" w:ascii="Times New Roman" w:hAnsi="Times New Roman" w:eastAsia="宋体" w:cs="Times New Roman"/>
                <w:color w:val="auto"/>
                <w:highlight w:val="none"/>
                <w:lang w:val="en-US" w:eastAsia="zh-CN"/>
              </w:rPr>
            </w:pPr>
            <w:r>
              <w:rPr>
                <w:rFonts w:ascii="Times New Roman" w:hAnsi="Times New Roman" w:cs="Times New Roman"/>
                <w:color w:val="auto"/>
                <w:highlight w:val="none"/>
              </w:rPr>
              <w:t>4.5.</w:t>
            </w:r>
            <w:r>
              <w:rPr>
                <w:rFonts w:hint="default" w:ascii="Times New Roman" w:hAnsi="Times New Roman" w:cs="Times New Roman"/>
                <w:color w:val="auto"/>
                <w:highlight w:val="none"/>
                <w:lang w:val="en-US" w:eastAsia="zh-CN"/>
              </w:rPr>
              <w:t xml:space="preserve">2 </w:t>
            </w:r>
            <w:r>
              <w:rPr>
                <w:rFonts w:ascii="Times New Roman" w:hAnsi="Times New Roman" w:cs="Times New Roman"/>
                <w:color w:val="auto"/>
                <w:highlight w:val="none"/>
              </w:rPr>
              <w:t>固体废物</w:t>
            </w:r>
            <w:r>
              <w:rPr>
                <w:rFonts w:hint="default" w:ascii="Times New Roman" w:hAnsi="Times New Roman" w:cs="Times New Roman"/>
                <w:color w:val="auto"/>
                <w:highlight w:val="none"/>
                <w:lang w:val="en-US" w:eastAsia="zh-CN"/>
              </w:rPr>
              <w:t>管理要求</w:t>
            </w:r>
          </w:p>
          <w:p w14:paraId="75E1E606">
            <w:pPr>
              <w:pStyle w:val="159"/>
              <w:ind w:firstLine="48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固体废物</w:t>
            </w:r>
          </w:p>
          <w:p w14:paraId="2C5B1CAA">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A.诊疗废物</w:t>
            </w:r>
          </w:p>
          <w:p w14:paraId="3ADC9ED3">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动物诊疗机构产生的诊疗废物，携带大量病原微生物、寄生虫及其他传染性、有毒有害物质，</w:t>
            </w:r>
            <w:r>
              <w:rPr>
                <w:rFonts w:hint="default" w:ascii="Times New Roman" w:hAnsi="Times New Roman" w:eastAsia="Helvetica" w:cs="Times New Roman"/>
                <w:i w:val="0"/>
                <w:iCs w:val="0"/>
                <w:caps w:val="0"/>
                <w:color w:val="262626"/>
                <w:spacing w:val="15"/>
                <w:sz w:val="24"/>
                <w:szCs w:val="24"/>
                <w:highlight w:val="none"/>
                <w:shd w:val="clear" w:fill="FFFFFF"/>
              </w:rPr>
              <w:t>属于危险性物品</w:t>
            </w:r>
            <w:r>
              <w:rPr>
                <w:rFonts w:hint="default" w:ascii="Times New Roman" w:hAnsi="Times New Roman" w:eastAsia="宋体" w:cs="Times New Roman"/>
                <w:i w:val="0"/>
                <w:iCs w:val="0"/>
                <w:caps w:val="0"/>
                <w:color w:val="262626"/>
                <w:spacing w:val="15"/>
                <w:sz w:val="24"/>
                <w:szCs w:val="24"/>
                <w:highlight w:val="none"/>
                <w:shd w:val="clear" w:fill="FFFFFF"/>
                <w:lang w:eastAsia="zh-CN"/>
              </w:rPr>
              <w:t>，</w:t>
            </w:r>
            <w:r>
              <w:rPr>
                <w:rFonts w:hint="default" w:ascii="Times New Roman" w:hAnsi="Times New Roman" w:eastAsia="宋体" w:cs="Times New Roman"/>
                <w:bCs/>
                <w:color w:val="auto"/>
                <w:kern w:val="2"/>
                <w:sz w:val="24"/>
                <w:szCs w:val="28"/>
                <w:highlight w:val="none"/>
                <w:lang w:val="en-US" w:eastAsia="zh-CN" w:bidi="ar-SA"/>
              </w:rPr>
              <w:t>根据</w:t>
            </w:r>
            <w:r>
              <w:rPr>
                <w:rFonts w:hint="default" w:ascii="Times New Roman" w:hAnsi="Times New Roman" w:eastAsia="宋体" w:cs="Times New Roman"/>
                <w:i w:val="0"/>
                <w:iCs w:val="0"/>
                <w:caps w:val="0"/>
                <w:color w:val="333333"/>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333333"/>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333333"/>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333333"/>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333333"/>
                <w:spacing w:val="0"/>
                <w:sz w:val="24"/>
                <w:szCs w:val="24"/>
                <w:highlight w:val="none"/>
                <w:shd w:val="clear" w:fill="FFFFFF"/>
                <w:lang w:val="en-US" w:eastAsia="zh-CN"/>
              </w:rPr>
              <w:t>”</w:t>
            </w:r>
            <w:r>
              <w:rPr>
                <w:rFonts w:hint="default" w:ascii="Times New Roman" w:hAnsi="Times New Roman" w:eastAsia="宋体" w:cs="Times New Roman"/>
                <w:color w:val="auto"/>
                <w:szCs w:val="24"/>
                <w:highlight w:val="none"/>
              </w:rPr>
              <w:t>。</w:t>
            </w:r>
          </w:p>
          <w:p w14:paraId="30E92DDC">
            <w:pPr>
              <w:pStyle w:val="15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lang w:val="en-US" w:eastAsia="zh-CN"/>
              </w:rPr>
              <w:t>诊疗废物</w:t>
            </w:r>
            <w:r>
              <w:rPr>
                <w:rFonts w:hint="default" w:ascii="Times New Roman" w:hAnsi="Times New Roman" w:eastAsia="宋体" w:cs="Times New Roman"/>
                <w:color w:val="auto"/>
                <w:szCs w:val="24"/>
                <w:highlight w:val="none"/>
              </w:rPr>
              <w:t>及时收集，并按照类别分置于防渗漏、防锐器穿透的专用包装物或者密闭容器内</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暂存危废间，</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14:paraId="2070CABA">
            <w:pPr>
              <w:pStyle w:val="159"/>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b w:val="0"/>
                <w:bCs/>
                <w:color w:val="auto"/>
                <w:szCs w:val="24"/>
                <w:highlight w:val="none"/>
                <w:lang w:eastAsia="zh-CN"/>
              </w:rPr>
            </w:pPr>
            <w:r>
              <w:rPr>
                <w:rFonts w:hint="eastAsia" w:ascii="Times New Roman" w:hAnsi="Times New Roman" w:eastAsia="宋体" w:cs="Times New Roman"/>
                <w:b w:val="0"/>
                <w:bCs/>
                <w:color w:val="auto"/>
                <w:szCs w:val="24"/>
                <w:highlight w:val="none"/>
                <w:lang w:val="en-US" w:eastAsia="zh-CN"/>
              </w:rPr>
              <w:t>B.</w:t>
            </w:r>
            <w:r>
              <w:rPr>
                <w:rFonts w:hint="default" w:ascii="Times New Roman" w:hAnsi="Times New Roman" w:eastAsia="宋体" w:cs="Times New Roman"/>
                <w:b w:val="0"/>
                <w:bCs/>
                <w:color w:val="auto"/>
                <w:szCs w:val="24"/>
                <w:highlight w:val="none"/>
                <w:lang w:eastAsia="zh-CN"/>
              </w:rPr>
              <w:t>化验废液</w:t>
            </w:r>
          </w:p>
          <w:p w14:paraId="53A33599">
            <w:pPr>
              <w:pStyle w:val="159"/>
              <w:pageBreakBefore w:val="0"/>
              <w:kinsoku/>
              <w:overflowPunct/>
              <w:autoSpaceDE/>
              <w:autoSpaceDN/>
              <w:bidi w:val="0"/>
              <w:ind w:firstLine="480"/>
              <w:jc w:val="both"/>
              <w:rPr>
                <w:rFonts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化验废液</w:t>
            </w:r>
            <w:r>
              <w:rPr>
                <w:rFonts w:hint="default" w:ascii="Times New Roman" w:hAnsi="Times New Roman" w:eastAsia="宋体" w:cs="Times New Roman"/>
                <w:color w:val="auto"/>
                <w:szCs w:val="24"/>
                <w:highlight w:val="none"/>
                <w:lang w:val="en-US" w:eastAsia="zh-CN"/>
              </w:rPr>
              <w:t>使用专用废液袋收集作危废处理，由资质单位定期清运，不外排。</w:t>
            </w:r>
          </w:p>
          <w:p w14:paraId="6276A10F">
            <w:pPr>
              <w:pStyle w:val="4"/>
              <w:numPr>
                <w:ilvl w:val="0"/>
                <w:numId w:val="0"/>
              </w:numPr>
              <w:ind w:firstLine="480" w:firstLineChars="200"/>
              <w:rPr>
                <w:rFonts w:ascii="Times New Roman" w:hAnsi="Times New Roman" w:cs="Times New Roman"/>
                <w:b w:val="0"/>
                <w:bCs w:val="0"/>
                <w:color w:val="auto"/>
                <w:highlight w:val="none"/>
              </w:rPr>
            </w:pPr>
            <w:r>
              <w:rPr>
                <w:rFonts w:hint="eastAsia" w:cs="Times New Roman"/>
                <w:b w:val="0"/>
                <w:bCs w:val="0"/>
                <w:color w:val="auto"/>
                <w:highlight w:val="none"/>
                <w:lang w:val="en-US" w:eastAsia="zh-CN"/>
              </w:rPr>
              <w:t>C.</w:t>
            </w:r>
            <w:r>
              <w:rPr>
                <w:rFonts w:ascii="Times New Roman" w:hAnsi="Times New Roman" w:cs="Times New Roman"/>
                <w:b w:val="0"/>
                <w:bCs w:val="0"/>
                <w:color w:val="auto"/>
                <w:highlight w:val="none"/>
              </w:rPr>
              <w:t>生活垃圾</w:t>
            </w:r>
          </w:p>
          <w:p w14:paraId="335D569B">
            <w:pPr>
              <w:pStyle w:val="159"/>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14:paraId="30E9FC06">
            <w:pPr>
              <w:pStyle w:val="159"/>
              <w:ind w:firstLine="48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污水处理污泥</w:t>
            </w:r>
          </w:p>
          <w:p w14:paraId="1B763B63">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污水处理污泥</w:t>
            </w:r>
            <w:r>
              <w:rPr>
                <w:rFonts w:hint="default" w:ascii="Times New Roman" w:hAnsi="Times New Roman" w:eastAsia="宋体" w:cs="Times New Roman"/>
                <w:color w:val="auto"/>
                <w:highlight w:val="none"/>
                <w:lang w:val="zh-CN"/>
              </w:rPr>
              <w:t>每10~15天排渣一次，由资质单位</w:t>
            </w:r>
            <w:r>
              <w:rPr>
                <w:rFonts w:hint="default" w:ascii="Times New Roman" w:hAnsi="Times New Roman" w:eastAsia="宋体" w:cs="Times New Roman"/>
                <w:color w:val="auto"/>
                <w:highlight w:val="none"/>
              </w:rPr>
              <w:t>定期清运</w:t>
            </w:r>
            <w:r>
              <w:rPr>
                <w:rFonts w:hint="default" w:ascii="Times New Roman" w:hAnsi="Times New Roman" w:eastAsia="宋体" w:cs="Times New Roman"/>
                <w:color w:val="auto"/>
                <w:szCs w:val="24"/>
                <w:highlight w:val="none"/>
              </w:rPr>
              <w:t>。</w:t>
            </w:r>
          </w:p>
          <w:p w14:paraId="38404ECC">
            <w:pPr>
              <w:pStyle w:val="159"/>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rPr>
              <w:t>）危废间</w:t>
            </w:r>
            <w:r>
              <w:rPr>
                <w:rFonts w:hint="default" w:ascii="Times New Roman" w:hAnsi="Times New Roman" w:eastAsia="宋体" w:cs="Times New Roman"/>
                <w:b/>
                <w:bCs w:val="0"/>
                <w:color w:val="auto"/>
                <w:szCs w:val="24"/>
                <w:highlight w:val="none"/>
              </w:rPr>
              <w:t xml:space="preserve">储存相关要求 </w:t>
            </w:r>
          </w:p>
          <w:p w14:paraId="635EDEF6">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现有危废间做到防风、防雨、防晒、防渗。</w:t>
            </w:r>
            <w:r>
              <w:rPr>
                <w:rFonts w:hint="default" w:ascii="Times New Roman" w:hAnsi="Times New Roman" w:eastAsia="宋体" w:cs="Times New Roman"/>
                <w:color w:val="auto"/>
                <w:szCs w:val="24"/>
                <w:highlight w:val="none"/>
              </w:rPr>
              <w:t>根据</w:t>
            </w:r>
            <w:r>
              <w:rPr>
                <w:rFonts w:hint="default" w:ascii="Times New Roman" w:hAnsi="Times New Roman" w:eastAsia="宋体" w:cs="Times New Roman"/>
                <w:color w:val="auto"/>
                <w:highlight w:val="none"/>
              </w:rPr>
              <w:t>《危险废物贮存污染控制标准》（GB18597-2023）</w:t>
            </w:r>
            <w:r>
              <w:rPr>
                <w:rFonts w:hint="default" w:ascii="Times New Roman" w:hAnsi="Times New Roman" w:eastAsia="宋体" w:cs="Times New Roman"/>
                <w:color w:val="auto"/>
                <w:szCs w:val="24"/>
                <w:highlight w:val="none"/>
              </w:rPr>
              <w:t>和</w:t>
            </w:r>
            <w:r>
              <w:rPr>
                <w:rFonts w:hint="default" w:ascii="Times New Roman" w:hAnsi="Times New Roman" w:eastAsia="宋体" w:cs="Times New Roman"/>
                <w:color w:val="auto"/>
                <w:szCs w:val="24"/>
                <w:highlight w:val="none"/>
                <w:lang w:eastAsia="zh-CN"/>
              </w:rPr>
              <w:t>《医疗废物管理条例》</w:t>
            </w:r>
            <w:r>
              <w:rPr>
                <w:rFonts w:hint="default" w:ascii="Times New Roman" w:hAnsi="Times New Roman" w:eastAsia="宋体" w:cs="Times New Roman"/>
                <w:color w:val="auto"/>
                <w:szCs w:val="24"/>
                <w:highlight w:val="none"/>
              </w:rPr>
              <w:t>要求。建设单位应当对</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进行登记，登记内容应当包括</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的来源、种类、重量或者数量、交接时间、处置方法、最终去向以及经办人签名等项目，登记资料至少保存3年；</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的暂时贮存设施、设备，按卫生、生态环境部门制定的专用</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警示标识要求，在</w:t>
            </w:r>
            <w:r>
              <w:rPr>
                <w:rFonts w:hint="default" w:ascii="Times New Roman" w:hAnsi="Times New Roman" w:eastAsia="宋体" w:cs="Times New Roman"/>
                <w:color w:val="auto"/>
                <w:szCs w:val="24"/>
                <w:highlight w:val="none"/>
                <w:lang w:val="en-US" w:eastAsia="zh-CN"/>
              </w:rPr>
              <w:t>危废</w:t>
            </w:r>
            <w:r>
              <w:rPr>
                <w:rFonts w:hint="default" w:ascii="Times New Roman" w:hAnsi="Times New Roman" w:eastAsia="宋体" w:cs="Times New Roman"/>
                <w:color w:val="auto"/>
                <w:szCs w:val="24"/>
                <w:highlight w:val="none"/>
              </w:rPr>
              <w:t>间外的明显处</w:t>
            </w:r>
            <w:r>
              <w:rPr>
                <w:rFonts w:hint="default" w:ascii="Times New Roman" w:hAnsi="Times New Roman" w:eastAsia="宋体" w:cs="Times New Roman"/>
                <w:color w:val="auto"/>
                <w:szCs w:val="24"/>
                <w:highlight w:val="none"/>
                <w:lang w:val="en-US" w:eastAsia="zh-CN"/>
              </w:rPr>
              <w:t>设置</w:t>
            </w:r>
            <w:r>
              <w:rPr>
                <w:rFonts w:hint="default" w:ascii="Times New Roman" w:hAnsi="Times New Roman" w:eastAsia="宋体" w:cs="Times New Roman"/>
                <w:color w:val="auto"/>
                <w:szCs w:val="24"/>
                <w:highlight w:val="none"/>
              </w:rPr>
              <w:t>警示标识；应有严密的封闭措施，设专人管理，避免非工作人员进出，以及防鼠、防蚊蝇、防蟑螂、防盗以及预防儿童接触等安全措施。医院应制定</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 xml:space="preserve">暂时贮存管理的有关规章制度、工作程序及应急处理措施，接受当地生态环境部门和卫生主管部门的监督检查。 </w:t>
            </w:r>
          </w:p>
          <w:p w14:paraId="6C00E0D2">
            <w:pPr>
              <w:pStyle w:val="159"/>
              <w:ind w:firstLine="480"/>
              <w:rPr>
                <w:rFonts w:hint="default" w:ascii="Times New Roman" w:hAnsi="Times New Roman" w:eastAsia="宋体" w:cs="Times New Roman"/>
                <w:b/>
                <w:bCs w:val="0"/>
                <w:color w:val="auto"/>
                <w:szCs w:val="24"/>
                <w:highlight w:val="none"/>
              </w:rPr>
            </w:pPr>
            <w:r>
              <w:rPr>
                <w:rFonts w:hint="default" w:ascii="Times New Roman" w:hAnsi="Times New Roman" w:eastAsia="宋体" w:cs="Times New Roman"/>
                <w:b/>
                <w:bCs w:val="0"/>
                <w:color w:val="auto"/>
                <w:szCs w:val="24"/>
                <w:highlight w:val="none"/>
                <w:lang w:val="en-US" w:eastAsia="zh-CN"/>
              </w:rPr>
              <w:t>（3</w:t>
            </w:r>
            <w:r>
              <w:rPr>
                <w:rFonts w:hint="default" w:ascii="Times New Roman" w:hAnsi="Times New Roman" w:eastAsia="宋体" w:cs="Times New Roman"/>
                <w:b/>
                <w:bCs w:val="0"/>
                <w:color w:val="auto"/>
                <w:szCs w:val="24"/>
                <w:highlight w:val="none"/>
              </w:rPr>
              <w:t xml:space="preserve">）现有危废间及处置方式合理性分析 </w:t>
            </w:r>
          </w:p>
          <w:p w14:paraId="76521FF4">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现有项目已设</w:t>
            </w:r>
            <w:r>
              <w:rPr>
                <w:rFonts w:hint="default" w:ascii="Times New Roman" w:hAnsi="Times New Roman" w:eastAsia="宋体" w:cs="Times New Roman"/>
                <w:color w:val="auto"/>
                <w:szCs w:val="24"/>
                <w:highlight w:val="none"/>
                <w:lang w:val="en-US" w:eastAsia="zh-CN"/>
              </w:rPr>
              <w:t>有</w:t>
            </w:r>
            <w:r>
              <w:rPr>
                <w:rFonts w:hint="default" w:ascii="Times New Roman" w:hAnsi="Times New Roman" w:eastAsia="宋体" w:cs="Times New Roman"/>
                <w:color w:val="auto"/>
                <w:szCs w:val="24"/>
                <w:highlight w:val="none"/>
              </w:rPr>
              <w:t>危废间</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Cs w:val="24"/>
                <w:highlight w:val="none"/>
              </w:rPr>
              <w:t>，与福建省固体废物处置有限公司签订</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委托处置协议</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附件</w:t>
            </w:r>
            <w:r>
              <w:rPr>
                <w:rFonts w:hint="eastAsia" w:ascii="Times New Roman" w:hAnsi="Times New Roman" w:eastAsia="宋体" w:cs="Times New Roman"/>
                <w:color w:val="auto"/>
                <w:szCs w:val="24"/>
                <w:highlight w:val="none"/>
                <w:lang w:val="en-US" w:eastAsia="zh-CN"/>
              </w:rPr>
              <w:t>10</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，制定并执行</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转移联单制度，对交接的</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进行记录，联单保存。</w:t>
            </w:r>
            <w:r>
              <w:rPr>
                <w:rFonts w:hint="eastAsia" w:ascii="Times New Roman" w:hAnsi="Times New Roman" w:eastAsia="宋体" w:cs="Times New Roman"/>
                <w:color w:val="auto"/>
                <w:szCs w:val="24"/>
                <w:highlight w:val="none"/>
                <w:lang w:val="en-US" w:eastAsia="zh-CN"/>
              </w:rPr>
              <w:t>建设单位产生的</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量较少，且每2天清运一次，</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贮存时间短，项目运营过程中产生的</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均能够得到合理的处理与处置，不直接向周围环境排放，对院内及周围环境影响较小。</w:t>
            </w:r>
          </w:p>
          <w:tbl>
            <w:tblPr>
              <w:tblStyle w:val="51"/>
              <w:tblW w:w="0" w:type="auto"/>
              <w:tblInd w:w="1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8"/>
            </w:tblGrid>
            <w:tr w14:paraId="474B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8" w:type="dxa"/>
                </w:tcPr>
                <w:p w14:paraId="7C9B2706">
                  <w:pPr>
                    <w:pStyle w:val="159"/>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Cs w:val="24"/>
                      <w:highlight w:val="none"/>
                      <w:vertAlign w:val="baseline"/>
                      <w:lang w:eastAsia="zh-CN"/>
                    </w:rPr>
                  </w:pPr>
                  <w:r>
                    <w:rPr>
                      <w:rFonts w:hint="default" w:ascii="Times New Roman" w:hAnsi="Times New Roman" w:eastAsia="宋体" w:cs="Times New Roman"/>
                      <w:color w:val="auto"/>
                      <w:szCs w:val="24"/>
                      <w:highlight w:val="none"/>
                      <w:vertAlign w:val="baseline"/>
                      <w:lang w:eastAsia="zh-CN"/>
                    </w:rPr>
                    <w:drawing>
                      <wp:inline distT="0" distB="0" distL="114300" distR="114300">
                        <wp:extent cx="4352290" cy="3264535"/>
                        <wp:effectExtent l="0" t="0" r="12065" b="10160"/>
                        <wp:docPr id="110" name="图片 110" descr="a2c9398666177f747220150b2c17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a2c9398666177f747220150b2c176df"/>
                                <pic:cNvPicPr>
                                  <a:picLocks noChangeAspect="1"/>
                                </pic:cNvPicPr>
                              </pic:nvPicPr>
                              <pic:blipFill>
                                <a:blip r:embed="rId33"/>
                                <a:stretch>
                                  <a:fillRect/>
                                </a:stretch>
                              </pic:blipFill>
                              <pic:spPr>
                                <a:xfrm rot="5400000">
                                  <a:off x="0" y="0"/>
                                  <a:ext cx="4352290" cy="3264535"/>
                                </a:xfrm>
                                <a:prstGeom prst="rect">
                                  <a:avLst/>
                                </a:prstGeom>
                              </pic:spPr>
                            </pic:pic>
                          </a:graphicData>
                        </a:graphic>
                      </wp:inline>
                    </w:drawing>
                  </w:r>
                </w:p>
              </w:tc>
            </w:tr>
            <w:tr w14:paraId="6744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378" w:type="dxa"/>
                </w:tcPr>
                <w:p w14:paraId="1F18169D">
                  <w:pPr>
                    <w:pStyle w:val="159"/>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4"/>
                      <w:highlight w:val="none"/>
                      <w:vertAlign w:val="baseline"/>
                    </w:rPr>
                  </w:pPr>
                  <w:r>
                    <w:rPr>
                      <w:rFonts w:hint="default" w:ascii="Times New Roman" w:hAnsi="Times New Roman" w:eastAsia="宋体" w:cs="Times New Roman"/>
                      <w:b/>
                      <w:bCs w:val="0"/>
                      <w:color w:val="auto"/>
                      <w:szCs w:val="24"/>
                      <w:highlight w:val="none"/>
                      <w:vertAlign w:val="baseline"/>
                      <w:lang w:val="en-US" w:eastAsia="zh-CN"/>
                    </w:rPr>
                    <w:t>图4-</w:t>
                  </w:r>
                  <w:r>
                    <w:rPr>
                      <w:rFonts w:hint="eastAsia" w:ascii="Times New Roman" w:hAnsi="Times New Roman" w:eastAsia="宋体" w:cs="Times New Roman"/>
                      <w:b/>
                      <w:bCs w:val="0"/>
                      <w:color w:val="auto"/>
                      <w:szCs w:val="24"/>
                      <w:highlight w:val="none"/>
                      <w:vertAlign w:val="baseline"/>
                      <w:lang w:val="en-US" w:eastAsia="zh-CN"/>
                    </w:rPr>
                    <w:t>5</w:t>
                  </w:r>
                  <w:r>
                    <w:rPr>
                      <w:rFonts w:hint="default" w:ascii="Times New Roman" w:hAnsi="Times New Roman" w:eastAsia="宋体" w:cs="Times New Roman"/>
                      <w:b/>
                      <w:bCs w:val="0"/>
                      <w:color w:val="auto"/>
                      <w:szCs w:val="24"/>
                      <w:highlight w:val="none"/>
                      <w:vertAlign w:val="baseline"/>
                      <w:lang w:val="en-US" w:eastAsia="zh-CN"/>
                    </w:rPr>
                    <w:t xml:space="preserve"> 现有危废间治理设施图</w:t>
                  </w:r>
                </w:p>
              </w:tc>
            </w:tr>
          </w:tbl>
          <w:p w14:paraId="504918D7">
            <w:pPr>
              <w:pStyle w:val="159"/>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医院将委派专人负责，各种废弃物的储存容器本身都有很好的密封性，危废间场地</w:t>
            </w:r>
            <w:r>
              <w:rPr>
                <w:rFonts w:hint="default" w:ascii="Times New Roman" w:hAnsi="Times New Roman" w:eastAsia="宋体" w:cs="Times New Roman"/>
                <w:color w:val="auto"/>
                <w:highlight w:val="none"/>
                <w:lang w:val="en-US" w:eastAsia="zh-CN"/>
              </w:rPr>
              <w:t>参照</w:t>
            </w:r>
            <w:r>
              <w:rPr>
                <w:rFonts w:hint="default" w:ascii="Times New Roman" w:hAnsi="Times New Roman" w:eastAsia="宋体" w:cs="Times New Roman"/>
                <w:color w:val="auto"/>
                <w:highlight w:val="none"/>
              </w:rPr>
              <w:t>《危险废物贮存污染控制标准》（GB18597-2023）相关要求进行防渗、防漏处理，安全可靠，不会受到风雨侵蚀，可有效防止临时存放过程中的二次污染。</w:t>
            </w:r>
          </w:p>
          <w:p w14:paraId="14A4EBA7">
            <w:pPr>
              <w:pStyle w:val="4"/>
              <w:keepNext/>
              <w:keepLines/>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6</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电磁辐射</w:t>
            </w:r>
          </w:p>
          <w:p w14:paraId="1728DC82">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建设单位已</w:t>
            </w:r>
            <w:r>
              <w:rPr>
                <w:rFonts w:hint="default" w:ascii="Times New Roman" w:hAnsi="Times New Roman" w:eastAsia="宋体" w:cs="Times New Roman"/>
                <w:color w:val="auto"/>
                <w:szCs w:val="24"/>
                <w:highlight w:val="none"/>
              </w:rPr>
              <w:t>设有</w:t>
            </w:r>
            <w:r>
              <w:rPr>
                <w:rFonts w:hint="default" w:ascii="Times New Roman" w:hAnsi="Times New Roman" w:eastAsia="宋体" w:cs="Times New Roman"/>
                <w:color w:val="auto"/>
                <w:szCs w:val="24"/>
                <w:highlight w:val="none"/>
                <w:lang w:val="en-US" w:eastAsia="zh-CN"/>
              </w:rPr>
              <w:t>兽用X射线机</w:t>
            </w:r>
            <w:r>
              <w:rPr>
                <w:rFonts w:hint="default" w:ascii="Times New Roman" w:hAnsi="Times New Roman" w:eastAsia="宋体" w:cs="Times New Roman"/>
                <w:color w:val="auto"/>
                <w:szCs w:val="24"/>
                <w:highlight w:val="none"/>
              </w:rPr>
              <w:t>，其使用时会</w:t>
            </w:r>
            <w:r>
              <w:rPr>
                <w:rFonts w:hint="default" w:ascii="Times New Roman" w:hAnsi="Times New Roman" w:eastAsia="宋体" w:cs="Times New Roman"/>
                <w:color w:val="auto"/>
                <w:szCs w:val="24"/>
                <w:highlight w:val="none"/>
                <w:lang w:val="en-US" w:eastAsia="zh-CN"/>
              </w:rPr>
              <w:t>产生电离辐射</w:t>
            </w:r>
            <w:r>
              <w:rPr>
                <w:rFonts w:hint="default" w:ascii="Times New Roman" w:hAnsi="Times New Roman" w:eastAsia="宋体" w:cs="Times New Roman"/>
                <w:color w:val="auto"/>
                <w:szCs w:val="24"/>
                <w:highlight w:val="none"/>
              </w:rPr>
              <w:t>，对环境会造成一定的辐射危害。辐射是以电磁波的形式向外放散的。Y射线、X射线、紫外线、可见光、红外线，超短波和长波无线电波都属于电磁波的范围。</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X光机诊断照射会产生</w:t>
            </w:r>
            <w:r>
              <w:rPr>
                <w:rFonts w:hint="default" w:ascii="Times New Roman" w:hAnsi="Times New Roman" w:eastAsia="宋体" w:cs="Times New Roman"/>
                <w:color w:val="auto"/>
                <w:szCs w:val="24"/>
                <w:highlight w:val="none"/>
                <w:lang w:val="en-US" w:eastAsia="zh-CN"/>
              </w:rPr>
              <w:t>产生电离辐射</w:t>
            </w:r>
            <w:r>
              <w:rPr>
                <w:rFonts w:hint="default" w:ascii="Times New Roman" w:hAnsi="Times New Roman" w:eastAsia="宋体" w:cs="Times New Roman"/>
                <w:color w:val="auto"/>
                <w:szCs w:val="24"/>
                <w:highlight w:val="none"/>
              </w:rPr>
              <w:t>。X线的应用可以给诊断带来好处（如放射诊断、放射治疗等），但是应用中如果不注意防护或使用不当，也可造成一定的危害（如个体受到损伤或人群中癌症发病率增高等）。</w:t>
            </w:r>
          </w:p>
          <w:p w14:paraId="760205A6">
            <w:pPr>
              <w:pStyle w:val="19"/>
              <w:spacing w:after="0" w:line="360" w:lineRule="auto"/>
              <w:ind w:firstLine="480" w:firstLineChars="200"/>
              <w:rPr>
                <w:color w:val="auto"/>
              </w:rPr>
            </w:pPr>
            <w:r>
              <w:rPr>
                <w:rFonts w:hint="eastAsia" w:ascii="Times New Roman" w:hAnsi="Times New Roman" w:eastAsia="宋体" w:cs="Times New Roman"/>
                <w:color w:val="auto"/>
                <w:szCs w:val="24"/>
                <w:highlight w:val="none"/>
                <w:lang w:val="en-US" w:eastAsia="zh-CN"/>
              </w:rPr>
              <w:t>建设单位</w:t>
            </w:r>
            <w:r>
              <w:rPr>
                <w:rFonts w:hint="eastAsia" w:ascii="Times New Roman" w:hAnsi="Times New Roman" w:cs="Times New Roman"/>
                <w:color w:val="auto"/>
                <w:szCs w:val="24"/>
                <w:highlight w:val="none"/>
                <w:lang w:val="en-US" w:eastAsia="zh-CN"/>
              </w:rPr>
              <w:t>所</w:t>
            </w:r>
            <w:r>
              <w:rPr>
                <w:rFonts w:hint="eastAsia"/>
                <w:color w:val="auto"/>
                <w:lang w:val="en-US" w:eastAsia="zh-CN"/>
              </w:rPr>
              <w:t>使用的兽用X射线装置</w:t>
            </w:r>
            <w:r>
              <w:rPr>
                <w:color w:val="auto"/>
              </w:rPr>
              <w:t>已按照国家有关辐射环境管理规定和环境保护主管部门的要求取得辐射安全许可证（证书编号：闽环辐证[A0590]）。</w:t>
            </w:r>
          </w:p>
          <w:p w14:paraId="6D05C245">
            <w:pPr>
              <w:pStyle w:val="4"/>
              <w:pageBreakBefore w:val="0"/>
              <w:numPr>
                <w:ilvl w:val="0"/>
                <w:numId w:val="0"/>
              </w:numPr>
              <w:kinsoku/>
              <w:overflowPunct/>
              <w:autoSpaceDE/>
              <w:autoSpaceDN/>
              <w:bidi w:val="0"/>
              <w:jc w:val="both"/>
              <w:rPr>
                <w:rFonts w:hint="default" w:ascii="Times New Roman" w:hAnsi="Times New Roman" w:cs="Times New Roman"/>
                <w:color w:val="auto"/>
                <w:sz w:val="28"/>
                <w:szCs w:val="28"/>
                <w:highlight w:val="none"/>
              </w:rPr>
            </w:pPr>
            <w:bookmarkStart w:id="98" w:name="_Toc19940"/>
            <w:r>
              <w:rPr>
                <w:rFonts w:hint="default" w:ascii="Times New Roman" w:hAnsi="Times New Roman" w:cs="Times New Roman"/>
                <w:color w:val="auto"/>
                <w:sz w:val="28"/>
                <w:szCs w:val="28"/>
                <w:highlight w:val="none"/>
                <w:lang w:val="en-US" w:eastAsia="zh-CN"/>
              </w:rPr>
              <w:t>4.7</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污染物汇总</w:t>
            </w:r>
            <w:bookmarkEnd w:id="98"/>
          </w:p>
          <w:p w14:paraId="0D5252CC">
            <w:pPr>
              <w:pStyle w:val="159"/>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污染物汇总详见表4-</w:t>
            </w:r>
            <w:r>
              <w:rPr>
                <w:rFonts w:hint="eastAsia" w:ascii="Times New Roman" w:hAnsi="Times New Roman" w:eastAsia="宋体" w:cs="Times New Roman"/>
                <w:color w:val="auto"/>
                <w:szCs w:val="24"/>
                <w:highlight w:val="none"/>
                <w:lang w:val="en-US" w:eastAsia="zh-CN"/>
              </w:rPr>
              <w:t>7</w:t>
            </w:r>
            <w:r>
              <w:rPr>
                <w:rFonts w:hint="default" w:ascii="Times New Roman" w:hAnsi="Times New Roman" w:eastAsia="宋体" w:cs="Times New Roman"/>
                <w:color w:val="auto"/>
                <w:szCs w:val="24"/>
                <w:highlight w:val="none"/>
              </w:rPr>
              <w:t>。</w:t>
            </w:r>
          </w:p>
          <w:p w14:paraId="094502B3">
            <w:pPr>
              <w:pStyle w:val="200"/>
              <w:spacing w:line="240" w:lineRule="auto"/>
              <w:rPr>
                <w:rFonts w:ascii="Times New Roman" w:hAnsi="Times New Roman" w:cs="Times New Roman"/>
                <w:color w:val="auto"/>
                <w:szCs w:val="32"/>
                <w:highlight w:val="none"/>
              </w:rPr>
            </w:pPr>
            <w:r>
              <w:rPr>
                <w:rFonts w:ascii="Times New Roman" w:hAnsi="Times New Roman" w:cs="Times New Roman"/>
                <w:color w:val="auto"/>
                <w:szCs w:val="32"/>
                <w:highlight w:val="none"/>
              </w:rPr>
              <w:t>表4-</w:t>
            </w:r>
            <w:r>
              <w:rPr>
                <w:rFonts w:hint="eastAsia" w:ascii="Times New Roman" w:hAnsi="Times New Roman" w:cs="Times New Roman"/>
                <w:color w:val="auto"/>
                <w:szCs w:val="32"/>
                <w:highlight w:val="none"/>
                <w:lang w:val="en-US" w:eastAsia="zh-CN"/>
              </w:rPr>
              <w:t>7</w:t>
            </w:r>
            <w:r>
              <w:rPr>
                <w:rFonts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rPr>
              <w:t xml:space="preserve"> </w:t>
            </w:r>
            <w:r>
              <w:rPr>
                <w:rFonts w:ascii="Times New Roman" w:hAnsi="Times New Roman" w:cs="Times New Roman"/>
                <w:color w:val="auto"/>
                <w:szCs w:val="32"/>
                <w:highlight w:val="none"/>
              </w:rPr>
              <w:t>项目</w:t>
            </w:r>
            <w:r>
              <w:rPr>
                <w:rFonts w:hint="default" w:ascii="Times New Roman" w:hAnsi="Times New Roman" w:cs="Times New Roman"/>
                <w:color w:val="auto"/>
                <w:szCs w:val="32"/>
                <w:highlight w:val="none"/>
              </w:rPr>
              <w:t>全院</w:t>
            </w:r>
            <w:r>
              <w:rPr>
                <w:rFonts w:ascii="Times New Roman" w:hAnsi="Times New Roman" w:cs="Times New Roman"/>
                <w:color w:val="auto"/>
                <w:szCs w:val="32"/>
                <w:highlight w:val="none"/>
              </w:rPr>
              <w:t>污染物汇总一览表</w:t>
            </w:r>
          </w:p>
          <w:tbl>
            <w:tblPr>
              <w:tblStyle w:val="50"/>
              <w:tblW w:w="83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95"/>
              <w:gridCol w:w="1349"/>
              <w:gridCol w:w="1660"/>
              <w:gridCol w:w="1481"/>
              <w:gridCol w:w="1950"/>
            </w:tblGrid>
            <w:tr w14:paraId="176C2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4" w:type="dxa"/>
                  <w:gridSpan w:val="3"/>
                  <w:vAlign w:val="center"/>
                </w:tcPr>
                <w:p w14:paraId="022FF3A9">
                  <w:pPr>
                    <w:pStyle w:val="191"/>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污染物</w:t>
                  </w:r>
                </w:p>
              </w:tc>
              <w:tc>
                <w:tcPr>
                  <w:tcW w:w="1660" w:type="dxa"/>
                  <w:vAlign w:val="center"/>
                </w:tcPr>
                <w:p w14:paraId="1C120353">
                  <w:pPr>
                    <w:pStyle w:val="191"/>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产生量（t/a）</w:t>
                  </w:r>
                </w:p>
              </w:tc>
              <w:tc>
                <w:tcPr>
                  <w:tcW w:w="1481" w:type="dxa"/>
                  <w:vAlign w:val="center"/>
                </w:tcPr>
                <w:p w14:paraId="7C0480FA">
                  <w:pPr>
                    <w:pStyle w:val="191"/>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排放量（t/a）</w:t>
                  </w:r>
                </w:p>
              </w:tc>
              <w:tc>
                <w:tcPr>
                  <w:tcW w:w="1950" w:type="dxa"/>
                  <w:vAlign w:val="center"/>
                </w:tcPr>
                <w:p w14:paraId="6D1C5161">
                  <w:pPr>
                    <w:pStyle w:val="191"/>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14:paraId="45197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vAlign w:val="center"/>
                </w:tcPr>
                <w:p w14:paraId="7AFD5D5B">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1095" w:type="dxa"/>
                  <w:vMerge w:val="restart"/>
                  <w:vAlign w:val="center"/>
                </w:tcPr>
                <w:p w14:paraId="56CE4C8F">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综合废水</w:t>
                  </w:r>
                </w:p>
              </w:tc>
              <w:tc>
                <w:tcPr>
                  <w:tcW w:w="1349" w:type="dxa"/>
                  <w:vAlign w:val="center"/>
                </w:tcPr>
                <w:p w14:paraId="595ED1A0">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水量</w:t>
                  </w:r>
                </w:p>
              </w:tc>
              <w:tc>
                <w:tcPr>
                  <w:tcW w:w="1660" w:type="dxa"/>
                  <w:vAlign w:val="center"/>
                </w:tcPr>
                <w:p w14:paraId="419338EC">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468.1125</w:t>
                  </w:r>
                </w:p>
              </w:tc>
              <w:tc>
                <w:tcPr>
                  <w:tcW w:w="1481" w:type="dxa"/>
                  <w:vAlign w:val="center"/>
                </w:tcPr>
                <w:p w14:paraId="374B461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468.1125</w:t>
                  </w:r>
                </w:p>
              </w:tc>
              <w:tc>
                <w:tcPr>
                  <w:tcW w:w="1950" w:type="dxa"/>
                  <w:vMerge w:val="restart"/>
                  <w:vAlign w:val="center"/>
                </w:tcPr>
                <w:p w14:paraId="5E671928">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14:paraId="28769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4903DA43">
                  <w:pPr>
                    <w:pStyle w:val="191"/>
                    <w:rPr>
                      <w:rFonts w:ascii="Times New Roman" w:hAnsi="Times New Roman" w:eastAsia="宋体" w:cs="Times New Roman"/>
                      <w:color w:val="auto"/>
                      <w:highlight w:val="none"/>
                    </w:rPr>
                  </w:pPr>
                </w:p>
              </w:tc>
              <w:tc>
                <w:tcPr>
                  <w:tcW w:w="1095" w:type="dxa"/>
                  <w:vMerge w:val="continue"/>
                  <w:vAlign w:val="center"/>
                </w:tcPr>
                <w:p w14:paraId="6FAF3A34">
                  <w:pPr>
                    <w:pStyle w:val="191"/>
                    <w:rPr>
                      <w:rFonts w:ascii="Times New Roman" w:hAnsi="Times New Roman" w:eastAsia="宋体" w:cs="Times New Roman"/>
                      <w:color w:val="auto"/>
                      <w:highlight w:val="none"/>
                    </w:rPr>
                  </w:pPr>
                </w:p>
              </w:tc>
              <w:tc>
                <w:tcPr>
                  <w:tcW w:w="1349" w:type="dxa"/>
                  <w:vAlign w:val="center"/>
                </w:tcPr>
                <w:p w14:paraId="64E6E571">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p>
              </w:tc>
              <w:tc>
                <w:tcPr>
                  <w:tcW w:w="1660" w:type="dxa"/>
                  <w:vAlign w:val="center"/>
                </w:tcPr>
                <w:p w14:paraId="2B22E4C5">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0.16138</w:t>
                  </w:r>
                </w:p>
              </w:tc>
              <w:tc>
                <w:tcPr>
                  <w:tcW w:w="1481" w:type="dxa"/>
                  <w:vAlign w:val="center"/>
                </w:tcPr>
                <w:p w14:paraId="4132972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0.13717</w:t>
                  </w:r>
                </w:p>
              </w:tc>
              <w:tc>
                <w:tcPr>
                  <w:tcW w:w="1950" w:type="dxa"/>
                  <w:vMerge w:val="continue"/>
                  <w:vAlign w:val="center"/>
                </w:tcPr>
                <w:p w14:paraId="476870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D1E2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09996D25">
                  <w:pPr>
                    <w:pStyle w:val="191"/>
                    <w:rPr>
                      <w:rFonts w:ascii="Times New Roman" w:hAnsi="Times New Roman" w:eastAsia="宋体" w:cs="Times New Roman"/>
                      <w:color w:val="auto"/>
                      <w:highlight w:val="none"/>
                    </w:rPr>
                  </w:pPr>
                </w:p>
              </w:tc>
              <w:tc>
                <w:tcPr>
                  <w:tcW w:w="1095" w:type="dxa"/>
                  <w:vMerge w:val="continue"/>
                  <w:vAlign w:val="center"/>
                </w:tcPr>
                <w:p w14:paraId="221035F9">
                  <w:pPr>
                    <w:pStyle w:val="191"/>
                    <w:rPr>
                      <w:rFonts w:ascii="Times New Roman" w:hAnsi="Times New Roman" w:eastAsia="宋体" w:cs="Times New Roman"/>
                      <w:color w:val="auto"/>
                      <w:highlight w:val="none"/>
                    </w:rPr>
                  </w:pPr>
                </w:p>
              </w:tc>
              <w:tc>
                <w:tcPr>
                  <w:tcW w:w="1349" w:type="dxa"/>
                  <w:vAlign w:val="center"/>
                </w:tcPr>
                <w:p w14:paraId="0933EB22">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p>
              </w:tc>
              <w:tc>
                <w:tcPr>
                  <w:tcW w:w="1660" w:type="dxa"/>
                  <w:vAlign w:val="center"/>
                </w:tcPr>
                <w:p w14:paraId="3615577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0.07638</w:t>
                  </w:r>
                </w:p>
              </w:tc>
              <w:tc>
                <w:tcPr>
                  <w:tcW w:w="1481" w:type="dxa"/>
                  <w:vAlign w:val="center"/>
                </w:tcPr>
                <w:p w14:paraId="68935F4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0.06797</w:t>
                  </w:r>
                </w:p>
              </w:tc>
              <w:tc>
                <w:tcPr>
                  <w:tcW w:w="1950" w:type="dxa"/>
                  <w:vMerge w:val="continue"/>
                  <w:vAlign w:val="center"/>
                </w:tcPr>
                <w:p w14:paraId="68155A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5A7E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5B1FFBC8">
                  <w:pPr>
                    <w:pStyle w:val="191"/>
                    <w:rPr>
                      <w:rFonts w:ascii="Times New Roman" w:hAnsi="Times New Roman" w:eastAsia="宋体" w:cs="Times New Roman"/>
                      <w:color w:val="auto"/>
                      <w:highlight w:val="none"/>
                    </w:rPr>
                  </w:pPr>
                </w:p>
              </w:tc>
              <w:tc>
                <w:tcPr>
                  <w:tcW w:w="1095" w:type="dxa"/>
                  <w:vMerge w:val="continue"/>
                  <w:vAlign w:val="center"/>
                </w:tcPr>
                <w:p w14:paraId="385BA70F">
                  <w:pPr>
                    <w:pStyle w:val="191"/>
                    <w:rPr>
                      <w:rFonts w:ascii="Times New Roman" w:hAnsi="Times New Roman" w:eastAsia="宋体" w:cs="Times New Roman"/>
                      <w:color w:val="auto"/>
                      <w:highlight w:val="none"/>
                    </w:rPr>
                  </w:pPr>
                </w:p>
              </w:tc>
              <w:tc>
                <w:tcPr>
                  <w:tcW w:w="1349" w:type="dxa"/>
                  <w:vAlign w:val="center"/>
                </w:tcPr>
                <w:p w14:paraId="4C1CA62C">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SS</w:t>
                  </w:r>
                </w:p>
              </w:tc>
              <w:tc>
                <w:tcPr>
                  <w:tcW w:w="1660" w:type="dxa"/>
                  <w:vAlign w:val="center"/>
                </w:tcPr>
                <w:p w14:paraId="5EB4B17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0.07293</w:t>
                  </w:r>
                </w:p>
              </w:tc>
              <w:tc>
                <w:tcPr>
                  <w:tcW w:w="1481" w:type="dxa"/>
                  <w:vAlign w:val="center"/>
                </w:tcPr>
                <w:p w14:paraId="1EC66B2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0.03865</w:t>
                  </w:r>
                </w:p>
              </w:tc>
              <w:tc>
                <w:tcPr>
                  <w:tcW w:w="1950" w:type="dxa"/>
                  <w:vMerge w:val="continue"/>
                  <w:vAlign w:val="center"/>
                </w:tcPr>
                <w:p w14:paraId="262698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5646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1DC24A96">
                  <w:pPr>
                    <w:pStyle w:val="191"/>
                    <w:rPr>
                      <w:rFonts w:ascii="Times New Roman" w:hAnsi="Times New Roman" w:eastAsia="宋体" w:cs="Times New Roman"/>
                      <w:color w:val="auto"/>
                      <w:highlight w:val="none"/>
                    </w:rPr>
                  </w:pPr>
                </w:p>
              </w:tc>
              <w:tc>
                <w:tcPr>
                  <w:tcW w:w="1095" w:type="dxa"/>
                  <w:vMerge w:val="continue"/>
                  <w:vAlign w:val="center"/>
                </w:tcPr>
                <w:p w14:paraId="4D86B2FB">
                  <w:pPr>
                    <w:pStyle w:val="191"/>
                    <w:rPr>
                      <w:rFonts w:ascii="Times New Roman" w:hAnsi="Times New Roman" w:eastAsia="宋体" w:cs="Times New Roman"/>
                      <w:color w:val="auto"/>
                      <w:highlight w:val="none"/>
                    </w:rPr>
                  </w:pPr>
                </w:p>
              </w:tc>
              <w:tc>
                <w:tcPr>
                  <w:tcW w:w="1349" w:type="dxa"/>
                  <w:vAlign w:val="center"/>
                </w:tcPr>
                <w:p w14:paraId="3F0AD859">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660" w:type="dxa"/>
                  <w:vAlign w:val="center"/>
                </w:tcPr>
                <w:p w14:paraId="4C85814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0.01848</w:t>
                  </w:r>
                </w:p>
              </w:tc>
              <w:tc>
                <w:tcPr>
                  <w:tcW w:w="1481" w:type="dxa"/>
                  <w:vAlign w:val="center"/>
                </w:tcPr>
                <w:p w14:paraId="42B9293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0.01792</w:t>
                  </w:r>
                </w:p>
              </w:tc>
              <w:tc>
                <w:tcPr>
                  <w:tcW w:w="1950" w:type="dxa"/>
                  <w:vMerge w:val="continue"/>
                  <w:vAlign w:val="center"/>
                </w:tcPr>
                <w:p w14:paraId="3395D0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FB8D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vAlign w:val="center"/>
                </w:tcPr>
                <w:p w14:paraId="6045C515">
                  <w:pPr>
                    <w:pStyle w:val="191"/>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w:t>
                  </w:r>
                </w:p>
              </w:tc>
              <w:tc>
                <w:tcPr>
                  <w:tcW w:w="2444" w:type="dxa"/>
                  <w:gridSpan w:val="2"/>
                  <w:vAlign w:val="center"/>
                </w:tcPr>
                <w:p w14:paraId="79D994FD">
                  <w:pPr>
                    <w:pStyle w:val="191"/>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诊疗废物</w:t>
                  </w:r>
                </w:p>
              </w:tc>
              <w:tc>
                <w:tcPr>
                  <w:tcW w:w="1660" w:type="dxa"/>
                  <w:vAlign w:val="center"/>
                </w:tcPr>
                <w:p w14:paraId="6C39CF5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1.46</w:t>
                  </w:r>
                </w:p>
              </w:tc>
              <w:tc>
                <w:tcPr>
                  <w:tcW w:w="1481" w:type="dxa"/>
                  <w:vAlign w:val="center"/>
                </w:tcPr>
                <w:p w14:paraId="04106D03">
                  <w:pPr>
                    <w:widowControl/>
                    <w:jc w:val="center"/>
                    <w:textAlignment w:val="center"/>
                    <w:rPr>
                      <w:rFonts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w:t>
                  </w:r>
                </w:p>
              </w:tc>
              <w:tc>
                <w:tcPr>
                  <w:tcW w:w="1950" w:type="dxa"/>
                  <w:vMerge w:val="restart"/>
                  <w:vAlign w:val="center"/>
                </w:tcPr>
                <w:p w14:paraId="4EA20D3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由资质单位定期清运</w:t>
                  </w:r>
                </w:p>
              </w:tc>
            </w:tr>
            <w:tr w14:paraId="5B8A4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73390D3B">
                  <w:pPr>
                    <w:pStyle w:val="191"/>
                    <w:rPr>
                      <w:rFonts w:ascii="Times New Roman" w:hAnsi="Times New Roman" w:eastAsia="宋体" w:cs="Times New Roman"/>
                      <w:color w:val="auto"/>
                      <w:highlight w:val="none"/>
                    </w:rPr>
                  </w:pPr>
                </w:p>
              </w:tc>
              <w:tc>
                <w:tcPr>
                  <w:tcW w:w="2444" w:type="dxa"/>
                  <w:gridSpan w:val="2"/>
                  <w:vAlign w:val="center"/>
                </w:tcPr>
                <w:p w14:paraId="1AA0A1A4">
                  <w:pPr>
                    <w:pStyle w:val="191"/>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化验废液</w:t>
                  </w:r>
                </w:p>
              </w:tc>
              <w:tc>
                <w:tcPr>
                  <w:tcW w:w="1660" w:type="dxa"/>
                  <w:vAlign w:val="center"/>
                </w:tcPr>
                <w:p w14:paraId="7488F993">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.12</w:t>
                  </w:r>
                </w:p>
              </w:tc>
              <w:tc>
                <w:tcPr>
                  <w:tcW w:w="1481" w:type="dxa"/>
                  <w:vAlign w:val="center"/>
                </w:tcPr>
                <w:p w14:paraId="555A50D0">
                  <w:pPr>
                    <w:widowControl/>
                    <w:jc w:val="center"/>
                    <w:textAlignment w:val="center"/>
                    <w:rPr>
                      <w:rFonts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w:t>
                  </w:r>
                </w:p>
              </w:tc>
              <w:tc>
                <w:tcPr>
                  <w:tcW w:w="1950" w:type="dxa"/>
                  <w:vMerge w:val="continue"/>
                  <w:vAlign w:val="center"/>
                </w:tcPr>
                <w:p w14:paraId="2B1C23ED">
                  <w:pPr>
                    <w:widowControl/>
                    <w:jc w:val="center"/>
                    <w:textAlignment w:val="center"/>
                    <w:rPr>
                      <w:rFonts w:hint="default" w:ascii="Times New Roman" w:hAnsi="Times New Roman" w:cs="Times New Roman"/>
                      <w:color w:val="auto"/>
                      <w:kern w:val="0"/>
                      <w:sz w:val="21"/>
                      <w:szCs w:val="21"/>
                      <w:highlight w:val="none"/>
                      <w:lang w:val="en-US" w:eastAsia="zh-CN"/>
                    </w:rPr>
                  </w:pPr>
                </w:p>
              </w:tc>
            </w:tr>
            <w:tr w14:paraId="09B9E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74518CCB">
                  <w:pPr>
                    <w:pStyle w:val="191"/>
                    <w:rPr>
                      <w:rFonts w:ascii="Times New Roman" w:hAnsi="Times New Roman" w:eastAsia="宋体" w:cs="Times New Roman"/>
                      <w:color w:val="auto"/>
                      <w:highlight w:val="none"/>
                    </w:rPr>
                  </w:pPr>
                </w:p>
              </w:tc>
              <w:tc>
                <w:tcPr>
                  <w:tcW w:w="2444" w:type="dxa"/>
                  <w:gridSpan w:val="2"/>
                  <w:shd w:val="clear" w:color="auto" w:fill="auto"/>
                  <w:vAlign w:val="center"/>
                </w:tcPr>
                <w:p w14:paraId="55437FB9">
                  <w:pPr>
                    <w:pStyle w:val="191"/>
                    <w:rPr>
                      <w:rFonts w:hint="default" w:ascii="Times New Roman" w:hAnsi="Times New Roman" w:eastAsia="宋体" w:cs="Times New Roman"/>
                      <w:iCs/>
                      <w:color w:val="auto"/>
                      <w:kern w:val="2"/>
                      <w:sz w:val="21"/>
                      <w:szCs w:val="21"/>
                      <w:highlight w:val="none"/>
                      <w:lang w:val="zh-CN" w:eastAsia="zh-CN" w:bidi="ar-SA"/>
                    </w:rPr>
                  </w:pPr>
                  <w:r>
                    <w:rPr>
                      <w:rFonts w:ascii="Times New Roman" w:hAnsi="Times New Roman" w:eastAsia="宋体" w:cs="Times New Roman"/>
                      <w:color w:val="auto"/>
                      <w:highlight w:val="none"/>
                      <w:lang w:val="zh-CN"/>
                    </w:rPr>
                    <w:t>污水处理污泥</w:t>
                  </w:r>
                </w:p>
              </w:tc>
              <w:tc>
                <w:tcPr>
                  <w:tcW w:w="1660" w:type="dxa"/>
                  <w:shd w:val="clear" w:color="auto" w:fill="auto"/>
                  <w:vAlign w:val="center"/>
                </w:tcPr>
                <w:p w14:paraId="4AA3ADC9">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0.01725</w:t>
                  </w:r>
                </w:p>
              </w:tc>
              <w:tc>
                <w:tcPr>
                  <w:tcW w:w="1481" w:type="dxa"/>
                  <w:shd w:val="clear" w:color="auto" w:fill="auto"/>
                  <w:vAlign w:val="center"/>
                </w:tcPr>
                <w:p w14:paraId="7F1AE31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w:t>
                  </w:r>
                </w:p>
              </w:tc>
              <w:tc>
                <w:tcPr>
                  <w:tcW w:w="1950" w:type="dxa"/>
                  <w:vMerge w:val="continue"/>
                  <w:vAlign w:val="center"/>
                </w:tcPr>
                <w:p w14:paraId="1414CE06">
                  <w:pPr>
                    <w:widowControl/>
                    <w:jc w:val="center"/>
                    <w:textAlignment w:val="center"/>
                    <w:rPr>
                      <w:rFonts w:hint="default" w:ascii="Times New Roman" w:hAnsi="Times New Roman" w:cs="Times New Roman"/>
                      <w:color w:val="auto"/>
                      <w:kern w:val="0"/>
                      <w:sz w:val="21"/>
                      <w:szCs w:val="21"/>
                      <w:highlight w:val="none"/>
                      <w:lang w:val="en-US" w:eastAsia="zh-CN"/>
                    </w:rPr>
                  </w:pPr>
                </w:p>
              </w:tc>
            </w:tr>
            <w:tr w14:paraId="5BF1B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65A3D94B">
                  <w:pPr>
                    <w:pStyle w:val="191"/>
                    <w:rPr>
                      <w:rFonts w:ascii="Times New Roman" w:hAnsi="Times New Roman" w:eastAsia="宋体" w:cs="Times New Roman"/>
                      <w:color w:val="auto"/>
                      <w:highlight w:val="none"/>
                    </w:rPr>
                  </w:pPr>
                </w:p>
              </w:tc>
              <w:tc>
                <w:tcPr>
                  <w:tcW w:w="2444" w:type="dxa"/>
                  <w:gridSpan w:val="2"/>
                  <w:shd w:val="clear" w:color="auto" w:fill="auto"/>
                  <w:vAlign w:val="center"/>
                </w:tcPr>
                <w:p w14:paraId="0E1CDA45">
                  <w:pPr>
                    <w:pStyle w:val="191"/>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生活垃圾</w:t>
                  </w:r>
                </w:p>
              </w:tc>
              <w:tc>
                <w:tcPr>
                  <w:tcW w:w="1660" w:type="dxa"/>
                  <w:shd w:val="clear" w:color="auto" w:fill="auto"/>
                  <w:vAlign w:val="center"/>
                </w:tcPr>
                <w:p w14:paraId="5CE101B7">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3.285</w:t>
                  </w:r>
                </w:p>
              </w:tc>
              <w:tc>
                <w:tcPr>
                  <w:tcW w:w="1481" w:type="dxa"/>
                  <w:shd w:val="clear" w:color="auto" w:fill="auto"/>
                  <w:vAlign w:val="center"/>
                </w:tcPr>
                <w:p w14:paraId="35186ED3">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w:t>
                  </w:r>
                </w:p>
              </w:tc>
              <w:tc>
                <w:tcPr>
                  <w:tcW w:w="1950" w:type="dxa"/>
                  <w:shd w:val="clear" w:color="auto" w:fill="auto"/>
                  <w:vAlign w:val="center"/>
                </w:tcPr>
                <w:p w14:paraId="222B7A3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由环卫部门清运</w:t>
                  </w:r>
                </w:p>
              </w:tc>
            </w:tr>
          </w:tbl>
          <w:p w14:paraId="1AAFEEEE">
            <w:pPr>
              <w:pStyle w:val="3"/>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99" w:name="_Toc1383"/>
            <w:bookmarkStart w:id="100" w:name="_Toc133251553"/>
            <w:bookmarkStart w:id="101" w:name="_Toc3294"/>
            <w:bookmarkStart w:id="102" w:name="_Toc30457"/>
            <w:bookmarkStart w:id="103" w:name="_Toc22132"/>
            <w:bookmarkStart w:id="104" w:name="_Toc17575"/>
            <w:bookmarkStart w:id="105" w:name="_Toc27941"/>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退役期环境影响分析</w:t>
            </w:r>
            <w:bookmarkEnd w:id="99"/>
            <w:bookmarkEnd w:id="100"/>
            <w:bookmarkEnd w:id="101"/>
            <w:bookmarkEnd w:id="102"/>
            <w:bookmarkEnd w:id="103"/>
            <w:bookmarkEnd w:id="104"/>
            <w:bookmarkEnd w:id="105"/>
          </w:p>
          <w:p w14:paraId="240C65FB">
            <w:pPr>
              <w:pageBreakBefore w:val="0"/>
              <w:kinsoku/>
              <w:overflowPunct/>
              <w:autoSpaceDE/>
              <w:autoSpaceDN/>
              <w:bidi w:val="0"/>
              <w:adjustRightInd w:val="0"/>
              <w:snapToGrid w:val="0"/>
              <w:spacing w:line="360" w:lineRule="auto"/>
              <w:ind w:firstLine="465"/>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该建设项目在退役期时，建筑物可改造利用或转租他用，一般不会对环境产生不良影响。</w:t>
            </w:r>
          </w:p>
          <w:p w14:paraId="1E07B4B6">
            <w:pPr>
              <w:pStyle w:val="4"/>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06" w:name="_Toc10896"/>
            <w:bookmarkStart w:id="107" w:name="_Toc13369"/>
            <w:bookmarkStart w:id="108" w:name="_Toc2254"/>
            <w:bookmarkStart w:id="109" w:name="_Toc2255"/>
            <w:bookmarkStart w:id="110" w:name="_Toc31715"/>
            <w:bookmarkStart w:id="111" w:name="_Toc10173"/>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未用完药品的处置</w:t>
            </w:r>
            <w:bookmarkEnd w:id="106"/>
            <w:bookmarkEnd w:id="107"/>
            <w:bookmarkEnd w:id="108"/>
            <w:bookmarkEnd w:id="109"/>
            <w:bookmarkEnd w:id="110"/>
            <w:bookmarkEnd w:id="111"/>
          </w:p>
          <w:p w14:paraId="059D91B7">
            <w:pPr>
              <w:adjustRightInd w:val="0"/>
              <w:snapToGrid w:val="0"/>
              <w:spacing w:line="360" w:lineRule="auto"/>
              <w:ind w:firstLine="465"/>
              <w:rPr>
                <w:rFonts w:ascii="Times New Roman" w:hAnsi="Times New Roman" w:cs="Times New Roman"/>
                <w:color w:val="auto"/>
                <w:highlight w:val="none"/>
              </w:rPr>
            </w:pPr>
            <w:r>
              <w:rPr>
                <w:rFonts w:hint="default" w:ascii="Times New Roman" w:hAnsi="Times New Roman" w:cs="Times New Roman"/>
                <w:bCs/>
                <w:color w:val="auto"/>
                <w:highlight w:val="none"/>
                <w:lang w:eastAsia="zh-CN"/>
              </w:rPr>
              <w:t>诊疗废物</w:t>
            </w:r>
            <w:r>
              <w:rPr>
                <w:rFonts w:ascii="Times New Roman" w:hAnsi="Times New Roman" w:cs="Times New Roman"/>
                <w:bCs/>
                <w:color w:val="auto"/>
                <w:highlight w:val="none"/>
              </w:rPr>
              <w:t>属于</w:t>
            </w:r>
            <w:r>
              <w:rPr>
                <w:rFonts w:hint="default" w:ascii="Times New Roman" w:hAnsi="Times New Roman" w:cs="Times New Roman"/>
                <w:bCs/>
                <w:color w:val="auto"/>
                <w:highlight w:val="none"/>
                <w:lang w:val="en-US" w:eastAsia="zh-CN"/>
              </w:rPr>
              <w:t>危险性物品</w:t>
            </w:r>
            <w:r>
              <w:rPr>
                <w:rFonts w:ascii="Times New Roman" w:hAnsi="Times New Roman" w:cs="Times New Roman"/>
                <w:bCs/>
                <w:color w:val="auto"/>
                <w:highlight w:val="none"/>
              </w:rPr>
              <w:t>，应按照《危险废物贮存污染控制标准》（GB18597-2023）和《</w:t>
            </w:r>
            <w:r>
              <w:rPr>
                <w:rFonts w:hint="default" w:ascii="Times New Roman" w:hAnsi="Times New Roman" w:cs="Times New Roman"/>
                <w:bCs/>
                <w:color w:val="auto"/>
                <w:highlight w:val="none"/>
                <w:lang w:eastAsia="zh-CN"/>
              </w:rPr>
              <w:t>医疗废物管理条例</w:t>
            </w:r>
            <w:r>
              <w:rPr>
                <w:rFonts w:ascii="Times New Roman" w:hAnsi="Times New Roman" w:cs="Times New Roman"/>
                <w:bCs/>
                <w:color w:val="auto"/>
                <w:highlight w:val="none"/>
              </w:rPr>
              <w:t>》要求进行收集、贮存及运输并</w:t>
            </w:r>
            <w:r>
              <w:rPr>
                <w:rFonts w:hint="default" w:ascii="Times New Roman" w:hAnsi="Times New Roman" w:cs="Times New Roman"/>
                <w:bCs/>
                <w:color w:val="auto"/>
                <w:highlight w:val="none"/>
                <w:lang w:val="en-US" w:eastAsia="zh-CN"/>
              </w:rPr>
              <w:t>由资质单位定期清运。</w:t>
            </w:r>
          </w:p>
          <w:p w14:paraId="370760DB">
            <w:pPr>
              <w:pStyle w:val="4"/>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12" w:name="_Toc11893"/>
            <w:bookmarkStart w:id="113" w:name="_Toc18972"/>
            <w:bookmarkStart w:id="114" w:name="_Toc2418"/>
            <w:bookmarkStart w:id="115" w:name="_Toc18784"/>
            <w:bookmarkStart w:id="116" w:name="_Toc29760"/>
            <w:bookmarkStart w:id="117" w:name="_Toc32448"/>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.2</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设备处置</w:t>
            </w:r>
            <w:bookmarkEnd w:id="112"/>
            <w:bookmarkEnd w:id="113"/>
            <w:bookmarkEnd w:id="114"/>
            <w:bookmarkEnd w:id="115"/>
            <w:bookmarkEnd w:id="116"/>
            <w:bookmarkEnd w:id="117"/>
          </w:p>
          <w:p w14:paraId="05F14B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项目退役后，其医疗设备处置应遵循以下两方面原则：</w:t>
            </w:r>
          </w:p>
          <w:p w14:paraId="31DEE7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在退役时，尚不属于行业淘汰范围的，且尚符合当时国家产业政策和地方政策的设备，可出售给相应企业；</w:t>
            </w:r>
          </w:p>
          <w:p w14:paraId="47A8A6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在退役时，属于行业淘汰范围、不符合当时国家产业政策和地方政策中的一种，即应予以报废，设备可按废品出售给回收单位。</w:t>
            </w:r>
          </w:p>
          <w:p w14:paraId="3B2BDA6A">
            <w:pPr>
              <w:pStyle w:val="4"/>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18" w:name="_Toc8446"/>
            <w:bookmarkStart w:id="119" w:name="_Toc2782"/>
            <w:bookmarkStart w:id="120" w:name="_Toc26242"/>
            <w:bookmarkStart w:id="121" w:name="_Toc32108"/>
            <w:bookmarkStart w:id="122" w:name="_Toc5657"/>
            <w:bookmarkStart w:id="123" w:name="_Toc14156"/>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.3</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环境影响</w:t>
            </w:r>
            <w:bookmarkEnd w:id="118"/>
            <w:bookmarkEnd w:id="119"/>
            <w:bookmarkEnd w:id="120"/>
            <w:bookmarkEnd w:id="121"/>
            <w:bookmarkEnd w:id="122"/>
            <w:bookmarkEnd w:id="123"/>
          </w:p>
          <w:p w14:paraId="26E633DE">
            <w:pPr>
              <w:pStyle w:val="159"/>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建设项目</w:t>
            </w:r>
            <w:r>
              <w:rPr>
                <w:rFonts w:ascii="Times New Roman" w:hAnsi="Times New Roman" w:eastAsia="宋体" w:cs="Times New Roman"/>
                <w:color w:val="auto"/>
                <w:szCs w:val="24"/>
                <w:highlight w:val="none"/>
              </w:rPr>
              <w:t>退役后，运营期产生的废气、废水和噪声污染源将随之消失，建设单位应妥善处置各类固体废物和可回收利用物资，</w:t>
            </w:r>
            <w:r>
              <w:rPr>
                <w:rFonts w:hint="default" w:ascii="Times New Roman" w:hAnsi="Times New Roman" w:eastAsia="宋体" w:cs="Times New Roman"/>
                <w:color w:val="auto"/>
                <w:szCs w:val="24"/>
                <w:highlight w:val="none"/>
                <w:lang w:val="en-US" w:eastAsia="zh-CN"/>
              </w:rPr>
              <w:t>各类诊疗废物</w:t>
            </w:r>
            <w:r>
              <w:rPr>
                <w:rFonts w:ascii="Times New Roman" w:hAnsi="Times New Roman" w:eastAsia="宋体" w:cs="Times New Roman"/>
                <w:color w:val="auto"/>
                <w:szCs w:val="24"/>
                <w:highlight w:val="none"/>
              </w:rPr>
              <w:t>应交由资质单位收集处置。综上所述，建设单位在退役期采取上述措施的基础上，对周围环境的影响是可接受的。</w:t>
            </w:r>
          </w:p>
          <w:p w14:paraId="07D9335A">
            <w:pPr>
              <w:pStyle w:val="3"/>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24" w:name="_Toc17413"/>
            <w:bookmarkStart w:id="125" w:name="_Toc13232"/>
            <w:bookmarkStart w:id="126" w:name="_Toc6958"/>
            <w:bookmarkStart w:id="127" w:name="_Toc8395"/>
            <w:bookmarkStart w:id="128" w:name="_Toc5174"/>
            <w:bookmarkStart w:id="129" w:name="_Toc15487"/>
            <w:bookmarkStart w:id="130" w:name="_Toc27446"/>
            <w:bookmarkStart w:id="131" w:name="_Toc133251554"/>
            <w:bookmarkStart w:id="132" w:name="_Toc439"/>
            <w:bookmarkStart w:id="133" w:name="_Toc10581"/>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9</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环境风险分析</w:t>
            </w:r>
            <w:bookmarkEnd w:id="124"/>
            <w:bookmarkEnd w:id="125"/>
            <w:bookmarkEnd w:id="126"/>
            <w:bookmarkEnd w:id="127"/>
            <w:bookmarkEnd w:id="128"/>
            <w:bookmarkEnd w:id="129"/>
            <w:bookmarkEnd w:id="130"/>
            <w:bookmarkEnd w:id="131"/>
            <w:bookmarkEnd w:id="132"/>
            <w:bookmarkEnd w:id="133"/>
          </w:p>
          <w:p w14:paraId="568EF7AF">
            <w:pPr>
              <w:pStyle w:val="3"/>
              <w:pageBreakBefore w:val="0"/>
              <w:numPr>
                <w:ilvl w:val="1"/>
                <w:numId w:val="0"/>
              </w:numPr>
              <w:kinsoku/>
              <w:overflowPunct/>
              <w:autoSpaceDE/>
              <w:autoSpaceDN/>
              <w:bidi w:val="0"/>
              <w:ind w:left="1"/>
              <w:jc w:val="both"/>
              <w:rPr>
                <w:rFonts w:hint="default" w:ascii="Times New Roman" w:hAnsi="Times New Roman" w:cs="Times New Roman"/>
                <w:color w:val="auto"/>
                <w:sz w:val="24"/>
                <w:szCs w:val="30"/>
                <w:highlight w:val="none"/>
              </w:rPr>
            </w:pPr>
            <w:bookmarkStart w:id="134" w:name="_Toc3915"/>
            <w:bookmarkStart w:id="135" w:name="_Toc12245"/>
            <w:bookmarkStart w:id="136" w:name="_Toc3185"/>
            <w:bookmarkStart w:id="137" w:name="_Toc25995"/>
            <w:bookmarkStart w:id="138" w:name="_Toc29269"/>
            <w:bookmarkStart w:id="139" w:name="_Toc6345"/>
            <w:bookmarkStart w:id="140" w:name="_Toc4399"/>
            <w:bookmarkStart w:id="141" w:name="_Toc133251488"/>
            <w:bookmarkStart w:id="142" w:name="_Toc4542"/>
            <w:bookmarkStart w:id="143" w:name="_Toc133251555"/>
            <w:bookmarkStart w:id="144" w:name="_Toc12379"/>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.1</w:t>
            </w:r>
            <w:bookmarkEnd w:id="134"/>
            <w:bookmarkEnd w:id="135"/>
            <w:bookmarkEnd w:id="136"/>
            <w:bookmarkEnd w:id="137"/>
            <w:bookmarkEnd w:id="138"/>
            <w:bookmarkEnd w:id="139"/>
            <w:bookmarkEnd w:id="140"/>
            <w:bookmarkEnd w:id="141"/>
            <w:bookmarkEnd w:id="142"/>
            <w:bookmarkEnd w:id="143"/>
            <w:bookmarkEnd w:id="144"/>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非正常工况监控及处理措施</w:t>
            </w:r>
          </w:p>
          <w:p w14:paraId="20AA55B0">
            <w:pPr>
              <w:pageBreakBefore w:val="0"/>
              <w:kinsoku/>
              <w:overflowPunct/>
              <w:autoSpaceDE/>
              <w:autoSpaceDN/>
              <w:bidi w:val="0"/>
              <w:adjustRightInd w:val="0"/>
              <w:snapToGrid w:val="0"/>
              <w:spacing w:line="360" w:lineRule="auto"/>
              <w:ind w:firstLine="465"/>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lang w:eastAsia="zh-CN"/>
              </w:rPr>
              <w:t>项目</w:t>
            </w:r>
            <w:r>
              <w:rPr>
                <w:rFonts w:hint="default" w:ascii="Times New Roman" w:hAnsi="Times New Roman" w:cs="Times New Roman"/>
                <w:bCs/>
                <w:color w:val="auto"/>
                <w:highlight w:val="none"/>
              </w:rPr>
              <w:t>因污染物防治设施非正常使用，如消毒设备损坏或失效、人为操作失误等，导致废水污染物未经消毒处理直接排放至环境，</w:t>
            </w:r>
            <w:r>
              <w:rPr>
                <w:rFonts w:hint="default" w:ascii="Times New Roman" w:hAnsi="Times New Roman" w:cs="Times New Roman"/>
                <w:bCs/>
                <w:color w:val="auto"/>
                <w:highlight w:val="none"/>
                <w:lang w:eastAsia="zh-CN"/>
              </w:rPr>
              <w:t>诊疗废水</w:t>
            </w:r>
            <w:r>
              <w:rPr>
                <w:rFonts w:hint="default" w:ascii="Times New Roman" w:hAnsi="Times New Roman" w:cs="Times New Roman"/>
                <w:bCs/>
                <w:color w:val="auto"/>
                <w:highlight w:val="none"/>
                <w:lang w:val="en-US" w:eastAsia="zh-CN"/>
              </w:rPr>
              <w:t>中的病原微生物</w:t>
            </w:r>
            <w:r>
              <w:rPr>
                <w:rFonts w:hint="default" w:ascii="Times New Roman" w:hAnsi="Times New Roman" w:cs="Times New Roman"/>
                <w:bCs/>
                <w:color w:val="auto"/>
                <w:highlight w:val="none"/>
              </w:rPr>
              <w:t>、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w:t>
            </w:r>
            <w:r>
              <w:rPr>
                <w:rFonts w:hint="default" w:ascii="Times New Roman" w:hAnsi="Times New Roman" w:cs="Times New Roman"/>
                <w:bCs/>
                <w:color w:val="auto"/>
                <w:highlight w:val="none"/>
                <w:lang w:eastAsia="zh-CN"/>
              </w:rPr>
              <w:t>诊疗废水</w:t>
            </w:r>
            <w:r>
              <w:rPr>
                <w:rFonts w:hint="default" w:ascii="Times New Roman" w:hAnsi="Times New Roman" w:cs="Times New Roman"/>
                <w:bCs/>
                <w:color w:val="auto"/>
                <w:highlight w:val="none"/>
              </w:rPr>
              <w:t>事故排放对周围环境造成影响。</w:t>
            </w:r>
          </w:p>
          <w:p w14:paraId="6BE5A6E7">
            <w:pPr>
              <w:pageBreakBefore w:val="0"/>
              <w:kinsoku/>
              <w:overflowPunct/>
              <w:autoSpaceDE/>
              <w:autoSpaceDN/>
              <w:bidi w:val="0"/>
              <w:adjustRightInd w:val="0"/>
              <w:snapToGrid w:val="0"/>
              <w:spacing w:line="360" w:lineRule="auto"/>
              <w:ind w:firstLine="465"/>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lang w:eastAsia="zh-CN"/>
              </w:rPr>
              <w:t>诊疗废物</w:t>
            </w:r>
            <w:r>
              <w:rPr>
                <w:rFonts w:hint="default" w:ascii="Times New Roman" w:hAnsi="Times New Roman" w:cs="Times New Roman"/>
                <w:bCs/>
                <w:color w:val="auto"/>
                <w:highlight w:val="none"/>
              </w:rPr>
              <w:t>残留及衍生的大量病菌是十分有害有毒的物质，如果不经分类收集等有效处理的话，很容易引起各种疾病的传播和蔓延。要求建设单位按有关规定做好医疗垃圾的收集、运输工作，定期对经营场所、垃圾收集点等进行消毒、杀菌，避免因病菌、病毒传播，对人体健康及生态环境造成影响。</w:t>
            </w:r>
          </w:p>
          <w:p w14:paraId="08D4E24F">
            <w:pPr>
              <w:pStyle w:val="3"/>
              <w:pageBreakBefore w:val="0"/>
              <w:numPr>
                <w:ilvl w:val="1"/>
                <w:numId w:val="0"/>
              </w:numPr>
              <w:kinsoku/>
              <w:overflowPunct/>
              <w:autoSpaceDE/>
              <w:autoSpaceDN/>
              <w:bidi w:val="0"/>
              <w:ind w:left="1"/>
              <w:jc w:val="both"/>
              <w:rPr>
                <w:rFonts w:hint="default" w:ascii="Times New Roman" w:hAnsi="Times New Roman" w:cs="Times New Roman"/>
                <w:color w:val="auto"/>
                <w:sz w:val="24"/>
                <w:szCs w:val="30"/>
                <w:highlight w:val="none"/>
              </w:rPr>
            </w:pPr>
            <w:bookmarkStart w:id="145" w:name="_Toc22693"/>
            <w:bookmarkStart w:id="146" w:name="_Toc12992"/>
            <w:bookmarkStart w:id="147" w:name="_Toc133251556"/>
            <w:bookmarkStart w:id="148" w:name="_Toc133251489"/>
            <w:bookmarkStart w:id="149" w:name="_Toc30882"/>
            <w:bookmarkStart w:id="150" w:name="_Toc368"/>
            <w:bookmarkStart w:id="151" w:name="_Toc13556"/>
            <w:bookmarkStart w:id="152" w:name="_Toc23435"/>
            <w:bookmarkStart w:id="153" w:name="_Toc8826"/>
            <w:bookmarkStart w:id="154" w:name="_Toc7225"/>
            <w:r>
              <w:rPr>
                <w:rFonts w:hint="default" w:ascii="Times New Roman" w:hAnsi="Times New Roman" w:cs="Times New Roman"/>
                <w:color w:val="auto"/>
                <w:sz w:val="24"/>
                <w:szCs w:val="30"/>
                <w:highlight w:val="none"/>
              </w:rPr>
              <w:t>4.</w:t>
            </w:r>
            <w:r>
              <w:rPr>
                <w:rFonts w:hint="default" w:ascii="Times New Roman" w:hAnsi="Times New Roman" w:cs="Times New Roman"/>
                <w:color w:val="auto"/>
                <w:sz w:val="24"/>
                <w:szCs w:val="30"/>
                <w:highlight w:val="none"/>
                <w:lang w:val="en-US" w:eastAsia="zh-CN"/>
              </w:rPr>
              <w:t>9</w:t>
            </w:r>
            <w:r>
              <w:rPr>
                <w:rFonts w:hint="default" w:ascii="Times New Roman" w:hAnsi="Times New Roman" w:cs="Times New Roman"/>
                <w:color w:val="auto"/>
                <w:sz w:val="24"/>
                <w:szCs w:val="30"/>
                <w:highlight w:val="none"/>
              </w:rPr>
              <w:t>.2</w:t>
            </w:r>
            <w:r>
              <w:rPr>
                <w:rFonts w:hint="eastAsia" w:ascii="Times New Roman" w:hAnsi="Times New Roman" w:cs="Times New Roman"/>
                <w:color w:val="auto"/>
                <w:sz w:val="24"/>
                <w:szCs w:val="30"/>
                <w:highlight w:val="none"/>
                <w:lang w:val="en-US" w:eastAsia="zh-CN"/>
              </w:rPr>
              <w:t xml:space="preserve"> </w:t>
            </w:r>
            <w:r>
              <w:rPr>
                <w:rFonts w:hint="default" w:ascii="Times New Roman" w:hAnsi="Times New Roman" w:cs="Times New Roman"/>
                <w:color w:val="auto"/>
                <w:sz w:val="24"/>
                <w:szCs w:val="30"/>
                <w:highlight w:val="none"/>
              </w:rPr>
              <w:t>环境风险潜势初判</w:t>
            </w:r>
            <w:bookmarkEnd w:id="145"/>
            <w:bookmarkEnd w:id="146"/>
            <w:bookmarkEnd w:id="147"/>
            <w:bookmarkEnd w:id="148"/>
            <w:bookmarkEnd w:id="149"/>
            <w:bookmarkEnd w:id="150"/>
          </w:p>
          <w:p w14:paraId="17CC60AA">
            <w:pPr>
              <w:pStyle w:val="492"/>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根据《建设项目环境风险评价技术导则》（HJ169-2018）附录B</w:t>
            </w:r>
            <w:r>
              <w:rPr>
                <w:rFonts w:hint="default" w:ascii="Times New Roman" w:hAnsi="Times New Roman" w:cs="Times New Roman"/>
                <w:color w:val="auto"/>
                <w:highlight w:val="none"/>
                <w:lang w:val="en-US" w:eastAsia="zh-CN"/>
              </w:rPr>
              <w:t>和</w:t>
            </w:r>
            <w:r>
              <w:rPr>
                <w:rFonts w:hint="default" w:ascii="Times New Roman" w:hAnsi="Times New Roman" w:eastAsia="宋体" w:cs="Times New Roman"/>
                <w:b w:val="0"/>
                <w:bCs/>
                <w:color w:val="auto"/>
                <w:kern w:val="2"/>
                <w:sz w:val="24"/>
                <w:szCs w:val="24"/>
                <w:highlight w:val="none"/>
                <w:lang w:val="en-US" w:eastAsia="zh-CN" w:bidi="ar-SA"/>
              </w:rPr>
              <w:t>《危险化学品重大危险源辨识》（GB18218-2018）</w:t>
            </w:r>
            <w:r>
              <w:rPr>
                <w:rFonts w:hint="default" w:ascii="Times New Roman" w:hAnsi="Times New Roman" w:cs="Times New Roman"/>
                <w:color w:val="auto"/>
                <w:szCs w:val="28"/>
                <w:highlight w:val="none"/>
                <w:lang w:val="en-US" w:eastAsia="zh-CN"/>
              </w:rPr>
              <w:t>的规定，在进行项目潜在危害分析时，首先根据《建设项目环境风险评价技术导则》附录B中表1内容判断生产过程中涉及的化学品哪些是属于有毒有害物质、易燃易爆物质等。</w:t>
            </w:r>
          </w:p>
          <w:p w14:paraId="578B8726">
            <w:pPr>
              <w:pageBreakBefore w:val="0"/>
              <w:kinsoku/>
              <w:overflowPunct/>
              <w:autoSpaceDE/>
              <w:autoSpaceDN/>
              <w:bidi w:val="0"/>
              <w:spacing w:line="360" w:lineRule="auto"/>
              <w:ind w:firstLine="482"/>
              <w:jc w:val="both"/>
              <w:rPr>
                <w:rStyle w:val="148"/>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2465070" cy="604520"/>
                  <wp:effectExtent l="0" t="0" r="11430" b="5080"/>
                  <wp:docPr id="86"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D)XK9@G5NG$KTNV(9NWMEKO"/>
                          <pic:cNvPicPr>
                            <a:picLocks noChangeAspect="1"/>
                          </pic:cNvPicPr>
                        </pic:nvPicPr>
                        <pic:blipFill>
                          <a:blip r:embed="rId34"/>
                          <a:stretch>
                            <a:fillRect/>
                          </a:stretch>
                        </pic:blipFill>
                        <pic:spPr>
                          <a:xfrm>
                            <a:off x="0" y="0"/>
                            <a:ext cx="2465070" cy="604520"/>
                          </a:xfrm>
                          <a:prstGeom prst="rect">
                            <a:avLst/>
                          </a:prstGeom>
                          <a:noFill/>
                          <a:ln>
                            <a:noFill/>
                          </a:ln>
                        </pic:spPr>
                      </pic:pic>
                    </a:graphicData>
                  </a:graphic>
                </wp:inline>
              </w:drawing>
            </w:r>
          </w:p>
          <w:p w14:paraId="13E35B7D">
            <w:pPr>
              <w:pageBreakBefore w:val="0"/>
              <w:kinsoku/>
              <w:overflowPunct/>
              <w:autoSpaceDE/>
              <w:autoSpaceDN/>
              <w:bidi w:val="0"/>
              <w:spacing w:line="360" w:lineRule="auto"/>
              <w:ind w:firstLine="48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293870" cy="906145"/>
                  <wp:effectExtent l="0" t="0" r="11430" b="8255"/>
                  <wp:docPr id="87"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U`BRWD)5@W_A`ACSE]TEW3L"/>
                          <pic:cNvPicPr>
                            <a:picLocks noChangeAspect="1"/>
                          </pic:cNvPicPr>
                        </pic:nvPicPr>
                        <pic:blipFill>
                          <a:blip r:embed="rId35"/>
                          <a:stretch>
                            <a:fillRect/>
                          </a:stretch>
                        </pic:blipFill>
                        <pic:spPr>
                          <a:xfrm>
                            <a:off x="0" y="0"/>
                            <a:ext cx="4293870" cy="906145"/>
                          </a:xfrm>
                          <a:prstGeom prst="rect">
                            <a:avLst/>
                          </a:prstGeom>
                          <a:noFill/>
                          <a:ln>
                            <a:noFill/>
                          </a:ln>
                        </pic:spPr>
                      </pic:pic>
                    </a:graphicData>
                  </a:graphic>
                </wp:inline>
              </w:drawing>
            </w:r>
          </w:p>
          <w:p w14:paraId="400CE79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对照《危险化学品重大危险源辨识》（GB18218-2018）和风险导则附录B中的危险物名称及临界量情况，医院未构成重大危险源。项目涉及的危险物质存在情况见表4-</w:t>
            </w:r>
            <w:r>
              <w:rPr>
                <w:rFonts w:hint="eastAsia" w:cs="Times New Roman"/>
                <w:b w:val="0"/>
                <w:bCs/>
                <w:color w:val="auto"/>
                <w:kern w:val="2"/>
                <w:sz w:val="24"/>
                <w:szCs w:val="24"/>
                <w:highlight w:val="none"/>
                <w:lang w:val="en-US" w:eastAsia="zh-CN" w:bidi="ar-SA"/>
              </w:rPr>
              <w:t>8</w:t>
            </w:r>
            <w:r>
              <w:rPr>
                <w:rFonts w:hint="default" w:ascii="Times New Roman" w:hAnsi="Times New Roman" w:eastAsia="宋体" w:cs="Times New Roman"/>
                <w:b w:val="0"/>
                <w:bCs/>
                <w:color w:val="auto"/>
                <w:kern w:val="2"/>
                <w:sz w:val="24"/>
                <w:szCs w:val="24"/>
                <w:highlight w:val="none"/>
                <w:lang w:val="en-US" w:eastAsia="zh-CN" w:bidi="ar-SA"/>
              </w:rPr>
              <w:t>。</w:t>
            </w:r>
          </w:p>
          <w:p w14:paraId="30EE7A20">
            <w:pPr>
              <w:widowControl w:val="0"/>
              <w:numPr>
                <w:ilvl w:val="0"/>
                <w:numId w:val="0"/>
              </w:numPr>
              <w:tabs>
                <w:tab w:val="left" w:pos="0"/>
              </w:tabs>
              <w:adjustRightInd/>
              <w:ind w:leftChars="0"/>
              <w:jc w:val="center"/>
              <w:rPr>
                <w:rFonts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cs="Times New Roman"/>
                <w:b/>
                <w:color w:val="auto"/>
                <w:kern w:val="2"/>
                <w:sz w:val="24"/>
                <w:szCs w:val="24"/>
                <w:highlight w:val="none"/>
                <w:lang w:val="en-US" w:eastAsia="zh-CN" w:bidi="ar-SA"/>
              </w:rPr>
              <w:t>8</w:t>
            </w:r>
            <w:r>
              <w:rPr>
                <w:rFonts w:hint="default" w:ascii="Times New Roman" w:hAnsi="Times New Roman" w:eastAsia="宋体" w:cs="Times New Roman"/>
                <w:b/>
                <w:color w:val="auto"/>
                <w:kern w:val="2"/>
                <w:sz w:val="24"/>
                <w:szCs w:val="24"/>
                <w:highlight w:val="none"/>
                <w:lang w:val="en-US" w:eastAsia="zh-CN" w:bidi="ar-SA"/>
              </w:rPr>
              <w:t xml:space="preserve">  </w:t>
            </w:r>
            <w:r>
              <w:rPr>
                <w:rFonts w:ascii="Times New Roman" w:hAnsi="Times New Roman" w:eastAsia="宋体" w:cs="Times New Roman"/>
                <w:b/>
                <w:color w:val="auto"/>
                <w:kern w:val="2"/>
                <w:sz w:val="24"/>
                <w:szCs w:val="24"/>
                <w:highlight w:val="none"/>
                <w:lang w:val="en-US" w:eastAsia="zh-CN" w:bidi="ar-SA"/>
              </w:rPr>
              <w:t>建设项目</w:t>
            </w:r>
            <w:r>
              <w:rPr>
                <w:rFonts w:ascii="Times New Roman" w:hAnsi="Times New Roman" w:eastAsia="宋体" w:cs="Times New Roman"/>
                <w:b/>
                <w:i/>
                <w:color w:val="auto"/>
                <w:kern w:val="2"/>
                <w:sz w:val="24"/>
                <w:szCs w:val="24"/>
                <w:highlight w:val="none"/>
                <w:lang w:val="en-US" w:eastAsia="zh-CN" w:bidi="ar-SA"/>
              </w:rPr>
              <w:t>Q</w:t>
            </w:r>
            <w:r>
              <w:rPr>
                <w:rFonts w:ascii="Times New Roman" w:hAnsi="Times New Roman" w:eastAsia="宋体" w:cs="Times New Roman"/>
                <w:b/>
                <w:color w:val="auto"/>
                <w:kern w:val="2"/>
                <w:sz w:val="24"/>
                <w:szCs w:val="24"/>
                <w:highlight w:val="none"/>
                <w:lang w:val="en-US" w:eastAsia="zh-CN" w:bidi="ar-SA"/>
              </w:rPr>
              <w:t>值确定表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6"/>
              <w:gridCol w:w="2033"/>
              <w:gridCol w:w="1187"/>
              <w:gridCol w:w="1634"/>
              <w:gridCol w:w="1422"/>
              <w:gridCol w:w="1084"/>
            </w:tblGrid>
            <w:tr w14:paraId="43915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6" w:type="dxa"/>
                  <w:vAlign w:val="center"/>
                </w:tcPr>
                <w:p w14:paraId="10913DF6">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序号</w:t>
                  </w:r>
                </w:p>
              </w:tc>
              <w:tc>
                <w:tcPr>
                  <w:tcW w:w="2033" w:type="dxa"/>
                  <w:vAlign w:val="center"/>
                </w:tcPr>
                <w:p w14:paraId="6472BF9E">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危险物质名称</w:t>
                  </w:r>
                </w:p>
              </w:tc>
              <w:tc>
                <w:tcPr>
                  <w:tcW w:w="1187" w:type="dxa"/>
                  <w:vAlign w:val="center"/>
                </w:tcPr>
                <w:p w14:paraId="05014616">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CAS号</w:t>
                  </w:r>
                </w:p>
              </w:tc>
              <w:tc>
                <w:tcPr>
                  <w:tcW w:w="1634" w:type="dxa"/>
                  <w:vAlign w:val="center"/>
                </w:tcPr>
                <w:p w14:paraId="4AE7F4B3">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最大贮存量q</w:t>
                  </w:r>
                  <w:r>
                    <w:rPr>
                      <w:rFonts w:hint="default" w:ascii="Times New Roman" w:hAnsi="Times New Roman" w:cs="Times New Roman"/>
                      <w:color w:val="auto"/>
                      <w:kern w:val="0"/>
                      <w:sz w:val="21"/>
                      <w:highlight w:val="none"/>
                      <w:vertAlign w:val="subscript"/>
                    </w:rPr>
                    <w:t>n</w:t>
                  </w:r>
                  <w:r>
                    <w:rPr>
                      <w:rFonts w:hint="default" w:ascii="Times New Roman" w:hAnsi="Times New Roman" w:cs="Times New Roman"/>
                      <w:color w:val="auto"/>
                      <w:kern w:val="0"/>
                      <w:sz w:val="21"/>
                      <w:highlight w:val="none"/>
                    </w:rPr>
                    <w:t>（t）</w:t>
                  </w:r>
                </w:p>
              </w:tc>
              <w:tc>
                <w:tcPr>
                  <w:tcW w:w="1422" w:type="dxa"/>
                  <w:vAlign w:val="center"/>
                </w:tcPr>
                <w:p w14:paraId="4DC87546">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临界量Q</w:t>
                  </w:r>
                  <w:r>
                    <w:rPr>
                      <w:rFonts w:ascii="Times New Roman" w:hAnsi="Times New Roman" w:cs="Times New Roman"/>
                      <w:color w:val="auto"/>
                      <w:kern w:val="0"/>
                      <w:sz w:val="21"/>
                      <w:highlight w:val="none"/>
                      <w:vertAlign w:val="subscript"/>
                    </w:rPr>
                    <w:t>n</w:t>
                  </w:r>
                  <w:r>
                    <w:rPr>
                      <w:rFonts w:hint="default" w:ascii="Times New Roman" w:hAnsi="Times New Roman" w:cs="Times New Roman"/>
                      <w:color w:val="auto"/>
                      <w:kern w:val="0"/>
                      <w:sz w:val="21"/>
                      <w:highlight w:val="none"/>
                    </w:rPr>
                    <w:t>（</w:t>
                  </w:r>
                  <w:r>
                    <w:rPr>
                      <w:rFonts w:ascii="Times New Roman" w:hAnsi="Times New Roman" w:cs="Times New Roman"/>
                      <w:color w:val="auto"/>
                      <w:kern w:val="0"/>
                      <w:sz w:val="21"/>
                      <w:highlight w:val="none"/>
                    </w:rPr>
                    <w:t>t</w:t>
                  </w:r>
                  <w:r>
                    <w:rPr>
                      <w:rFonts w:hint="default" w:ascii="Times New Roman" w:hAnsi="Times New Roman" w:cs="Times New Roman"/>
                      <w:color w:val="auto"/>
                      <w:kern w:val="0"/>
                      <w:sz w:val="21"/>
                      <w:highlight w:val="none"/>
                    </w:rPr>
                    <w:t>）</w:t>
                  </w:r>
                </w:p>
              </w:tc>
              <w:tc>
                <w:tcPr>
                  <w:tcW w:w="1084" w:type="dxa"/>
                  <w:vAlign w:val="center"/>
                </w:tcPr>
                <w:p w14:paraId="1F6A44D1">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Q值</w:t>
                  </w:r>
                </w:p>
              </w:tc>
            </w:tr>
            <w:tr w14:paraId="5419E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7" w:hRule="atLeast"/>
                <w:jc w:val="center"/>
              </w:trPr>
              <w:tc>
                <w:tcPr>
                  <w:tcW w:w="586" w:type="dxa"/>
                  <w:vAlign w:val="center"/>
                </w:tcPr>
                <w:p w14:paraId="5E12D01B">
                  <w:pPr>
                    <w:wordWrap w:val="0"/>
                    <w:topLinePunct/>
                    <w:spacing w:line="288" w:lineRule="auto"/>
                    <w:jc w:val="center"/>
                    <w:rPr>
                      <w:rFonts w:ascii="Times New Roman" w:hAnsi="Times New Roman" w:cs="Times New Roman"/>
                      <w:color w:val="auto"/>
                      <w:kern w:val="0"/>
                      <w:sz w:val="21"/>
                      <w:highlight w:val="none"/>
                    </w:rPr>
                  </w:pPr>
                  <w:r>
                    <w:rPr>
                      <w:rFonts w:ascii="Times New Roman" w:hAnsi="Times New Roman" w:cs="Times New Roman"/>
                      <w:color w:val="auto"/>
                      <w:kern w:val="0"/>
                      <w:sz w:val="21"/>
                      <w:highlight w:val="none"/>
                    </w:rPr>
                    <w:t>1</w:t>
                  </w:r>
                </w:p>
              </w:tc>
              <w:tc>
                <w:tcPr>
                  <w:tcW w:w="2033" w:type="dxa"/>
                  <w:vAlign w:val="center"/>
                </w:tcPr>
                <w:p w14:paraId="2ED73314">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缓释氯片（二氧化氯）</w:t>
                  </w:r>
                </w:p>
              </w:tc>
              <w:tc>
                <w:tcPr>
                  <w:tcW w:w="1187" w:type="dxa"/>
                  <w:vAlign w:val="center"/>
                </w:tcPr>
                <w:p w14:paraId="10677012">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10049-04-4</w:t>
                  </w:r>
                </w:p>
              </w:tc>
              <w:tc>
                <w:tcPr>
                  <w:tcW w:w="1634" w:type="dxa"/>
                  <w:vAlign w:val="center"/>
                </w:tcPr>
                <w:p w14:paraId="5BECCF9A">
                  <w:pPr>
                    <w:wordWrap w:val="0"/>
                    <w:topLinePunct/>
                    <w:spacing w:line="288" w:lineRule="auto"/>
                    <w:jc w:val="center"/>
                    <w:rPr>
                      <w:rFonts w:hint="default" w:ascii="Times New Roman" w:hAnsi="Times New Roman" w:eastAsia="宋体" w:cs="Times New Roman"/>
                      <w:color w:val="auto"/>
                      <w:kern w:val="0"/>
                      <w:sz w:val="21"/>
                      <w:highlight w:val="none"/>
                      <w:lang w:eastAsia="zh-CN"/>
                    </w:rPr>
                  </w:pPr>
                  <w:r>
                    <w:rPr>
                      <w:rFonts w:ascii="Times New Roman" w:hAnsi="Times New Roman" w:cs="Times New Roman"/>
                      <w:color w:val="auto"/>
                      <w:kern w:val="0"/>
                      <w:sz w:val="21"/>
                      <w:highlight w:val="none"/>
                    </w:rPr>
                    <w:t>0.</w:t>
                  </w:r>
                  <w:r>
                    <w:rPr>
                      <w:rFonts w:hint="default" w:ascii="Times New Roman" w:hAnsi="Times New Roman" w:cs="Times New Roman"/>
                      <w:color w:val="auto"/>
                      <w:kern w:val="0"/>
                      <w:sz w:val="21"/>
                      <w:highlight w:val="none"/>
                    </w:rPr>
                    <w:t>0</w:t>
                  </w:r>
                  <w:r>
                    <w:rPr>
                      <w:rFonts w:hint="default" w:ascii="Times New Roman" w:hAnsi="Times New Roman" w:cs="Times New Roman"/>
                      <w:color w:val="auto"/>
                      <w:kern w:val="0"/>
                      <w:sz w:val="21"/>
                      <w:highlight w:val="none"/>
                      <w:lang w:val="en-US" w:eastAsia="zh-CN"/>
                    </w:rPr>
                    <w:t>01</w:t>
                  </w:r>
                </w:p>
              </w:tc>
              <w:tc>
                <w:tcPr>
                  <w:tcW w:w="1422" w:type="dxa"/>
                  <w:vAlign w:val="center"/>
                </w:tcPr>
                <w:p w14:paraId="78803F97">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0.5</w:t>
                  </w:r>
                </w:p>
              </w:tc>
              <w:tc>
                <w:tcPr>
                  <w:tcW w:w="1084" w:type="dxa"/>
                  <w:vAlign w:val="center"/>
                </w:tcPr>
                <w:p w14:paraId="44F06282">
                  <w:pPr>
                    <w:wordWrap w:val="0"/>
                    <w:topLinePunct/>
                    <w:spacing w:line="288" w:lineRule="auto"/>
                    <w:jc w:val="center"/>
                    <w:rPr>
                      <w:rFonts w:hint="default" w:ascii="Times New Roman" w:hAnsi="Times New Roman" w:eastAsia="宋体" w:cs="Times New Roman"/>
                      <w:color w:val="auto"/>
                      <w:kern w:val="0"/>
                      <w:sz w:val="21"/>
                      <w:highlight w:val="none"/>
                      <w:lang w:eastAsia="zh-CN"/>
                    </w:rPr>
                  </w:pPr>
                  <w:r>
                    <w:rPr>
                      <w:rFonts w:hint="default" w:ascii="Times New Roman" w:hAnsi="Times New Roman" w:cs="Times New Roman"/>
                      <w:color w:val="auto"/>
                      <w:kern w:val="0"/>
                      <w:sz w:val="21"/>
                      <w:highlight w:val="none"/>
                    </w:rPr>
                    <w:t>0.0</w:t>
                  </w:r>
                  <w:r>
                    <w:rPr>
                      <w:rFonts w:hint="default" w:ascii="Times New Roman" w:hAnsi="Times New Roman" w:cs="Times New Roman"/>
                      <w:color w:val="auto"/>
                      <w:kern w:val="0"/>
                      <w:sz w:val="21"/>
                      <w:highlight w:val="none"/>
                      <w:lang w:val="en-US" w:eastAsia="zh-CN"/>
                    </w:rPr>
                    <w:t>02</w:t>
                  </w:r>
                </w:p>
              </w:tc>
            </w:tr>
            <w:tr w14:paraId="449F0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vAlign w:val="center"/>
                </w:tcPr>
                <w:p w14:paraId="22E691C4">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2</w:t>
                  </w:r>
                </w:p>
              </w:tc>
              <w:tc>
                <w:tcPr>
                  <w:tcW w:w="2033" w:type="dxa"/>
                  <w:vAlign w:val="center"/>
                </w:tcPr>
                <w:p w14:paraId="03536B34">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污水处理污泥</w:t>
                  </w:r>
                </w:p>
              </w:tc>
              <w:tc>
                <w:tcPr>
                  <w:tcW w:w="1187" w:type="dxa"/>
                  <w:vAlign w:val="center"/>
                </w:tcPr>
                <w:p w14:paraId="23FD9D5A">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w:t>
                  </w:r>
                </w:p>
              </w:tc>
              <w:tc>
                <w:tcPr>
                  <w:tcW w:w="1634" w:type="dxa"/>
                  <w:vAlign w:val="center"/>
                </w:tcPr>
                <w:p w14:paraId="7ED5F3E9">
                  <w:pPr>
                    <w:widowControl/>
                    <w:spacing w:line="288"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0.00070</w:t>
                  </w:r>
                  <w:r>
                    <w:rPr>
                      <w:rFonts w:hint="eastAsia" w:cs="Times New Roman"/>
                      <w:color w:val="auto"/>
                      <w:kern w:val="0"/>
                      <w:sz w:val="21"/>
                      <w:szCs w:val="21"/>
                      <w:highlight w:val="none"/>
                      <w:lang w:val="en-US" w:eastAsia="zh-CN" w:bidi="ar"/>
                    </w:rPr>
                    <w:t>875</w:t>
                  </w:r>
                </w:p>
              </w:tc>
              <w:tc>
                <w:tcPr>
                  <w:tcW w:w="1422" w:type="dxa"/>
                  <w:vAlign w:val="center"/>
                </w:tcPr>
                <w:p w14:paraId="21CF56A8">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50</w:t>
                  </w:r>
                </w:p>
              </w:tc>
              <w:tc>
                <w:tcPr>
                  <w:tcW w:w="1084" w:type="dxa"/>
                  <w:vAlign w:val="center"/>
                </w:tcPr>
                <w:p w14:paraId="113F572F">
                  <w:pPr>
                    <w:widowControl/>
                    <w:spacing w:line="288" w:lineRule="auto"/>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kern w:val="0"/>
                      <w:sz w:val="21"/>
                      <w:szCs w:val="21"/>
                      <w:highlight w:val="none"/>
                      <w:lang w:bidi="ar"/>
                    </w:rPr>
                    <w:t>0.0000</w:t>
                  </w:r>
                  <w:r>
                    <w:rPr>
                      <w:rFonts w:hint="default" w:ascii="Times New Roman" w:hAnsi="Times New Roman" w:cs="Times New Roman"/>
                      <w:color w:val="auto"/>
                      <w:kern w:val="0"/>
                      <w:sz w:val="21"/>
                      <w:szCs w:val="21"/>
                      <w:highlight w:val="none"/>
                      <w:lang w:val="en-US" w:eastAsia="zh-CN" w:bidi="ar"/>
                    </w:rPr>
                    <w:t>142</w:t>
                  </w:r>
                </w:p>
              </w:tc>
            </w:tr>
            <w:tr w14:paraId="23356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vAlign w:val="center"/>
                </w:tcPr>
                <w:p w14:paraId="1D6A24CB">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3</w:t>
                  </w:r>
                </w:p>
              </w:tc>
              <w:tc>
                <w:tcPr>
                  <w:tcW w:w="2033" w:type="dxa"/>
                  <w:vAlign w:val="center"/>
                </w:tcPr>
                <w:p w14:paraId="4C122827">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化验废液</w:t>
                  </w:r>
                </w:p>
              </w:tc>
              <w:tc>
                <w:tcPr>
                  <w:tcW w:w="1187" w:type="dxa"/>
                  <w:vAlign w:val="center"/>
                </w:tcPr>
                <w:p w14:paraId="2904F9C6">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w:t>
                  </w:r>
                </w:p>
              </w:tc>
              <w:tc>
                <w:tcPr>
                  <w:tcW w:w="1634" w:type="dxa"/>
                  <w:vAlign w:val="center"/>
                </w:tcPr>
                <w:p w14:paraId="278FB743">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lang w:val="en-US" w:eastAsia="zh-CN"/>
                    </w:rPr>
                    <w:t>0.0</w:t>
                  </w:r>
                  <w:r>
                    <w:rPr>
                      <w:rFonts w:hint="eastAsia" w:cs="Times New Roman"/>
                      <w:color w:val="auto"/>
                      <w:kern w:val="0"/>
                      <w:sz w:val="21"/>
                      <w:highlight w:val="none"/>
                      <w:lang w:val="en-US" w:eastAsia="zh-CN"/>
                    </w:rPr>
                    <w:t>0986</w:t>
                  </w:r>
                </w:p>
              </w:tc>
              <w:tc>
                <w:tcPr>
                  <w:tcW w:w="1422" w:type="dxa"/>
                  <w:vAlign w:val="center"/>
                </w:tcPr>
                <w:p w14:paraId="23C8657E">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100</w:t>
                  </w:r>
                </w:p>
              </w:tc>
              <w:tc>
                <w:tcPr>
                  <w:tcW w:w="1084" w:type="dxa"/>
                  <w:vAlign w:val="center"/>
                </w:tcPr>
                <w:p w14:paraId="79AE598F">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lang w:val="en-US" w:eastAsia="zh-CN"/>
                    </w:rPr>
                    <w:t>0.000</w:t>
                  </w:r>
                  <w:r>
                    <w:rPr>
                      <w:rFonts w:hint="eastAsia" w:cs="Times New Roman"/>
                      <w:color w:val="auto"/>
                      <w:kern w:val="0"/>
                      <w:sz w:val="21"/>
                      <w:highlight w:val="none"/>
                      <w:lang w:val="en-US" w:eastAsia="zh-CN"/>
                    </w:rPr>
                    <w:t>0986</w:t>
                  </w:r>
                </w:p>
              </w:tc>
            </w:tr>
            <w:tr w14:paraId="6A22E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vAlign w:val="center"/>
                </w:tcPr>
                <w:p w14:paraId="3A643F99">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4</w:t>
                  </w:r>
                </w:p>
              </w:tc>
              <w:tc>
                <w:tcPr>
                  <w:tcW w:w="2033" w:type="dxa"/>
                  <w:vAlign w:val="center"/>
                </w:tcPr>
                <w:p w14:paraId="060B15E2">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诊疗废物</w:t>
                  </w:r>
                </w:p>
              </w:tc>
              <w:tc>
                <w:tcPr>
                  <w:tcW w:w="1187" w:type="dxa"/>
                  <w:vAlign w:val="center"/>
                </w:tcPr>
                <w:p w14:paraId="755E5510">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w:t>
                  </w:r>
                </w:p>
              </w:tc>
              <w:tc>
                <w:tcPr>
                  <w:tcW w:w="1634" w:type="dxa"/>
                  <w:vAlign w:val="center"/>
                </w:tcPr>
                <w:p w14:paraId="60C0136D">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lang w:val="en-US" w:eastAsia="zh-CN"/>
                    </w:rPr>
                    <w:t>0.012</w:t>
                  </w:r>
                </w:p>
              </w:tc>
              <w:tc>
                <w:tcPr>
                  <w:tcW w:w="1422" w:type="dxa"/>
                  <w:vAlign w:val="center"/>
                </w:tcPr>
                <w:p w14:paraId="0B964BFD">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50</w:t>
                  </w:r>
                </w:p>
              </w:tc>
              <w:tc>
                <w:tcPr>
                  <w:tcW w:w="1084" w:type="dxa"/>
                  <w:vAlign w:val="center"/>
                </w:tcPr>
                <w:p w14:paraId="3233CDB1">
                  <w:pPr>
                    <w:wordWrap w:val="0"/>
                    <w:topLinePunct/>
                    <w:spacing w:line="288" w:lineRule="auto"/>
                    <w:jc w:val="center"/>
                    <w:rPr>
                      <w:rFonts w:hint="default" w:ascii="Cambria Math" w:hAnsi="Cambria Math" w:eastAsia="宋体" w:cs="Times New Roman"/>
                      <w:color w:val="auto"/>
                      <w:kern w:val="0"/>
                      <w:sz w:val="21"/>
                      <w:highlight w:val="none"/>
                      <w:lang w:val="en-US" w:eastAsia="zh-CN"/>
                      <w:oMath/>
                    </w:rPr>
                  </w:pPr>
                  <w:r>
                    <w:rPr>
                      <w:rFonts w:hint="default" w:ascii="Times New Roman" w:hAnsi="Times New Roman" w:cs="Times New Roman"/>
                      <w:color w:val="auto"/>
                      <w:kern w:val="0"/>
                      <w:sz w:val="21"/>
                      <w:highlight w:val="none"/>
                      <w:lang w:val="en-US" w:eastAsia="zh-CN"/>
                    </w:rPr>
                    <w:t>0.000</w:t>
                  </w:r>
                  <w:r>
                    <w:rPr>
                      <w:rFonts w:hint="eastAsia" w:cs="Times New Roman"/>
                      <w:color w:val="auto"/>
                      <w:kern w:val="0"/>
                      <w:sz w:val="21"/>
                      <w:highlight w:val="none"/>
                      <w:lang w:val="en-US" w:eastAsia="zh-CN"/>
                    </w:rPr>
                    <w:t>24</w:t>
                  </w:r>
                </w:p>
              </w:tc>
            </w:tr>
            <w:tr w14:paraId="389F2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6862" w:type="dxa"/>
                  <w:gridSpan w:val="5"/>
                  <w:vAlign w:val="center"/>
                </w:tcPr>
                <w:p w14:paraId="407CAA1E">
                  <w:pPr>
                    <w:wordWrap w:val="0"/>
                    <w:topLinePunct/>
                    <w:spacing w:line="288" w:lineRule="auto"/>
                    <w:jc w:val="center"/>
                    <w:rPr>
                      <w:rFonts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合计</w:t>
                  </w:r>
                </w:p>
              </w:tc>
              <w:tc>
                <w:tcPr>
                  <w:tcW w:w="1084" w:type="dxa"/>
                  <w:vAlign w:val="center"/>
                </w:tcPr>
                <w:p w14:paraId="56CD182C">
                  <w:pPr>
                    <w:wordWrap w:val="0"/>
                    <w:topLinePunct/>
                    <w:spacing w:line="288" w:lineRule="auto"/>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cs="Times New Roman"/>
                      <w:color w:val="auto"/>
                      <w:kern w:val="0"/>
                      <w:sz w:val="21"/>
                      <w:highlight w:val="none"/>
                    </w:rPr>
                    <w:t>0.0</w:t>
                  </w:r>
                  <w:r>
                    <w:rPr>
                      <w:rFonts w:hint="default" w:ascii="Times New Roman" w:hAnsi="Times New Roman" w:cs="Times New Roman"/>
                      <w:color w:val="auto"/>
                      <w:kern w:val="0"/>
                      <w:sz w:val="21"/>
                      <w:highlight w:val="none"/>
                      <w:lang w:val="en-US" w:eastAsia="zh-CN"/>
                    </w:rPr>
                    <w:t>04</w:t>
                  </w:r>
                </w:p>
              </w:tc>
            </w:tr>
          </w:tbl>
          <w:p w14:paraId="0A6A9454">
            <w:pPr>
              <w:spacing w:before="120" w:beforeLines="50" w:line="360" w:lineRule="auto"/>
              <w:ind w:firstLine="480" w:firstLineChars="200"/>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计算项目</w:t>
            </w:r>
            <w:r>
              <w:rPr>
                <w:rFonts w:ascii="Times New Roman" w:hAnsi="Times New Roman" w:cs="Times New Roman"/>
                <w:color w:val="auto"/>
                <w:kern w:val="0"/>
                <w:highlight w:val="none"/>
              </w:rPr>
              <w:t>Q值</w:t>
            </w:r>
            <w:r>
              <w:rPr>
                <w:rFonts w:hint="default" w:ascii="Times New Roman" w:hAnsi="Times New Roman" w:cs="Times New Roman"/>
                <w:color w:val="auto"/>
                <w:kern w:val="0"/>
                <w:highlight w:val="none"/>
              </w:rPr>
              <w:t>：</w:t>
            </w:r>
          </w:p>
          <w:p w14:paraId="1AA7E531">
            <w:pPr>
              <w:pStyle w:val="21"/>
              <w:spacing w:after="0" w:line="360" w:lineRule="auto"/>
              <w:ind w:left="0" w:leftChars="0" w:firstLine="0" w:firstLineChars="0"/>
              <w:jc w:val="center"/>
              <w:rPr>
                <w:rFonts w:hint="default" w:ascii="Times New Roman" w:hAnsi="Times New Roman" w:eastAsia="宋体" w:cs="Times New Roman"/>
                <w:iCs/>
                <w:color w:val="auto"/>
                <w:sz w:val="24"/>
                <w:szCs w:val="24"/>
                <w:highlight w:val="none"/>
                <w:lang w:val="en-US" w:eastAsia="zh-CN"/>
              </w:rPr>
            </w:pPr>
            <m:oMath>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box>
                <m:boxPr>
                  <m:opEmu m:val="1"/>
                  <m:ctrlPr>
                    <w:rPr>
                      <w:rFonts w:ascii="Cambria Math" w:hAnsi="Cambria Math" w:cs="Times New Roman"/>
                      <w:iCs/>
                      <w:color w:val="auto"/>
                      <w:sz w:val="24"/>
                      <w:szCs w:val="24"/>
                      <w:highlight w:val="none"/>
                    </w:rPr>
                  </m:ctrlPr>
                </m:boxPr>
                <m:e>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ctrlPr>
                    <w:rPr>
                      <w:rFonts w:ascii="Cambria Math" w:hAnsi="Cambria Math" w:cs="Times New Roman"/>
                      <w:iCs/>
                      <w:color w:val="auto"/>
                      <w:sz w:val="24"/>
                      <w:szCs w:val="24"/>
                      <w:highlight w:val="none"/>
                    </w:rPr>
                  </m:ctrlPr>
                </m:e>
              </m:box>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r>
                    <m:rPr>
                      <m:sty m:val="p"/>
                    </m:rPr>
                    <w:rPr>
                      <w:rFonts w:ascii="Cambria Math" w:hAnsi="Cambria Math" w:cs="Times New Roman"/>
                      <w:color w:val="auto"/>
                      <w:sz w:val="24"/>
                      <w:szCs w:val="24"/>
                      <w:highlight w:val="none"/>
                    </w:rPr>
                    <m:t>0.00</m:t>
                  </m:r>
                  <m:r>
                    <m:rPr>
                      <m:sty m:val="p"/>
                    </m:rPr>
                    <w:rPr>
                      <w:rFonts w:hint="default" w:ascii="Cambria Math" w:hAnsi="Cambria Math" w:cs="Times New Roman"/>
                      <w:color w:val="auto"/>
                      <w:sz w:val="24"/>
                      <w:szCs w:val="24"/>
                      <w:highlight w:val="none"/>
                      <w:lang w:val="en-US" w:eastAsia="zh-CN"/>
                    </w:rPr>
                    <m:t>1</m:t>
                  </m:r>
                  <m:ctrlPr>
                    <w:rPr>
                      <w:rFonts w:ascii="Cambria Math" w:hAnsi="Cambria Math" w:cs="Times New Roman"/>
                      <w:iCs/>
                      <w:color w:val="auto"/>
                      <w:sz w:val="24"/>
                      <w:szCs w:val="24"/>
                      <w:highlight w:val="none"/>
                    </w:rPr>
                  </m:ctrlPr>
                </m:num>
                <m:den>
                  <m:r>
                    <m:rPr>
                      <m:sty m:val="p"/>
                    </m:rPr>
                    <w:rPr>
                      <w:rFonts w:ascii="Cambria Math" w:hAnsi="Cambria Math" w:cs="Times New Roman"/>
                      <w:color w:val="auto"/>
                      <w:sz w:val="24"/>
                      <w:szCs w:val="24"/>
                      <w:highlight w:val="none"/>
                    </w:rPr>
                    <m:t>0.5</m:t>
                  </m:r>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=0</m:t>
              </m:r>
            </m:oMath>
            <w:r>
              <w:rPr>
                <w:rFonts w:ascii="Times New Roman" w:hAnsi="Times New Roman" w:cs="Times New Roman"/>
                <w:iCs/>
                <w:color w:val="auto"/>
                <w:sz w:val="24"/>
                <w:szCs w:val="24"/>
                <w:highlight w:val="none"/>
              </w:rPr>
              <w:t>.0</w:t>
            </w:r>
            <w:r>
              <w:rPr>
                <w:rFonts w:hint="default" w:ascii="Times New Roman" w:hAnsi="Times New Roman" w:cs="Times New Roman"/>
                <w:iCs/>
                <w:color w:val="auto"/>
                <w:sz w:val="24"/>
                <w:szCs w:val="24"/>
                <w:highlight w:val="none"/>
                <w:lang w:val="en-US" w:eastAsia="zh-CN"/>
              </w:rPr>
              <w:t>02</w:t>
            </w:r>
          </w:p>
          <w:p w14:paraId="275A2B9B">
            <w:pPr>
              <w:pStyle w:val="22"/>
              <w:spacing w:line="360" w:lineRule="auto"/>
              <w:jc w:val="center"/>
              <w:rPr>
                <w:rFonts w:hint="default" w:ascii="Times New Roman" w:hAnsi="Times New Roman" w:eastAsia="黑体" w:cs="Times New Roman"/>
                <w:iCs/>
                <w:color w:val="auto"/>
                <w:highlight w:val="none"/>
                <w:lang w:val="en-US" w:eastAsia="zh-CN"/>
              </w:rPr>
            </w:pPr>
            <m:oMath>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box>
                <m:boxPr>
                  <m:opEmu m:val="1"/>
                  <m:ctrlPr>
                    <w:rPr>
                      <w:rFonts w:ascii="Cambria Math" w:hAnsi="Cambria Math" w:cs="Times New Roman"/>
                      <w:iCs/>
                      <w:color w:val="auto"/>
                      <w:sz w:val="24"/>
                      <w:szCs w:val="24"/>
                      <w:highlight w:val="none"/>
                    </w:rPr>
                  </m:ctrlPr>
                </m:boxPr>
                <m:e>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ctrlPr>
                    <w:rPr>
                      <w:rFonts w:ascii="Cambria Math" w:hAnsi="Cambria Math" w:cs="Times New Roman"/>
                      <w:iCs/>
                      <w:color w:val="auto"/>
                      <w:sz w:val="24"/>
                      <w:szCs w:val="24"/>
                      <w:highlight w:val="none"/>
                    </w:rPr>
                  </m:ctrlPr>
                </m:e>
              </m:box>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r>
                    <m:rPr>
                      <m:sty m:val="p"/>
                    </m:rPr>
                    <w:rPr>
                      <w:rFonts w:ascii="Cambria Math" w:hAnsi="Cambria Math" w:cs="Times New Roman"/>
                      <w:color w:val="auto"/>
                      <w:sz w:val="24"/>
                      <w:szCs w:val="24"/>
                      <w:highlight w:val="none"/>
                    </w:rPr>
                    <m:t>0.000</m:t>
                  </m:r>
                  <m:r>
                    <m:rPr>
                      <m:sty m:val="p"/>
                    </m:rPr>
                    <w:rPr>
                      <w:rFonts w:hint="default" w:ascii="Cambria Math" w:hAnsi="Cambria Math" w:cs="Times New Roman"/>
                      <w:color w:val="auto"/>
                      <w:sz w:val="24"/>
                      <w:szCs w:val="24"/>
                      <w:highlight w:val="none"/>
                      <w:lang w:val="en-US" w:eastAsia="zh-CN"/>
                    </w:rPr>
                    <m:t>70875</m:t>
                  </m:r>
                  <m:ctrlPr>
                    <w:rPr>
                      <w:rFonts w:ascii="Cambria Math" w:hAnsi="Cambria Math" w:cs="Times New Roman"/>
                      <w:iCs/>
                      <w:color w:val="auto"/>
                      <w:sz w:val="24"/>
                      <w:szCs w:val="24"/>
                      <w:highlight w:val="none"/>
                    </w:rPr>
                  </m:ctrlPr>
                </m:num>
                <m:den>
                  <m:r>
                    <m:rPr>
                      <m:sty m:val="p"/>
                    </m:rPr>
                    <w:rPr>
                      <w:rFonts w:ascii="Cambria Math" w:hAnsi="Cambria Math" w:cs="Times New Roman"/>
                      <w:color w:val="auto"/>
                      <w:sz w:val="24"/>
                      <w:szCs w:val="24"/>
                      <w:highlight w:val="none"/>
                    </w:rPr>
                    <m:t>50</m:t>
                  </m:r>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oMath>
            <w:r>
              <w:rPr>
                <w:rFonts w:ascii="Times New Roman" w:hAnsi="Times New Roman" w:cs="Times New Roman"/>
                <w:iCs/>
                <w:color w:val="auto"/>
                <w:sz w:val="24"/>
                <w:szCs w:val="24"/>
                <w:highlight w:val="none"/>
              </w:rPr>
              <w:t>0.0000</w:t>
            </w:r>
            <w:r>
              <w:rPr>
                <w:rFonts w:hint="default" w:ascii="Times New Roman" w:hAnsi="Times New Roman" w:cs="Times New Roman"/>
                <w:iCs/>
                <w:color w:val="auto"/>
                <w:sz w:val="24"/>
                <w:szCs w:val="24"/>
                <w:highlight w:val="none"/>
                <w:lang w:val="en-US" w:eastAsia="zh-CN"/>
              </w:rPr>
              <w:t>142</w:t>
            </w:r>
          </w:p>
          <w:p w14:paraId="4AF995BB">
            <w:pPr>
              <w:pStyle w:val="22"/>
              <w:spacing w:line="360" w:lineRule="auto"/>
              <w:jc w:val="center"/>
              <w:rPr>
                <w:rFonts w:hint="default" w:ascii="Times New Roman" w:hAnsi="Times New Roman" w:eastAsia="黑体" w:cs="Times New Roman"/>
                <w:iCs/>
                <w:color w:val="auto"/>
                <w:sz w:val="24"/>
                <w:szCs w:val="24"/>
                <w:highlight w:val="none"/>
                <w:lang w:val="en-US" w:eastAsia="zh-CN"/>
              </w:rPr>
            </w:pPr>
            <m:oMath>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3</m:t>
                  </m:r>
                  <m:ctrlPr>
                    <w:rPr>
                      <w:rFonts w:ascii="Cambria Math" w:hAnsi="Cambria Math" w:cs="Times New Roman"/>
                      <w:iCs/>
                      <w:color w:val="auto"/>
                      <w:sz w:val="24"/>
                      <w:szCs w:val="24"/>
                      <w:highlight w:val="none"/>
                    </w:rPr>
                  </m:ctrlPr>
                </m:sub>
              </m:sSub>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1</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box>
                <m:boxPr>
                  <m:opEmu m:val="1"/>
                  <m:ctrlPr>
                    <w:rPr>
                      <w:rFonts w:ascii="Cambria Math" w:hAnsi="Cambria Math" w:cs="Times New Roman"/>
                      <w:iCs/>
                      <w:color w:val="auto"/>
                      <w:sz w:val="24"/>
                      <w:szCs w:val="24"/>
                      <w:highlight w:val="none"/>
                    </w:rPr>
                  </m:ctrlPr>
                </m:boxPr>
                <m:e>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2</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ctrlPr>
                    <w:rPr>
                      <w:rFonts w:ascii="Cambria Math" w:hAnsi="Cambria Math" w:cs="Times New Roman"/>
                      <w:iCs/>
                      <w:color w:val="auto"/>
                      <w:sz w:val="24"/>
                      <w:szCs w:val="24"/>
                      <w:highlight w:val="none"/>
                    </w:rPr>
                  </m:ctrlPr>
                </m:e>
              </m:box>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num>
                <m:den>
                  <m:sSub>
                    <m:sSubPr>
                      <m:ctrlPr>
                        <w:rPr>
                          <w:rFonts w:ascii="Cambria Math" w:hAnsi="Cambria Math" w:cs="Times New Roman"/>
                          <w:iCs/>
                          <w:color w:val="auto"/>
                          <w:sz w:val="24"/>
                          <w:szCs w:val="24"/>
                          <w:highlight w:val="none"/>
                        </w:rPr>
                      </m:ctrlPr>
                    </m:sSubPr>
                    <m:e>
                      <m:r>
                        <m:rPr>
                          <m:sty m:val="p"/>
                        </m:rPr>
                        <w:rPr>
                          <w:rFonts w:ascii="Cambria Math" w:hAnsi="Cambria Math" w:cs="Times New Roman"/>
                          <w:color w:val="auto"/>
                          <w:sz w:val="24"/>
                          <w:szCs w:val="24"/>
                          <w:highlight w:val="none"/>
                        </w:rPr>
                        <m:t>Q</m:t>
                      </m:r>
                      <m:ctrlPr>
                        <w:rPr>
                          <w:rFonts w:ascii="Cambria Math" w:hAnsi="Cambria Math" w:cs="Times New Roman"/>
                          <w:iCs/>
                          <w:color w:val="auto"/>
                          <w:sz w:val="24"/>
                          <w:szCs w:val="24"/>
                          <w:highlight w:val="none"/>
                        </w:rPr>
                      </m:ctrlPr>
                    </m:e>
                    <m:sub>
                      <m:r>
                        <m:rPr>
                          <m:sty m:val="p"/>
                        </m:rPr>
                        <w:rPr>
                          <w:rFonts w:ascii="Cambria Math" w:hAnsi="Cambria Math" w:cs="Times New Roman"/>
                          <w:color w:val="auto"/>
                          <w:sz w:val="24"/>
                          <w:szCs w:val="24"/>
                          <w:highlight w:val="none"/>
                        </w:rPr>
                        <m:t>n</m:t>
                      </m:r>
                      <m:ctrlPr>
                        <w:rPr>
                          <w:rFonts w:ascii="Cambria Math" w:hAnsi="Cambria Math" w:cs="Times New Roman"/>
                          <w:iCs/>
                          <w:color w:val="auto"/>
                          <w:sz w:val="24"/>
                          <w:szCs w:val="24"/>
                          <w:highlight w:val="none"/>
                        </w:rPr>
                      </m:ctrlPr>
                    </m:sub>
                  </m:sSub>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m:t>
              </m:r>
              <m:f>
                <m:fPr>
                  <m:ctrlPr>
                    <w:rPr>
                      <w:rFonts w:ascii="Cambria Math" w:hAnsi="Cambria Math" w:cs="Times New Roman"/>
                      <w:iCs/>
                      <w:color w:val="auto"/>
                      <w:sz w:val="24"/>
                      <w:szCs w:val="24"/>
                      <w:highlight w:val="none"/>
                    </w:rPr>
                  </m:ctrlPr>
                </m:fPr>
                <m:num>
                  <m:r>
                    <m:rPr>
                      <m:sty m:val="p"/>
                    </m:rPr>
                    <w:rPr>
                      <w:rFonts w:ascii="Cambria Math" w:hAnsi="Cambria Math" w:cs="Times New Roman"/>
                      <w:color w:val="auto"/>
                      <w:sz w:val="24"/>
                      <w:szCs w:val="24"/>
                      <w:highlight w:val="none"/>
                    </w:rPr>
                    <m:t>0.0</m:t>
                  </m:r>
                  <m:r>
                    <m:rPr>
                      <m:sty m:val="p"/>
                    </m:rPr>
                    <w:rPr>
                      <w:rFonts w:hint="default" w:ascii="Cambria Math" w:hAnsi="Cambria Math" w:cs="Times New Roman"/>
                      <w:color w:val="auto"/>
                      <w:sz w:val="24"/>
                      <w:szCs w:val="24"/>
                      <w:highlight w:val="none"/>
                      <w:lang w:val="en-US" w:eastAsia="zh-CN"/>
                    </w:rPr>
                    <m:t>0986</m:t>
                  </m:r>
                  <m:ctrlPr>
                    <w:rPr>
                      <w:rFonts w:ascii="Cambria Math" w:hAnsi="Cambria Math" w:cs="Times New Roman"/>
                      <w:iCs/>
                      <w:color w:val="auto"/>
                      <w:sz w:val="24"/>
                      <w:szCs w:val="24"/>
                      <w:highlight w:val="none"/>
                    </w:rPr>
                  </m:ctrlPr>
                </m:num>
                <m:den>
                  <m:r>
                    <m:rPr>
                      <m:sty m:val="p"/>
                    </m:rPr>
                    <w:rPr>
                      <w:rFonts w:ascii="Cambria Math" w:hAnsi="Cambria Math" w:cs="Times New Roman"/>
                      <w:color w:val="auto"/>
                      <w:sz w:val="24"/>
                      <w:szCs w:val="24"/>
                      <w:highlight w:val="none"/>
                    </w:rPr>
                    <m:t>100</m:t>
                  </m:r>
                  <m:ctrlPr>
                    <w:rPr>
                      <w:rFonts w:ascii="Cambria Math" w:hAnsi="Cambria Math" w:cs="Times New Roman"/>
                      <w:iCs/>
                      <w:color w:val="auto"/>
                      <w:sz w:val="24"/>
                      <w:szCs w:val="24"/>
                      <w:highlight w:val="none"/>
                    </w:rPr>
                  </m:ctrlPr>
                </m:den>
              </m:f>
              <m:r>
                <m:rPr>
                  <m:sty m:val="p"/>
                </m:rPr>
                <w:rPr>
                  <w:rFonts w:ascii="Cambria Math" w:hAnsi="Cambria Math" w:cs="Times New Roman"/>
                  <w:color w:val="auto"/>
                  <w:sz w:val="24"/>
                  <w:szCs w:val="24"/>
                  <w:highlight w:val="none"/>
                </w:rPr>
                <m:t>=0</m:t>
              </m:r>
            </m:oMath>
            <w:r>
              <w:rPr>
                <w:rFonts w:ascii="Times New Roman" w:hAnsi="Times New Roman" w:cs="Times New Roman"/>
                <w:iCs/>
                <w:color w:val="auto"/>
                <w:sz w:val="24"/>
                <w:szCs w:val="24"/>
                <w:highlight w:val="none"/>
              </w:rPr>
              <w:t>.000</w:t>
            </w:r>
            <w:r>
              <w:rPr>
                <w:rFonts w:hint="eastAsia" w:ascii="Times New Roman" w:hAnsi="Times New Roman" w:cs="Times New Roman"/>
                <w:iCs/>
                <w:color w:val="auto"/>
                <w:sz w:val="24"/>
                <w:szCs w:val="24"/>
                <w:highlight w:val="none"/>
                <w:lang w:val="en-US" w:eastAsia="zh-CN"/>
              </w:rPr>
              <w:t>0986</w:t>
            </w:r>
          </w:p>
          <w:p w14:paraId="14D24768">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黑体" w:cs="Times New Roman"/>
                <w:i w:val="0"/>
                <w:iCs/>
                <w:color w:val="auto"/>
                <w:sz w:val="24"/>
                <w:szCs w:val="24"/>
                <w:highlight w:val="none"/>
                <w:lang w:val="en-US" w:eastAsia="zh-CN"/>
              </w:rPr>
            </w:pPr>
            <m:oMath>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4</m:t>
                  </m:r>
                  <m:ctrlPr>
                    <w:rPr>
                      <w:rFonts w:ascii="Cambria Math" w:hAnsi="Cambria Math" w:cs="Times New Roman"/>
                      <w:iCs/>
                      <w:color w:val="auto"/>
                      <w:szCs w:val="24"/>
                      <w:highlight w:val="none"/>
                    </w:rPr>
                  </m:ctrlPr>
                </m:sub>
              </m:sSub>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1</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num>
                <m:den>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1</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den>
              </m:f>
              <m:box>
                <m:boxPr>
                  <m:opEmu m:val="1"/>
                  <m:ctrlPr>
                    <w:rPr>
                      <w:rFonts w:ascii="Cambria Math" w:hAnsi="Cambria Math" w:cs="Times New Roman"/>
                      <w:iCs/>
                      <w:color w:val="auto"/>
                      <w:szCs w:val="24"/>
                      <w:highlight w:val="none"/>
                    </w:rPr>
                  </m:ctrlPr>
                </m:boxPr>
                <m:e>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2</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num>
                    <m:den>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2</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den>
                  </m:f>
                  <m:ctrlPr>
                    <w:rPr>
                      <w:rFonts w:ascii="Cambria Math" w:hAnsi="Cambria Math" w:cs="Times New Roman"/>
                      <w:iCs/>
                      <w:color w:val="auto"/>
                      <w:szCs w:val="24"/>
                      <w:highlight w:val="none"/>
                    </w:rPr>
                  </m:ctrlPr>
                </m:e>
              </m:box>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n</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num>
                <m:den>
                  <m:sSub>
                    <m:sSubPr>
                      <m:ctrlPr>
                        <w:rPr>
                          <w:rFonts w:ascii="Cambria Math" w:hAnsi="Cambria Math" w:cs="Times New Roman"/>
                          <w:iCs/>
                          <w:color w:val="auto"/>
                          <w:szCs w:val="24"/>
                          <w:highlight w:val="none"/>
                        </w:rPr>
                      </m:ctrlPr>
                    </m:sSubPr>
                    <m:e>
                      <m:r>
                        <m:rPr>
                          <m:sty m:val="p"/>
                        </m:rPr>
                        <w:rPr>
                          <w:rFonts w:ascii="Cambria Math" w:hAnsi="Cambria Math" w:cs="Times New Roman"/>
                          <w:color w:val="auto"/>
                          <w:szCs w:val="24"/>
                          <w:highlight w:val="none"/>
                        </w:rPr>
                        <m:t>Q</m:t>
                      </m:r>
                      <m:ctrlPr>
                        <w:rPr>
                          <w:rFonts w:ascii="Cambria Math" w:hAnsi="Cambria Math" w:cs="Times New Roman"/>
                          <w:iCs/>
                          <w:color w:val="auto"/>
                          <w:szCs w:val="24"/>
                          <w:highlight w:val="none"/>
                        </w:rPr>
                      </m:ctrlPr>
                    </m:e>
                    <m:sub>
                      <m:r>
                        <m:rPr>
                          <m:sty m:val="p"/>
                        </m:rPr>
                        <w:rPr>
                          <w:rFonts w:ascii="Cambria Math" w:hAnsi="Cambria Math" w:cs="Times New Roman"/>
                          <w:color w:val="auto"/>
                          <w:szCs w:val="24"/>
                          <w:highlight w:val="none"/>
                        </w:rPr>
                        <m:t>n</m:t>
                      </m:r>
                      <m:ctrlPr>
                        <w:rPr>
                          <w:rFonts w:ascii="Cambria Math" w:hAnsi="Cambria Math" w:cs="Times New Roman"/>
                          <w:iCs/>
                          <w:color w:val="auto"/>
                          <w:szCs w:val="24"/>
                          <w:highlight w:val="none"/>
                        </w:rPr>
                      </m:ctrlPr>
                    </m:sub>
                  </m:sSub>
                  <m:ctrlPr>
                    <w:rPr>
                      <w:rFonts w:ascii="Cambria Math" w:hAnsi="Cambria Math" w:cs="Times New Roman"/>
                      <w:iCs/>
                      <w:color w:val="auto"/>
                      <w:szCs w:val="24"/>
                      <w:highlight w:val="none"/>
                    </w:rPr>
                  </m:ctrlPr>
                </m:den>
              </m:f>
              <m:r>
                <m:rPr>
                  <m:sty m:val="p"/>
                </m:rPr>
                <w:rPr>
                  <w:rFonts w:ascii="Cambria Math" w:hAnsi="Cambria Math" w:cs="Times New Roman"/>
                  <w:color w:val="auto"/>
                  <w:szCs w:val="24"/>
                  <w:highlight w:val="none"/>
                </w:rPr>
                <m:t>=</m:t>
              </m:r>
              <m:f>
                <m:fPr>
                  <m:ctrlPr>
                    <w:rPr>
                      <w:rFonts w:ascii="Cambria Math" w:hAnsi="Cambria Math" w:cs="Times New Roman"/>
                      <w:iCs/>
                      <w:color w:val="auto"/>
                      <w:szCs w:val="24"/>
                      <w:highlight w:val="none"/>
                    </w:rPr>
                  </m:ctrlPr>
                </m:fPr>
                <m:num>
                  <m:r>
                    <m:rPr>
                      <m:sty m:val="p"/>
                    </m:rPr>
                    <w:rPr>
                      <w:rFonts w:ascii="Cambria Math" w:hAnsi="Cambria Math" w:cs="Times New Roman"/>
                      <w:color w:val="auto"/>
                      <w:szCs w:val="24"/>
                      <w:highlight w:val="none"/>
                    </w:rPr>
                    <m:t>0.0</m:t>
                  </m:r>
                  <m:r>
                    <m:rPr>
                      <m:sty m:val="p"/>
                    </m:rPr>
                    <w:rPr>
                      <w:rFonts w:hint="default" w:ascii="Cambria Math" w:hAnsi="Cambria Math" w:cs="Times New Roman"/>
                      <w:color w:val="auto"/>
                      <w:szCs w:val="24"/>
                      <w:highlight w:val="none"/>
                      <w:lang w:val="en-US" w:eastAsia="zh-CN"/>
                    </w:rPr>
                    <m:t>12</m:t>
                  </m:r>
                  <m:ctrlPr>
                    <w:rPr>
                      <w:rFonts w:ascii="Cambria Math" w:hAnsi="Cambria Math" w:cs="Times New Roman"/>
                      <w:iCs/>
                      <w:color w:val="auto"/>
                      <w:szCs w:val="24"/>
                      <w:highlight w:val="none"/>
                    </w:rPr>
                  </m:ctrlPr>
                </m:num>
                <m:den>
                  <m:r>
                    <m:rPr>
                      <m:sty m:val="p"/>
                    </m:rPr>
                    <w:rPr>
                      <w:rFonts w:ascii="Cambria Math" w:hAnsi="Cambria Math" w:cs="Times New Roman"/>
                      <w:color w:val="auto"/>
                      <w:szCs w:val="24"/>
                      <w:highlight w:val="none"/>
                    </w:rPr>
                    <m:t>50</m:t>
                  </m:r>
                  <m:ctrlPr>
                    <w:rPr>
                      <w:rFonts w:ascii="Cambria Math" w:hAnsi="Cambria Math" w:cs="Times New Roman"/>
                      <w:iCs/>
                      <w:color w:val="auto"/>
                      <w:szCs w:val="24"/>
                      <w:highlight w:val="none"/>
                    </w:rPr>
                  </m:ctrlPr>
                </m:den>
              </m:f>
              <m:r>
                <m:rPr>
                  <m:sty m:val="p"/>
                </m:rPr>
                <w:rPr>
                  <w:rFonts w:ascii="Cambria Math" w:hAnsi="Cambria Math" w:cs="Times New Roman"/>
                  <w:color w:val="auto"/>
                  <w:szCs w:val="24"/>
                  <w:highlight w:val="none"/>
                </w:rPr>
                <m:t>=</m:t>
              </m:r>
            </m:oMath>
            <w:r>
              <w:rPr>
                <w:rFonts w:ascii="Times New Roman" w:hAnsi="Times New Roman" w:cs="Times New Roman"/>
                <w:iCs/>
                <w:color w:val="auto"/>
                <w:szCs w:val="24"/>
                <w:highlight w:val="none"/>
              </w:rPr>
              <w:t>0.000</w:t>
            </w:r>
            <w:r>
              <w:rPr>
                <w:rFonts w:hint="default" w:ascii="Times New Roman" w:hAnsi="Times New Roman" w:cs="Times New Roman"/>
                <w:iCs/>
                <w:color w:val="auto"/>
                <w:szCs w:val="24"/>
                <w:highlight w:val="none"/>
                <w:lang w:val="en-US" w:eastAsia="zh-CN"/>
              </w:rPr>
              <w:t>24</w:t>
            </w:r>
          </w:p>
          <w:p w14:paraId="5221D4B5">
            <w:pPr>
              <w:pageBreakBefore w:val="0"/>
              <w:kinsoku/>
              <w:overflowPunct/>
              <w:autoSpaceDE/>
              <w:autoSpaceDN/>
              <w:bidi w:val="0"/>
              <w:spacing w:line="360" w:lineRule="auto"/>
              <w:ind w:firstLine="480" w:firstLineChars="200"/>
              <w:jc w:val="both"/>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综上</w:t>
            </w:r>
            <w:r>
              <w:rPr>
                <w:rFonts w:hint="default" w:ascii="Times New Roman" w:hAnsi="Times New Roman" w:cs="Times New Roman"/>
                <w:color w:val="auto"/>
                <w:kern w:val="0"/>
                <w:highlight w:val="none"/>
              </w:rPr>
              <w:t>，危险物质的Q值</w:t>
            </w:r>
            <w:r>
              <w:rPr>
                <w:rFonts w:hint="default" w:ascii="Times New Roman" w:hAnsi="Times New Roman" w:cs="Times New Roman"/>
                <w:color w:val="auto"/>
                <w:kern w:val="0"/>
                <w:highlight w:val="none"/>
                <w:lang w:val="en-US" w:eastAsia="zh-CN"/>
              </w:rPr>
              <w:t>总和</w:t>
            </w:r>
            <w:r>
              <w:rPr>
                <w:rFonts w:hint="default" w:ascii="Times New Roman" w:hAnsi="Times New Roman" w:cs="Times New Roman"/>
                <w:color w:val="auto"/>
                <w:kern w:val="0"/>
                <w:highlight w:val="none"/>
              </w:rPr>
              <w:t>为</w:t>
            </w:r>
            <w:r>
              <w:rPr>
                <w:rFonts w:hint="default" w:ascii="Times New Roman" w:hAnsi="Times New Roman" w:cs="Times New Roman"/>
                <w:color w:val="auto"/>
                <w:kern w:val="0"/>
                <w:highlight w:val="none"/>
                <w:lang w:val="en-US" w:eastAsia="zh-CN"/>
              </w:rPr>
              <w:t>0.004</w:t>
            </w:r>
            <w:r>
              <w:rPr>
                <w:rFonts w:hint="default" w:ascii="Times New Roman" w:hAnsi="Times New Roman" w:cs="Times New Roman"/>
                <w:color w:val="auto"/>
                <w:kern w:val="0"/>
                <w:highlight w:val="none"/>
              </w:rPr>
              <w:t>&lt;1，则Q&lt;1，项目环境风险潜势为</w:t>
            </w:r>
            <w:r>
              <w:rPr>
                <w:rFonts w:hint="default" w:ascii="Times New Roman" w:hAnsi="Times New Roman" w:cs="Times New Roman"/>
                <w:color w:val="auto"/>
                <w:szCs w:val="21"/>
                <w:highlight w:val="none"/>
              </w:rPr>
              <w:t>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highlight w:val="none"/>
              </w:rPr>
              <w:t>仅开展简单分析。</w:t>
            </w:r>
          </w:p>
          <w:p w14:paraId="4CC17D18">
            <w:pPr>
              <w:pageBreakBefore w:val="0"/>
              <w:kinsoku/>
              <w:overflowPunct/>
              <w:autoSpaceDE/>
              <w:autoSpaceDN/>
              <w:bidi w:val="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4-</w:t>
            </w:r>
            <w:r>
              <w:rPr>
                <w:rFonts w:hint="eastAsia" w:cs="Times New Roman"/>
                <w:b/>
                <w:color w:val="auto"/>
                <w:kern w:val="0"/>
                <w:highlight w:val="none"/>
                <w:lang w:val="en-US" w:eastAsia="zh-CN"/>
              </w:rPr>
              <w:t>9</w:t>
            </w:r>
            <w:r>
              <w:rPr>
                <w:rFonts w:hint="default" w:ascii="Times New Roman" w:hAnsi="Times New Roman" w:cs="Times New Roman"/>
                <w:b/>
                <w:color w:val="auto"/>
                <w:kern w:val="0"/>
                <w:highlight w:val="none"/>
                <w:lang w:val="en-US" w:eastAsia="zh-CN"/>
              </w:rPr>
              <w:t xml:space="preserve">  </w:t>
            </w:r>
            <w:r>
              <w:rPr>
                <w:rFonts w:hint="default" w:ascii="Times New Roman" w:hAnsi="Times New Roman" w:cs="Times New Roman"/>
                <w:b/>
                <w:color w:val="auto"/>
                <w:kern w:val="0"/>
                <w:highlight w:val="none"/>
              </w:rPr>
              <w:t>环境风险评价工作等级划分</w:t>
            </w:r>
          </w:p>
          <w:tbl>
            <w:tblPr>
              <w:tblStyle w:val="50"/>
              <w:tblW w:w="8187"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1715"/>
              <w:gridCol w:w="1653"/>
              <w:gridCol w:w="1654"/>
              <w:gridCol w:w="1339"/>
            </w:tblGrid>
            <w:tr w14:paraId="29F9450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826" w:type="dxa"/>
                  <w:vAlign w:val="center"/>
                </w:tcPr>
                <w:p w14:paraId="072182DD">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环境风险潜势</w:t>
                  </w:r>
                </w:p>
              </w:tc>
              <w:tc>
                <w:tcPr>
                  <w:tcW w:w="1715" w:type="dxa"/>
                  <w:vAlign w:val="center"/>
                </w:tcPr>
                <w:p w14:paraId="02EA6579">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Ⅳ、Ⅳ+</w:t>
                  </w:r>
                </w:p>
              </w:tc>
              <w:tc>
                <w:tcPr>
                  <w:tcW w:w="1653" w:type="dxa"/>
                  <w:vAlign w:val="center"/>
                </w:tcPr>
                <w:p w14:paraId="59A8ADFD">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Ⅲ</w:t>
                  </w:r>
                </w:p>
              </w:tc>
              <w:tc>
                <w:tcPr>
                  <w:tcW w:w="1654" w:type="dxa"/>
                  <w:vAlign w:val="center"/>
                </w:tcPr>
                <w:p w14:paraId="3E56DACE">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Ⅱ</w:t>
                  </w:r>
                </w:p>
              </w:tc>
              <w:tc>
                <w:tcPr>
                  <w:tcW w:w="1339" w:type="dxa"/>
                  <w:vAlign w:val="center"/>
                </w:tcPr>
                <w:p w14:paraId="371F0354">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Ⅰ</w:t>
                  </w:r>
                </w:p>
              </w:tc>
            </w:tr>
            <w:tr w14:paraId="149E916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826" w:type="dxa"/>
                  <w:vAlign w:val="center"/>
                </w:tcPr>
                <w:p w14:paraId="229F1EA7">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评价工作等级</w:t>
                  </w:r>
                </w:p>
              </w:tc>
              <w:tc>
                <w:tcPr>
                  <w:tcW w:w="1715" w:type="dxa"/>
                  <w:vAlign w:val="center"/>
                </w:tcPr>
                <w:p w14:paraId="522343AB">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一</w:t>
                  </w:r>
                </w:p>
              </w:tc>
              <w:tc>
                <w:tcPr>
                  <w:tcW w:w="1653" w:type="dxa"/>
                  <w:vAlign w:val="center"/>
                </w:tcPr>
                <w:p w14:paraId="435FDC6D">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二</w:t>
                  </w:r>
                </w:p>
              </w:tc>
              <w:tc>
                <w:tcPr>
                  <w:tcW w:w="1654" w:type="dxa"/>
                  <w:vAlign w:val="center"/>
                </w:tcPr>
                <w:p w14:paraId="14F34741">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三</w:t>
                  </w:r>
                </w:p>
              </w:tc>
              <w:tc>
                <w:tcPr>
                  <w:tcW w:w="1339" w:type="dxa"/>
                  <w:vAlign w:val="center"/>
                </w:tcPr>
                <w:p w14:paraId="0CB359AA">
                  <w:pPr>
                    <w:pStyle w:val="201"/>
                    <w:pageBreakBefore w:val="0"/>
                    <w:kinsoku/>
                    <w:overflowPunct/>
                    <w:autoSpaceDE/>
                    <w:autoSpaceDN/>
                    <w:bidi w:val="0"/>
                    <w:spacing w:line="240" w:lineRule="auto"/>
                    <w:jc w:val="cente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简单分析a</w:t>
                  </w:r>
                </w:p>
              </w:tc>
            </w:tr>
            <w:tr w14:paraId="7BB0FA9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8187" w:type="dxa"/>
                  <w:gridSpan w:val="5"/>
                  <w:vAlign w:val="center"/>
                </w:tcPr>
                <w:p w14:paraId="0F9EEB27">
                  <w:pPr>
                    <w:pStyle w:val="201"/>
                    <w:pageBreakBefore w:val="0"/>
                    <w:kinsoku/>
                    <w:overflowPunct/>
                    <w:autoSpaceDE/>
                    <w:autoSpaceDN/>
                    <w:bidi w:val="0"/>
                    <w:spacing w:line="240" w:lineRule="auto"/>
                    <w:ind w:right="50" w:rightChars="21"/>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a.是相对于详细评价工作内容而言，在描述危险物质、环境影响途径、环境危害后果、风险防范措施等方面给出定性的说明。</w:t>
                  </w:r>
                </w:p>
              </w:tc>
            </w:tr>
          </w:tbl>
          <w:p w14:paraId="47C5BB81">
            <w:pPr>
              <w:pStyle w:val="3"/>
              <w:pageBreakBefore w:val="0"/>
              <w:numPr>
                <w:ilvl w:val="1"/>
                <w:numId w:val="0"/>
              </w:numPr>
              <w:kinsoku/>
              <w:overflowPunct/>
              <w:autoSpaceDE/>
              <w:autoSpaceDN/>
              <w:bidi w:val="0"/>
              <w:adjustRightInd/>
              <w:snapToGrid/>
              <w:ind w:left="1"/>
              <w:jc w:val="both"/>
              <w:rPr>
                <w:rFonts w:hint="default" w:ascii="Times New Roman" w:hAnsi="Times New Roman" w:cs="Times New Roman"/>
                <w:color w:val="auto"/>
                <w:sz w:val="24"/>
                <w:szCs w:val="30"/>
                <w:highlight w:val="none"/>
              </w:rPr>
            </w:pPr>
            <w:bookmarkStart w:id="155" w:name="_Toc133251490"/>
            <w:bookmarkStart w:id="156" w:name="_Toc133251557"/>
            <w:bookmarkStart w:id="157" w:name="_Toc23974"/>
            <w:bookmarkStart w:id="158" w:name="_Toc31204"/>
            <w:bookmarkStart w:id="159" w:name="_Toc29738"/>
            <w:bookmarkStart w:id="160" w:name="_Toc28351"/>
            <w:r>
              <w:rPr>
                <w:rFonts w:hint="default" w:ascii="Times New Roman" w:hAnsi="Times New Roman" w:cs="Times New Roman"/>
                <w:color w:val="auto"/>
                <w:sz w:val="24"/>
                <w:szCs w:val="30"/>
                <w:highlight w:val="none"/>
              </w:rPr>
              <w:t>4.</w:t>
            </w:r>
            <w:r>
              <w:rPr>
                <w:rFonts w:hint="default" w:ascii="Times New Roman" w:hAnsi="Times New Roman" w:cs="Times New Roman"/>
                <w:color w:val="auto"/>
                <w:sz w:val="24"/>
                <w:szCs w:val="30"/>
                <w:highlight w:val="none"/>
                <w:lang w:val="en-US" w:eastAsia="zh-CN"/>
              </w:rPr>
              <w:t>9</w:t>
            </w:r>
            <w:r>
              <w:rPr>
                <w:rFonts w:hint="default" w:ascii="Times New Roman" w:hAnsi="Times New Roman" w:cs="Times New Roman"/>
                <w:color w:val="auto"/>
                <w:sz w:val="24"/>
                <w:szCs w:val="30"/>
                <w:highlight w:val="none"/>
              </w:rPr>
              <w:t>.3</w:t>
            </w:r>
            <w:r>
              <w:rPr>
                <w:rFonts w:hint="eastAsia" w:ascii="Times New Roman" w:hAnsi="Times New Roman" w:cs="Times New Roman"/>
                <w:color w:val="auto"/>
                <w:sz w:val="24"/>
                <w:szCs w:val="30"/>
                <w:highlight w:val="none"/>
                <w:lang w:val="en-US" w:eastAsia="zh-CN"/>
              </w:rPr>
              <w:t xml:space="preserve"> </w:t>
            </w:r>
            <w:r>
              <w:rPr>
                <w:rFonts w:hint="default" w:ascii="Times New Roman" w:hAnsi="Times New Roman" w:cs="Times New Roman"/>
                <w:color w:val="auto"/>
                <w:sz w:val="24"/>
                <w:szCs w:val="30"/>
                <w:highlight w:val="none"/>
              </w:rPr>
              <w:t>最大可信事故</w:t>
            </w:r>
            <w:bookmarkEnd w:id="155"/>
            <w:bookmarkEnd w:id="156"/>
            <w:bookmarkEnd w:id="157"/>
            <w:bookmarkEnd w:id="158"/>
            <w:bookmarkEnd w:id="159"/>
            <w:bookmarkEnd w:id="160"/>
          </w:p>
          <w:p w14:paraId="7CA55233">
            <w:pPr>
              <w:pStyle w:val="485"/>
              <w:pageBreakBefore w:val="0"/>
              <w:kinsoku/>
              <w:overflowPunct/>
              <w:autoSpaceDE/>
              <w:autoSpaceDN/>
              <w:bidi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最大可信事故是指事故所造成的危害在所有预测的事故中最严重，并且发生该事故的概率不为零的事故。根据工程特点和风险识别，</w:t>
            </w:r>
            <w:r>
              <w:rPr>
                <w:rFonts w:hint="eastAsia" w:cs="Times New Roman"/>
                <w:color w:val="auto"/>
                <w:szCs w:val="24"/>
                <w:highlight w:val="none"/>
                <w:lang w:val="en-US" w:eastAsia="zh-CN"/>
              </w:rPr>
              <w:t>建设</w:t>
            </w:r>
            <w:r>
              <w:rPr>
                <w:rFonts w:hint="default" w:ascii="Times New Roman" w:hAnsi="Times New Roman" w:cs="Times New Roman"/>
                <w:color w:val="auto"/>
                <w:szCs w:val="24"/>
                <w:highlight w:val="none"/>
                <w:lang w:val="en-US" w:eastAsia="zh-CN"/>
              </w:rPr>
              <w:t>项目</w:t>
            </w:r>
            <w:r>
              <w:rPr>
                <w:rFonts w:hint="default" w:ascii="Times New Roman" w:hAnsi="Times New Roman" w:cs="Times New Roman"/>
                <w:color w:val="auto"/>
                <w:szCs w:val="24"/>
                <w:highlight w:val="none"/>
              </w:rPr>
              <w:t>风险评价的最大可信事故设定为</w:t>
            </w:r>
            <w:r>
              <w:rPr>
                <w:rFonts w:hint="default" w:ascii="Times New Roman" w:hAnsi="Times New Roman" w:cs="Times New Roman"/>
                <w:color w:val="auto"/>
                <w:szCs w:val="24"/>
                <w:highlight w:val="none"/>
                <w:lang w:eastAsia="zh-CN"/>
              </w:rPr>
              <w:t>诊疗废水</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诊疗废物</w:t>
            </w:r>
            <w:r>
              <w:rPr>
                <w:rFonts w:hint="default" w:ascii="Times New Roman" w:hAnsi="Times New Roman" w:cs="Times New Roman"/>
                <w:color w:val="auto"/>
                <w:szCs w:val="24"/>
                <w:highlight w:val="none"/>
              </w:rPr>
              <w:t>泄露事故。</w:t>
            </w:r>
          </w:p>
          <w:p w14:paraId="7A10E346">
            <w:pPr>
              <w:pStyle w:val="21"/>
              <w:spacing w:after="0" w:line="360" w:lineRule="auto"/>
              <w:ind w:left="0" w:leftChars="0" w:firstLine="0" w:firstLineChars="0"/>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4.9.4</w:t>
            </w:r>
            <w:r>
              <w:rPr>
                <w:rFonts w:hint="eastAsia"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环境风险可接受水平分析</w:t>
            </w:r>
          </w:p>
          <w:p w14:paraId="76CCCF07">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诊疗废水</w:t>
            </w:r>
            <w:r>
              <w:rPr>
                <w:rFonts w:ascii="Times New Roman" w:hAnsi="Times New Roman" w:cs="Times New Roman"/>
                <w:color w:val="auto"/>
                <w:highlight w:val="none"/>
              </w:rPr>
              <w:t>：污水管道及</w:t>
            </w:r>
            <w:r>
              <w:rPr>
                <w:rFonts w:hint="default" w:ascii="Times New Roman" w:hAnsi="Times New Roman" w:cs="Times New Roman"/>
                <w:color w:val="auto"/>
                <w:highlight w:val="none"/>
                <w:lang w:eastAsia="zh-CN"/>
              </w:rPr>
              <w:t>消毒设备</w:t>
            </w:r>
            <w:r>
              <w:rPr>
                <w:rFonts w:ascii="Times New Roman" w:hAnsi="Times New Roman" w:cs="Times New Roman"/>
                <w:color w:val="auto"/>
                <w:highlight w:val="none"/>
              </w:rPr>
              <w:t>运行过程进行定期的检查、维护和保养，避免管道堵塞、破裂等情况发生。处理后出水指标要按照环境管理工作制度的要求，定期、定时进行检测，以保障污水稳定达标排放。项目采用</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进行消毒处理</w:t>
            </w:r>
            <w:r>
              <w:rPr>
                <w:rFonts w:ascii="Times New Roman" w:hAnsi="Times New Roman" w:cs="Times New Roman"/>
                <w:color w:val="auto"/>
                <w:highlight w:val="none"/>
              </w:rPr>
              <w:t>，</w:t>
            </w:r>
            <w:r>
              <w:rPr>
                <w:rFonts w:hint="default" w:ascii="Times New Roman" w:hAnsi="Times New Roman" w:cs="Times New Roman"/>
                <w:color w:val="auto"/>
                <w:highlight w:val="none"/>
                <w:lang w:eastAsia="zh-CN"/>
              </w:rPr>
              <w:t>诊疗废水</w:t>
            </w:r>
            <w:r>
              <w:rPr>
                <w:rFonts w:ascii="Times New Roman" w:hAnsi="Times New Roman" w:cs="Times New Roman"/>
                <w:color w:val="auto"/>
                <w:highlight w:val="none"/>
              </w:rPr>
              <w:t>受接诊宠物情况影响，非连续性排放</w:t>
            </w:r>
            <w:r>
              <w:rPr>
                <w:rFonts w:hint="default" w:ascii="Times New Roman" w:hAnsi="Times New Roman" w:cs="Times New Roman"/>
                <w:color w:val="auto"/>
                <w:highlight w:val="none"/>
              </w:rPr>
              <w:t>，</w:t>
            </w:r>
            <w:r>
              <w:rPr>
                <w:rFonts w:ascii="Times New Roman" w:hAnsi="Times New Roman" w:cs="Times New Roman"/>
                <w:color w:val="auto"/>
                <w:highlight w:val="none"/>
              </w:rPr>
              <w:t>且水量较小，对废水处理设施冲击较小，</w:t>
            </w:r>
            <w:r>
              <w:rPr>
                <w:rFonts w:hint="default" w:ascii="Times New Roman" w:hAnsi="Times New Roman" w:cs="Times New Roman"/>
                <w:color w:val="auto"/>
                <w:highlight w:val="none"/>
                <w:lang w:eastAsia="zh-CN"/>
              </w:rPr>
              <w:t>消毒设备</w:t>
            </w:r>
            <w:r>
              <w:rPr>
                <w:rFonts w:ascii="Times New Roman" w:hAnsi="Times New Roman" w:cs="Times New Roman"/>
                <w:color w:val="auto"/>
                <w:highlight w:val="none"/>
              </w:rPr>
              <w:t>出现故障概率较小。当消毒设备损坏、停用时，本院停止运营，不产生</w:t>
            </w:r>
            <w:r>
              <w:rPr>
                <w:rFonts w:hint="default" w:ascii="Times New Roman" w:hAnsi="Times New Roman" w:cs="Times New Roman"/>
                <w:color w:val="auto"/>
                <w:highlight w:val="none"/>
                <w:lang w:eastAsia="zh-CN"/>
              </w:rPr>
              <w:t>诊疗废水</w:t>
            </w:r>
            <w:r>
              <w:rPr>
                <w:rFonts w:ascii="Times New Roman" w:hAnsi="Times New Roman" w:cs="Times New Roman"/>
                <w:color w:val="auto"/>
                <w:highlight w:val="none"/>
              </w:rPr>
              <w:t>，待消毒设备检修正常运行后再投入运营。因此，</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泄漏</w:t>
            </w:r>
            <w:r>
              <w:rPr>
                <w:rFonts w:ascii="Times New Roman" w:hAnsi="Times New Roman" w:cs="Times New Roman"/>
                <w:color w:val="auto"/>
                <w:highlight w:val="none"/>
              </w:rPr>
              <w:t>的概率较小，其产生的风险可接受。</w:t>
            </w:r>
          </w:p>
          <w:p w14:paraId="436AB412">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：项目设置</w:t>
            </w:r>
            <w:r>
              <w:rPr>
                <w:rFonts w:hint="default" w:ascii="Times New Roman" w:hAnsi="Times New Roman" w:cs="Times New Roman"/>
                <w:color w:val="auto"/>
                <w:highlight w:val="none"/>
              </w:rPr>
              <w:t>危废间</w:t>
            </w:r>
            <w:r>
              <w:rPr>
                <w:rFonts w:ascii="Times New Roman" w:hAnsi="Times New Roman" w:cs="Times New Roman"/>
                <w:color w:val="auto"/>
                <w:highlight w:val="none"/>
              </w:rPr>
              <w:t>，专门用于储存</w:t>
            </w:r>
            <w:r>
              <w:rPr>
                <w:rFonts w:hint="default" w:ascii="Times New Roman" w:hAnsi="Times New Roman" w:cs="Times New Roman"/>
                <w:color w:val="auto"/>
                <w:highlight w:val="none"/>
                <w:lang w:val="en-US" w:eastAsia="zh-CN"/>
              </w:rPr>
              <w:t>各类</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w:t>
            </w:r>
            <w:r>
              <w:rPr>
                <w:rFonts w:hint="default" w:ascii="Times New Roman" w:hAnsi="Times New Roman" w:cs="Times New Roman"/>
                <w:color w:val="auto"/>
                <w:highlight w:val="none"/>
                <w:lang w:val="en-US" w:eastAsia="zh-CN"/>
              </w:rPr>
              <w:t>各类诊疗废弃物</w:t>
            </w:r>
            <w:r>
              <w:rPr>
                <w:rFonts w:ascii="Times New Roman" w:hAnsi="Times New Roman" w:cs="Times New Roman"/>
                <w:color w:val="auto"/>
                <w:highlight w:val="none"/>
              </w:rPr>
              <w:t>由</w:t>
            </w:r>
            <w:r>
              <w:rPr>
                <w:rFonts w:hint="default" w:ascii="Times New Roman" w:hAnsi="Times New Roman" w:cs="Times New Roman"/>
                <w:color w:val="auto"/>
                <w:highlight w:val="none"/>
                <w:lang w:val="en-US" w:eastAsia="zh-CN"/>
              </w:rPr>
              <w:t>有资质单位</w:t>
            </w:r>
            <w:r>
              <w:rPr>
                <w:rFonts w:ascii="Times New Roman" w:hAnsi="Times New Roman" w:cs="Times New Roman"/>
                <w:color w:val="auto"/>
                <w:highlight w:val="none"/>
              </w:rPr>
              <w:t>进行转运</w:t>
            </w:r>
            <w:r>
              <w:rPr>
                <w:rFonts w:hint="default" w:ascii="Times New Roman" w:hAnsi="Times New Roman" w:cs="Times New Roman"/>
                <w:color w:val="auto"/>
                <w:highlight w:val="none"/>
                <w:lang w:eastAsia="zh-CN"/>
              </w:rPr>
              <w:t>、</w:t>
            </w:r>
            <w:r>
              <w:rPr>
                <w:rFonts w:ascii="Times New Roman" w:hAnsi="Times New Roman" w:cs="Times New Roman"/>
                <w:color w:val="auto"/>
                <w:highlight w:val="none"/>
              </w:rPr>
              <w:t>处置。医院工作人员按照</w:t>
            </w:r>
            <w:r>
              <w:rPr>
                <w:rFonts w:hint="default" w:ascii="Times New Roman" w:hAnsi="Times New Roman" w:cs="Times New Roman"/>
                <w:color w:val="auto"/>
                <w:highlight w:val="none"/>
                <w:lang w:eastAsia="zh-CN"/>
              </w:rPr>
              <w:t>《医疗废物管理条例》</w:t>
            </w:r>
            <w:r>
              <w:rPr>
                <w:rFonts w:hint="default" w:ascii="Times New Roman" w:hAnsi="Times New Roman" w:cs="Times New Roman"/>
                <w:color w:val="auto"/>
                <w:highlight w:val="none"/>
                <w:lang w:val="en-US" w:eastAsia="zh-CN"/>
              </w:rPr>
              <w:t>和</w:t>
            </w:r>
            <w:r>
              <w:rPr>
                <w:rFonts w:ascii="Times New Roman" w:hAnsi="Times New Roman" w:eastAsia="宋体" w:cs="Times New Roman"/>
                <w:color w:val="auto"/>
                <w:highlight w:val="none"/>
              </w:rPr>
              <w:t>《危险废物贮存污染控制标准》（GB18597-2023）</w:t>
            </w:r>
            <w:r>
              <w:rPr>
                <w:rFonts w:ascii="Times New Roman" w:hAnsi="Times New Roman" w:cs="Times New Roman"/>
                <w:color w:val="auto"/>
                <w:highlight w:val="none"/>
              </w:rPr>
              <w:t>的要求及时分类收集本</w:t>
            </w:r>
            <w:r>
              <w:rPr>
                <w:rFonts w:hint="default" w:ascii="Times New Roman" w:hAnsi="Times New Roman" w:cs="Times New Roman"/>
                <w:color w:val="auto"/>
                <w:highlight w:val="none"/>
              </w:rPr>
              <w:t>单位</w:t>
            </w:r>
            <w:r>
              <w:rPr>
                <w:rFonts w:ascii="Times New Roman" w:hAnsi="Times New Roman" w:cs="Times New Roman"/>
                <w:color w:val="auto"/>
                <w:highlight w:val="none"/>
              </w:rPr>
              <w:t>的</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，并按照类别分置于防渗漏、防锐器穿透的专用包装物或者密闭的容器内。</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专用包装物、容器，设置有明显的警示标识和警示说明。一旦有</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混入生活垃圾，混有</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的生活垃圾按照</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处置。暂存设施设专人管理，</w:t>
            </w:r>
            <w:r>
              <w:rPr>
                <w:rFonts w:hint="default" w:ascii="Times New Roman" w:hAnsi="Times New Roman" w:cs="Times New Roman"/>
                <w:color w:val="auto"/>
                <w:highlight w:val="none"/>
              </w:rPr>
              <w:t>技术人员</w:t>
            </w:r>
            <w:r>
              <w:rPr>
                <w:rFonts w:ascii="Times New Roman" w:hAnsi="Times New Roman" w:cs="Times New Roman"/>
                <w:color w:val="auto"/>
                <w:highlight w:val="none"/>
              </w:rPr>
              <w:t>对暂存设施和贮存容器进行检查，发生破损、开裂等问题，及时更换。</w:t>
            </w:r>
            <w:r>
              <w:rPr>
                <w:rFonts w:hint="default" w:ascii="Times New Roman" w:hAnsi="Times New Roman" w:cs="Times New Roman"/>
                <w:color w:val="auto"/>
                <w:highlight w:val="none"/>
              </w:rPr>
              <w:t>危废间</w:t>
            </w:r>
            <w:r>
              <w:rPr>
                <w:rFonts w:ascii="Times New Roman" w:hAnsi="Times New Roman" w:cs="Times New Roman"/>
                <w:color w:val="auto"/>
                <w:highlight w:val="none"/>
              </w:rPr>
              <w:t>做好防腐防渗漏措施，防止废物渗漏到外环境。因此，</w:t>
            </w:r>
            <w:r>
              <w:rPr>
                <w:rFonts w:hint="default" w:ascii="Times New Roman" w:hAnsi="Times New Roman" w:cs="Times New Roman"/>
                <w:color w:val="auto"/>
                <w:highlight w:val="none"/>
                <w:lang w:eastAsia="zh-CN"/>
              </w:rPr>
              <w:t>诊疗废物</w:t>
            </w:r>
            <w:r>
              <w:rPr>
                <w:rFonts w:ascii="Times New Roman" w:hAnsi="Times New Roman" w:cs="Times New Roman"/>
                <w:color w:val="auto"/>
                <w:highlight w:val="none"/>
              </w:rPr>
              <w:t>在合理的处置及管理的情况下，</w:t>
            </w:r>
            <w:r>
              <w:rPr>
                <w:rFonts w:hint="default" w:ascii="Times New Roman" w:hAnsi="Times New Roman" w:cs="Times New Roman"/>
                <w:color w:val="auto"/>
                <w:highlight w:val="none"/>
              </w:rPr>
              <w:t>泄漏</w:t>
            </w:r>
            <w:r>
              <w:rPr>
                <w:rFonts w:ascii="Times New Roman" w:hAnsi="Times New Roman" w:cs="Times New Roman"/>
                <w:color w:val="auto"/>
                <w:highlight w:val="none"/>
              </w:rPr>
              <w:t>的概率较小，其产生的风险可接受。</w:t>
            </w:r>
          </w:p>
          <w:p w14:paraId="5045AD92">
            <w:pPr>
              <w:spacing w:line="360" w:lineRule="auto"/>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4.9.5</w:t>
            </w:r>
            <w:r>
              <w:rPr>
                <w:rFonts w:hint="eastAsia"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消防风险分析</w:t>
            </w:r>
          </w:p>
          <w:p w14:paraId="5A4A30F3">
            <w:pPr>
              <w:pStyle w:val="159"/>
              <w:ind w:firstLine="480"/>
              <w:rPr>
                <w:rFonts w:ascii="Times New Roman" w:hAnsi="Times New Roman" w:eastAsia="宋体" w:cs="Times New Roman"/>
                <w:bCs w:val="0"/>
                <w:color w:val="auto"/>
                <w:szCs w:val="24"/>
                <w:highlight w:val="none"/>
              </w:rPr>
            </w:pPr>
            <w:bookmarkStart w:id="161" w:name="_Toc17230"/>
            <w:bookmarkStart w:id="162" w:name="_Toc22367"/>
            <w:bookmarkStart w:id="163" w:name="_Toc1243"/>
            <w:bookmarkStart w:id="164" w:name="_Toc14392"/>
            <w:r>
              <w:rPr>
                <w:rFonts w:ascii="Times New Roman" w:hAnsi="Times New Roman" w:eastAsia="宋体" w:cs="Times New Roman"/>
                <w:bCs w:val="0"/>
                <w:color w:val="auto"/>
                <w:szCs w:val="24"/>
                <w:highlight w:val="none"/>
              </w:rPr>
              <w:t>项目位于建筑店面，可能存在火灾风险。平面布置应严格执行消防安全和防火的相关技术规范要求，预留消防通道。加强岗位人员的技术培训和消防安全知识培训工作的业务素质，加强岗位操作管理，严格执行操作规程。店内严禁擅自乱拉、乱接电源线路，不得随意增设电器设备；各电气设备的导线、接点、开关不得有断线、老化、裸漏、破损等；加强消防通道、安全疏散通道的管理，保障其通畅；加强店内假日及夜间消防安全管理。店内配备一定数目的移动式灭火器，同时应加强员工培训，使其熟练掌握灭火器的使用。另外还应加强对灭火器的维护保养，灭火器应正立在固定场所，严禁潮湿，日晒，撞击，定期检查。</w:t>
            </w:r>
            <w:bookmarkEnd w:id="161"/>
            <w:bookmarkEnd w:id="162"/>
            <w:bookmarkEnd w:id="163"/>
            <w:bookmarkEnd w:id="164"/>
          </w:p>
          <w:p w14:paraId="13F6904F">
            <w:pPr>
              <w:pStyle w:val="159"/>
              <w:ind w:firstLine="480"/>
              <w:rPr>
                <w:rFonts w:ascii="Times New Roman" w:hAnsi="Times New Roman" w:cs="Times New Roman"/>
                <w:color w:val="auto"/>
                <w:highlight w:val="none"/>
              </w:rPr>
            </w:pPr>
            <w:r>
              <w:rPr>
                <w:rFonts w:ascii="Times New Roman" w:hAnsi="Times New Roman" w:eastAsia="宋体" w:cs="Times New Roman"/>
                <w:bCs w:val="0"/>
                <w:color w:val="auto"/>
                <w:szCs w:val="24"/>
                <w:highlight w:val="none"/>
              </w:rPr>
              <w:t>若发现店内起火，应立即报警，停止有关运营活动。迅速采取相应的措施进行灭火，制止事故现场及周围与应急救援无关的一切作业，疏散无关人员。待消防救护队或其它救护专业队到达现场后，积极配合各专业队开展救援工作。当事故得到控制后，应查明事故原因，消除隐患，落实防范措施。同时做好善后工作，总结经验教训，并按事故报告程序，向主管部门报告。</w:t>
            </w:r>
          </w:p>
          <w:p w14:paraId="75615735">
            <w:pPr>
              <w:pStyle w:val="3"/>
              <w:numPr>
                <w:ilvl w:val="1"/>
                <w:numId w:val="0"/>
              </w:numPr>
              <w:adjustRightInd/>
              <w:snapToGrid/>
              <w:jc w:val="both"/>
              <w:rPr>
                <w:rFonts w:ascii="Times New Roman" w:hAnsi="Times New Roman" w:cs="Times New Roman"/>
                <w:color w:val="auto"/>
                <w:sz w:val="24"/>
                <w:szCs w:val="30"/>
                <w:highlight w:val="none"/>
              </w:rPr>
            </w:pPr>
            <w:r>
              <w:rPr>
                <w:rFonts w:ascii="Times New Roman" w:hAnsi="Times New Roman" w:cs="Times New Roman"/>
                <w:color w:val="auto"/>
                <w:sz w:val="24"/>
                <w:szCs w:val="30"/>
                <w:highlight w:val="none"/>
              </w:rPr>
              <w:t>4.9.</w:t>
            </w:r>
            <w:r>
              <w:rPr>
                <w:rFonts w:hint="default" w:ascii="Times New Roman" w:hAnsi="Times New Roman" w:cs="Times New Roman"/>
                <w:color w:val="auto"/>
                <w:sz w:val="24"/>
                <w:szCs w:val="30"/>
                <w:highlight w:val="none"/>
              </w:rPr>
              <w:t>6</w:t>
            </w:r>
            <w:r>
              <w:rPr>
                <w:rFonts w:hint="eastAsia" w:ascii="Times New Roman" w:hAnsi="Times New Roman" w:cs="Times New Roman"/>
                <w:color w:val="auto"/>
                <w:sz w:val="24"/>
                <w:szCs w:val="30"/>
                <w:highlight w:val="none"/>
                <w:lang w:val="en-US" w:eastAsia="zh-CN"/>
              </w:rPr>
              <w:t xml:space="preserve"> </w:t>
            </w:r>
            <w:r>
              <w:rPr>
                <w:rFonts w:ascii="Times New Roman" w:hAnsi="Times New Roman" w:cs="Times New Roman"/>
                <w:color w:val="auto"/>
                <w:sz w:val="24"/>
                <w:szCs w:val="30"/>
                <w:highlight w:val="none"/>
              </w:rPr>
              <w:t>风险防范措施</w:t>
            </w:r>
          </w:p>
          <w:p w14:paraId="222DB164">
            <w:pPr>
              <w:adjustRightInd w:val="0"/>
              <w:snapToGrid w:val="0"/>
              <w:spacing w:line="360" w:lineRule="auto"/>
              <w:ind w:firstLine="480" w:firstLineChars="200"/>
              <w:rPr>
                <w:rFonts w:ascii="Times New Roman" w:hAnsi="Times New Roman" w:cs="Times New Roman"/>
                <w:bCs/>
                <w:color w:val="auto"/>
                <w:highlight w:val="none"/>
              </w:rPr>
            </w:pPr>
            <w:r>
              <w:rPr>
                <w:rFonts w:hint="default" w:ascii="Times New Roman" w:hAnsi="Times New Roman" w:cs="Times New Roman"/>
                <w:bCs/>
                <w:color w:val="auto"/>
                <w:highlight w:val="none"/>
              </w:rPr>
              <w:t>（1）</w:t>
            </w:r>
            <w:r>
              <w:rPr>
                <w:rFonts w:ascii="Times New Roman" w:hAnsi="Times New Roman" w:cs="Times New Roman"/>
                <w:bCs/>
                <w:color w:val="auto"/>
                <w:highlight w:val="none"/>
              </w:rPr>
              <w:t>针对</w:t>
            </w:r>
            <w:r>
              <w:rPr>
                <w:rFonts w:hint="default" w:ascii="Times New Roman" w:hAnsi="Times New Roman" w:cs="Times New Roman"/>
                <w:bCs/>
                <w:color w:val="auto"/>
                <w:highlight w:val="none"/>
                <w:lang w:eastAsia="zh-CN"/>
              </w:rPr>
              <w:t>诊疗废水</w:t>
            </w:r>
            <w:r>
              <w:rPr>
                <w:rFonts w:ascii="Times New Roman" w:hAnsi="Times New Roman" w:cs="Times New Roman"/>
                <w:bCs/>
                <w:color w:val="auto"/>
                <w:highlight w:val="none"/>
              </w:rPr>
              <w:t>排放事故所产生的风险，建设单位应加强</w:t>
            </w:r>
            <w:r>
              <w:rPr>
                <w:rFonts w:hint="default" w:ascii="Times New Roman" w:hAnsi="Times New Roman" w:cs="Times New Roman"/>
                <w:bCs/>
                <w:color w:val="auto"/>
                <w:highlight w:val="none"/>
                <w:lang w:eastAsia="zh-CN"/>
              </w:rPr>
              <w:t>消毒设备</w:t>
            </w:r>
            <w:r>
              <w:rPr>
                <w:rFonts w:ascii="Times New Roman" w:hAnsi="Times New Roman" w:cs="Times New Roman"/>
                <w:bCs/>
                <w:color w:val="auto"/>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cs="Times New Roman"/>
                <w:bCs/>
                <w:color w:val="auto"/>
                <w:highlight w:val="none"/>
                <w:lang w:eastAsia="zh-CN"/>
              </w:rPr>
              <w:t>诊疗废水</w:t>
            </w:r>
            <w:r>
              <w:rPr>
                <w:rFonts w:hint="default" w:ascii="Times New Roman" w:hAnsi="Times New Roman" w:cs="Times New Roman"/>
                <w:bCs/>
                <w:color w:val="auto"/>
                <w:highlight w:val="none"/>
                <w:lang w:val="en-US" w:eastAsia="zh-CN"/>
              </w:rPr>
              <w:t>直接</w:t>
            </w:r>
            <w:r>
              <w:rPr>
                <w:rFonts w:ascii="Times New Roman" w:hAnsi="Times New Roman" w:cs="Times New Roman"/>
                <w:bCs/>
                <w:color w:val="auto"/>
                <w:highlight w:val="none"/>
              </w:rPr>
              <w:t>排入</w:t>
            </w:r>
            <w:r>
              <w:rPr>
                <w:rFonts w:hint="default" w:ascii="Times New Roman" w:hAnsi="Times New Roman" w:cs="Times New Roman"/>
                <w:bCs/>
                <w:color w:val="auto"/>
                <w:highlight w:val="none"/>
                <w:lang w:val="en-US" w:eastAsia="zh-CN"/>
              </w:rPr>
              <w:t>化粪池</w:t>
            </w:r>
            <w:r>
              <w:rPr>
                <w:rFonts w:ascii="Times New Roman" w:hAnsi="Times New Roman" w:cs="Times New Roman"/>
                <w:bCs/>
                <w:color w:val="auto"/>
                <w:highlight w:val="none"/>
              </w:rPr>
              <w:t>。若出现管道破裂或废水溢流等情况，需紧急疏散周边居民，立即封锁现场，对污染事故进行处理，对事故现场及周边影响地区进行清理、消毒，同时应调查事故发生原因，防范事故再次发生。</w:t>
            </w:r>
          </w:p>
          <w:p w14:paraId="5FEB9DB6">
            <w:pPr>
              <w:adjustRightInd w:val="0"/>
              <w:snapToGrid w:val="0"/>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bCs/>
                <w:color w:val="auto"/>
                <w:highlight w:val="none"/>
              </w:rPr>
              <w:t>（2）</w:t>
            </w:r>
            <w:r>
              <w:rPr>
                <w:rFonts w:hint="default" w:ascii="Times New Roman" w:hAnsi="Times New Roman" w:cs="Times New Roman"/>
                <w:bCs/>
                <w:color w:val="auto"/>
                <w:highlight w:val="none"/>
                <w:lang w:eastAsia="zh-CN"/>
              </w:rPr>
              <w:t>诊疗废物</w:t>
            </w:r>
            <w:r>
              <w:rPr>
                <w:rFonts w:ascii="Times New Roman" w:hAnsi="Times New Roman" w:cs="Times New Roman"/>
                <w:bCs/>
                <w:color w:val="auto"/>
                <w:highlight w:val="none"/>
              </w:rPr>
              <w:t>必须经科学地分类收集、贮存运送后交由具有相关资质的单位进行最终处置。</w:t>
            </w:r>
          </w:p>
          <w:bookmarkEnd w:id="151"/>
          <w:bookmarkEnd w:id="152"/>
          <w:bookmarkEnd w:id="153"/>
          <w:bookmarkEnd w:id="154"/>
          <w:p w14:paraId="0DCED371">
            <w:pPr>
              <w:pStyle w:val="3"/>
              <w:numPr>
                <w:ilvl w:val="0"/>
                <w:numId w:val="0"/>
              </w:numPr>
              <w:spacing w:beforeLines="50"/>
              <w:jc w:val="both"/>
              <w:rPr>
                <w:rFonts w:hint="default" w:ascii="Times New Roman" w:hAnsi="Times New Roman" w:eastAsia="宋体" w:cs="Times New Roman"/>
                <w:color w:val="auto"/>
                <w:highlight w:val="none"/>
                <w:lang w:val="en-US" w:eastAsia="zh-CN"/>
              </w:rPr>
            </w:pPr>
            <w:bookmarkStart w:id="165" w:name="_Toc17952"/>
            <w:bookmarkStart w:id="166" w:name="_Toc9202"/>
            <w:bookmarkStart w:id="167" w:name="_Toc25377"/>
            <w:bookmarkStart w:id="168" w:name="_Toc13009"/>
            <w:bookmarkStart w:id="169" w:name="_Toc9472"/>
            <w:bookmarkStart w:id="170" w:name="_Toc18713"/>
            <w:bookmarkStart w:id="171" w:name="_Toc133251559"/>
            <w:bookmarkStart w:id="172" w:name="_Toc24026"/>
            <w:bookmarkStart w:id="173" w:name="_Toc28883"/>
            <w:r>
              <w:rPr>
                <w:rFonts w:ascii="Times New Roman" w:hAnsi="Times New Roman" w:cs="Times New Roman"/>
                <w:color w:val="auto"/>
                <w:highlight w:val="none"/>
              </w:rPr>
              <w:t>4.10</w:t>
            </w:r>
            <w:r>
              <w:rPr>
                <w:rFonts w:hint="eastAsia"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环境管理</w:t>
            </w:r>
            <w:r>
              <w:rPr>
                <w:rFonts w:hint="default" w:ascii="Times New Roman" w:hAnsi="Times New Roman" w:cs="Times New Roman"/>
                <w:color w:val="auto"/>
                <w:highlight w:val="none"/>
                <w:lang w:val="en-US" w:eastAsia="zh-CN"/>
              </w:rPr>
              <w:t>计划</w:t>
            </w:r>
          </w:p>
          <w:p w14:paraId="250F65E0">
            <w:pPr>
              <w:pStyle w:val="492"/>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rPr>
              <w:t>环境管理计划要从项目建设全过程进行，如设计阶段污染防范、施工阶段污染防治、运营后环保设施环境管理、信息反馈和群众监督各方面形成网络管理，使环境管理工作贯穿于</w:t>
            </w:r>
            <w:r>
              <w:rPr>
                <w:rFonts w:hint="default" w:ascii="Times New Roman" w:hAnsi="Times New Roman" w:cs="Times New Roman"/>
                <w:color w:val="auto"/>
                <w:highlight w:val="none"/>
                <w:lang w:val="en-US" w:eastAsia="zh-CN"/>
              </w:rPr>
              <w:t>运营</w:t>
            </w:r>
            <w:r>
              <w:rPr>
                <w:rFonts w:hint="default" w:ascii="Times New Roman" w:hAnsi="Times New Roman" w:cs="Times New Roman"/>
                <w:color w:val="auto"/>
                <w:highlight w:val="none"/>
              </w:rPr>
              <w:t>的全过程，</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环境管理工作计划见表</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w:t>
            </w:r>
          </w:p>
          <w:p w14:paraId="37895074">
            <w:pPr>
              <w:pStyle w:val="200"/>
              <w:spacing w:line="240" w:lineRule="auto"/>
              <w:rPr>
                <w:rFonts w:ascii="Times New Roman" w:hAnsi="Times New Roman" w:cs="Times New Roman"/>
                <w:color w:val="auto"/>
                <w:szCs w:val="24"/>
                <w:highlight w:val="none"/>
              </w:rPr>
            </w:pPr>
            <w:r>
              <w:rPr>
                <w:rFonts w:ascii="Times New Roman" w:hAnsi="Times New Roman" w:cs="Times New Roman"/>
                <w:color w:val="auto"/>
                <w:szCs w:val="24"/>
                <w:highlight w:val="none"/>
              </w:rPr>
              <w:t>表4-</w:t>
            </w:r>
            <w:r>
              <w:rPr>
                <w:rFonts w:hint="eastAsia" w:ascii="Times New Roman" w:hAnsi="Times New Roman" w:cs="Times New Roman"/>
                <w:color w:val="auto"/>
                <w:szCs w:val="24"/>
                <w:highlight w:val="none"/>
                <w:lang w:val="en-US" w:eastAsia="zh-CN"/>
              </w:rPr>
              <w:t>10</w:t>
            </w:r>
            <w:r>
              <w:rPr>
                <w:rFonts w:ascii="Times New Roman" w:hAnsi="Times New Roman" w:cs="Times New Roman"/>
                <w:color w:val="auto"/>
                <w:szCs w:val="24"/>
                <w:highlight w:val="none"/>
              </w:rPr>
              <w:t xml:space="preserve"> </w:t>
            </w:r>
            <w:r>
              <w:rPr>
                <w:rFonts w:hint="default" w:ascii="Times New Roman" w:hAnsi="Times New Roman" w:cs="Times New Roman"/>
                <w:color w:val="auto"/>
                <w:szCs w:val="24"/>
                <w:highlight w:val="none"/>
              </w:rPr>
              <w:t xml:space="preserve"> </w:t>
            </w:r>
            <w:r>
              <w:rPr>
                <w:rFonts w:ascii="Times New Roman" w:hAnsi="Times New Roman" w:cs="Times New Roman"/>
                <w:color w:val="auto"/>
                <w:szCs w:val="24"/>
                <w:highlight w:val="none"/>
              </w:rPr>
              <w:t>环境管理工作计划一览表</w:t>
            </w:r>
          </w:p>
          <w:tbl>
            <w:tblPr>
              <w:tblStyle w:val="50"/>
              <w:tblW w:w="8056" w:type="dxa"/>
              <w:jc w:val="center"/>
              <w:tblLayout w:type="fixed"/>
              <w:tblCellMar>
                <w:top w:w="0" w:type="dxa"/>
                <w:left w:w="108" w:type="dxa"/>
                <w:bottom w:w="0" w:type="dxa"/>
                <w:right w:w="108" w:type="dxa"/>
              </w:tblCellMar>
            </w:tblPr>
            <w:tblGrid>
              <w:gridCol w:w="1844"/>
              <w:gridCol w:w="6212"/>
            </w:tblGrid>
            <w:tr w14:paraId="21B1E38D">
              <w:tblPrEx>
                <w:tblCellMar>
                  <w:top w:w="0" w:type="dxa"/>
                  <w:left w:w="108" w:type="dxa"/>
                  <w:bottom w:w="0" w:type="dxa"/>
                  <w:right w:w="108" w:type="dxa"/>
                </w:tblCellMar>
              </w:tblPrEx>
              <w:trPr>
                <w:trHeight w:val="268" w:hRule="atLeast"/>
                <w:jc w:val="center"/>
              </w:trPr>
              <w:tc>
                <w:tcPr>
                  <w:tcW w:w="1844" w:type="dxa"/>
                  <w:tcBorders>
                    <w:top w:val="single" w:color="000000" w:sz="12" w:space="0"/>
                    <w:bottom w:val="single" w:color="000000" w:sz="4" w:space="0"/>
                    <w:right w:val="single" w:color="000000" w:sz="4" w:space="0"/>
                  </w:tcBorders>
                </w:tcPr>
                <w:p w14:paraId="7FDA93C5">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阶段</w:t>
                  </w:r>
                </w:p>
              </w:tc>
              <w:tc>
                <w:tcPr>
                  <w:tcW w:w="6212" w:type="dxa"/>
                  <w:tcBorders>
                    <w:top w:val="single" w:color="000000" w:sz="12" w:space="0"/>
                    <w:left w:val="single" w:color="000000" w:sz="4" w:space="0"/>
                    <w:bottom w:val="single" w:color="000000" w:sz="4" w:space="0"/>
                  </w:tcBorders>
                </w:tcPr>
                <w:p w14:paraId="00F0B4BE">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环境管理工作内容</w:t>
                  </w:r>
                </w:p>
              </w:tc>
            </w:tr>
            <w:tr w14:paraId="52A040C5">
              <w:tblPrEx>
                <w:tblCellMar>
                  <w:top w:w="0" w:type="dxa"/>
                  <w:left w:w="108" w:type="dxa"/>
                  <w:bottom w:w="0" w:type="dxa"/>
                  <w:right w:w="108" w:type="dxa"/>
                </w:tblCellMar>
              </w:tblPrEx>
              <w:trPr>
                <w:trHeight w:val="839" w:hRule="atLeast"/>
                <w:jc w:val="center"/>
              </w:trPr>
              <w:tc>
                <w:tcPr>
                  <w:tcW w:w="1844" w:type="dxa"/>
                  <w:tcBorders>
                    <w:top w:val="single" w:color="000000" w:sz="4" w:space="0"/>
                    <w:bottom w:val="single" w:color="000000" w:sz="4" w:space="0"/>
                    <w:right w:val="single" w:color="000000" w:sz="4" w:space="0"/>
                  </w:tcBorders>
                  <w:vAlign w:val="center"/>
                </w:tcPr>
                <w:p w14:paraId="03EED719">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环境管理</w:t>
                  </w:r>
                </w:p>
                <w:p w14:paraId="064FA5FE">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总要求</w:t>
                  </w:r>
                </w:p>
              </w:tc>
              <w:tc>
                <w:tcPr>
                  <w:tcW w:w="6212" w:type="dxa"/>
                  <w:tcBorders>
                    <w:top w:val="single" w:color="000000" w:sz="4" w:space="0"/>
                    <w:left w:val="single" w:color="000000" w:sz="4" w:space="0"/>
                    <w:bottom w:val="single" w:color="000000" w:sz="4" w:space="0"/>
                  </w:tcBorders>
                </w:tcPr>
                <w:p w14:paraId="7C6F16A3">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根据国家建设项目环境保护管理规定，认真落实各项环保手续</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定期请当地生态环境部门监督、检查，协助主管部门做好环境管理工作，对不达标装置及时整改。</w:t>
                  </w:r>
                </w:p>
              </w:tc>
            </w:tr>
            <w:tr w14:paraId="0368E915">
              <w:tblPrEx>
                <w:tblCellMar>
                  <w:top w:w="0" w:type="dxa"/>
                  <w:left w:w="108" w:type="dxa"/>
                  <w:bottom w:w="0" w:type="dxa"/>
                  <w:right w:w="108" w:type="dxa"/>
                </w:tblCellMar>
              </w:tblPrEx>
              <w:trPr>
                <w:trHeight w:val="833" w:hRule="atLeast"/>
                <w:jc w:val="center"/>
              </w:trPr>
              <w:tc>
                <w:tcPr>
                  <w:tcW w:w="1844" w:type="dxa"/>
                  <w:tcBorders>
                    <w:top w:val="single" w:color="000000" w:sz="4" w:space="0"/>
                    <w:bottom w:val="single" w:color="000000" w:sz="4" w:space="0"/>
                    <w:right w:val="single" w:color="000000" w:sz="4" w:space="0"/>
                  </w:tcBorders>
                  <w:vAlign w:val="center"/>
                </w:tcPr>
                <w:p w14:paraId="3DD9114F">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运营阶段</w:t>
                  </w:r>
                </w:p>
              </w:tc>
              <w:tc>
                <w:tcPr>
                  <w:tcW w:w="6212" w:type="dxa"/>
                  <w:tcBorders>
                    <w:top w:val="single" w:color="000000" w:sz="4" w:space="0"/>
                    <w:left w:val="single" w:color="000000" w:sz="4" w:space="0"/>
                    <w:bottom w:val="single" w:color="000000" w:sz="4" w:space="0"/>
                  </w:tcBorders>
                </w:tcPr>
                <w:p w14:paraId="5FBBD5B5">
                  <w:pPr>
                    <w:pStyle w:val="191"/>
                    <w:spacing w:line="240" w:lineRule="auto"/>
                    <w:jc w:val="both"/>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建设单位应</w:t>
                  </w:r>
                  <w:r>
                    <w:rPr>
                      <w:rFonts w:ascii="Times New Roman" w:hAnsi="Times New Roman" w:eastAsia="宋体" w:cs="Times New Roman"/>
                      <w:color w:val="auto"/>
                      <w:highlight w:val="none"/>
                    </w:rPr>
                    <w:t>主动接受生态环境部门监督，备有事故应急措施</w:t>
                  </w:r>
                </w:p>
                <w:p w14:paraId="577C0A86">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做好院</w:t>
                  </w:r>
                  <w:r>
                    <w:rPr>
                      <w:rFonts w:ascii="Times New Roman" w:hAnsi="Times New Roman" w:eastAsia="宋体" w:cs="Times New Roman"/>
                      <w:color w:val="auto"/>
                      <w:highlight w:val="none"/>
                    </w:rPr>
                    <w:t>内环保管理和维护。</w:t>
                  </w:r>
                </w:p>
                <w:p w14:paraId="742C34E3">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2</w:t>
                  </w:r>
                  <w:r>
                    <w:rPr>
                      <w:rFonts w:ascii="Times New Roman" w:hAnsi="Times New Roman" w:eastAsia="宋体" w:cs="Times New Roman"/>
                      <w:color w:val="auto"/>
                      <w:highlight w:val="none"/>
                    </w:rPr>
                    <w:t>）建立环保设施档案</w:t>
                  </w:r>
                  <w:r>
                    <w:rPr>
                      <w:rFonts w:hint="default" w:ascii="Times New Roman" w:hAnsi="Times New Roman" w:eastAsia="宋体" w:cs="Times New Roman"/>
                      <w:color w:val="auto"/>
                      <w:highlight w:val="none"/>
                    </w:rPr>
                    <w:t>。</w:t>
                  </w:r>
                </w:p>
              </w:tc>
            </w:tr>
            <w:tr w14:paraId="3643643F">
              <w:tblPrEx>
                <w:tblCellMar>
                  <w:top w:w="0" w:type="dxa"/>
                  <w:left w:w="108" w:type="dxa"/>
                  <w:bottom w:w="0" w:type="dxa"/>
                  <w:right w:w="108" w:type="dxa"/>
                </w:tblCellMar>
              </w:tblPrEx>
              <w:trPr>
                <w:trHeight w:val="806" w:hRule="atLeast"/>
                <w:jc w:val="center"/>
              </w:trPr>
              <w:tc>
                <w:tcPr>
                  <w:tcW w:w="1844" w:type="dxa"/>
                  <w:tcBorders>
                    <w:top w:val="single" w:color="000000" w:sz="4" w:space="0"/>
                    <w:bottom w:val="single" w:color="000000" w:sz="12" w:space="0"/>
                    <w:right w:val="single" w:color="000000" w:sz="4" w:space="0"/>
                  </w:tcBorders>
                </w:tcPr>
                <w:p w14:paraId="20525740">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信息反馈和</w:t>
                  </w:r>
                </w:p>
                <w:p w14:paraId="1D935544">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群众监督</w:t>
                  </w:r>
                </w:p>
              </w:tc>
              <w:tc>
                <w:tcPr>
                  <w:tcW w:w="6212" w:type="dxa"/>
                  <w:tcBorders>
                    <w:top w:val="single" w:color="000000" w:sz="4" w:space="0"/>
                    <w:left w:val="single" w:color="000000" w:sz="4" w:space="0"/>
                    <w:bottom w:val="single" w:color="000000" w:sz="12" w:space="0"/>
                  </w:tcBorders>
                </w:tcPr>
                <w:p w14:paraId="59C9D5CE">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加强群众监督，改进污染防治工作</w:t>
                  </w:r>
                </w:p>
                <w:p w14:paraId="00F1D8E2">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（1）建立奖惩制度，保证环保设施正常运行。</w:t>
                  </w:r>
                </w:p>
                <w:p w14:paraId="252A5F26">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（2）发现异常问题及时与生态环境部门联系汇报。</w:t>
                  </w:r>
                </w:p>
              </w:tc>
            </w:tr>
            <w:bookmarkEnd w:id="165"/>
            <w:bookmarkEnd w:id="166"/>
            <w:bookmarkEnd w:id="167"/>
            <w:bookmarkEnd w:id="168"/>
            <w:bookmarkEnd w:id="169"/>
            <w:bookmarkEnd w:id="170"/>
            <w:bookmarkEnd w:id="171"/>
            <w:bookmarkEnd w:id="172"/>
            <w:bookmarkEnd w:id="173"/>
          </w:tbl>
          <w:p w14:paraId="389F613F">
            <w:pPr>
              <w:pStyle w:val="3"/>
              <w:pageBreakBefore w:val="0"/>
              <w:numPr>
                <w:ilvl w:val="0"/>
                <w:numId w:val="0"/>
              </w:numPr>
              <w:kinsoku/>
              <w:overflowPunct/>
              <w:autoSpaceDE/>
              <w:autoSpaceDN/>
              <w:bidi w:val="0"/>
              <w:jc w:val="both"/>
              <w:rPr>
                <w:rFonts w:hint="default" w:ascii="Times New Roman" w:hAnsi="Times New Roman" w:cs="Times New Roman"/>
                <w:color w:val="auto"/>
                <w:highlight w:val="none"/>
              </w:rPr>
            </w:pPr>
            <w:bookmarkStart w:id="174" w:name="_Toc16831"/>
            <w:bookmarkStart w:id="175" w:name="_Toc753"/>
            <w:bookmarkStart w:id="176" w:name="_Toc21690"/>
            <w:bookmarkStart w:id="177" w:name="_Toc6573"/>
            <w:bookmarkStart w:id="178" w:name="_Toc19517"/>
            <w:bookmarkStart w:id="179" w:name="_Toc20157"/>
            <w:bookmarkStart w:id="180" w:name="_Toc133251561"/>
            <w:bookmarkStart w:id="181" w:name="_Toc30320"/>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 xml:space="preserve">11 </w:t>
            </w:r>
            <w:r>
              <w:rPr>
                <w:rFonts w:hint="default" w:ascii="Times New Roman" w:hAnsi="Times New Roman" w:cs="Times New Roman"/>
                <w:color w:val="auto"/>
                <w:highlight w:val="none"/>
              </w:rPr>
              <w:t>排污口规范化</w:t>
            </w:r>
            <w:bookmarkEnd w:id="174"/>
            <w:bookmarkEnd w:id="175"/>
            <w:bookmarkEnd w:id="176"/>
            <w:bookmarkEnd w:id="177"/>
            <w:bookmarkEnd w:id="178"/>
            <w:bookmarkEnd w:id="179"/>
            <w:bookmarkEnd w:id="180"/>
            <w:bookmarkEnd w:id="181"/>
          </w:p>
          <w:p w14:paraId="36D4501A">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污水排放口</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图形符号分为提示图形符号和警告图形符号两种，详见表4-1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p w14:paraId="096098D9">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生活垃圾和</w:t>
            </w:r>
            <w:r>
              <w:rPr>
                <w:rFonts w:hint="default" w:ascii="Times New Roman" w:hAnsi="Times New Roman" w:eastAsia="宋体" w:cs="Times New Roman"/>
                <w:color w:val="auto"/>
                <w:highlight w:val="none"/>
                <w:lang w:val="en-US" w:eastAsia="zh-CN"/>
              </w:rPr>
              <w:t>各类诊疗废弃物</w:t>
            </w:r>
            <w:r>
              <w:rPr>
                <w:rFonts w:hint="default" w:ascii="Times New Roman" w:hAnsi="Times New Roman" w:eastAsia="宋体" w:cs="Times New Roman"/>
                <w:color w:val="auto"/>
                <w:highlight w:val="none"/>
              </w:rPr>
              <w:t>应分类存放，</w:t>
            </w:r>
            <w:r>
              <w:rPr>
                <w:rFonts w:hint="default" w:ascii="Times New Roman" w:hAnsi="Times New Roman" w:eastAsia="宋体" w:cs="Times New Roman"/>
                <w:color w:val="auto"/>
                <w:highlight w:val="none"/>
                <w:lang w:val="en-US" w:eastAsia="zh-CN"/>
              </w:rPr>
              <w:t>已</w:t>
            </w:r>
            <w:r>
              <w:rPr>
                <w:rFonts w:hint="default" w:ascii="Times New Roman" w:hAnsi="Times New Roman" w:eastAsia="宋体" w:cs="Times New Roman"/>
                <w:color w:val="auto"/>
                <w:highlight w:val="none"/>
              </w:rPr>
              <w:t>设置专用的贮存固废设施或堆放场地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固体废物贮存（处置）场所已在醒目处设置标志牌。</w:t>
            </w:r>
          </w:p>
          <w:p w14:paraId="1E0B2281">
            <w:pPr>
              <w:pStyle w:val="159"/>
              <w:pageBreakBefore w:val="0"/>
              <w:kinsoku/>
              <w:overflowPunct/>
              <w:autoSpaceDE/>
              <w:autoSpaceDN/>
              <w:bidi w:val="0"/>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固体废物贮存、处置场图形符号分为提示图形符号和警告图形符号两种，图形符号的设置按《环境保护图形标志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固体废物贮存（处置）场》（GB15562.</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-1995）</w:t>
            </w:r>
            <w:r>
              <w:rPr>
                <w:rFonts w:hint="default" w:ascii="Times New Roman" w:hAnsi="Times New Roman" w:eastAsia="宋体" w:cs="Times New Roman"/>
                <w:color w:val="auto"/>
                <w:highlight w:val="none"/>
                <w:lang w:val="en-US" w:eastAsia="zh-CN"/>
              </w:rPr>
              <w:t>及其修改单</w:t>
            </w:r>
            <w:r>
              <w:rPr>
                <w:rFonts w:hint="default" w:ascii="Times New Roman" w:hAnsi="Times New Roman" w:eastAsia="宋体" w:cs="Times New Roman"/>
                <w:color w:val="auto"/>
                <w:highlight w:val="none"/>
              </w:rPr>
              <w:t>执行。</w:t>
            </w:r>
          </w:p>
          <w:p w14:paraId="73DB44C4">
            <w:pPr>
              <w:pStyle w:val="200"/>
              <w:spacing w:line="240" w:lineRule="auto"/>
              <w:rPr>
                <w:rFonts w:ascii="Times New Roman" w:hAnsi="Times New Roman" w:cs="Times New Roman"/>
                <w:color w:val="auto"/>
                <w:szCs w:val="24"/>
                <w:highlight w:val="none"/>
              </w:rPr>
            </w:pPr>
            <w:r>
              <w:rPr>
                <w:rFonts w:ascii="Times New Roman" w:hAnsi="Times New Roman" w:cs="Times New Roman"/>
                <w:color w:val="auto"/>
                <w:szCs w:val="24"/>
                <w:highlight w:val="none"/>
              </w:rPr>
              <w:t>表4-1</w:t>
            </w:r>
            <w:r>
              <w:rPr>
                <w:rFonts w:hint="eastAsia" w:ascii="Times New Roman" w:hAnsi="Times New Roman" w:cs="Times New Roman"/>
                <w:color w:val="auto"/>
                <w:szCs w:val="24"/>
                <w:highlight w:val="none"/>
                <w:lang w:val="en-US" w:eastAsia="zh-CN"/>
              </w:rPr>
              <w:t>1</w:t>
            </w:r>
            <w:r>
              <w:rPr>
                <w:rFonts w:hint="default" w:ascii="Times New Roman" w:hAnsi="Times New Roman" w:cs="Times New Roman"/>
                <w:color w:val="auto"/>
                <w:szCs w:val="24"/>
                <w:highlight w:val="none"/>
              </w:rPr>
              <w:t xml:space="preserve"> </w:t>
            </w:r>
            <w:r>
              <w:rPr>
                <w:rFonts w:ascii="Times New Roman" w:hAnsi="Times New Roman" w:cs="Times New Roman"/>
                <w:color w:val="auto"/>
                <w:szCs w:val="24"/>
                <w:highlight w:val="none"/>
              </w:rPr>
              <w:t xml:space="preserve"> 各排放口（源）标志牌设置示意图</w:t>
            </w:r>
          </w:p>
          <w:tbl>
            <w:tblPr>
              <w:tblStyle w:val="50"/>
              <w:tblW w:w="8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2"/>
              <w:gridCol w:w="2204"/>
              <w:gridCol w:w="2237"/>
              <w:gridCol w:w="2230"/>
            </w:tblGrid>
            <w:tr w14:paraId="7A85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2" w:type="dxa"/>
                  <w:tcBorders>
                    <w:top w:val="single" w:color="auto" w:sz="12" w:space="0"/>
                    <w:left w:val="nil"/>
                  </w:tcBorders>
                  <w:vAlign w:val="center"/>
                </w:tcPr>
                <w:p w14:paraId="1F1127B1">
                  <w:pPr>
                    <w:jc w:val="center"/>
                    <w:rPr>
                      <w:rFonts w:ascii="Times New Roman" w:hAnsi="Times New Roman" w:eastAsia="Arial" w:cs="Times New Roman"/>
                      <w:b/>
                      <w:color w:val="auto"/>
                      <w:sz w:val="21"/>
                      <w:szCs w:val="21"/>
                      <w:highlight w:val="none"/>
                    </w:rPr>
                  </w:pPr>
                  <w:r>
                    <w:rPr>
                      <w:rFonts w:ascii="Times New Roman" w:hAnsi="Times New Roman" w:cs="Times New Roman"/>
                      <w:b/>
                      <w:color w:val="auto"/>
                      <w:sz w:val="21"/>
                      <w:szCs w:val="21"/>
                      <w:highlight w:val="none"/>
                    </w:rPr>
                    <w:t>名称</w:t>
                  </w:r>
                </w:p>
              </w:tc>
              <w:tc>
                <w:tcPr>
                  <w:tcW w:w="2204" w:type="dxa"/>
                  <w:tcBorders>
                    <w:top w:val="single" w:color="auto" w:sz="12" w:space="0"/>
                  </w:tcBorders>
                  <w:vAlign w:val="center"/>
                </w:tcPr>
                <w:p w14:paraId="75F8BEE6">
                  <w:pPr>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污水排放源</w:t>
                  </w:r>
                </w:p>
              </w:tc>
              <w:tc>
                <w:tcPr>
                  <w:tcW w:w="4467" w:type="dxa"/>
                  <w:gridSpan w:val="2"/>
                  <w:tcBorders>
                    <w:top w:val="single" w:color="auto" w:sz="12" w:space="0"/>
                    <w:right w:val="nil"/>
                  </w:tcBorders>
                  <w:vAlign w:val="center"/>
                </w:tcPr>
                <w:p w14:paraId="0C8412B2">
                  <w:pPr>
                    <w:jc w:val="center"/>
                    <w:rPr>
                      <w:rFonts w:ascii="Times New Roman" w:hAnsi="Times New Roman" w:eastAsia="Arial" w:cs="Times New Roman"/>
                      <w:b/>
                      <w:color w:val="auto"/>
                      <w:sz w:val="21"/>
                      <w:szCs w:val="21"/>
                      <w:highlight w:val="none"/>
                    </w:rPr>
                  </w:pPr>
                  <w:r>
                    <w:rPr>
                      <w:rFonts w:ascii="Times New Roman" w:hAnsi="Times New Roman" w:cs="Times New Roman"/>
                      <w:b/>
                      <w:color w:val="auto"/>
                      <w:sz w:val="21"/>
                      <w:szCs w:val="21"/>
                      <w:highlight w:val="none"/>
                    </w:rPr>
                    <w:t>固体废物</w:t>
                  </w:r>
                </w:p>
              </w:tc>
            </w:tr>
            <w:tr w14:paraId="040A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2" w:type="dxa"/>
                  <w:tcBorders>
                    <w:left w:val="nil"/>
                  </w:tcBorders>
                  <w:vAlign w:val="center"/>
                </w:tcPr>
                <w:p w14:paraId="2A06FE8D">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提示图形符号</w:t>
                  </w:r>
                </w:p>
              </w:tc>
              <w:tc>
                <w:tcPr>
                  <w:tcW w:w="2204" w:type="dxa"/>
                  <w:vAlign w:val="center"/>
                </w:tcPr>
                <w:p w14:paraId="6A38BCEA">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drawing>
                      <wp:inline distT="0" distB="0" distL="0" distR="0">
                        <wp:extent cx="1304925" cy="1298575"/>
                        <wp:effectExtent l="0" t="0" r="9525" b="15875"/>
                        <wp:docPr id="12"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绿色的标志&#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04925" cy="1298575"/>
                                </a:xfrm>
                                <a:prstGeom prst="rect">
                                  <a:avLst/>
                                </a:prstGeom>
                                <a:noFill/>
                                <a:ln>
                                  <a:noFill/>
                                </a:ln>
                                <a:effectLst/>
                              </pic:spPr>
                            </pic:pic>
                          </a:graphicData>
                        </a:graphic>
                      </wp:inline>
                    </w:drawing>
                  </w:r>
                </w:p>
              </w:tc>
              <w:tc>
                <w:tcPr>
                  <w:tcW w:w="2237" w:type="dxa"/>
                  <w:tcBorders>
                    <w:right w:val="nil"/>
                  </w:tcBorders>
                  <w:vAlign w:val="center"/>
                </w:tcPr>
                <w:p w14:paraId="57E33315">
                  <w:pPr>
                    <w:jc w:val="center"/>
                    <w:rPr>
                      <w:rFonts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drawing>
                      <wp:inline distT="0" distB="0" distL="114300" distR="114300">
                        <wp:extent cx="1294765" cy="1307465"/>
                        <wp:effectExtent l="0" t="0" r="635" b="6985"/>
                        <wp:docPr id="32" name="图片 8" descr="QQ截图202212132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QQ截图20221213225112"/>
                                <pic:cNvPicPr>
                                  <a:picLocks noChangeAspect="1"/>
                                </pic:cNvPicPr>
                              </pic:nvPicPr>
                              <pic:blipFill>
                                <a:blip r:embed="rId37" cstate="print"/>
                                <a:stretch>
                                  <a:fillRect/>
                                </a:stretch>
                              </pic:blipFill>
                              <pic:spPr>
                                <a:xfrm>
                                  <a:off x="0" y="0"/>
                                  <a:ext cx="1294765" cy="1307465"/>
                                </a:xfrm>
                                <a:prstGeom prst="rect">
                                  <a:avLst/>
                                </a:prstGeom>
                                <a:noFill/>
                                <a:ln>
                                  <a:noFill/>
                                </a:ln>
                              </pic:spPr>
                            </pic:pic>
                          </a:graphicData>
                        </a:graphic>
                      </wp:inline>
                    </w:drawing>
                  </w:r>
                </w:p>
              </w:tc>
              <w:tc>
                <w:tcPr>
                  <w:tcW w:w="2230" w:type="dxa"/>
                  <w:tcBorders>
                    <w:right w:val="nil"/>
                  </w:tcBorders>
                  <w:vAlign w:val="center"/>
                </w:tcPr>
                <w:p w14:paraId="1CA60D62">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drawing>
                      <wp:inline distT="0" distB="0" distL="0" distR="0">
                        <wp:extent cx="1309370" cy="1235075"/>
                        <wp:effectExtent l="0" t="0" r="5080" b="317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noChangeArrowheads="1"/>
                                </pic:cNvPicPr>
                              </pic:nvPicPr>
                              <pic:blipFill>
                                <a:blip r:embed="rId38" cstate="print"/>
                                <a:srcRect/>
                                <a:stretch>
                                  <a:fillRect/>
                                </a:stretch>
                              </pic:blipFill>
                              <pic:spPr>
                                <a:xfrm>
                                  <a:off x="0" y="0"/>
                                  <a:ext cx="1309370" cy="1235075"/>
                                </a:xfrm>
                                <a:prstGeom prst="rect">
                                  <a:avLst/>
                                </a:prstGeom>
                                <a:noFill/>
                                <a:ln w="9525">
                                  <a:noFill/>
                                  <a:miter lim="800000"/>
                                  <a:headEnd/>
                                  <a:tailEnd/>
                                </a:ln>
                              </pic:spPr>
                            </pic:pic>
                          </a:graphicData>
                        </a:graphic>
                      </wp:inline>
                    </w:drawing>
                  </w:r>
                </w:p>
              </w:tc>
            </w:tr>
            <w:tr w14:paraId="313B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2" w:type="dxa"/>
                  <w:tcBorders>
                    <w:left w:val="nil"/>
                  </w:tcBorders>
                  <w:vAlign w:val="center"/>
                </w:tcPr>
                <w:p w14:paraId="61C97496">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排放口名称</w:t>
                  </w:r>
                </w:p>
              </w:tc>
              <w:tc>
                <w:tcPr>
                  <w:tcW w:w="2204" w:type="dxa"/>
                  <w:vAlign w:val="center"/>
                </w:tcPr>
                <w:p w14:paraId="36FEB670">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污水排放口</w:t>
                  </w:r>
                </w:p>
              </w:tc>
              <w:tc>
                <w:tcPr>
                  <w:tcW w:w="2237" w:type="dxa"/>
                  <w:tcBorders>
                    <w:right w:val="nil"/>
                  </w:tcBorders>
                  <w:vAlign w:val="center"/>
                </w:tcPr>
                <w:p w14:paraId="7E6F29CA">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生活垃圾存放处</w:t>
                  </w:r>
                </w:p>
              </w:tc>
              <w:tc>
                <w:tcPr>
                  <w:tcW w:w="2230" w:type="dxa"/>
                  <w:tcBorders>
                    <w:right w:val="nil"/>
                  </w:tcBorders>
                  <w:vAlign w:val="center"/>
                </w:tcPr>
                <w:p w14:paraId="634305A1">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危废间</w:t>
                  </w:r>
                </w:p>
              </w:tc>
            </w:tr>
            <w:tr w14:paraId="6525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2" w:type="dxa"/>
                  <w:tcBorders>
                    <w:left w:val="nil"/>
                    <w:bottom w:val="single" w:color="auto" w:sz="12" w:space="0"/>
                    <w:right w:val="single" w:color="auto" w:sz="4" w:space="0"/>
                  </w:tcBorders>
                  <w:vAlign w:val="center"/>
                </w:tcPr>
                <w:p w14:paraId="4FCD8B5C">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功能</w:t>
                  </w:r>
                </w:p>
              </w:tc>
              <w:tc>
                <w:tcPr>
                  <w:tcW w:w="2204" w:type="dxa"/>
                  <w:tcBorders>
                    <w:left w:val="single" w:color="auto" w:sz="4" w:space="0"/>
                    <w:bottom w:val="single" w:color="auto" w:sz="12" w:space="0"/>
                    <w:right w:val="single" w:color="auto" w:sz="4" w:space="0"/>
                  </w:tcBorders>
                  <w:vAlign w:val="center"/>
                </w:tcPr>
                <w:p w14:paraId="4DAC2050">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表示向水体排放污水</w:t>
                  </w:r>
                </w:p>
              </w:tc>
              <w:tc>
                <w:tcPr>
                  <w:tcW w:w="2237" w:type="dxa"/>
                  <w:tcBorders>
                    <w:left w:val="single" w:color="auto" w:sz="4" w:space="0"/>
                    <w:bottom w:val="single" w:color="auto" w:sz="12" w:space="0"/>
                    <w:right w:val="single" w:color="auto" w:sz="4" w:space="0"/>
                  </w:tcBorders>
                  <w:vAlign w:val="center"/>
                </w:tcPr>
                <w:p w14:paraId="4364E9F8">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表示一般</w:t>
                  </w:r>
                  <w:r>
                    <w:rPr>
                      <w:rFonts w:hint="default" w:ascii="Times New Roman" w:hAnsi="Times New Roman" w:cs="Times New Roman"/>
                      <w:color w:val="auto"/>
                      <w:sz w:val="21"/>
                      <w:szCs w:val="21"/>
                      <w:highlight w:val="none"/>
                    </w:rPr>
                    <w:t>固体废物暂存处</w:t>
                  </w:r>
                </w:p>
              </w:tc>
              <w:tc>
                <w:tcPr>
                  <w:tcW w:w="2230" w:type="dxa"/>
                  <w:tcBorders>
                    <w:left w:val="single" w:color="auto" w:sz="4" w:space="0"/>
                    <w:bottom w:val="single" w:color="auto" w:sz="12" w:space="0"/>
                    <w:right w:val="nil"/>
                  </w:tcBorders>
                  <w:vAlign w:val="center"/>
                </w:tcPr>
                <w:p w14:paraId="57F48083">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表示危险废物暂存处</w:t>
                  </w:r>
                </w:p>
              </w:tc>
            </w:tr>
          </w:tbl>
          <w:p w14:paraId="6941ADDE">
            <w:pPr>
              <w:pStyle w:val="3"/>
              <w:pageBreakBefore w:val="0"/>
              <w:numPr>
                <w:ilvl w:val="0"/>
                <w:numId w:val="0"/>
              </w:numPr>
              <w:kinsoku/>
              <w:overflowPunct/>
              <w:autoSpaceDE/>
              <w:autoSpaceDN/>
              <w:bidi w:val="0"/>
              <w:ind w:left="1"/>
              <w:jc w:val="both"/>
              <w:rPr>
                <w:rFonts w:hint="default" w:ascii="Times New Roman" w:hAnsi="Times New Roman" w:cs="Times New Roman"/>
                <w:color w:val="auto"/>
                <w:highlight w:val="none"/>
              </w:rPr>
            </w:pPr>
            <w:bookmarkStart w:id="182" w:name="_Toc9805"/>
            <w:bookmarkStart w:id="183" w:name="_Toc885"/>
            <w:bookmarkStart w:id="184" w:name="_Toc21598"/>
            <w:bookmarkStart w:id="185" w:name="_Toc133251563"/>
            <w:r>
              <w:rPr>
                <w:rFonts w:hint="default" w:ascii="Times New Roman" w:hAnsi="Times New Roman" w:cs="Times New Roman"/>
                <w:color w:val="auto"/>
                <w:highlight w:val="none"/>
              </w:rPr>
              <w:t>4.1</w:t>
            </w:r>
            <w:bookmarkStart w:id="186" w:name="_Toc26226"/>
            <w:bookmarkStart w:id="187" w:name="_Toc31757"/>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污染物排放清单</w:t>
            </w:r>
            <w:bookmarkEnd w:id="182"/>
            <w:bookmarkEnd w:id="183"/>
            <w:bookmarkEnd w:id="184"/>
            <w:bookmarkEnd w:id="185"/>
            <w:bookmarkEnd w:id="186"/>
            <w:bookmarkEnd w:id="187"/>
          </w:p>
          <w:p w14:paraId="37BE725E">
            <w:pPr>
              <w:pStyle w:val="159"/>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污染物排放清单包括项目拟采取的环境保护措施及主要运行参数、排放的污染物种类、排放浓度和总量、排放口信息、执行的环境标准以及环境监测等，详见表4-1</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p>
          <w:p w14:paraId="624B7EB5">
            <w:pPr>
              <w:pStyle w:val="159"/>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建设单位</w:t>
            </w:r>
            <w:r>
              <w:rPr>
                <w:rFonts w:hint="default" w:ascii="Times New Roman" w:hAnsi="Times New Roman" w:eastAsia="宋体" w:cs="Times New Roman"/>
                <w:color w:val="auto"/>
                <w:highlight w:val="none"/>
              </w:rPr>
              <w:t>应向社会公开污染物排放清单内容和环境监测内容及其监测数据</w:t>
            </w:r>
            <w:r>
              <w:rPr>
                <w:rFonts w:hint="default" w:ascii="Times New Roman" w:hAnsi="Times New Roman" w:cs="Times New Roman"/>
                <w:color w:val="auto"/>
                <w:highlight w:val="none"/>
              </w:rPr>
              <w:t>。</w:t>
            </w:r>
          </w:p>
        </w:tc>
      </w:tr>
    </w:tbl>
    <w:p w14:paraId="768CDD1C">
      <w:pPr>
        <w:adjustRightInd w:val="0"/>
        <w:snapToGrid w:val="0"/>
        <w:rPr>
          <w:rFonts w:ascii="Times New Roman" w:hAnsi="Times New Roman" w:cs="Times New Roman"/>
          <w:bCs/>
          <w:color w:val="auto"/>
          <w:szCs w:val="21"/>
          <w:highlight w:val="none"/>
        </w:rPr>
        <w:sectPr>
          <w:footerReference r:id="rId8"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67" w:charSpace="915"/>
        </w:sect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0"/>
      </w:tblGrid>
      <w:tr w14:paraId="5E75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1" w:hRule="atLeast"/>
        </w:trPr>
        <w:tc>
          <w:tcPr>
            <w:tcW w:w="14220" w:type="dxa"/>
          </w:tcPr>
          <w:p w14:paraId="79A88E91">
            <w:pPr>
              <w:jc w:val="center"/>
              <w:rPr>
                <w:rFonts w:ascii="Times New Roman" w:hAnsi="Times New Roman" w:cs="Times New Roman"/>
                <w:b/>
                <w:bCs/>
                <w:color w:val="auto"/>
                <w:highlight w:val="none"/>
              </w:rPr>
            </w:pPr>
            <w:bookmarkStart w:id="188" w:name="_Hlk54167917"/>
            <w:r>
              <w:rPr>
                <w:rFonts w:ascii="Times New Roman" w:hAnsi="Times New Roman" w:cs="Times New Roman"/>
                <w:b/>
                <w:bCs/>
                <w:color w:val="auto"/>
                <w:highlight w:val="none"/>
              </w:rPr>
              <w:t>表4</w:t>
            </w:r>
            <w:r>
              <w:rPr>
                <w:rFonts w:hint="default" w:ascii="Times New Roman" w:hAnsi="Times New Roman" w:cs="Times New Roman"/>
                <w:b/>
                <w:bCs/>
                <w:color w:val="auto"/>
                <w:highlight w:val="none"/>
              </w:rPr>
              <w:t>-1</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ascii="Times New Roman" w:hAnsi="Times New Roman" w:cs="Times New Roman"/>
                <w:b/>
                <w:bCs/>
                <w:color w:val="auto"/>
                <w:highlight w:val="none"/>
              </w:rPr>
              <w:t xml:space="preserve"> 项目</w:t>
            </w:r>
            <w:r>
              <w:rPr>
                <w:rFonts w:hint="default" w:ascii="Times New Roman" w:hAnsi="Times New Roman" w:cs="Times New Roman"/>
                <w:b/>
                <w:bCs/>
                <w:color w:val="auto"/>
                <w:highlight w:val="none"/>
              </w:rPr>
              <w:t>全院</w:t>
            </w:r>
            <w:r>
              <w:rPr>
                <w:rFonts w:ascii="Times New Roman" w:hAnsi="Times New Roman" w:cs="Times New Roman"/>
                <w:b/>
                <w:bCs/>
                <w:color w:val="auto"/>
                <w:highlight w:val="none"/>
              </w:rPr>
              <w:t>污染物排放清单一览表</w:t>
            </w:r>
          </w:p>
          <w:tbl>
            <w:tblPr>
              <w:tblStyle w:val="50"/>
              <w:tblW w:w="1376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3"/>
              <w:gridCol w:w="1356"/>
              <w:gridCol w:w="2026"/>
              <w:gridCol w:w="1869"/>
              <w:gridCol w:w="1385"/>
              <w:gridCol w:w="1315"/>
              <w:gridCol w:w="1396"/>
              <w:gridCol w:w="1304"/>
              <w:gridCol w:w="2507"/>
            </w:tblGrid>
            <w:tr w14:paraId="22D244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03" w:type="dxa"/>
                  <w:tcBorders>
                    <w:tl2br w:val="nil"/>
                    <w:tr2bl w:val="nil"/>
                  </w:tcBorders>
                  <w:vAlign w:val="center"/>
                </w:tcPr>
                <w:p w14:paraId="00694641">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类别</w:t>
                  </w:r>
                </w:p>
              </w:tc>
              <w:tc>
                <w:tcPr>
                  <w:tcW w:w="1356" w:type="dxa"/>
                  <w:tcBorders>
                    <w:tl2br w:val="nil"/>
                    <w:tr2bl w:val="nil"/>
                  </w:tcBorders>
                  <w:vAlign w:val="center"/>
                </w:tcPr>
                <w:p w14:paraId="00769414">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环境问题</w:t>
                  </w:r>
                </w:p>
              </w:tc>
              <w:tc>
                <w:tcPr>
                  <w:tcW w:w="2026" w:type="dxa"/>
                  <w:tcBorders>
                    <w:tl2br w:val="nil"/>
                    <w:tr2bl w:val="nil"/>
                  </w:tcBorders>
                  <w:vAlign w:val="center"/>
                </w:tcPr>
                <w:p w14:paraId="597572E7">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环保措施</w:t>
                  </w:r>
                </w:p>
              </w:tc>
              <w:tc>
                <w:tcPr>
                  <w:tcW w:w="1869" w:type="dxa"/>
                  <w:tcBorders>
                    <w:tl2br w:val="nil"/>
                    <w:tr2bl w:val="nil"/>
                  </w:tcBorders>
                  <w:vAlign w:val="center"/>
                </w:tcPr>
                <w:p w14:paraId="68E982EF">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主要运行参数或目的</w:t>
                  </w:r>
                </w:p>
              </w:tc>
              <w:tc>
                <w:tcPr>
                  <w:tcW w:w="1385" w:type="dxa"/>
                  <w:tcBorders>
                    <w:tl2br w:val="nil"/>
                    <w:tr2bl w:val="nil"/>
                  </w:tcBorders>
                  <w:vAlign w:val="center"/>
                </w:tcPr>
                <w:p w14:paraId="41D57AB7">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污染物种类</w:t>
                  </w:r>
                </w:p>
              </w:tc>
              <w:tc>
                <w:tcPr>
                  <w:tcW w:w="1315" w:type="dxa"/>
                  <w:tcBorders>
                    <w:tl2br w:val="nil"/>
                    <w:tr2bl w:val="nil"/>
                  </w:tcBorders>
                  <w:vAlign w:val="center"/>
                </w:tcPr>
                <w:p w14:paraId="0B4514F1">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排放浓度</w:t>
                  </w:r>
                </w:p>
              </w:tc>
              <w:tc>
                <w:tcPr>
                  <w:tcW w:w="1396" w:type="dxa"/>
                  <w:tcBorders>
                    <w:tl2br w:val="nil"/>
                    <w:tr2bl w:val="nil"/>
                  </w:tcBorders>
                  <w:vAlign w:val="center"/>
                </w:tcPr>
                <w:p w14:paraId="1D2A7996">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排放总量</w:t>
                  </w:r>
                </w:p>
              </w:tc>
              <w:tc>
                <w:tcPr>
                  <w:tcW w:w="1304" w:type="dxa"/>
                  <w:tcBorders>
                    <w:tl2br w:val="nil"/>
                    <w:tr2bl w:val="nil"/>
                  </w:tcBorders>
                  <w:vAlign w:val="center"/>
                </w:tcPr>
                <w:p w14:paraId="5CFDC7FE">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排放标准</w:t>
                  </w:r>
                </w:p>
              </w:tc>
              <w:tc>
                <w:tcPr>
                  <w:tcW w:w="2507" w:type="dxa"/>
                  <w:tcBorders>
                    <w:tl2br w:val="nil"/>
                    <w:tr2bl w:val="nil"/>
                  </w:tcBorders>
                  <w:vAlign w:val="center"/>
                </w:tcPr>
                <w:p w14:paraId="68CA22C1">
                  <w:pPr>
                    <w:pStyle w:val="191"/>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备注</w:t>
                  </w:r>
                </w:p>
              </w:tc>
            </w:tr>
            <w:tr w14:paraId="5B49FA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14:paraId="31BAFC2E">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tc>
              <w:tc>
                <w:tcPr>
                  <w:tcW w:w="1356" w:type="dxa"/>
                  <w:vMerge w:val="restart"/>
                  <w:tcBorders>
                    <w:tl2br w:val="nil"/>
                    <w:tr2bl w:val="nil"/>
                  </w:tcBorders>
                  <w:vAlign w:val="center"/>
                </w:tcPr>
                <w:p w14:paraId="4D85D5F1">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w:t>
                  </w:r>
                </w:p>
              </w:tc>
              <w:tc>
                <w:tcPr>
                  <w:tcW w:w="2026" w:type="dxa"/>
                  <w:vMerge w:val="restart"/>
                  <w:tcBorders>
                    <w:tl2br w:val="nil"/>
                    <w:tr2bl w:val="nil"/>
                  </w:tcBorders>
                  <w:vAlign w:val="center"/>
                </w:tcPr>
                <w:p w14:paraId="57B6DC91">
                  <w:pPr>
                    <w:pStyle w:val="191"/>
                    <w:spacing w:line="240" w:lineRule="auto"/>
                    <w:rPr>
                      <w:rFonts w:hint="default"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除臭剂</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新风系统</w:t>
                  </w:r>
                </w:p>
              </w:tc>
              <w:tc>
                <w:tcPr>
                  <w:tcW w:w="1869" w:type="dxa"/>
                  <w:vMerge w:val="restart"/>
                  <w:tcBorders>
                    <w:tl2br w:val="nil"/>
                    <w:tr2bl w:val="nil"/>
                  </w:tcBorders>
                  <w:vAlign w:val="center"/>
                </w:tcPr>
                <w:p w14:paraId="6D4BDF64">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达标排放</w:t>
                  </w:r>
                </w:p>
              </w:tc>
              <w:tc>
                <w:tcPr>
                  <w:tcW w:w="1385" w:type="dxa"/>
                  <w:tcBorders>
                    <w:tl2br w:val="nil"/>
                    <w:tr2bl w:val="nil"/>
                  </w:tcBorders>
                  <w:vAlign w:val="center"/>
                </w:tcPr>
                <w:p w14:paraId="312277A5">
                  <w:pPr>
                    <w:autoSpaceDE w:val="0"/>
                    <w:autoSpaceDN w:val="0"/>
                    <w:adjustRightIn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p>
              </w:tc>
              <w:tc>
                <w:tcPr>
                  <w:tcW w:w="1315" w:type="dxa"/>
                  <w:tcBorders>
                    <w:tl2br w:val="nil"/>
                    <w:tr2bl w:val="nil"/>
                  </w:tcBorders>
                  <w:vAlign w:val="center"/>
                </w:tcPr>
                <w:p w14:paraId="300A9E2D">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45283BE8">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47A9DA26">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1.5mg/m</w:t>
                  </w:r>
                  <w:r>
                    <w:rPr>
                      <w:rFonts w:ascii="Times New Roman" w:hAnsi="Times New Roman" w:eastAsia="宋体" w:cs="Times New Roman"/>
                      <w:color w:val="auto"/>
                      <w:highlight w:val="none"/>
                      <w:vertAlign w:val="superscript"/>
                    </w:rPr>
                    <w:t>3</w:t>
                  </w:r>
                </w:p>
              </w:tc>
              <w:tc>
                <w:tcPr>
                  <w:tcW w:w="2507" w:type="dxa"/>
                  <w:vMerge w:val="restart"/>
                  <w:tcBorders>
                    <w:tl2br w:val="nil"/>
                    <w:tr2bl w:val="nil"/>
                  </w:tcBorders>
                  <w:vAlign w:val="center"/>
                </w:tcPr>
                <w:p w14:paraId="5365DCBE">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《恶臭污染物排放标准》（GB14554-93）表1</w:t>
                  </w:r>
                  <w:r>
                    <w:rPr>
                      <w:rFonts w:hint="default" w:ascii="Times New Roman" w:hAnsi="Times New Roman" w:eastAsia="宋体" w:cs="Times New Roman"/>
                      <w:color w:val="auto"/>
                      <w:szCs w:val="24"/>
                      <w:highlight w:val="none"/>
                    </w:rPr>
                    <w:t>中二级标准</w:t>
                  </w:r>
                </w:p>
              </w:tc>
            </w:tr>
            <w:tr w14:paraId="220083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10BCB427">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38FFBEBA">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1F2EEDD6">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6AEC6F9D">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711B78E4">
                  <w:pPr>
                    <w:autoSpaceDE w:val="0"/>
                    <w:autoSpaceDN w:val="0"/>
                    <w:adjustRightIn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H</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S</w:t>
                  </w:r>
                </w:p>
              </w:tc>
              <w:tc>
                <w:tcPr>
                  <w:tcW w:w="1315" w:type="dxa"/>
                  <w:tcBorders>
                    <w:tl2br w:val="nil"/>
                    <w:tr2bl w:val="nil"/>
                  </w:tcBorders>
                  <w:vAlign w:val="center"/>
                </w:tcPr>
                <w:p w14:paraId="3B4E2EEA">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4B34BBA4">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09B1DAE5">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0.06mg/m</w:t>
                  </w:r>
                  <w:r>
                    <w:rPr>
                      <w:rFonts w:ascii="Times New Roman" w:hAnsi="Times New Roman" w:eastAsia="宋体" w:cs="Times New Roman"/>
                      <w:color w:val="auto"/>
                      <w:highlight w:val="none"/>
                      <w:vertAlign w:val="superscript"/>
                    </w:rPr>
                    <w:t>3</w:t>
                  </w:r>
                </w:p>
              </w:tc>
              <w:tc>
                <w:tcPr>
                  <w:tcW w:w="2507" w:type="dxa"/>
                  <w:vMerge w:val="continue"/>
                  <w:tcBorders>
                    <w:tl2br w:val="nil"/>
                    <w:tr2bl w:val="nil"/>
                  </w:tcBorders>
                  <w:vAlign w:val="center"/>
                </w:tcPr>
                <w:p w14:paraId="388AA5D8">
                  <w:pPr>
                    <w:pStyle w:val="191"/>
                    <w:spacing w:line="240" w:lineRule="auto"/>
                    <w:rPr>
                      <w:rFonts w:ascii="Times New Roman" w:hAnsi="Times New Roman" w:eastAsia="宋体" w:cs="Times New Roman"/>
                      <w:color w:val="auto"/>
                      <w:highlight w:val="none"/>
                    </w:rPr>
                  </w:pPr>
                </w:p>
              </w:tc>
            </w:tr>
            <w:tr w14:paraId="060F38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3777C594">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0386C8EC">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462735EB">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4AFCCF7C">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0FD38B72">
                  <w:pPr>
                    <w:autoSpaceDE w:val="0"/>
                    <w:autoSpaceDN w:val="0"/>
                    <w:adjustRightInd w:val="0"/>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315" w:type="dxa"/>
                  <w:tcBorders>
                    <w:tl2br w:val="nil"/>
                    <w:tr2bl w:val="nil"/>
                  </w:tcBorders>
                  <w:vAlign w:val="center"/>
                </w:tcPr>
                <w:p w14:paraId="04FB92E0">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5531EB3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4EA8414D">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20（无量纲）</w:t>
                  </w:r>
                </w:p>
              </w:tc>
              <w:tc>
                <w:tcPr>
                  <w:tcW w:w="2507" w:type="dxa"/>
                  <w:vMerge w:val="continue"/>
                  <w:tcBorders>
                    <w:tl2br w:val="nil"/>
                    <w:tr2bl w:val="nil"/>
                  </w:tcBorders>
                  <w:vAlign w:val="center"/>
                </w:tcPr>
                <w:p w14:paraId="6C17613F">
                  <w:pPr>
                    <w:pStyle w:val="191"/>
                    <w:spacing w:line="240" w:lineRule="auto"/>
                    <w:rPr>
                      <w:rFonts w:ascii="Times New Roman" w:hAnsi="Times New Roman" w:eastAsia="宋体" w:cs="Times New Roman"/>
                      <w:color w:val="auto"/>
                      <w:highlight w:val="none"/>
                    </w:rPr>
                  </w:pPr>
                </w:p>
              </w:tc>
            </w:tr>
            <w:tr w14:paraId="6203F7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14:paraId="643DEC3F">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1356" w:type="dxa"/>
                  <w:vMerge w:val="restart"/>
                  <w:tcBorders>
                    <w:tl2br w:val="nil"/>
                    <w:tr2bl w:val="nil"/>
                  </w:tcBorders>
                  <w:vAlign w:val="center"/>
                </w:tcPr>
                <w:p w14:paraId="17EBB8F1">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宠物美容废水</w:t>
                  </w:r>
                </w:p>
              </w:tc>
              <w:tc>
                <w:tcPr>
                  <w:tcW w:w="2026" w:type="dxa"/>
                  <w:vMerge w:val="restart"/>
                  <w:tcBorders>
                    <w:tl2br w:val="nil"/>
                    <w:tr2bl w:val="nil"/>
                  </w:tcBorders>
                  <w:vAlign w:val="center"/>
                </w:tcPr>
                <w:p w14:paraId="04BB86C5">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1869" w:type="dxa"/>
                  <w:vMerge w:val="restart"/>
                  <w:tcBorders>
                    <w:tl2br w:val="nil"/>
                    <w:tr2bl w:val="nil"/>
                  </w:tcBorders>
                  <w:vAlign w:val="center"/>
                </w:tcPr>
                <w:p w14:paraId="354FCBD9">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lang w:val="en-US"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p>
              </w:tc>
              <w:tc>
                <w:tcPr>
                  <w:tcW w:w="1385" w:type="dxa"/>
                  <w:tcBorders>
                    <w:tl2br w:val="nil"/>
                    <w:tr2bl w:val="nil"/>
                  </w:tcBorders>
                  <w:vAlign w:val="center"/>
                </w:tcPr>
                <w:p w14:paraId="43684E11">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pH</w:t>
                  </w:r>
                </w:p>
              </w:tc>
              <w:tc>
                <w:tcPr>
                  <w:tcW w:w="1315" w:type="dxa"/>
                  <w:tcBorders>
                    <w:tl2br w:val="nil"/>
                    <w:tr2bl w:val="nil"/>
                  </w:tcBorders>
                  <w:vAlign w:val="center"/>
                </w:tcPr>
                <w:p w14:paraId="01CB4113">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3696871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3F9511B8">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6-9</w:t>
                  </w:r>
                </w:p>
              </w:tc>
              <w:tc>
                <w:tcPr>
                  <w:tcW w:w="2507" w:type="dxa"/>
                  <w:vMerge w:val="restart"/>
                  <w:tcBorders>
                    <w:tl2br w:val="nil"/>
                    <w:tr2bl w:val="nil"/>
                  </w:tcBorders>
                  <w:vAlign w:val="center"/>
                </w:tcPr>
                <w:p w14:paraId="318CFAF7">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《污水综合排放标准》（GB8978-1996）表4中三级标准（氨氮排放标准参考《污水排入城镇下水道水质标准》（GB/T31962-2015）B等级标准限值）</w:t>
                  </w:r>
                </w:p>
              </w:tc>
            </w:tr>
            <w:tr w14:paraId="2CA406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3D87D532">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558F0CDC">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69CA6D52">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4718A167">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21AAB58E">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14:paraId="2CBEFB8E">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250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52EC522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0.02464</w:t>
                  </w:r>
                  <w:r>
                    <w:rPr>
                      <w:rFonts w:ascii="Times New Roman" w:hAnsi="Times New Roman" w:cs="Times New Roman"/>
                      <w:color w:val="auto"/>
                      <w:sz w:val="21"/>
                      <w:szCs w:val="21"/>
                      <w:highlight w:val="none"/>
                    </w:rPr>
                    <w:t>t/a</w:t>
                  </w:r>
                </w:p>
              </w:tc>
              <w:tc>
                <w:tcPr>
                  <w:tcW w:w="1304" w:type="dxa"/>
                  <w:tcBorders>
                    <w:tl2br w:val="nil"/>
                    <w:tr2bl w:val="nil"/>
                  </w:tcBorders>
                  <w:vAlign w:val="center"/>
                </w:tcPr>
                <w:p w14:paraId="15C591ED">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3DDC969A">
                  <w:pPr>
                    <w:pStyle w:val="191"/>
                    <w:spacing w:line="240" w:lineRule="auto"/>
                    <w:rPr>
                      <w:rFonts w:ascii="Times New Roman" w:hAnsi="Times New Roman" w:eastAsia="宋体" w:cs="Times New Roman"/>
                      <w:color w:val="auto"/>
                      <w:highlight w:val="none"/>
                    </w:rPr>
                  </w:pPr>
                </w:p>
              </w:tc>
            </w:tr>
            <w:tr w14:paraId="7FCB82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256A7C64">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73E39562">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0BED7721">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16671D2C">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4C8903E8">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14:paraId="1EBF2258">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100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79AF7D9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0.00986</w:t>
                  </w:r>
                  <w:r>
                    <w:rPr>
                      <w:rFonts w:ascii="Times New Roman" w:hAnsi="Times New Roman" w:cs="Times New Roman"/>
                      <w:color w:val="auto"/>
                      <w:sz w:val="21"/>
                      <w:szCs w:val="21"/>
                      <w:highlight w:val="none"/>
                    </w:rPr>
                    <w:t>t/a</w:t>
                  </w:r>
                </w:p>
              </w:tc>
              <w:tc>
                <w:tcPr>
                  <w:tcW w:w="1304" w:type="dxa"/>
                  <w:tcBorders>
                    <w:tl2br w:val="nil"/>
                    <w:tr2bl w:val="nil"/>
                  </w:tcBorders>
                  <w:vAlign w:val="center"/>
                </w:tcPr>
                <w:p w14:paraId="5CFF491E">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09104E9F">
                  <w:pPr>
                    <w:pStyle w:val="191"/>
                    <w:spacing w:line="240" w:lineRule="auto"/>
                    <w:rPr>
                      <w:rFonts w:ascii="Times New Roman" w:hAnsi="Times New Roman" w:eastAsia="宋体" w:cs="Times New Roman"/>
                      <w:color w:val="auto"/>
                      <w:highlight w:val="none"/>
                    </w:rPr>
                  </w:pPr>
                </w:p>
              </w:tc>
            </w:tr>
            <w:tr w14:paraId="53FDD7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37FA59FE">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36AE13E8">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3BD8CE07">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16D0D83E">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7DDA163E">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1315" w:type="dxa"/>
                  <w:tcBorders>
                    <w:tl2br w:val="nil"/>
                    <w:tr2bl w:val="nil"/>
                  </w:tcBorders>
                  <w:vAlign w:val="center"/>
                </w:tcPr>
                <w:p w14:paraId="09A2217E">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00374F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0.00788</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14:paraId="088D2E05">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506257AB">
                  <w:pPr>
                    <w:pStyle w:val="191"/>
                    <w:spacing w:line="240" w:lineRule="auto"/>
                    <w:rPr>
                      <w:rFonts w:ascii="Times New Roman" w:hAnsi="Times New Roman" w:eastAsia="宋体" w:cs="Times New Roman"/>
                      <w:color w:val="auto"/>
                      <w:highlight w:val="none"/>
                    </w:rPr>
                  </w:pPr>
                </w:p>
              </w:tc>
            </w:tr>
            <w:tr w14:paraId="3FA10B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67C61F80">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74077F95">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75241E0E">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706D7913">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31FEC8CC">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粪大肠菌群</w:t>
                  </w:r>
                </w:p>
              </w:tc>
              <w:tc>
                <w:tcPr>
                  <w:tcW w:w="1315" w:type="dxa"/>
                  <w:tcBorders>
                    <w:tl2br w:val="nil"/>
                    <w:tr2bl w:val="nil"/>
                  </w:tcBorders>
                  <w:vAlign w:val="center"/>
                </w:tcPr>
                <w:p w14:paraId="76415010">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c>
                <w:tcPr>
                  <w:tcW w:w="1396" w:type="dxa"/>
                  <w:tcBorders>
                    <w:tl2br w:val="nil"/>
                    <w:tr2bl w:val="nil"/>
                  </w:tcBorders>
                  <w:vAlign w:val="center"/>
                </w:tcPr>
                <w:p w14:paraId="6168CDF1">
                  <w:pPr>
                    <w:pStyle w:val="19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1.58</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6</w:t>
                  </w:r>
                  <w:r>
                    <w:rPr>
                      <w:rFonts w:hint="default" w:ascii="Times New Roman" w:hAnsi="Times New Roman" w:eastAsia="宋体" w:cs="Times New Roman"/>
                      <w:color w:val="auto"/>
                      <w:sz w:val="21"/>
                      <w:szCs w:val="21"/>
                      <w:highlight w:val="none"/>
                      <w:lang w:val="en-US" w:eastAsia="zh-CN"/>
                    </w:rPr>
                    <w:t>MPN</w:t>
                  </w:r>
                </w:p>
              </w:tc>
              <w:tc>
                <w:tcPr>
                  <w:tcW w:w="1304" w:type="dxa"/>
                  <w:tcBorders>
                    <w:tl2br w:val="nil"/>
                    <w:tr2bl w:val="nil"/>
                  </w:tcBorders>
                  <w:vAlign w:val="center"/>
                </w:tcPr>
                <w:p w14:paraId="3848C00F">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5000MPN/L</w:t>
                  </w:r>
                </w:p>
              </w:tc>
              <w:tc>
                <w:tcPr>
                  <w:tcW w:w="2507" w:type="dxa"/>
                  <w:vMerge w:val="continue"/>
                  <w:tcBorders>
                    <w:tl2br w:val="nil"/>
                    <w:tr2bl w:val="nil"/>
                  </w:tcBorders>
                  <w:vAlign w:val="center"/>
                </w:tcPr>
                <w:p w14:paraId="6441D334">
                  <w:pPr>
                    <w:pStyle w:val="191"/>
                    <w:spacing w:line="240" w:lineRule="auto"/>
                    <w:rPr>
                      <w:rFonts w:ascii="Times New Roman" w:hAnsi="Times New Roman" w:eastAsia="宋体" w:cs="Times New Roman"/>
                      <w:color w:val="auto"/>
                      <w:highlight w:val="none"/>
                    </w:rPr>
                  </w:pPr>
                </w:p>
              </w:tc>
            </w:tr>
            <w:tr w14:paraId="06149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65501CD6">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0634FCCF">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7A254853">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473D0577">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45321187">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氨氮</w:t>
                  </w:r>
                </w:p>
              </w:tc>
              <w:tc>
                <w:tcPr>
                  <w:tcW w:w="1315" w:type="dxa"/>
                  <w:tcBorders>
                    <w:tl2br w:val="nil"/>
                    <w:tr2bl w:val="nil"/>
                  </w:tcBorders>
                  <w:vAlign w:val="center"/>
                </w:tcPr>
                <w:p w14:paraId="5EFF08CE">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4559CF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0.00296</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14:paraId="347B43F1">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563E2BC4">
                  <w:pPr>
                    <w:pStyle w:val="191"/>
                    <w:spacing w:line="240" w:lineRule="auto"/>
                    <w:rPr>
                      <w:rFonts w:ascii="Times New Roman" w:hAnsi="Times New Roman" w:eastAsia="宋体" w:cs="Times New Roman"/>
                      <w:color w:val="auto"/>
                      <w:highlight w:val="none"/>
                    </w:rPr>
                  </w:pPr>
                </w:p>
              </w:tc>
            </w:tr>
            <w:tr w14:paraId="1310A8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43CE8709">
                  <w:pPr>
                    <w:pStyle w:val="191"/>
                    <w:spacing w:line="240" w:lineRule="auto"/>
                    <w:rPr>
                      <w:rFonts w:ascii="Times New Roman" w:hAnsi="Times New Roman" w:eastAsia="宋体" w:cs="Times New Roman"/>
                      <w:color w:val="auto"/>
                      <w:highlight w:val="none"/>
                    </w:rPr>
                  </w:pPr>
                </w:p>
              </w:tc>
              <w:tc>
                <w:tcPr>
                  <w:tcW w:w="1356" w:type="dxa"/>
                  <w:vMerge w:val="restart"/>
                  <w:tcBorders>
                    <w:tl2br w:val="nil"/>
                    <w:tr2bl w:val="nil"/>
                  </w:tcBorders>
                  <w:shd w:val="clear" w:color="auto" w:fill="auto"/>
                  <w:vAlign w:val="center"/>
                </w:tcPr>
                <w:p w14:paraId="05421ADB">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诊疗废水</w:t>
                  </w:r>
                </w:p>
              </w:tc>
              <w:tc>
                <w:tcPr>
                  <w:tcW w:w="2026" w:type="dxa"/>
                  <w:vMerge w:val="restart"/>
                  <w:tcBorders>
                    <w:tl2br w:val="nil"/>
                    <w:tr2bl w:val="nil"/>
                  </w:tcBorders>
                  <w:shd w:val="clear" w:color="auto" w:fill="auto"/>
                  <w:vAlign w:val="center"/>
                </w:tcPr>
                <w:p w14:paraId="1623708C">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1869" w:type="dxa"/>
                  <w:vMerge w:val="restart"/>
                  <w:tcBorders>
                    <w:tl2br w:val="nil"/>
                    <w:tr2bl w:val="nil"/>
                  </w:tcBorders>
                  <w:shd w:val="clear" w:color="auto" w:fill="auto"/>
                  <w:vAlign w:val="center"/>
                </w:tcPr>
                <w:p w14:paraId="785AEC76">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lang w:val="en-US"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p>
              </w:tc>
              <w:tc>
                <w:tcPr>
                  <w:tcW w:w="1385" w:type="dxa"/>
                  <w:tcBorders>
                    <w:tl2br w:val="nil"/>
                    <w:tr2bl w:val="nil"/>
                  </w:tcBorders>
                  <w:shd w:val="clear" w:color="auto" w:fill="auto"/>
                  <w:vAlign w:val="center"/>
                </w:tcPr>
                <w:p w14:paraId="10C58A96">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pH</w:t>
                  </w:r>
                </w:p>
              </w:tc>
              <w:tc>
                <w:tcPr>
                  <w:tcW w:w="1315" w:type="dxa"/>
                  <w:tcBorders>
                    <w:tl2br w:val="nil"/>
                    <w:tr2bl w:val="nil"/>
                  </w:tcBorders>
                  <w:shd w:val="clear" w:color="auto" w:fill="auto"/>
                  <w:vAlign w:val="center"/>
                </w:tcPr>
                <w:p w14:paraId="5D8ABB5D">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w:t>
                  </w:r>
                </w:p>
              </w:tc>
              <w:tc>
                <w:tcPr>
                  <w:tcW w:w="1396" w:type="dxa"/>
                  <w:tcBorders>
                    <w:tl2br w:val="nil"/>
                    <w:tr2bl w:val="nil"/>
                  </w:tcBorders>
                  <w:shd w:val="clear" w:color="auto" w:fill="auto"/>
                  <w:vAlign w:val="center"/>
                </w:tcPr>
                <w:p w14:paraId="7A3F6ADA">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w:t>
                  </w:r>
                </w:p>
              </w:tc>
              <w:tc>
                <w:tcPr>
                  <w:tcW w:w="1304" w:type="dxa"/>
                  <w:tcBorders>
                    <w:tl2br w:val="nil"/>
                    <w:tr2bl w:val="nil"/>
                  </w:tcBorders>
                  <w:shd w:val="clear" w:color="auto" w:fill="auto"/>
                  <w:vAlign w:val="center"/>
                </w:tcPr>
                <w:p w14:paraId="68295901">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ascii="Times New Roman" w:hAnsi="Times New Roman" w:eastAsia="宋体" w:cs="Times New Roman"/>
                      <w:color w:val="auto"/>
                      <w:highlight w:val="none"/>
                    </w:rPr>
                    <w:t>6-9</w:t>
                  </w:r>
                </w:p>
              </w:tc>
              <w:tc>
                <w:tcPr>
                  <w:tcW w:w="2507" w:type="dxa"/>
                  <w:vMerge w:val="continue"/>
                  <w:tcBorders>
                    <w:tl2br w:val="nil"/>
                    <w:tr2bl w:val="nil"/>
                  </w:tcBorders>
                  <w:vAlign w:val="center"/>
                </w:tcPr>
                <w:p w14:paraId="3ACC15FA">
                  <w:pPr>
                    <w:pStyle w:val="191"/>
                    <w:spacing w:line="240" w:lineRule="auto"/>
                    <w:rPr>
                      <w:rFonts w:ascii="Times New Roman" w:hAnsi="Times New Roman" w:eastAsia="宋体" w:cs="Times New Roman"/>
                      <w:color w:val="auto"/>
                      <w:highlight w:val="none"/>
                    </w:rPr>
                  </w:pPr>
                </w:p>
              </w:tc>
            </w:tr>
            <w:tr w14:paraId="4BBF5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12F31F96">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0B39E1BB">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434FADE6">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7E4730A6">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14:paraId="754E1657">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shd w:val="clear" w:color="auto" w:fill="auto"/>
                  <w:vAlign w:val="center"/>
                </w:tcPr>
                <w:p w14:paraId="6543A5BE">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250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14:paraId="54A353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0.01848</w:t>
                  </w:r>
                  <w:r>
                    <w:rPr>
                      <w:rFonts w:ascii="Times New Roman" w:hAnsi="Times New Roman" w:cs="Times New Roman"/>
                      <w:color w:val="auto"/>
                      <w:sz w:val="21"/>
                      <w:szCs w:val="21"/>
                      <w:highlight w:val="none"/>
                    </w:rPr>
                    <w:t>t/a</w:t>
                  </w:r>
                </w:p>
              </w:tc>
              <w:tc>
                <w:tcPr>
                  <w:tcW w:w="1304" w:type="dxa"/>
                  <w:tcBorders>
                    <w:tl2br w:val="nil"/>
                    <w:tr2bl w:val="nil"/>
                  </w:tcBorders>
                  <w:shd w:val="clear" w:color="auto" w:fill="auto"/>
                  <w:vAlign w:val="center"/>
                </w:tcPr>
                <w:p w14:paraId="73DCE280">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500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4929F0D1">
                  <w:pPr>
                    <w:pStyle w:val="191"/>
                    <w:spacing w:line="240" w:lineRule="auto"/>
                    <w:rPr>
                      <w:rFonts w:ascii="Times New Roman" w:hAnsi="Times New Roman" w:eastAsia="宋体" w:cs="Times New Roman"/>
                      <w:color w:val="auto"/>
                      <w:highlight w:val="none"/>
                    </w:rPr>
                  </w:pPr>
                </w:p>
              </w:tc>
            </w:tr>
            <w:tr w14:paraId="3C141C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53A9C269">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02D01A4F">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7988F33C">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219CE14C">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14:paraId="4DBC7393">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dxa"/>
                  <w:tcBorders>
                    <w:tl2br w:val="nil"/>
                    <w:tr2bl w:val="nil"/>
                  </w:tcBorders>
                  <w:shd w:val="clear" w:color="auto" w:fill="auto"/>
                  <w:vAlign w:val="center"/>
                </w:tcPr>
                <w:p w14:paraId="011F8865">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14:paraId="2115946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0.00739</w:t>
                  </w:r>
                  <w:r>
                    <w:rPr>
                      <w:rFonts w:ascii="Times New Roman" w:hAnsi="Times New Roman" w:cs="Times New Roman"/>
                      <w:color w:val="auto"/>
                      <w:sz w:val="21"/>
                      <w:szCs w:val="21"/>
                      <w:highlight w:val="none"/>
                    </w:rPr>
                    <w:t>t/a</w:t>
                  </w:r>
                </w:p>
              </w:tc>
              <w:tc>
                <w:tcPr>
                  <w:tcW w:w="1304" w:type="dxa"/>
                  <w:tcBorders>
                    <w:tl2br w:val="nil"/>
                    <w:tr2bl w:val="nil"/>
                  </w:tcBorders>
                  <w:shd w:val="clear" w:color="auto" w:fill="auto"/>
                  <w:vAlign w:val="center"/>
                </w:tcPr>
                <w:p w14:paraId="723D6B83">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370862CE">
                  <w:pPr>
                    <w:pStyle w:val="191"/>
                    <w:spacing w:line="240" w:lineRule="auto"/>
                    <w:rPr>
                      <w:rFonts w:ascii="Times New Roman" w:hAnsi="Times New Roman" w:eastAsia="宋体" w:cs="Times New Roman"/>
                      <w:color w:val="auto"/>
                      <w:highlight w:val="none"/>
                    </w:rPr>
                  </w:pPr>
                </w:p>
              </w:tc>
            </w:tr>
            <w:tr w14:paraId="3A41D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7BE5F2D6">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407BB036">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4034170C">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78955306">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14:paraId="54EAC4EA">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SS</w:t>
                  </w:r>
                </w:p>
              </w:tc>
              <w:tc>
                <w:tcPr>
                  <w:tcW w:w="1315" w:type="dxa"/>
                  <w:tcBorders>
                    <w:tl2br w:val="nil"/>
                    <w:tr2bl w:val="nil"/>
                  </w:tcBorders>
                  <w:shd w:val="clear" w:color="auto" w:fill="auto"/>
                  <w:vAlign w:val="center"/>
                </w:tcPr>
                <w:p w14:paraId="6403E5AB">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14:paraId="65F3EF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0.00591</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shd w:val="clear" w:color="auto" w:fill="auto"/>
                  <w:vAlign w:val="center"/>
                </w:tcPr>
                <w:p w14:paraId="441EF305">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740DCC91">
                  <w:pPr>
                    <w:pStyle w:val="191"/>
                    <w:spacing w:line="240" w:lineRule="auto"/>
                    <w:rPr>
                      <w:rFonts w:ascii="Times New Roman" w:hAnsi="Times New Roman" w:eastAsia="宋体" w:cs="Times New Roman"/>
                      <w:color w:val="auto"/>
                      <w:highlight w:val="none"/>
                    </w:rPr>
                  </w:pPr>
                </w:p>
              </w:tc>
            </w:tr>
            <w:tr w14:paraId="5125FA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0BE1FFAC">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0A459656">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152539B9">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7AA57189">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14:paraId="070DF324">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粪大肠菌群</w:t>
                  </w:r>
                </w:p>
              </w:tc>
              <w:tc>
                <w:tcPr>
                  <w:tcW w:w="1315" w:type="dxa"/>
                  <w:tcBorders>
                    <w:tl2br w:val="nil"/>
                    <w:tr2bl w:val="nil"/>
                  </w:tcBorders>
                  <w:shd w:val="clear" w:color="auto" w:fill="auto"/>
                  <w:vAlign w:val="center"/>
                </w:tcPr>
                <w:p w14:paraId="030207A6">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c>
                <w:tcPr>
                  <w:tcW w:w="1396" w:type="dxa"/>
                  <w:tcBorders>
                    <w:tl2br w:val="nil"/>
                    <w:tr2bl w:val="nil"/>
                  </w:tcBorders>
                  <w:shd w:val="clear" w:color="auto" w:fill="auto"/>
                  <w:vAlign w:val="center"/>
                </w:tcPr>
                <w:p w14:paraId="485F81A9">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1.18</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6</w:t>
                  </w:r>
                  <w:r>
                    <w:rPr>
                      <w:rFonts w:hint="default" w:ascii="Times New Roman" w:hAnsi="Times New Roman" w:eastAsia="宋体" w:cs="Times New Roman"/>
                      <w:color w:val="auto"/>
                      <w:sz w:val="21"/>
                      <w:szCs w:val="21"/>
                      <w:highlight w:val="none"/>
                      <w:lang w:val="en-US" w:eastAsia="zh-CN"/>
                    </w:rPr>
                    <w:t>MPN</w:t>
                  </w:r>
                </w:p>
              </w:tc>
              <w:tc>
                <w:tcPr>
                  <w:tcW w:w="1304" w:type="dxa"/>
                  <w:tcBorders>
                    <w:tl2br w:val="nil"/>
                    <w:tr2bl w:val="nil"/>
                  </w:tcBorders>
                  <w:shd w:val="clear" w:color="auto" w:fill="auto"/>
                  <w:vAlign w:val="center"/>
                </w:tcPr>
                <w:p w14:paraId="261522E7">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5000MPN/L</w:t>
                  </w:r>
                </w:p>
              </w:tc>
              <w:tc>
                <w:tcPr>
                  <w:tcW w:w="2507" w:type="dxa"/>
                  <w:vMerge w:val="continue"/>
                  <w:tcBorders>
                    <w:tl2br w:val="nil"/>
                    <w:tr2bl w:val="nil"/>
                  </w:tcBorders>
                  <w:vAlign w:val="center"/>
                </w:tcPr>
                <w:p w14:paraId="4BCFF6E2">
                  <w:pPr>
                    <w:pStyle w:val="191"/>
                    <w:spacing w:line="240" w:lineRule="auto"/>
                    <w:rPr>
                      <w:rFonts w:ascii="Times New Roman" w:hAnsi="Times New Roman" w:eastAsia="宋体" w:cs="Times New Roman"/>
                      <w:color w:val="auto"/>
                      <w:highlight w:val="none"/>
                    </w:rPr>
                  </w:pPr>
                </w:p>
              </w:tc>
            </w:tr>
            <w:tr w14:paraId="74DEA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229E2983">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24C61D0F">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05722235">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104F6E25">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shd w:val="clear" w:color="auto" w:fill="auto"/>
                  <w:vAlign w:val="center"/>
                </w:tcPr>
                <w:p w14:paraId="78764045">
                  <w:pPr>
                    <w:widowControl/>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氨氮</w:t>
                  </w:r>
                </w:p>
              </w:tc>
              <w:tc>
                <w:tcPr>
                  <w:tcW w:w="1315" w:type="dxa"/>
                  <w:tcBorders>
                    <w:tl2br w:val="nil"/>
                    <w:tr2bl w:val="nil"/>
                  </w:tcBorders>
                  <w:shd w:val="clear" w:color="auto" w:fill="auto"/>
                  <w:vAlign w:val="center"/>
                </w:tcPr>
                <w:p w14:paraId="0ECAF1C2">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mg/L</w:t>
                  </w:r>
                </w:p>
              </w:tc>
              <w:tc>
                <w:tcPr>
                  <w:tcW w:w="1396" w:type="dxa"/>
                  <w:tcBorders>
                    <w:tl2br w:val="nil"/>
                    <w:tr2bl w:val="nil"/>
                  </w:tcBorders>
                  <w:shd w:val="clear" w:color="auto" w:fill="auto"/>
                  <w:vAlign w:val="center"/>
                </w:tcPr>
                <w:p w14:paraId="435DE7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0.00222</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shd w:val="clear" w:color="auto" w:fill="auto"/>
                  <w:vAlign w:val="center"/>
                </w:tcPr>
                <w:p w14:paraId="655FA554">
                  <w:pPr>
                    <w:pStyle w:val="191"/>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36D5ECF8">
                  <w:pPr>
                    <w:pStyle w:val="191"/>
                    <w:spacing w:line="240" w:lineRule="auto"/>
                    <w:rPr>
                      <w:rFonts w:ascii="Times New Roman" w:hAnsi="Times New Roman" w:eastAsia="宋体" w:cs="Times New Roman"/>
                      <w:color w:val="auto"/>
                      <w:highlight w:val="none"/>
                    </w:rPr>
                  </w:pPr>
                </w:p>
              </w:tc>
            </w:tr>
            <w:tr w14:paraId="419270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77FA739D">
                  <w:pPr>
                    <w:pStyle w:val="191"/>
                    <w:spacing w:line="240" w:lineRule="auto"/>
                    <w:rPr>
                      <w:rFonts w:ascii="Times New Roman" w:hAnsi="Times New Roman" w:eastAsia="宋体" w:cs="Times New Roman"/>
                      <w:color w:val="auto"/>
                      <w:highlight w:val="none"/>
                    </w:rPr>
                  </w:pPr>
                </w:p>
              </w:tc>
              <w:tc>
                <w:tcPr>
                  <w:tcW w:w="1356" w:type="dxa"/>
                  <w:vMerge w:val="restart"/>
                  <w:tcBorders>
                    <w:tl2br w:val="nil"/>
                    <w:tr2bl w:val="nil"/>
                  </w:tcBorders>
                  <w:vAlign w:val="center"/>
                </w:tcPr>
                <w:p w14:paraId="275514F0">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综合废水</w:t>
                  </w:r>
                </w:p>
              </w:tc>
              <w:tc>
                <w:tcPr>
                  <w:tcW w:w="2026" w:type="dxa"/>
                  <w:vMerge w:val="restart"/>
                  <w:tcBorders>
                    <w:tl2br w:val="nil"/>
                    <w:tr2bl w:val="nil"/>
                  </w:tcBorders>
                  <w:vAlign w:val="center"/>
                </w:tcPr>
                <w:p w14:paraId="31DF1647">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化粪池</w:t>
                  </w:r>
                </w:p>
              </w:tc>
              <w:tc>
                <w:tcPr>
                  <w:tcW w:w="1869" w:type="dxa"/>
                  <w:vMerge w:val="restart"/>
                  <w:tcBorders>
                    <w:tl2br w:val="nil"/>
                    <w:tr2bl w:val="nil"/>
                  </w:tcBorders>
                  <w:vAlign w:val="center"/>
                </w:tcPr>
                <w:p w14:paraId="675AC1FC">
                  <w:pPr>
                    <w:pStyle w:val="191"/>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生活污水</w:t>
                  </w:r>
                  <w:r>
                    <w:rPr>
                      <w:rFonts w:hint="default" w:ascii="Times New Roman" w:hAnsi="Times New Roman" w:eastAsia="宋体" w:cs="Times New Roman"/>
                      <w:color w:val="auto"/>
                      <w:highlight w:val="none"/>
                      <w:lang w:val="en-US" w:eastAsia="zh-CN"/>
                    </w:rPr>
                    <w:t>直接</w:t>
                  </w:r>
                  <w:r>
                    <w:rPr>
                      <w:rFonts w:ascii="Times New Roman" w:hAnsi="Times New Roman" w:eastAsia="宋体" w:cs="Times New Roman"/>
                      <w:color w:val="auto"/>
                      <w:highlight w:val="none"/>
                    </w:rPr>
                    <w:t>排放</w:t>
                  </w:r>
                  <w:r>
                    <w:rPr>
                      <w:rFonts w:hint="default" w:ascii="Times New Roman" w:hAnsi="Times New Roman" w:eastAsia="宋体" w:cs="Times New Roman"/>
                      <w:color w:val="auto"/>
                      <w:highlight w:val="none"/>
                      <w:lang w:eastAsia="zh-CN"/>
                    </w:rPr>
                    <w:t>化粪池</w:t>
                  </w:r>
                  <w:r>
                    <w:rPr>
                      <w:rFonts w:hint="eastAsia" w:ascii="Times New Roman" w:hAnsi="Times New Roman" w:eastAsia="宋体" w:cs="Times New Roman"/>
                      <w:color w:val="auto"/>
                      <w:highlight w:val="none"/>
                      <w:lang w:val="en-US" w:eastAsia="zh-CN"/>
                    </w:rPr>
                    <w:t>预处理排放</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诊疗废水和宠物美容废水</w:t>
                  </w: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消毒设备消毒</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eastAsia="zh-CN"/>
                    </w:rPr>
                    <w:t>化粪池</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lang w:val="en-US" w:eastAsia="zh-CN"/>
                    </w:rPr>
                    <w:t>市政污水管网</w:t>
                  </w:r>
                  <w:r>
                    <w:rPr>
                      <w:rFonts w:hint="eastAsia" w:ascii="Times New Roman" w:hAnsi="Times New Roman" w:eastAsia="宋体" w:cs="Times New Roman"/>
                      <w:color w:val="auto"/>
                      <w:highlight w:val="none"/>
                      <w:lang w:val="en-US" w:eastAsia="zh-CN"/>
                    </w:rPr>
                    <w:t>，由</w:t>
                  </w:r>
                  <w:r>
                    <w:rPr>
                      <w:rFonts w:hint="default" w:ascii="Times New Roman" w:hAnsi="Times New Roman" w:eastAsia="宋体" w:cs="Times New Roman"/>
                      <w:color w:val="auto"/>
                      <w:highlight w:val="none"/>
                      <w:lang w:eastAsia="zh-CN"/>
                    </w:rPr>
                    <w:t>福清市融元污水处理厂</w:t>
                  </w:r>
                </w:p>
              </w:tc>
              <w:tc>
                <w:tcPr>
                  <w:tcW w:w="1385" w:type="dxa"/>
                  <w:tcBorders>
                    <w:tl2br w:val="nil"/>
                    <w:tr2bl w:val="nil"/>
                  </w:tcBorders>
                  <w:vAlign w:val="center"/>
                </w:tcPr>
                <w:p w14:paraId="5727E711">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pH</w:t>
                  </w:r>
                </w:p>
              </w:tc>
              <w:tc>
                <w:tcPr>
                  <w:tcW w:w="1315" w:type="dxa"/>
                  <w:tcBorders>
                    <w:tl2br w:val="nil"/>
                    <w:tr2bl w:val="nil"/>
                  </w:tcBorders>
                  <w:vAlign w:val="center"/>
                </w:tcPr>
                <w:p w14:paraId="728B239A">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53C3757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30278516">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6-9</w:t>
                  </w:r>
                </w:p>
              </w:tc>
              <w:tc>
                <w:tcPr>
                  <w:tcW w:w="2507" w:type="dxa"/>
                  <w:vMerge w:val="continue"/>
                  <w:tcBorders>
                    <w:tl2br w:val="nil"/>
                    <w:tr2bl w:val="nil"/>
                  </w:tcBorders>
                  <w:vAlign w:val="center"/>
                </w:tcPr>
                <w:p w14:paraId="0BFC6220">
                  <w:pPr>
                    <w:pStyle w:val="191"/>
                    <w:spacing w:line="240" w:lineRule="auto"/>
                    <w:rPr>
                      <w:rFonts w:ascii="Times New Roman" w:hAnsi="Times New Roman" w:eastAsia="宋体" w:cs="Times New Roman"/>
                      <w:color w:val="auto"/>
                      <w:highlight w:val="none"/>
                    </w:rPr>
                  </w:pPr>
                </w:p>
              </w:tc>
            </w:tr>
            <w:tr w14:paraId="45775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603" w:type="dxa"/>
                  <w:vMerge w:val="continue"/>
                  <w:tcBorders>
                    <w:tl2br w:val="nil"/>
                    <w:tr2bl w:val="nil"/>
                  </w:tcBorders>
                  <w:vAlign w:val="center"/>
                </w:tcPr>
                <w:p w14:paraId="73DCA706">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270548B8">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71DF3549">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645A2B0E">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6A5621CE">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14:paraId="6C1637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293</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1B6000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0.13717</w:t>
                  </w:r>
                  <w:r>
                    <w:rPr>
                      <w:rFonts w:ascii="Times New Roman" w:hAnsi="Times New Roman" w:cs="Times New Roman"/>
                      <w:color w:val="auto"/>
                      <w:sz w:val="21"/>
                      <w:szCs w:val="21"/>
                      <w:highlight w:val="none"/>
                    </w:rPr>
                    <w:t>t/a</w:t>
                  </w:r>
                </w:p>
              </w:tc>
              <w:tc>
                <w:tcPr>
                  <w:tcW w:w="1304" w:type="dxa"/>
                  <w:tcBorders>
                    <w:tl2br w:val="nil"/>
                    <w:tr2bl w:val="nil"/>
                  </w:tcBorders>
                  <w:vAlign w:val="center"/>
                </w:tcPr>
                <w:p w14:paraId="58CF6428">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00mg/L</w:t>
                  </w:r>
                </w:p>
              </w:tc>
              <w:tc>
                <w:tcPr>
                  <w:tcW w:w="2507" w:type="dxa"/>
                  <w:vMerge w:val="continue"/>
                  <w:tcBorders>
                    <w:tl2br w:val="nil"/>
                    <w:tr2bl w:val="nil"/>
                  </w:tcBorders>
                  <w:vAlign w:val="center"/>
                </w:tcPr>
                <w:p w14:paraId="7261E395">
                  <w:pPr>
                    <w:pStyle w:val="191"/>
                    <w:spacing w:line="240" w:lineRule="auto"/>
                    <w:rPr>
                      <w:rFonts w:ascii="Times New Roman" w:hAnsi="Times New Roman" w:eastAsia="宋体" w:cs="Times New Roman"/>
                      <w:color w:val="auto"/>
                      <w:highlight w:val="none"/>
                    </w:rPr>
                  </w:pPr>
                </w:p>
              </w:tc>
            </w:tr>
            <w:tr w14:paraId="1FE2B7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65CC1C3B">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1599F8E6">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3FD2EC3C">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7D615B2F">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7A01CF85">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14:paraId="61F630BC">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145.2</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4FD59D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0.06797</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14:paraId="74848A0E">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ascii="Times New Roman" w:hAnsi="Times New Roman" w:eastAsia="宋体" w:cs="Times New Roman"/>
                      <w:color w:val="auto"/>
                      <w:highlight w:val="none"/>
                    </w:rPr>
                    <w:t>00mg/L</w:t>
                  </w:r>
                </w:p>
              </w:tc>
              <w:tc>
                <w:tcPr>
                  <w:tcW w:w="2507" w:type="dxa"/>
                  <w:vMerge w:val="continue"/>
                  <w:tcBorders>
                    <w:tl2br w:val="nil"/>
                    <w:tr2bl w:val="nil"/>
                  </w:tcBorders>
                  <w:vAlign w:val="center"/>
                </w:tcPr>
                <w:p w14:paraId="422ABCF7">
                  <w:pPr>
                    <w:pStyle w:val="191"/>
                    <w:spacing w:line="240" w:lineRule="auto"/>
                    <w:rPr>
                      <w:rFonts w:ascii="Times New Roman" w:hAnsi="Times New Roman" w:eastAsia="宋体" w:cs="Times New Roman"/>
                      <w:color w:val="auto"/>
                      <w:highlight w:val="none"/>
                    </w:rPr>
                  </w:pPr>
                </w:p>
              </w:tc>
            </w:tr>
            <w:tr w14:paraId="54736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56819EF3">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2E37D9E3">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358E90E7">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303EEB8D">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6FC7667C">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1315" w:type="dxa"/>
                  <w:tcBorders>
                    <w:tl2br w:val="nil"/>
                    <w:tr2bl w:val="nil"/>
                  </w:tcBorders>
                  <w:vAlign w:val="center"/>
                </w:tcPr>
                <w:p w14:paraId="2BC39C99">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82.6</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1749B0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0.03865</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14:paraId="0360C927">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400mg/L</w:t>
                  </w:r>
                </w:p>
              </w:tc>
              <w:tc>
                <w:tcPr>
                  <w:tcW w:w="2507" w:type="dxa"/>
                  <w:vMerge w:val="continue"/>
                  <w:tcBorders>
                    <w:tl2br w:val="nil"/>
                    <w:tr2bl w:val="nil"/>
                  </w:tcBorders>
                  <w:vAlign w:val="center"/>
                </w:tcPr>
                <w:p w14:paraId="3C4632EC">
                  <w:pPr>
                    <w:pStyle w:val="191"/>
                    <w:spacing w:line="240" w:lineRule="auto"/>
                    <w:rPr>
                      <w:rFonts w:ascii="Times New Roman" w:hAnsi="Times New Roman" w:eastAsia="宋体" w:cs="Times New Roman"/>
                      <w:color w:val="auto"/>
                      <w:highlight w:val="none"/>
                    </w:rPr>
                  </w:pPr>
                </w:p>
              </w:tc>
            </w:tr>
            <w:tr w14:paraId="3D5B0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4E2E7852">
                  <w:pPr>
                    <w:pStyle w:val="191"/>
                    <w:spacing w:line="240" w:lineRule="auto"/>
                    <w:rPr>
                      <w:rFonts w:ascii="Times New Roman" w:hAnsi="Times New Roman" w:eastAsia="宋体" w:cs="Times New Roman"/>
                      <w:color w:val="auto"/>
                      <w:highlight w:val="none"/>
                    </w:rPr>
                  </w:pPr>
                </w:p>
              </w:tc>
              <w:tc>
                <w:tcPr>
                  <w:tcW w:w="1356" w:type="dxa"/>
                  <w:vMerge w:val="continue"/>
                  <w:tcBorders>
                    <w:tl2br w:val="nil"/>
                    <w:tr2bl w:val="nil"/>
                  </w:tcBorders>
                  <w:vAlign w:val="center"/>
                </w:tcPr>
                <w:p w14:paraId="1AD9B949">
                  <w:pPr>
                    <w:pStyle w:val="191"/>
                    <w:spacing w:line="240" w:lineRule="auto"/>
                    <w:rPr>
                      <w:rFonts w:ascii="Times New Roman" w:hAnsi="Times New Roman" w:eastAsia="宋体" w:cs="Times New Roman"/>
                      <w:color w:val="auto"/>
                      <w:highlight w:val="none"/>
                    </w:rPr>
                  </w:pPr>
                </w:p>
              </w:tc>
              <w:tc>
                <w:tcPr>
                  <w:tcW w:w="2026" w:type="dxa"/>
                  <w:vMerge w:val="continue"/>
                  <w:tcBorders>
                    <w:tl2br w:val="nil"/>
                    <w:tr2bl w:val="nil"/>
                  </w:tcBorders>
                  <w:vAlign w:val="center"/>
                </w:tcPr>
                <w:p w14:paraId="6A1683AA">
                  <w:pPr>
                    <w:pStyle w:val="191"/>
                    <w:spacing w:line="240" w:lineRule="auto"/>
                    <w:rPr>
                      <w:rFonts w:ascii="Times New Roman" w:hAnsi="Times New Roman" w:eastAsia="宋体" w:cs="Times New Roman"/>
                      <w:color w:val="auto"/>
                      <w:highlight w:val="none"/>
                    </w:rPr>
                  </w:pPr>
                </w:p>
              </w:tc>
              <w:tc>
                <w:tcPr>
                  <w:tcW w:w="1869" w:type="dxa"/>
                  <w:vMerge w:val="continue"/>
                  <w:tcBorders>
                    <w:tl2br w:val="nil"/>
                    <w:tr2bl w:val="nil"/>
                  </w:tcBorders>
                  <w:vAlign w:val="center"/>
                </w:tcPr>
                <w:p w14:paraId="094D7035">
                  <w:pPr>
                    <w:pStyle w:val="191"/>
                    <w:spacing w:line="240" w:lineRule="auto"/>
                    <w:rPr>
                      <w:rFonts w:ascii="Times New Roman" w:hAnsi="Times New Roman" w:eastAsia="宋体" w:cs="Times New Roman"/>
                      <w:color w:val="auto"/>
                      <w:highlight w:val="none"/>
                    </w:rPr>
                  </w:pPr>
                </w:p>
              </w:tc>
              <w:tc>
                <w:tcPr>
                  <w:tcW w:w="1385" w:type="dxa"/>
                  <w:tcBorders>
                    <w:tl2br w:val="nil"/>
                    <w:tr2bl w:val="nil"/>
                  </w:tcBorders>
                  <w:vAlign w:val="center"/>
                </w:tcPr>
                <w:p w14:paraId="2A1E2168">
                  <w:pPr>
                    <w:widowControl/>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氨氮</w:t>
                  </w:r>
                </w:p>
              </w:tc>
              <w:tc>
                <w:tcPr>
                  <w:tcW w:w="1315" w:type="dxa"/>
                  <w:tcBorders>
                    <w:tl2br w:val="nil"/>
                    <w:tr2bl w:val="nil"/>
                  </w:tcBorders>
                  <w:vAlign w:val="center"/>
                </w:tcPr>
                <w:p w14:paraId="05233BBF">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38.3</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33E05D3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0.01792</w:t>
                  </w:r>
                  <w:r>
                    <w:rPr>
                      <w:rFonts w:ascii="Times New Roman" w:hAnsi="Times New Roman" w:cs="Times New Roman"/>
                      <w:color w:val="auto"/>
                      <w:sz w:val="21"/>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04" w:type="dxa"/>
                  <w:tcBorders>
                    <w:tl2br w:val="nil"/>
                    <w:tr2bl w:val="nil"/>
                  </w:tcBorders>
                  <w:vAlign w:val="center"/>
                </w:tcPr>
                <w:p w14:paraId="0C4964D3">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45mg/L</w:t>
                  </w:r>
                </w:p>
              </w:tc>
              <w:tc>
                <w:tcPr>
                  <w:tcW w:w="2507" w:type="dxa"/>
                  <w:vMerge w:val="continue"/>
                  <w:tcBorders>
                    <w:tl2br w:val="nil"/>
                    <w:tr2bl w:val="nil"/>
                  </w:tcBorders>
                  <w:vAlign w:val="center"/>
                </w:tcPr>
                <w:p w14:paraId="537BBAA0">
                  <w:pPr>
                    <w:pStyle w:val="191"/>
                    <w:spacing w:line="240" w:lineRule="auto"/>
                    <w:rPr>
                      <w:rFonts w:ascii="Times New Roman" w:hAnsi="Times New Roman" w:eastAsia="宋体" w:cs="Times New Roman"/>
                      <w:color w:val="auto"/>
                      <w:highlight w:val="none"/>
                    </w:rPr>
                  </w:pPr>
                </w:p>
              </w:tc>
            </w:tr>
            <w:tr w14:paraId="429E54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14:paraId="1282F877">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w:t>
                  </w:r>
                </w:p>
              </w:tc>
              <w:tc>
                <w:tcPr>
                  <w:tcW w:w="1356" w:type="dxa"/>
                  <w:tcBorders>
                    <w:tl2br w:val="nil"/>
                    <w:tr2bl w:val="nil"/>
                  </w:tcBorders>
                  <w:vAlign w:val="center"/>
                </w:tcPr>
                <w:p w14:paraId="5F5ACDE2">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宠物叫声</w:t>
                  </w:r>
                </w:p>
              </w:tc>
              <w:tc>
                <w:tcPr>
                  <w:tcW w:w="2026" w:type="dxa"/>
                  <w:tcBorders>
                    <w:tl2br w:val="nil"/>
                    <w:tr2bl w:val="nil"/>
                  </w:tcBorders>
                  <w:vAlign w:val="center"/>
                </w:tcPr>
                <w:p w14:paraId="0E42222E">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隔声、减震</w:t>
                  </w:r>
                </w:p>
              </w:tc>
              <w:tc>
                <w:tcPr>
                  <w:tcW w:w="1869" w:type="dxa"/>
                  <w:tcBorders>
                    <w:tl2br w:val="nil"/>
                    <w:tr2bl w:val="nil"/>
                  </w:tcBorders>
                  <w:vAlign w:val="center"/>
                </w:tcPr>
                <w:p w14:paraId="3851E833">
                  <w:pPr>
                    <w:pStyle w:val="191"/>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降噪15dB</w:t>
                  </w:r>
                  <w:r>
                    <w:rPr>
                      <w:rFonts w:hint="eastAsia" w:ascii="Times New Roman" w:hAnsi="Times New Roman" w:eastAsia="宋体" w:cs="Times New Roman"/>
                      <w:color w:val="auto"/>
                      <w:highlight w:val="none"/>
                      <w:lang w:eastAsia="zh-CN"/>
                    </w:rPr>
                    <w:t>”</w:t>
                  </w:r>
                </w:p>
              </w:tc>
              <w:tc>
                <w:tcPr>
                  <w:tcW w:w="1385" w:type="dxa"/>
                  <w:tcBorders>
                    <w:tl2br w:val="nil"/>
                    <w:tr2bl w:val="nil"/>
                  </w:tcBorders>
                  <w:vAlign w:val="center"/>
                </w:tcPr>
                <w:p w14:paraId="53CD5EC9">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15" w:type="dxa"/>
                  <w:tcBorders>
                    <w:tl2br w:val="nil"/>
                    <w:tr2bl w:val="nil"/>
                  </w:tcBorders>
                  <w:vAlign w:val="center"/>
                </w:tcPr>
                <w:p w14:paraId="2F0A1A0C">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41F5838A">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29E5F65D">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507" w:type="dxa"/>
                  <w:tcBorders>
                    <w:tl2br w:val="nil"/>
                    <w:tr2bl w:val="nil"/>
                  </w:tcBorders>
                  <w:vAlign w:val="center"/>
                </w:tcPr>
                <w:p w14:paraId="3A5821EC">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噪声排放执行《社会生活环境噪声排放标准》（GB22337-2008）中表1的2类标准，靠近</w:t>
                  </w:r>
                  <w:r>
                    <w:rPr>
                      <w:rFonts w:hint="default" w:ascii="Times New Roman" w:hAnsi="Times New Roman" w:eastAsia="宋体" w:cs="Times New Roman"/>
                      <w:color w:val="auto"/>
                      <w:highlight w:val="none"/>
                      <w:lang w:val="en-US" w:eastAsia="zh-CN"/>
                    </w:rPr>
                    <w:t>清盛大道</w:t>
                  </w:r>
                  <w:r>
                    <w:rPr>
                      <w:rFonts w:ascii="Times New Roman" w:hAnsi="Times New Roman" w:eastAsia="宋体" w:cs="Times New Roman"/>
                      <w:color w:val="auto"/>
                      <w:highlight w:val="none"/>
                    </w:rPr>
                    <w:t>一侧执行《社会生活环境噪声排放标准》（GB22337-2008）中表1的</w:t>
                  </w:r>
                  <w:r>
                    <w:rPr>
                      <w:rFonts w:hint="default" w:ascii="Times New Roman" w:hAnsi="Times New Roman" w:eastAsia="宋体" w:cs="Times New Roman"/>
                      <w:color w:val="auto"/>
                      <w:highlight w:val="none"/>
                      <w:lang w:eastAsia="zh-CN"/>
                    </w:rPr>
                    <w:t>4类</w:t>
                  </w:r>
                  <w:r>
                    <w:rPr>
                      <w:rFonts w:ascii="Times New Roman" w:hAnsi="Times New Roman" w:eastAsia="宋体" w:cs="Times New Roman"/>
                      <w:color w:val="auto"/>
                      <w:highlight w:val="none"/>
                    </w:rPr>
                    <w:t>标准</w:t>
                  </w:r>
                </w:p>
              </w:tc>
            </w:tr>
            <w:tr w14:paraId="31B1C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1" w:hRule="atLeast"/>
                <w:jc w:val="center"/>
              </w:trPr>
              <w:tc>
                <w:tcPr>
                  <w:tcW w:w="603" w:type="dxa"/>
                  <w:tcBorders>
                    <w:tl2br w:val="nil"/>
                    <w:tr2bl w:val="nil"/>
                  </w:tcBorders>
                  <w:vAlign w:val="center"/>
                </w:tcPr>
                <w:p w14:paraId="5817D0D9">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w:t>
                  </w:r>
                </w:p>
              </w:tc>
              <w:tc>
                <w:tcPr>
                  <w:tcW w:w="1356" w:type="dxa"/>
                  <w:tcBorders>
                    <w:tl2br w:val="nil"/>
                    <w:tr2bl w:val="nil"/>
                  </w:tcBorders>
                  <w:vAlign w:val="center"/>
                </w:tcPr>
                <w:p w14:paraId="08761F64">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利用方式</w:t>
                  </w:r>
                </w:p>
              </w:tc>
              <w:tc>
                <w:tcPr>
                  <w:tcW w:w="2026" w:type="dxa"/>
                  <w:tcBorders>
                    <w:tl2br w:val="nil"/>
                    <w:tr2bl w:val="nil"/>
                  </w:tcBorders>
                  <w:vAlign w:val="center"/>
                </w:tcPr>
                <w:p w14:paraId="3239438C">
                  <w:pPr>
                    <w:pStyle w:val="19"/>
                    <w:spacing w:after="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lang w:eastAsia="zh-CN"/>
                    </w:rPr>
                    <w:t>诊疗废物</w:t>
                  </w:r>
                  <w:r>
                    <w:rPr>
                      <w:rFonts w:ascii="Times New Roman" w:hAnsi="Times New Roman" w:eastAsia="宋体" w:cs="Times New Roman"/>
                      <w:color w:val="auto"/>
                      <w:sz w:val="21"/>
                      <w:szCs w:val="21"/>
                      <w:highlight w:val="none"/>
                    </w:rPr>
                    <w:t>：统一收集于</w:t>
                  </w:r>
                  <w:r>
                    <w:rPr>
                      <w:rFonts w:hint="default" w:ascii="Times New Roman" w:hAnsi="Times New Roman" w:eastAsia="宋体" w:cs="Times New Roman"/>
                      <w:color w:val="auto"/>
                      <w:sz w:val="21"/>
                      <w:szCs w:val="21"/>
                      <w:highlight w:val="none"/>
                    </w:rPr>
                    <w:t>危废间</w:t>
                  </w:r>
                  <w:r>
                    <w:rPr>
                      <w:rFonts w:ascii="Times New Roman" w:hAnsi="Times New Roman" w:eastAsia="宋体" w:cs="Times New Roman"/>
                      <w:color w:val="auto"/>
                      <w:sz w:val="21"/>
                      <w:szCs w:val="21"/>
                      <w:highlight w:val="none"/>
                    </w:rPr>
                    <w:t>后</w:t>
                  </w:r>
                  <w:r>
                    <w:rPr>
                      <w:rFonts w:hint="default"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交由</w:t>
                  </w:r>
                  <w:r>
                    <w:rPr>
                      <w:rFonts w:hint="default" w:ascii="Times New Roman" w:hAnsi="Times New Roman" w:eastAsia="宋体" w:cs="Times New Roman"/>
                      <w:color w:val="auto"/>
                      <w:sz w:val="21"/>
                      <w:szCs w:val="21"/>
                      <w:highlight w:val="none"/>
                    </w:rPr>
                    <w:t>有资质单位定期</w:t>
                  </w:r>
                  <w:r>
                    <w:rPr>
                      <w:rFonts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rPr>
                    <w:t>清运。</w:t>
                  </w:r>
                </w:p>
                <w:p w14:paraId="74DB93FC">
                  <w:pPr>
                    <w:pStyle w:val="19"/>
                    <w:spacing w:after="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②生活垃圾：统一收集</w:t>
                  </w:r>
                  <w:r>
                    <w:rPr>
                      <w:rFonts w:hint="default" w:ascii="Times New Roman" w:hAnsi="Times New Roman" w:eastAsia="宋体" w:cs="Times New Roman"/>
                      <w:color w:val="auto"/>
                      <w:sz w:val="21"/>
                      <w:szCs w:val="21"/>
                      <w:highlight w:val="none"/>
                    </w:rPr>
                    <w:t>于垃圾桶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由</w:t>
                  </w:r>
                  <w:r>
                    <w:rPr>
                      <w:rFonts w:ascii="Times New Roman" w:hAnsi="Times New Roman" w:eastAsia="宋体" w:cs="Times New Roman"/>
                      <w:color w:val="auto"/>
                      <w:sz w:val="21"/>
                      <w:szCs w:val="21"/>
                      <w:highlight w:val="none"/>
                    </w:rPr>
                    <w:t>环卫</w:t>
                  </w:r>
                  <w:r>
                    <w:rPr>
                      <w:rFonts w:hint="default" w:ascii="Times New Roman" w:hAnsi="Times New Roman" w:eastAsia="宋体" w:cs="Times New Roman"/>
                      <w:color w:val="auto"/>
                      <w:sz w:val="21"/>
                      <w:szCs w:val="21"/>
                      <w:highlight w:val="none"/>
                    </w:rPr>
                    <w:t>定期</w:t>
                  </w:r>
                  <w:r>
                    <w:rPr>
                      <w:rFonts w:ascii="Times New Roman" w:hAnsi="Times New Roman" w:eastAsia="宋体" w:cs="Times New Roman"/>
                      <w:color w:val="auto"/>
                      <w:sz w:val="21"/>
                      <w:szCs w:val="21"/>
                      <w:highlight w:val="none"/>
                    </w:rPr>
                    <w:t>清运处置。</w:t>
                  </w:r>
                </w:p>
                <w:p w14:paraId="65C26F22">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default" w:ascii="Times New Roman" w:hAnsi="Times New Roman" w:cs="Times New Roman"/>
                      <w:color w:val="auto"/>
                      <w:sz w:val="21"/>
                      <w:szCs w:val="21"/>
                      <w:highlight w:val="none"/>
                      <w:lang w:val="en-US" w:eastAsia="zh-CN"/>
                    </w:rPr>
                    <w:t>化验废液</w:t>
                  </w:r>
                  <w:r>
                    <w:rPr>
                      <w:rFonts w:hint="default" w:ascii="Times New Roman" w:hAnsi="Times New Roman" w:eastAsia="宋体" w:cs="Times New Roman"/>
                      <w:color w:val="auto"/>
                      <w:sz w:val="21"/>
                      <w:szCs w:val="21"/>
                      <w:highlight w:val="none"/>
                      <w:lang w:val="en-US" w:eastAsia="zh-CN"/>
                    </w:rPr>
                    <w:t>：收集后作危废处理，不外排。</w:t>
                  </w:r>
                </w:p>
                <w:p w14:paraId="3AD1D538">
                  <w:pPr>
                    <w:pStyle w:val="19"/>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④</w:t>
                  </w:r>
                  <w:r>
                    <w:rPr>
                      <w:rFonts w:hint="default" w:ascii="Times New Roman" w:hAnsi="Times New Roman" w:cs="Times New Roman"/>
                      <w:color w:val="auto"/>
                      <w:sz w:val="21"/>
                      <w:szCs w:val="21"/>
                      <w:highlight w:val="none"/>
                    </w:rPr>
                    <w:t>污泥：</w:t>
                  </w:r>
                  <w:r>
                    <w:rPr>
                      <w:rFonts w:hint="default" w:ascii="Times New Roman" w:hAnsi="Times New Roman" w:cs="Times New Roman"/>
                      <w:color w:val="auto"/>
                      <w:sz w:val="21"/>
                      <w:szCs w:val="21"/>
                      <w:highlight w:val="none"/>
                      <w:lang w:eastAsia="zh-CN"/>
                    </w:rPr>
                    <w:t>消毒设备</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产生的污泥</w:t>
                  </w:r>
                  <w:r>
                    <w:rPr>
                      <w:rFonts w:hint="default" w:ascii="Times New Roman" w:hAnsi="Times New Roman" w:cs="Times New Roman"/>
                      <w:color w:val="auto"/>
                      <w:sz w:val="21"/>
                      <w:szCs w:val="21"/>
                      <w:highlight w:val="none"/>
                      <w:lang w:val="en-US" w:eastAsia="zh-CN"/>
                    </w:rPr>
                    <w:t>由资质单位</w:t>
                  </w:r>
                  <w:r>
                    <w:rPr>
                      <w:rFonts w:hint="default" w:ascii="Times New Roman" w:hAnsi="Times New Roman" w:cs="Times New Roman"/>
                      <w:color w:val="auto"/>
                      <w:sz w:val="21"/>
                      <w:szCs w:val="21"/>
                      <w:highlight w:val="none"/>
                    </w:rPr>
                    <w:t>定期清运。</w:t>
                  </w:r>
                </w:p>
              </w:tc>
              <w:tc>
                <w:tcPr>
                  <w:tcW w:w="1869" w:type="dxa"/>
                  <w:tcBorders>
                    <w:tl2br w:val="nil"/>
                    <w:tr2bl w:val="nil"/>
                  </w:tcBorders>
                  <w:vAlign w:val="center"/>
                </w:tcPr>
                <w:p w14:paraId="5D2B267D">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实现固废全部妥善处置、综合利用。</w:t>
                  </w:r>
                </w:p>
              </w:tc>
              <w:tc>
                <w:tcPr>
                  <w:tcW w:w="1385" w:type="dxa"/>
                  <w:tcBorders>
                    <w:tl2br w:val="nil"/>
                    <w:tr2bl w:val="nil"/>
                  </w:tcBorders>
                  <w:vAlign w:val="center"/>
                </w:tcPr>
                <w:p w14:paraId="1E1D1851">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15" w:type="dxa"/>
                  <w:tcBorders>
                    <w:tl2br w:val="nil"/>
                    <w:tr2bl w:val="nil"/>
                  </w:tcBorders>
                  <w:vAlign w:val="center"/>
                </w:tcPr>
                <w:p w14:paraId="6DBFB32A">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64BA12A3">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7CF9C711">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507" w:type="dxa"/>
                  <w:tcBorders>
                    <w:tl2br w:val="nil"/>
                    <w:tr2bl w:val="nil"/>
                  </w:tcBorders>
                  <w:vAlign w:val="center"/>
                </w:tcPr>
                <w:p w14:paraId="795C7152">
                  <w:pPr>
                    <w:widowControl/>
                    <w:adjustRightInd w:val="0"/>
                    <w:snapToGrid w:val="0"/>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eastAsia="zh-CN"/>
                    </w:rPr>
                    <w:t>医疗废物管理条例</w:t>
                  </w:r>
                  <w:r>
                    <w:rPr>
                      <w:rFonts w:hint="default" w:ascii="Times New Roman" w:hAnsi="Times New Roman" w:eastAsia="宋体" w:cs="Times New Roman"/>
                      <w:color w:val="auto"/>
                      <w:sz w:val="21"/>
                      <w:szCs w:val="21"/>
                      <w:highlight w:val="none"/>
                    </w:rPr>
                    <w:t>》；《危险废物贮存污染控制标准》（GB18597-2023）</w:t>
                  </w:r>
                </w:p>
              </w:tc>
            </w:tr>
            <w:tr w14:paraId="47359D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14:paraId="0EC530A6">
                  <w:pPr>
                    <w:pStyle w:val="191"/>
                    <w:spacing w:line="240" w:lineRule="auto"/>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环境管理</w:t>
                  </w:r>
                  <w:r>
                    <w:rPr>
                      <w:rFonts w:hint="default" w:ascii="Times New Roman" w:hAnsi="Times New Roman" w:eastAsia="宋体" w:cs="Times New Roman"/>
                      <w:color w:val="auto"/>
                      <w:highlight w:val="none"/>
                      <w:lang w:val="en-US" w:eastAsia="zh-CN"/>
                    </w:rPr>
                    <w:t>计划</w:t>
                  </w:r>
                </w:p>
              </w:tc>
              <w:tc>
                <w:tcPr>
                  <w:tcW w:w="1356" w:type="dxa"/>
                  <w:tcBorders>
                    <w:tl2br w:val="nil"/>
                    <w:tr2bl w:val="nil"/>
                  </w:tcBorders>
                  <w:vAlign w:val="center"/>
                </w:tcPr>
                <w:p w14:paraId="3F7A0D7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环境管理</w:t>
                  </w:r>
                </w:p>
              </w:tc>
              <w:tc>
                <w:tcPr>
                  <w:tcW w:w="2026" w:type="dxa"/>
                  <w:tcBorders>
                    <w:tl2br w:val="nil"/>
                    <w:tr2bl w:val="nil"/>
                  </w:tcBorders>
                  <w:vAlign w:val="center"/>
                </w:tcPr>
                <w:p w14:paraId="1FA1F9E3">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①建立日常环境管理制度和环境管理工作计划</w:t>
                  </w:r>
                  <w:r>
                    <w:rPr>
                      <w:rFonts w:hint="default" w:ascii="Times New Roman" w:hAnsi="Times New Roman" w:eastAsia="宋体" w:cs="Times New Roman"/>
                      <w:color w:val="auto"/>
                      <w:highlight w:val="none"/>
                    </w:rPr>
                    <w:t>。</w:t>
                  </w:r>
                </w:p>
                <w:p w14:paraId="77BB8A4F">
                  <w:pPr>
                    <w:pStyle w:val="191"/>
                    <w:spacing w:line="240" w:lineRule="auto"/>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②加强环保设施运行管理维护，建立环保设施运行台账，确保环保设施正常运行及污染物稳定达标排放。</w:t>
                  </w:r>
                </w:p>
              </w:tc>
              <w:tc>
                <w:tcPr>
                  <w:tcW w:w="1869" w:type="dxa"/>
                  <w:tcBorders>
                    <w:tl2br w:val="nil"/>
                    <w:tr2bl w:val="nil"/>
                  </w:tcBorders>
                  <w:vAlign w:val="center"/>
                </w:tcPr>
                <w:p w14:paraId="3AD2DEE3">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避免因管理不善而可能产生的各种环境事故和风险，确保污染源稳定达标排放</w:t>
                  </w:r>
                </w:p>
              </w:tc>
              <w:tc>
                <w:tcPr>
                  <w:tcW w:w="1385" w:type="dxa"/>
                  <w:tcBorders>
                    <w:tl2br w:val="nil"/>
                    <w:tr2bl w:val="nil"/>
                  </w:tcBorders>
                  <w:vAlign w:val="center"/>
                </w:tcPr>
                <w:p w14:paraId="262EFF07">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15" w:type="dxa"/>
                  <w:tcBorders>
                    <w:tl2br w:val="nil"/>
                    <w:tr2bl w:val="nil"/>
                  </w:tcBorders>
                  <w:vAlign w:val="center"/>
                </w:tcPr>
                <w:p w14:paraId="609FA80D">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96" w:type="dxa"/>
                  <w:tcBorders>
                    <w:tl2br w:val="nil"/>
                    <w:tr2bl w:val="nil"/>
                  </w:tcBorders>
                  <w:vAlign w:val="center"/>
                </w:tcPr>
                <w:p w14:paraId="77EA7D9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304" w:type="dxa"/>
                  <w:tcBorders>
                    <w:tl2br w:val="nil"/>
                    <w:tr2bl w:val="nil"/>
                  </w:tcBorders>
                  <w:vAlign w:val="center"/>
                </w:tcPr>
                <w:p w14:paraId="5CF27E6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507" w:type="dxa"/>
                  <w:tcBorders>
                    <w:tl2br w:val="nil"/>
                    <w:tr2bl w:val="nil"/>
                  </w:tcBorders>
                  <w:vAlign w:val="center"/>
                </w:tcPr>
                <w:p w14:paraId="175079C8">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r>
          </w:tbl>
          <w:p w14:paraId="68568698">
            <w:pPr>
              <w:jc w:val="center"/>
              <w:rPr>
                <w:rFonts w:ascii="Times New Roman" w:hAnsi="Times New Roman" w:cs="Times New Roman"/>
                <w:b/>
                <w:bCs/>
                <w:color w:val="auto"/>
                <w:szCs w:val="24"/>
                <w:highlight w:val="none"/>
                <w:vertAlign w:val="baseline"/>
              </w:rPr>
            </w:pPr>
          </w:p>
        </w:tc>
      </w:tr>
    </w:tbl>
    <w:p w14:paraId="78648656">
      <w:pPr>
        <w:pStyle w:val="2"/>
        <w:rPr>
          <w:rFonts w:ascii="Times New Roman" w:hAnsi="Times New Roman" w:cs="Times New Roman"/>
          <w:color w:val="auto"/>
          <w:highlight w:val="none"/>
        </w:rPr>
        <w:sectPr>
          <w:footerReference r:id="rId9"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linePitch="367" w:charSpace="0"/>
        </w:sectPr>
      </w:pPr>
    </w:p>
    <w:bookmarkEnd w:id="188"/>
    <w:tbl>
      <w:tblPr>
        <w:tblStyle w:val="50"/>
        <w:tblW w:w="89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99"/>
      </w:tblGrid>
      <w:tr w14:paraId="01C81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5" w:hRule="atLeast"/>
          <w:jc w:val="center"/>
        </w:trPr>
        <w:tc>
          <w:tcPr>
            <w:tcW w:w="746" w:type="dxa"/>
            <w:tcBorders>
              <w:top w:val="single" w:color="000000" w:sz="12" w:space="0"/>
            </w:tcBorders>
            <w:tcMar>
              <w:left w:w="28" w:type="dxa"/>
              <w:right w:w="28" w:type="dxa"/>
            </w:tcMar>
            <w:vAlign w:val="center"/>
          </w:tcPr>
          <w:p w14:paraId="7FF09683">
            <w:pPr>
              <w:pStyle w:val="322"/>
              <w:ind w:firstLine="480"/>
              <w:rPr>
                <w:rFonts w:ascii="Times New Roman" w:hAnsi="Times New Roman" w:cs="Times New Roman"/>
                <w:color w:val="auto"/>
                <w:highlight w:val="none"/>
              </w:rPr>
            </w:pPr>
            <w:bookmarkStart w:id="189" w:name="_Toc23088"/>
            <w:bookmarkStart w:id="190" w:name="_Toc19382"/>
          </w:p>
        </w:tc>
        <w:tc>
          <w:tcPr>
            <w:tcW w:w="8199" w:type="dxa"/>
            <w:tcBorders>
              <w:top w:val="single" w:color="000000" w:sz="12" w:space="0"/>
            </w:tcBorders>
          </w:tcPr>
          <w:p w14:paraId="555FAABD">
            <w:pPr>
              <w:pStyle w:val="3"/>
              <w:numPr>
                <w:ilvl w:val="0"/>
                <w:numId w:val="0"/>
              </w:numPr>
              <w:rPr>
                <w:rFonts w:ascii="Times New Roman" w:hAnsi="Times New Roman" w:cs="Times New Roman"/>
                <w:color w:val="auto"/>
                <w:highlight w:val="none"/>
              </w:rPr>
            </w:pPr>
            <w:bookmarkStart w:id="191" w:name="_Toc14937"/>
            <w:bookmarkStart w:id="192" w:name="_Toc23227"/>
            <w:bookmarkStart w:id="193" w:name="_Toc25474"/>
            <w:bookmarkStart w:id="194" w:name="_Toc133251564"/>
            <w:bookmarkStart w:id="195" w:name="_Toc25019"/>
            <w:r>
              <w:rPr>
                <w:rFonts w:ascii="Times New Roman" w:hAnsi="Times New Roman" w:cs="Times New Roman"/>
                <w:color w:val="auto"/>
                <w:highlight w:val="none"/>
              </w:rPr>
              <w:t>4.1</w:t>
            </w:r>
            <w:r>
              <w:rPr>
                <w:rFonts w:hint="default" w:ascii="Times New Roman" w:hAnsi="Times New Roman" w:cs="Times New Roman"/>
                <w:color w:val="auto"/>
                <w:highlight w:val="none"/>
                <w:lang w:val="en-US" w:eastAsia="zh-CN"/>
              </w:rPr>
              <w:t xml:space="preserve">3 </w:t>
            </w:r>
            <w:r>
              <w:rPr>
                <w:rFonts w:ascii="Times New Roman" w:hAnsi="Times New Roman" w:cs="Times New Roman"/>
                <w:color w:val="auto"/>
                <w:highlight w:val="none"/>
              </w:rPr>
              <w:t>环境保护投资及环境影响经济损益分析</w:t>
            </w:r>
            <w:bookmarkEnd w:id="191"/>
            <w:bookmarkEnd w:id="192"/>
            <w:bookmarkEnd w:id="193"/>
            <w:bookmarkEnd w:id="194"/>
            <w:bookmarkEnd w:id="195"/>
          </w:p>
          <w:p w14:paraId="2245C02B">
            <w:pPr>
              <w:widowControl/>
              <w:spacing w:line="360" w:lineRule="auto"/>
              <w:jc w:val="left"/>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4.1</w:t>
            </w:r>
            <w:r>
              <w:rPr>
                <w:rFonts w:hint="default" w:ascii="Times New Roman" w:hAnsi="Times New Roman" w:cs="Times New Roman"/>
                <w:b/>
                <w:bCs/>
                <w:color w:val="auto"/>
                <w:szCs w:val="30"/>
                <w:highlight w:val="none"/>
                <w:lang w:val="en-US" w:eastAsia="zh-CN"/>
              </w:rPr>
              <w:t>3</w:t>
            </w:r>
            <w:r>
              <w:rPr>
                <w:rFonts w:ascii="Times New Roman" w:hAnsi="Times New Roman" w:cs="Times New Roman"/>
                <w:b/>
                <w:bCs/>
                <w:color w:val="auto"/>
                <w:szCs w:val="30"/>
                <w:highlight w:val="none"/>
              </w:rPr>
              <w:t>.1</w:t>
            </w:r>
            <w:r>
              <w:rPr>
                <w:rFonts w:hint="default"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环保投资估算</w:t>
            </w:r>
          </w:p>
          <w:p w14:paraId="5FD6FB50">
            <w:pPr>
              <w:widowControl/>
              <w:spacing w:line="360" w:lineRule="auto"/>
              <w:ind w:firstLine="480" w:firstLineChars="200"/>
              <w:jc w:val="left"/>
              <w:rPr>
                <w:rFonts w:ascii="Times New Roman" w:hAnsi="Times New Roman" w:cs="Times New Roman"/>
                <w:bCs/>
                <w:color w:val="auto"/>
                <w:szCs w:val="32"/>
                <w:highlight w:val="none"/>
              </w:rPr>
            </w:pPr>
            <w:r>
              <w:rPr>
                <w:rFonts w:ascii="Times New Roman" w:hAnsi="Times New Roman" w:cs="Times New Roman"/>
                <w:bCs/>
                <w:color w:val="auto"/>
                <w:szCs w:val="32"/>
                <w:highlight w:val="none"/>
              </w:rPr>
              <w:t>该项目总投资</w:t>
            </w:r>
            <w:r>
              <w:rPr>
                <w:rFonts w:hint="eastAsia" w:cs="Times New Roman"/>
                <w:bCs/>
                <w:color w:val="auto"/>
                <w:szCs w:val="32"/>
                <w:highlight w:val="none"/>
                <w:lang w:val="en-US" w:eastAsia="zh-CN"/>
              </w:rPr>
              <w:t>20</w:t>
            </w:r>
            <w:r>
              <w:rPr>
                <w:rFonts w:hint="default" w:ascii="Times New Roman" w:hAnsi="Times New Roman" w:cs="Times New Roman"/>
                <w:bCs/>
                <w:color w:val="auto"/>
                <w:szCs w:val="32"/>
                <w:highlight w:val="none"/>
                <w:lang w:val="en-US" w:eastAsia="zh-CN"/>
              </w:rPr>
              <w:t>万</w:t>
            </w:r>
            <w:r>
              <w:rPr>
                <w:rFonts w:ascii="Times New Roman" w:hAnsi="Times New Roman" w:cs="Times New Roman"/>
                <w:bCs/>
                <w:color w:val="auto"/>
                <w:szCs w:val="32"/>
                <w:highlight w:val="none"/>
              </w:rPr>
              <w:t>元，其中环保投资</w:t>
            </w:r>
            <w:r>
              <w:rPr>
                <w:rFonts w:hint="eastAsia" w:cs="Times New Roman"/>
                <w:bCs/>
                <w:color w:val="auto"/>
                <w:szCs w:val="32"/>
                <w:highlight w:val="none"/>
                <w:lang w:val="en-US" w:eastAsia="zh-CN"/>
              </w:rPr>
              <w:t>2.5</w:t>
            </w:r>
            <w:r>
              <w:rPr>
                <w:rFonts w:ascii="Times New Roman" w:hAnsi="Times New Roman" w:cs="Times New Roman"/>
                <w:bCs/>
                <w:color w:val="auto"/>
                <w:szCs w:val="32"/>
                <w:highlight w:val="none"/>
              </w:rPr>
              <w:t>万元，占总投资的</w:t>
            </w:r>
            <w:r>
              <w:rPr>
                <w:rFonts w:hint="eastAsia" w:cs="Times New Roman"/>
                <w:bCs/>
                <w:color w:val="auto"/>
                <w:szCs w:val="32"/>
                <w:highlight w:val="none"/>
                <w:lang w:val="en-US" w:eastAsia="zh-CN"/>
              </w:rPr>
              <w:t>12.5</w:t>
            </w:r>
            <w:r>
              <w:rPr>
                <w:rFonts w:ascii="Times New Roman" w:hAnsi="Times New Roman" w:cs="Times New Roman"/>
                <w:bCs/>
                <w:color w:val="auto"/>
                <w:szCs w:val="32"/>
                <w:highlight w:val="none"/>
              </w:rPr>
              <w:t>%，具体如下表4-1</w:t>
            </w:r>
            <w:r>
              <w:rPr>
                <w:rFonts w:hint="eastAsia" w:cs="Times New Roman"/>
                <w:bCs/>
                <w:color w:val="auto"/>
                <w:szCs w:val="32"/>
                <w:highlight w:val="none"/>
                <w:lang w:val="en-US" w:eastAsia="zh-CN"/>
              </w:rPr>
              <w:t>3</w:t>
            </w:r>
            <w:r>
              <w:rPr>
                <w:rFonts w:ascii="Times New Roman" w:hAnsi="Times New Roman" w:cs="Times New Roman"/>
                <w:bCs/>
                <w:color w:val="auto"/>
                <w:szCs w:val="32"/>
                <w:highlight w:val="none"/>
              </w:rPr>
              <w:t>所示：</w:t>
            </w:r>
          </w:p>
          <w:p w14:paraId="77E087E8">
            <w:pPr>
              <w:widowControl/>
              <w:jc w:val="center"/>
              <w:rPr>
                <w:rFonts w:ascii="Times New Roman" w:hAnsi="Times New Roman" w:cs="Times New Roman"/>
                <w:b/>
                <w:color w:val="auto"/>
                <w:kern w:val="0"/>
                <w:highlight w:val="none"/>
              </w:rPr>
            </w:pPr>
            <w:r>
              <w:rPr>
                <w:rFonts w:ascii="Times New Roman" w:hAnsi="Times New Roman" w:cs="Times New Roman"/>
                <w:b/>
                <w:color w:val="auto"/>
                <w:kern w:val="0"/>
                <w:highlight w:val="none"/>
              </w:rPr>
              <w:t>表4-1</w:t>
            </w:r>
            <w:r>
              <w:rPr>
                <w:rFonts w:hint="eastAsia" w:cs="Times New Roman"/>
                <w:b/>
                <w:color w:val="auto"/>
                <w:kern w:val="0"/>
                <w:highlight w:val="none"/>
                <w:lang w:val="en-US" w:eastAsia="zh-CN"/>
              </w:rPr>
              <w:t>3</w:t>
            </w:r>
            <w:r>
              <w:rPr>
                <w:rFonts w:ascii="Times New Roman" w:hAnsi="Times New Roman" w:cs="Times New Roman"/>
                <w:b/>
                <w:color w:val="auto"/>
                <w:kern w:val="0"/>
                <w:highlight w:val="none"/>
              </w:rPr>
              <w:t xml:space="preserve">  环保投资一览表（万元）</w:t>
            </w:r>
          </w:p>
          <w:tbl>
            <w:tblPr>
              <w:tblStyle w:val="50"/>
              <w:tblW w:w="79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33"/>
              <w:gridCol w:w="3272"/>
              <w:gridCol w:w="2041"/>
            </w:tblGrid>
            <w:tr w14:paraId="2263F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00AB9CCB">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1333" w:type="dxa"/>
                  <w:tcBorders>
                    <w:tl2br w:val="nil"/>
                    <w:tr2bl w:val="nil"/>
                  </w:tcBorders>
                  <w:shd w:val="clear" w:color="auto" w:fill="auto"/>
                  <w:vAlign w:val="center"/>
                </w:tcPr>
                <w:p w14:paraId="4FA76F49">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类别</w:t>
                  </w:r>
                </w:p>
              </w:tc>
              <w:tc>
                <w:tcPr>
                  <w:tcW w:w="3272" w:type="dxa"/>
                  <w:tcBorders>
                    <w:tl2br w:val="nil"/>
                    <w:tr2bl w:val="nil"/>
                  </w:tcBorders>
                  <w:shd w:val="clear" w:color="auto" w:fill="auto"/>
                  <w:vAlign w:val="center"/>
                </w:tcPr>
                <w:p w14:paraId="1EE280A8">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污染防治措施</w:t>
                  </w:r>
                </w:p>
              </w:tc>
              <w:tc>
                <w:tcPr>
                  <w:tcW w:w="2041" w:type="dxa"/>
                  <w:tcBorders>
                    <w:tl2br w:val="nil"/>
                    <w:tr2bl w:val="nil"/>
                  </w:tcBorders>
                  <w:shd w:val="clear" w:color="auto" w:fill="auto"/>
                  <w:vAlign w:val="center"/>
                </w:tcPr>
                <w:p w14:paraId="0FCF151E">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投资费用</w:t>
                  </w:r>
                </w:p>
              </w:tc>
            </w:tr>
            <w:tr w14:paraId="64422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4424BC0E">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1333" w:type="dxa"/>
                  <w:tcBorders>
                    <w:tl2br w:val="nil"/>
                    <w:tr2bl w:val="nil"/>
                  </w:tcBorders>
                  <w:shd w:val="clear" w:color="auto" w:fill="auto"/>
                  <w:vAlign w:val="center"/>
                </w:tcPr>
                <w:p w14:paraId="10EBE590">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3272" w:type="dxa"/>
                  <w:tcBorders>
                    <w:tl2br w:val="nil"/>
                    <w:tr2bl w:val="nil"/>
                  </w:tcBorders>
                  <w:shd w:val="clear" w:color="auto" w:fill="auto"/>
                  <w:vAlign w:val="center"/>
                </w:tcPr>
                <w:p w14:paraId="1994004F">
                  <w:pPr>
                    <w:pStyle w:val="191"/>
                    <w:spacing w:line="240" w:lineRule="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消毒设备</w:t>
                  </w:r>
                </w:p>
              </w:tc>
              <w:tc>
                <w:tcPr>
                  <w:tcW w:w="2041" w:type="dxa"/>
                  <w:tcBorders>
                    <w:tl2br w:val="nil"/>
                    <w:tr2bl w:val="nil"/>
                  </w:tcBorders>
                  <w:shd w:val="clear" w:color="auto" w:fill="auto"/>
                  <w:vAlign w:val="center"/>
                </w:tcPr>
                <w:p w14:paraId="563AB08C">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highlight w:val="none"/>
                      <w:lang w:val="en-US" w:eastAsia="zh-CN"/>
                    </w:rPr>
                    <w:t>0（依托现有）</w:t>
                  </w:r>
                </w:p>
              </w:tc>
            </w:tr>
            <w:tr w14:paraId="69917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5FB3375F">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1333" w:type="dxa"/>
                  <w:tcBorders>
                    <w:tl2br w:val="nil"/>
                    <w:tr2bl w:val="nil"/>
                  </w:tcBorders>
                  <w:shd w:val="clear" w:color="auto" w:fill="auto"/>
                  <w:vAlign w:val="center"/>
                </w:tcPr>
                <w:p w14:paraId="11524C43">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tc>
              <w:tc>
                <w:tcPr>
                  <w:tcW w:w="3272" w:type="dxa"/>
                  <w:tcBorders>
                    <w:tl2br w:val="nil"/>
                    <w:tr2bl w:val="nil"/>
                  </w:tcBorders>
                  <w:shd w:val="clear" w:color="auto" w:fill="auto"/>
                  <w:vAlign w:val="center"/>
                </w:tcPr>
                <w:p w14:paraId="479C5D98">
                  <w:pPr>
                    <w:pStyle w:val="191"/>
                    <w:spacing w:line="240" w:lineRule="auto"/>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除臭剂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空调</w:t>
                  </w:r>
                </w:p>
              </w:tc>
              <w:tc>
                <w:tcPr>
                  <w:tcW w:w="2041" w:type="dxa"/>
                  <w:tcBorders>
                    <w:tl2br w:val="nil"/>
                    <w:tr2bl w:val="nil"/>
                  </w:tcBorders>
                  <w:shd w:val="clear" w:color="auto" w:fill="auto"/>
                  <w:vAlign w:val="center"/>
                </w:tcPr>
                <w:p w14:paraId="29D65EC6">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4F4AE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1C22B010">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1333" w:type="dxa"/>
                  <w:tcBorders>
                    <w:tl2br w:val="nil"/>
                    <w:tr2bl w:val="nil"/>
                  </w:tcBorders>
                  <w:shd w:val="clear" w:color="auto" w:fill="auto"/>
                  <w:vAlign w:val="center"/>
                </w:tcPr>
                <w:p w14:paraId="046F0021">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w:t>
                  </w:r>
                </w:p>
              </w:tc>
              <w:tc>
                <w:tcPr>
                  <w:tcW w:w="3272" w:type="dxa"/>
                  <w:tcBorders>
                    <w:tl2br w:val="nil"/>
                    <w:tr2bl w:val="nil"/>
                  </w:tcBorders>
                  <w:shd w:val="clear" w:color="auto" w:fill="auto"/>
                  <w:vAlign w:val="center"/>
                </w:tcPr>
                <w:p w14:paraId="316EB866">
                  <w:pPr>
                    <w:pStyle w:val="191"/>
                    <w:spacing w:line="240" w:lineRule="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门窗隔声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防护</w:t>
                  </w:r>
                </w:p>
              </w:tc>
              <w:tc>
                <w:tcPr>
                  <w:tcW w:w="2041" w:type="dxa"/>
                  <w:tcBorders>
                    <w:tl2br w:val="nil"/>
                    <w:tr2bl w:val="nil"/>
                  </w:tcBorders>
                  <w:shd w:val="clear" w:color="auto" w:fill="auto"/>
                  <w:vAlign w:val="center"/>
                </w:tcPr>
                <w:p w14:paraId="14106AC8">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26A5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657EEF36">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1333" w:type="dxa"/>
                  <w:tcBorders>
                    <w:tl2br w:val="nil"/>
                    <w:tr2bl w:val="nil"/>
                  </w:tcBorders>
                  <w:shd w:val="clear" w:color="auto" w:fill="auto"/>
                  <w:vAlign w:val="center"/>
                </w:tcPr>
                <w:p w14:paraId="29817B16">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w:t>
                  </w:r>
                </w:p>
              </w:tc>
              <w:tc>
                <w:tcPr>
                  <w:tcW w:w="3272" w:type="dxa"/>
                  <w:tcBorders>
                    <w:tl2br w:val="nil"/>
                    <w:tr2bl w:val="nil"/>
                  </w:tcBorders>
                  <w:shd w:val="clear" w:color="auto" w:fill="auto"/>
                  <w:vAlign w:val="center"/>
                </w:tcPr>
                <w:p w14:paraId="20F71146">
                  <w:pPr>
                    <w:pStyle w:val="191"/>
                    <w:spacing w:line="240" w:lineRule="auto"/>
                    <w:rPr>
                      <w:rFonts w:hint="default"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垃圾桶</w:t>
                  </w:r>
                </w:p>
              </w:tc>
              <w:tc>
                <w:tcPr>
                  <w:tcW w:w="2041" w:type="dxa"/>
                  <w:tcBorders>
                    <w:tl2br w:val="nil"/>
                    <w:tr2bl w:val="nil"/>
                  </w:tcBorders>
                  <w:shd w:val="clear" w:color="auto" w:fill="auto"/>
                  <w:vAlign w:val="center"/>
                </w:tcPr>
                <w:p w14:paraId="24415E5F">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w:t>
                  </w:r>
                </w:p>
              </w:tc>
            </w:tr>
            <w:tr w14:paraId="6900A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39" w:type="dxa"/>
                  <w:gridSpan w:val="3"/>
                  <w:tcBorders>
                    <w:tl2br w:val="nil"/>
                    <w:tr2bl w:val="nil"/>
                  </w:tcBorders>
                  <w:shd w:val="clear" w:color="auto" w:fill="auto"/>
                  <w:vAlign w:val="center"/>
                </w:tcPr>
                <w:p w14:paraId="6202927F">
                  <w:pPr>
                    <w:pStyle w:val="191"/>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2041" w:type="dxa"/>
                  <w:tcBorders>
                    <w:tl2br w:val="nil"/>
                    <w:tr2bl w:val="nil"/>
                  </w:tcBorders>
                  <w:shd w:val="clear" w:color="auto" w:fill="auto"/>
                  <w:vAlign w:val="center"/>
                </w:tcPr>
                <w:p w14:paraId="01544816">
                  <w:pPr>
                    <w:pStyle w:val="191"/>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r>
          </w:tbl>
          <w:p w14:paraId="20C77B82">
            <w:pPr>
              <w:widowControl/>
              <w:spacing w:line="360" w:lineRule="auto"/>
              <w:jc w:val="left"/>
              <w:rPr>
                <w:rFonts w:ascii="Times New Roman" w:hAnsi="Times New Roman" w:cs="Times New Roman"/>
                <w:b/>
                <w:bCs/>
                <w:color w:val="auto"/>
                <w:szCs w:val="30"/>
                <w:highlight w:val="none"/>
              </w:rPr>
            </w:pPr>
            <w:r>
              <w:rPr>
                <w:rFonts w:ascii="Times New Roman" w:hAnsi="Times New Roman" w:cs="Times New Roman"/>
                <w:b/>
                <w:bCs/>
                <w:color w:val="auto"/>
                <w:szCs w:val="30"/>
                <w:highlight w:val="none"/>
              </w:rPr>
              <w:t>4.1</w:t>
            </w:r>
            <w:r>
              <w:rPr>
                <w:rFonts w:hint="default" w:ascii="Times New Roman" w:hAnsi="Times New Roman" w:cs="Times New Roman"/>
                <w:b/>
                <w:bCs/>
                <w:color w:val="auto"/>
                <w:szCs w:val="30"/>
                <w:highlight w:val="none"/>
                <w:lang w:val="en-US" w:eastAsia="zh-CN"/>
              </w:rPr>
              <w:t>3</w:t>
            </w:r>
            <w:r>
              <w:rPr>
                <w:rFonts w:ascii="Times New Roman" w:hAnsi="Times New Roman" w:cs="Times New Roman"/>
                <w:b/>
                <w:bCs/>
                <w:color w:val="auto"/>
                <w:szCs w:val="30"/>
                <w:highlight w:val="none"/>
              </w:rPr>
              <w:t>.2</w:t>
            </w:r>
            <w:r>
              <w:rPr>
                <w:rFonts w:hint="default" w:ascii="Times New Roman" w:hAnsi="Times New Roman" w:cs="Times New Roman"/>
                <w:b/>
                <w:bCs/>
                <w:color w:val="auto"/>
                <w:szCs w:val="30"/>
                <w:highlight w:val="none"/>
                <w:lang w:val="en-US" w:eastAsia="zh-CN"/>
              </w:rPr>
              <w:t xml:space="preserve"> </w:t>
            </w:r>
            <w:r>
              <w:rPr>
                <w:rFonts w:ascii="Times New Roman" w:hAnsi="Times New Roman" w:cs="Times New Roman"/>
                <w:b/>
                <w:bCs/>
                <w:color w:val="auto"/>
                <w:szCs w:val="30"/>
                <w:highlight w:val="none"/>
              </w:rPr>
              <w:t>环境影响经济损益分析</w:t>
            </w:r>
          </w:p>
          <w:p w14:paraId="60CB102E">
            <w:pPr>
              <w:pStyle w:val="159"/>
              <w:ind w:firstLine="48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w:t>
            </w:r>
            <w:r>
              <w:rPr>
                <w:rFonts w:ascii="Times New Roman" w:hAnsi="Times New Roman" w:eastAsia="宋体" w:cs="Times New Roman"/>
                <w:color w:val="auto"/>
                <w:highlight w:val="none"/>
              </w:rPr>
              <w:t>项目环保投资共计约</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万元。环保设施的投入运行，可减少污染物排放，减轻周围环境的污染，保证</w:t>
            </w:r>
            <w:r>
              <w:rPr>
                <w:rFonts w:hint="default" w:ascii="Times New Roman" w:hAnsi="Times New Roman" w:eastAsia="宋体" w:cs="Times New Roman"/>
                <w:color w:val="auto"/>
                <w:highlight w:val="none"/>
                <w:lang w:val="en-US" w:eastAsia="zh-CN"/>
              </w:rPr>
              <w:t>医院</w:t>
            </w:r>
            <w:r>
              <w:rPr>
                <w:rFonts w:hint="default" w:ascii="Times New Roman" w:hAnsi="Times New Roman" w:eastAsia="宋体" w:cs="Times New Roman"/>
                <w:color w:val="auto"/>
                <w:highlight w:val="none"/>
                <w:lang w:eastAsia="zh-CN"/>
              </w:rPr>
              <w:t>员工</w:t>
            </w:r>
            <w:r>
              <w:rPr>
                <w:rFonts w:ascii="Times New Roman" w:hAnsi="Times New Roman" w:eastAsia="宋体" w:cs="Times New Roman"/>
                <w:color w:val="auto"/>
                <w:highlight w:val="none"/>
              </w:rPr>
              <w:t>的身心健康，创造良好的生活环境，同时项目的正常运行可增加当地的劳动就业和地方税收</w:t>
            </w:r>
            <w:r>
              <w:rPr>
                <w:rFonts w:hint="default"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具有良好的社会、经济和环境效益。</w:t>
            </w:r>
          </w:p>
          <w:p w14:paraId="3CF504C7">
            <w:pPr>
              <w:pStyle w:val="159"/>
              <w:ind w:firstLine="0" w:firstLineChars="0"/>
              <w:rPr>
                <w:rFonts w:ascii="Times New Roman" w:hAnsi="Times New Roman" w:cs="Times New Roman"/>
                <w:b/>
                <w:color w:val="auto"/>
                <w:szCs w:val="24"/>
                <w:highlight w:val="none"/>
              </w:rPr>
            </w:pPr>
            <w:r>
              <w:rPr>
                <w:rFonts w:hint="default" w:ascii="Times New Roman" w:hAnsi="Times New Roman" w:eastAsia="宋体" w:cs="Times New Roman"/>
                <w:b/>
                <w:color w:val="auto"/>
                <w:sz w:val="28"/>
                <w:highlight w:val="none"/>
              </w:rPr>
              <w:t>4.1</w:t>
            </w:r>
            <w:r>
              <w:rPr>
                <w:rFonts w:hint="default" w:ascii="Times New Roman" w:hAnsi="Times New Roman" w:eastAsia="宋体" w:cs="Times New Roman"/>
                <w:b/>
                <w:color w:val="auto"/>
                <w:sz w:val="28"/>
                <w:highlight w:val="none"/>
                <w:lang w:val="en-US" w:eastAsia="zh-CN"/>
              </w:rPr>
              <w:t xml:space="preserve">4 </w:t>
            </w:r>
            <w:r>
              <w:rPr>
                <w:rFonts w:hint="default" w:ascii="Times New Roman" w:hAnsi="Times New Roman" w:eastAsia="宋体" w:cs="Times New Roman"/>
                <w:b/>
                <w:color w:val="auto"/>
                <w:sz w:val="28"/>
                <w:highlight w:val="none"/>
              </w:rPr>
              <w:t>竣工</w:t>
            </w:r>
            <w:r>
              <w:rPr>
                <w:rFonts w:ascii="Times New Roman" w:hAnsi="Times New Roman" w:eastAsia="宋体" w:cs="Times New Roman"/>
                <w:b/>
                <w:color w:val="auto"/>
                <w:sz w:val="28"/>
                <w:highlight w:val="none"/>
              </w:rPr>
              <w:t>验收</w:t>
            </w:r>
          </w:p>
          <w:p w14:paraId="54DACAFE">
            <w:pPr>
              <w:autoSpaceDE w:val="0"/>
              <w:autoSpaceDN w:val="0"/>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根据《建设项目环境保护管理条例》规定，建设项目需要配套建设的环保设施，必须与主体工程同时设计、同时施工、同时投产使用。建设单位应严格落实建设项目的环保措施，强化建设期和运营期的环境管理。</w:t>
            </w:r>
          </w:p>
          <w:p w14:paraId="63E628C4">
            <w:pPr>
              <w:autoSpaceDE w:val="0"/>
              <w:autoSpaceDN w:val="0"/>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建设单位应按照《建设项目竣工环境保护验收技术指南 污染影响类》（生态环境部2018年第9号）、《建设项目竣工环境保护验收暂行办法》（国环规环评</w:t>
            </w:r>
            <w:r>
              <w:rPr>
                <w:rFonts w:hint="default" w:ascii="Times New Roman" w:hAnsi="Times New Roman" w:eastAsia="宋体" w:cs="Times New Roman"/>
                <w:color w:val="auto"/>
                <w:szCs w:val="24"/>
                <w:highlight w:val="none"/>
              </w:rPr>
              <w:t>〔</w:t>
            </w:r>
            <w:r>
              <w:rPr>
                <w:rFonts w:ascii="Times New Roman" w:hAnsi="Times New Roman" w:cs="Times New Roman"/>
                <w:bCs/>
                <w:color w:val="auto"/>
                <w:highlight w:val="none"/>
              </w:rPr>
              <w:t>2017</w:t>
            </w:r>
            <w:r>
              <w:rPr>
                <w:rFonts w:hint="default" w:ascii="Times New Roman" w:hAnsi="Times New Roman" w:eastAsia="宋体" w:cs="Times New Roman"/>
                <w:color w:val="auto"/>
                <w:szCs w:val="24"/>
                <w:highlight w:val="none"/>
              </w:rPr>
              <w:t>〕</w:t>
            </w:r>
            <w:r>
              <w:rPr>
                <w:rFonts w:ascii="Times New Roman" w:hAnsi="Times New Roman" w:cs="Times New Roman"/>
                <w:bCs/>
                <w:color w:val="auto"/>
                <w:highlight w:val="none"/>
              </w:rPr>
              <w:t>4号）开展竣工环境保护验收工作，并作为竣工环境保护验收工作的责任主体，对验收内容、结论和公开信息的真实性、准确性和完整性负责。</w:t>
            </w:r>
          </w:p>
          <w:p w14:paraId="093DEB47">
            <w:pPr>
              <w:autoSpaceDE w:val="0"/>
              <w:autoSpaceDN w:val="0"/>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自2017年10月1日起，建设单位应按照国家及本市有关法律法规、建设项目竣工环境保护验收技术规范、建设项目环境影响报告书（表）和审批决定等要求，自主开展相关验收工作。在项目开工前、施工过程中及建成后分别登入</w:t>
            </w:r>
            <w:r>
              <w:rPr>
                <w:rFonts w:hint="eastAsia" w:cs="Times New Roman"/>
                <w:bCs/>
                <w:color w:val="auto"/>
                <w:highlight w:val="none"/>
                <w:lang w:eastAsia="zh-CN"/>
              </w:rPr>
              <w:t>“</w:t>
            </w:r>
            <w:r>
              <w:rPr>
                <w:rFonts w:ascii="Times New Roman" w:hAnsi="Times New Roman" w:cs="Times New Roman"/>
                <w:bCs/>
                <w:color w:val="auto"/>
                <w:highlight w:val="none"/>
              </w:rPr>
              <w:t>企事业单位环境信息公开平台</w:t>
            </w:r>
            <w:r>
              <w:rPr>
                <w:rFonts w:hint="eastAsia" w:cs="Times New Roman"/>
                <w:bCs/>
                <w:color w:val="auto"/>
                <w:highlight w:val="none"/>
                <w:lang w:eastAsia="zh-CN"/>
              </w:rPr>
              <w:t>”</w:t>
            </w:r>
            <w:r>
              <w:rPr>
                <w:rFonts w:ascii="Times New Roman" w:hAnsi="Times New Roman" w:cs="Times New Roman"/>
                <w:bCs/>
                <w:color w:val="auto"/>
                <w:highlight w:val="none"/>
              </w:rPr>
              <w:t>发布相关环境信息</w:t>
            </w:r>
            <w:r>
              <w:rPr>
                <w:rFonts w:hint="default" w:ascii="Times New Roman" w:hAnsi="Times New Roman" w:cs="Times New Roman"/>
                <w:bCs/>
                <w:color w:val="auto"/>
                <w:highlight w:val="none"/>
              </w:rPr>
              <w:t>。</w:t>
            </w:r>
          </w:p>
          <w:p w14:paraId="04316B98">
            <w:pPr>
              <w:autoSpaceDE w:val="0"/>
              <w:autoSpaceDN w:val="0"/>
              <w:spacing w:line="360" w:lineRule="auto"/>
              <w:ind w:firstLine="480" w:firstLineChars="200"/>
              <w:rPr>
                <w:rFonts w:ascii="Times New Roman" w:hAnsi="Times New Roman" w:cs="Times New Roman"/>
                <w:bCs/>
                <w:color w:val="auto"/>
                <w:highlight w:val="none"/>
              </w:rPr>
            </w:pPr>
          </w:p>
          <w:p w14:paraId="52DE3273">
            <w:pPr>
              <w:autoSpaceDE w:val="0"/>
              <w:autoSpaceDN w:val="0"/>
              <w:spacing w:line="360" w:lineRule="auto"/>
              <w:rPr>
                <w:rFonts w:ascii="Times New Roman" w:hAnsi="Times New Roman" w:cs="Times New Roman"/>
                <w:bCs/>
                <w:color w:val="auto"/>
                <w:highlight w:val="none"/>
              </w:rPr>
            </w:pPr>
          </w:p>
          <w:p w14:paraId="67875C27">
            <w:pPr>
              <w:pStyle w:val="61"/>
              <w:rPr>
                <w:rFonts w:ascii="Times New Roman" w:hAnsi="Times New Roman" w:cs="Times New Roman"/>
                <w:color w:val="auto"/>
                <w:highlight w:val="none"/>
              </w:rPr>
            </w:pPr>
          </w:p>
          <w:p w14:paraId="724B8A57">
            <w:pPr>
              <w:jc w:val="center"/>
              <w:rPr>
                <w:rFonts w:ascii="Times New Roman" w:hAnsi="Times New Roman" w:cs="Times New Roman"/>
                <w:b/>
                <w:color w:val="auto"/>
                <w:highlight w:val="none"/>
              </w:rPr>
            </w:pPr>
            <w:r>
              <w:rPr>
                <w:rFonts w:hint="default" w:ascii="Times New Roman" w:hAnsi="Times New Roman" w:cs="Times New Roman"/>
                <w:b/>
                <w:color w:val="auto"/>
                <w:highlight w:val="none"/>
              </w:rPr>
              <w:t>表4-1</w:t>
            </w:r>
            <w:r>
              <w:rPr>
                <w:rFonts w:hint="eastAsia" w:cs="Times New Roman"/>
                <w:b/>
                <w:color w:val="auto"/>
                <w:highlight w:val="none"/>
                <w:lang w:val="en-US" w:eastAsia="zh-CN"/>
              </w:rPr>
              <w:t>4</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 xml:space="preserve"> </w:t>
            </w:r>
            <w:r>
              <w:rPr>
                <w:rFonts w:hint="default" w:ascii="Times New Roman" w:hAnsi="Times New Roman" w:cs="Times New Roman"/>
                <w:b/>
                <w:color w:val="auto"/>
                <w:highlight w:val="none"/>
              </w:rPr>
              <w:t>项目环保竣工验收一览表</w:t>
            </w:r>
          </w:p>
          <w:tbl>
            <w:tblPr>
              <w:tblStyle w:val="51"/>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10"/>
              <w:gridCol w:w="1137"/>
              <w:gridCol w:w="2276"/>
              <w:gridCol w:w="1251"/>
              <w:gridCol w:w="2089"/>
            </w:tblGrid>
            <w:tr w14:paraId="4CC3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14:paraId="793FBC1B">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类别</w:t>
                  </w:r>
                </w:p>
              </w:tc>
              <w:tc>
                <w:tcPr>
                  <w:tcW w:w="810" w:type="dxa"/>
                  <w:vAlign w:val="center"/>
                </w:tcPr>
                <w:p w14:paraId="1314C199">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排放源</w:t>
                  </w:r>
                </w:p>
              </w:tc>
              <w:tc>
                <w:tcPr>
                  <w:tcW w:w="1137" w:type="dxa"/>
                  <w:vAlign w:val="center"/>
                </w:tcPr>
                <w:p w14:paraId="74FD391F">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污染因子</w:t>
                  </w:r>
                </w:p>
              </w:tc>
              <w:tc>
                <w:tcPr>
                  <w:tcW w:w="2276" w:type="dxa"/>
                  <w:vAlign w:val="center"/>
                </w:tcPr>
                <w:p w14:paraId="3ADBFE5C">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治理措施</w:t>
                  </w:r>
                </w:p>
              </w:tc>
              <w:tc>
                <w:tcPr>
                  <w:tcW w:w="1251" w:type="dxa"/>
                  <w:vAlign w:val="center"/>
                </w:tcPr>
                <w:p w14:paraId="4F3797FE">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验收内容</w:t>
                  </w:r>
                </w:p>
              </w:tc>
              <w:tc>
                <w:tcPr>
                  <w:tcW w:w="2089" w:type="dxa"/>
                  <w:vAlign w:val="center"/>
                </w:tcPr>
                <w:p w14:paraId="6907C655">
                  <w:pPr>
                    <w:pStyle w:val="153"/>
                    <w:rPr>
                      <w:rFonts w:ascii="Times New Roman" w:hAnsi="Times New Roman" w:cs="Times New Roman"/>
                      <w:b/>
                      <w:bCs/>
                      <w:color w:val="auto"/>
                      <w:highlight w:val="none"/>
                    </w:rPr>
                  </w:pPr>
                  <w:r>
                    <w:rPr>
                      <w:rFonts w:ascii="Times New Roman" w:hAnsi="Times New Roman" w:cs="Times New Roman"/>
                      <w:b/>
                      <w:bCs/>
                      <w:color w:val="auto"/>
                      <w:highlight w:val="none"/>
                    </w:rPr>
                    <w:t>验收标准</w:t>
                  </w:r>
                </w:p>
              </w:tc>
            </w:tr>
            <w:tr w14:paraId="0BEA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14:paraId="7B4CF8D2">
                  <w:pPr>
                    <w:pStyle w:val="153"/>
                    <w:rPr>
                      <w:rFonts w:ascii="Times New Roman" w:hAnsi="Times New Roman" w:cs="Times New Roman"/>
                      <w:color w:val="auto"/>
                      <w:highlight w:val="none"/>
                    </w:rPr>
                  </w:pPr>
                  <w:r>
                    <w:rPr>
                      <w:rFonts w:ascii="Times New Roman" w:hAnsi="Times New Roman" w:cs="Times New Roman"/>
                      <w:color w:val="auto"/>
                      <w:highlight w:val="none"/>
                    </w:rPr>
                    <w:t>废气</w:t>
                  </w:r>
                </w:p>
              </w:tc>
              <w:tc>
                <w:tcPr>
                  <w:tcW w:w="810" w:type="dxa"/>
                  <w:vAlign w:val="center"/>
                </w:tcPr>
                <w:p w14:paraId="57C22FD7">
                  <w:pPr>
                    <w:pStyle w:val="153"/>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周界</w:t>
                  </w:r>
                </w:p>
              </w:tc>
              <w:tc>
                <w:tcPr>
                  <w:tcW w:w="1137" w:type="dxa"/>
                  <w:vAlign w:val="center"/>
                </w:tcPr>
                <w:p w14:paraId="770ACC96">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臭气浓度</w:t>
                  </w:r>
                  <w:r>
                    <w:rPr>
                      <w:rFonts w:ascii="Times New Roman" w:hAnsi="Times New Roman" w:cs="Times New Roman"/>
                      <w:bCs/>
                      <w:color w:val="auto"/>
                      <w:sz w:val="21"/>
                      <w:szCs w:val="21"/>
                      <w:highlight w:val="none"/>
                    </w:rPr>
                    <w:t>、H</w:t>
                  </w:r>
                  <w:r>
                    <w:rPr>
                      <w:rFonts w:ascii="Times New Roman" w:hAnsi="Times New Roman" w:cs="Times New Roman"/>
                      <w:bCs/>
                      <w:color w:val="auto"/>
                      <w:sz w:val="21"/>
                      <w:szCs w:val="21"/>
                      <w:highlight w:val="none"/>
                      <w:vertAlign w:val="subscript"/>
                    </w:rPr>
                    <w:t>2</w:t>
                  </w:r>
                  <w:r>
                    <w:rPr>
                      <w:rFonts w:ascii="Times New Roman" w:hAnsi="Times New Roman" w:cs="Times New Roman"/>
                      <w:bCs/>
                      <w:color w:val="auto"/>
                      <w:sz w:val="21"/>
                      <w:szCs w:val="21"/>
                      <w:highlight w:val="none"/>
                    </w:rPr>
                    <w:t>S、NH</w:t>
                  </w:r>
                  <w:r>
                    <w:rPr>
                      <w:rFonts w:ascii="Times New Roman" w:hAnsi="Times New Roman" w:cs="Times New Roman"/>
                      <w:bCs/>
                      <w:color w:val="auto"/>
                      <w:sz w:val="21"/>
                      <w:szCs w:val="21"/>
                      <w:highlight w:val="none"/>
                      <w:vertAlign w:val="subscript"/>
                    </w:rPr>
                    <w:t>3</w:t>
                  </w:r>
                </w:p>
              </w:tc>
              <w:tc>
                <w:tcPr>
                  <w:tcW w:w="2276" w:type="dxa"/>
                  <w:vAlign w:val="center"/>
                </w:tcPr>
                <w:p w14:paraId="14EB353C">
                  <w:pPr>
                    <w:pStyle w:val="153"/>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打开新风系统通风换气</w:t>
                  </w:r>
                  <w:r>
                    <w:rPr>
                      <w:rFonts w:ascii="Times New Roman" w:hAnsi="Times New Roman" w:cs="Times New Roman"/>
                      <w:color w:val="auto"/>
                      <w:highlight w:val="none"/>
                    </w:rPr>
                    <w:t>、定期喷洒除臭剂等</w:t>
                  </w:r>
                </w:p>
              </w:tc>
              <w:tc>
                <w:tcPr>
                  <w:tcW w:w="1251" w:type="dxa"/>
                  <w:vAlign w:val="center"/>
                </w:tcPr>
                <w:p w14:paraId="5804DF2E">
                  <w:pPr>
                    <w:jc w:val="center"/>
                    <w:rPr>
                      <w:rFonts w:ascii="Times New Roman" w:hAnsi="Times New Roman" w:cs="Times New Roman"/>
                      <w:color w:val="auto"/>
                      <w:highlight w:val="none"/>
                    </w:rPr>
                  </w:pPr>
                  <w:r>
                    <w:rPr>
                      <w:rFonts w:ascii="Times New Roman" w:hAnsi="Times New Roman" w:cs="Times New Roman"/>
                      <w:color w:val="auto"/>
                      <w:sz w:val="21"/>
                      <w:szCs w:val="21"/>
                      <w:highlight w:val="none"/>
                    </w:rPr>
                    <w:t>各污染物达标排放</w:t>
                  </w:r>
                </w:p>
              </w:tc>
              <w:tc>
                <w:tcPr>
                  <w:tcW w:w="2089" w:type="dxa"/>
                  <w:vAlign w:val="center"/>
                </w:tcPr>
                <w:p w14:paraId="6F3C9214">
                  <w:pPr>
                    <w:autoSpaceDE w:val="0"/>
                    <w:autoSpaceDN w:val="0"/>
                    <w:adjustRightInd w:val="0"/>
                    <w:snapToGrid w:val="0"/>
                    <w:jc w:val="center"/>
                    <w:textAlignment w:val="bottom"/>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《恶臭污染物排放标准》（GB14554-93）表1中二级标准</w:t>
                  </w:r>
                </w:p>
              </w:tc>
            </w:tr>
            <w:tr w14:paraId="41D2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413" w:type="dxa"/>
                  <w:vMerge w:val="restart"/>
                  <w:vAlign w:val="center"/>
                </w:tcPr>
                <w:p w14:paraId="5C03B9FE">
                  <w:pPr>
                    <w:pStyle w:val="153"/>
                    <w:rPr>
                      <w:rFonts w:ascii="Times New Roman" w:hAnsi="Times New Roman" w:cs="Times New Roman"/>
                      <w:color w:val="auto"/>
                      <w:highlight w:val="none"/>
                    </w:rPr>
                  </w:pPr>
                  <w:r>
                    <w:rPr>
                      <w:rFonts w:ascii="Times New Roman" w:hAnsi="Times New Roman" w:cs="Times New Roman"/>
                      <w:color w:val="auto"/>
                      <w:highlight w:val="none"/>
                    </w:rPr>
                    <w:t>废水</w:t>
                  </w:r>
                </w:p>
              </w:tc>
              <w:tc>
                <w:tcPr>
                  <w:tcW w:w="810" w:type="dxa"/>
                  <w:vAlign w:val="center"/>
                </w:tcPr>
                <w:p w14:paraId="262F4B1C">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生活污水</w:t>
                  </w:r>
                </w:p>
              </w:tc>
              <w:tc>
                <w:tcPr>
                  <w:tcW w:w="1137" w:type="dxa"/>
                  <w:vAlign w:val="center"/>
                </w:tcPr>
                <w:p w14:paraId="19674BB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w:t>
                  </w:r>
                </w:p>
              </w:tc>
              <w:tc>
                <w:tcPr>
                  <w:tcW w:w="2276" w:type="dxa"/>
                  <w:vMerge w:val="restart"/>
                  <w:vAlign w:val="center"/>
                </w:tcPr>
                <w:p w14:paraId="168AF3D2">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生活污水直接通过下水管道排入化粪池</w:t>
                  </w:r>
                  <w:r>
                    <w:rPr>
                      <w:rFonts w:hint="eastAsia"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诊疗废水</w:t>
                  </w:r>
                  <w:r>
                    <w:rPr>
                      <w:rFonts w:hint="default" w:ascii="Times New Roman" w:hAnsi="Times New Roman"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cs="Times New Roman"/>
                      <w:color w:val="auto"/>
                      <w:sz w:val="21"/>
                      <w:szCs w:val="21"/>
                      <w:highlight w:val="none"/>
                      <w:lang w:val="en-US" w:eastAsia="zh-CN"/>
                    </w:rPr>
                    <w:t>消毒设备</w:t>
                  </w:r>
                  <w:r>
                    <w:rPr>
                      <w:rFonts w:hint="default" w:ascii="Times New Roman" w:hAnsi="Times New Roman" w:eastAsia="宋体" w:cs="Times New Roman"/>
                      <w:color w:val="auto"/>
                      <w:sz w:val="21"/>
                      <w:szCs w:val="21"/>
                      <w:highlight w:val="none"/>
                      <w:lang w:val="en-US" w:eastAsia="zh-CN"/>
                    </w:rPr>
                    <w:t>消毒排入</w:t>
                  </w:r>
                  <w:r>
                    <w:rPr>
                      <w:rFonts w:hint="default" w:ascii="Times New Roman" w:hAnsi="Times New Roman" w:cs="Times New Roman"/>
                      <w:color w:val="auto"/>
                      <w:sz w:val="21"/>
                      <w:szCs w:val="21"/>
                      <w:highlight w:val="none"/>
                      <w:lang w:eastAsia="zh-CN"/>
                    </w:rPr>
                    <w:t>化粪池</w:t>
                  </w:r>
                  <w:r>
                    <w:rPr>
                      <w:rFonts w:hint="eastAsia" w:cs="Times New Roman"/>
                      <w:color w:val="auto"/>
                      <w:sz w:val="21"/>
                      <w:szCs w:val="21"/>
                      <w:highlight w:val="none"/>
                      <w:lang w:val="en-US" w:eastAsia="zh-CN"/>
                    </w:rPr>
                    <w:t>处理后统一纳入</w:t>
                  </w:r>
                  <w:r>
                    <w:rPr>
                      <w:rFonts w:hint="default" w:ascii="Times New Roman" w:hAnsi="Times New Roman" w:eastAsia="宋体" w:cs="Times New Roman"/>
                      <w:color w:val="auto"/>
                      <w:sz w:val="21"/>
                      <w:szCs w:val="21"/>
                      <w:highlight w:val="none"/>
                      <w:lang w:eastAsia="zh-CN"/>
                    </w:rPr>
                    <w:t>市政污水管网</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eastAsia="zh-CN"/>
                    </w:rPr>
                    <w:t>福清市融元污水处理厂</w:t>
                  </w:r>
                </w:p>
              </w:tc>
              <w:tc>
                <w:tcPr>
                  <w:tcW w:w="1251" w:type="dxa"/>
                  <w:vMerge w:val="restart"/>
                  <w:vAlign w:val="center"/>
                </w:tcPr>
                <w:p w14:paraId="0B57F1C8">
                  <w:pPr>
                    <w:pStyle w:val="153"/>
                    <w:rPr>
                      <w:rFonts w:ascii="Times New Roman" w:hAnsi="Times New Roman" w:cs="Times New Roman"/>
                      <w:color w:val="auto"/>
                      <w:highlight w:val="none"/>
                    </w:rPr>
                  </w:pPr>
                  <w:r>
                    <w:rPr>
                      <w:rFonts w:ascii="Times New Roman" w:hAnsi="Times New Roman" w:cs="Times New Roman"/>
                      <w:color w:val="auto"/>
                      <w:highlight w:val="none"/>
                    </w:rPr>
                    <w:t>各污染因子达标情况</w:t>
                  </w:r>
                </w:p>
              </w:tc>
              <w:tc>
                <w:tcPr>
                  <w:tcW w:w="2089" w:type="dxa"/>
                  <w:vMerge w:val="restart"/>
                  <w:vAlign w:val="center"/>
                </w:tcPr>
                <w:p w14:paraId="160A59DD">
                  <w:pPr>
                    <w:pStyle w:val="153"/>
                    <w:rPr>
                      <w:rFonts w:ascii="Times New Roman" w:hAnsi="Times New Roman" w:cs="Times New Roman"/>
                      <w:color w:val="auto"/>
                      <w:highlight w:val="none"/>
                    </w:rPr>
                  </w:pPr>
                  <w:r>
                    <w:rPr>
                      <w:rFonts w:ascii="Times New Roman" w:hAnsi="Times New Roman" w:cs="Times New Roman"/>
                      <w:color w:val="auto"/>
                      <w:szCs w:val="21"/>
                      <w:highlight w:val="none"/>
                    </w:rPr>
                    <w:t>综合废水执行《污水综合排放标准》（GB8978-1996）表4中的三级标准排放标准（氨氮排放标准参考《污水排入城镇下水道水质标准</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（GB/T31962-2015）B等级标准限值）</w:t>
                  </w:r>
                </w:p>
              </w:tc>
            </w:tr>
            <w:tr w14:paraId="7148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413" w:type="dxa"/>
                  <w:vMerge w:val="continue"/>
                  <w:vAlign w:val="center"/>
                </w:tcPr>
                <w:p w14:paraId="407BBE2E">
                  <w:pPr>
                    <w:pStyle w:val="150"/>
                    <w:jc w:val="center"/>
                  </w:pPr>
                </w:p>
              </w:tc>
              <w:tc>
                <w:tcPr>
                  <w:tcW w:w="810" w:type="dxa"/>
                  <w:vAlign w:val="center"/>
                </w:tcPr>
                <w:p w14:paraId="0E58606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诊疗废水、宠物美容废水</w:t>
                  </w:r>
                </w:p>
              </w:tc>
              <w:tc>
                <w:tcPr>
                  <w:tcW w:w="1137" w:type="dxa"/>
                  <w:vAlign w:val="center"/>
                </w:tcPr>
                <w:p w14:paraId="4A1B14B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SS、氨氮、粪大肠菌</w:t>
                  </w:r>
                  <w:r>
                    <w:rPr>
                      <w:rFonts w:hint="default" w:ascii="Times New Roman" w:hAnsi="Times New Roman" w:eastAsia="宋体" w:cs="Times New Roman"/>
                      <w:color w:val="auto"/>
                      <w:sz w:val="21"/>
                      <w:szCs w:val="21"/>
                      <w:highlight w:val="none"/>
                      <w:lang w:val="en-US" w:eastAsia="zh-CN"/>
                    </w:rPr>
                    <w:t>群</w:t>
                  </w:r>
                  <w:r>
                    <w:rPr>
                      <w:rFonts w:hint="default" w:ascii="Times New Roman" w:hAnsi="Times New Roman" w:cs="Times New Roman"/>
                      <w:color w:val="auto"/>
                      <w:sz w:val="21"/>
                      <w:szCs w:val="21"/>
                      <w:highlight w:val="none"/>
                      <w:lang w:val="en-US" w:eastAsia="zh-CN"/>
                    </w:rPr>
                    <w:t>、总余氯</w:t>
                  </w:r>
                </w:p>
              </w:tc>
              <w:tc>
                <w:tcPr>
                  <w:tcW w:w="2276" w:type="dxa"/>
                  <w:vMerge w:val="continue"/>
                  <w:vAlign w:val="center"/>
                </w:tcPr>
                <w:p w14:paraId="104CA0A2">
                  <w:pPr>
                    <w:pStyle w:val="150"/>
                    <w:jc w:val="center"/>
                    <w:rPr>
                      <w:rFonts w:hint="default" w:ascii="Times New Roman" w:hAnsi="Times New Roman" w:eastAsia="宋体" w:cs="Times New Roman"/>
                      <w:color w:val="auto"/>
                      <w:sz w:val="21"/>
                      <w:szCs w:val="21"/>
                      <w:highlight w:val="none"/>
                      <w:lang w:val="en-US" w:eastAsia="zh-CN"/>
                    </w:rPr>
                  </w:pPr>
                </w:p>
              </w:tc>
              <w:tc>
                <w:tcPr>
                  <w:tcW w:w="1251" w:type="dxa"/>
                  <w:vMerge w:val="continue"/>
                  <w:vAlign w:val="center"/>
                </w:tcPr>
                <w:p w14:paraId="6751D83A">
                  <w:pPr>
                    <w:pStyle w:val="150"/>
                    <w:jc w:val="center"/>
                    <w:rPr>
                      <w:rFonts w:hint="default" w:ascii="Times New Roman" w:hAnsi="Times New Roman" w:eastAsia="宋体" w:cs="Times New Roman"/>
                      <w:color w:val="auto"/>
                      <w:sz w:val="21"/>
                      <w:szCs w:val="21"/>
                      <w:highlight w:val="none"/>
                      <w:lang w:val="en-US" w:eastAsia="zh-CN"/>
                    </w:rPr>
                  </w:pPr>
                </w:p>
              </w:tc>
              <w:tc>
                <w:tcPr>
                  <w:tcW w:w="2089" w:type="dxa"/>
                  <w:vMerge w:val="continue"/>
                  <w:vAlign w:val="center"/>
                </w:tcPr>
                <w:p w14:paraId="7D760948">
                  <w:pPr>
                    <w:pStyle w:val="150"/>
                    <w:jc w:val="center"/>
                    <w:rPr>
                      <w:rFonts w:hint="default" w:ascii="Times New Roman" w:hAnsi="Times New Roman" w:eastAsia="宋体" w:cs="Times New Roman"/>
                      <w:color w:val="auto"/>
                      <w:sz w:val="21"/>
                      <w:szCs w:val="21"/>
                      <w:highlight w:val="none"/>
                      <w:lang w:val="en-US" w:eastAsia="zh-CN"/>
                    </w:rPr>
                  </w:pPr>
                </w:p>
              </w:tc>
            </w:tr>
            <w:tr w14:paraId="6C5F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13" w:type="dxa"/>
                  <w:vAlign w:val="center"/>
                </w:tcPr>
                <w:p w14:paraId="6646B2BF">
                  <w:pPr>
                    <w:pStyle w:val="153"/>
                    <w:rPr>
                      <w:rFonts w:ascii="Times New Roman" w:hAnsi="Times New Roman" w:cs="Times New Roman"/>
                      <w:color w:val="auto"/>
                      <w:highlight w:val="none"/>
                    </w:rPr>
                  </w:pPr>
                  <w:r>
                    <w:rPr>
                      <w:rFonts w:ascii="Times New Roman" w:hAnsi="Times New Roman" w:cs="Times New Roman"/>
                      <w:color w:val="auto"/>
                      <w:highlight w:val="none"/>
                    </w:rPr>
                    <w:t>噪声</w:t>
                  </w:r>
                </w:p>
              </w:tc>
              <w:tc>
                <w:tcPr>
                  <w:tcW w:w="810" w:type="dxa"/>
                  <w:vAlign w:val="center"/>
                </w:tcPr>
                <w:p w14:paraId="46403ADD">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场界噪声</w:t>
                  </w:r>
                </w:p>
              </w:tc>
              <w:tc>
                <w:tcPr>
                  <w:tcW w:w="1137" w:type="dxa"/>
                  <w:vAlign w:val="center"/>
                </w:tcPr>
                <w:p w14:paraId="3B5B742C">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等效A声级</w:t>
                  </w:r>
                </w:p>
              </w:tc>
              <w:tc>
                <w:tcPr>
                  <w:tcW w:w="2276" w:type="dxa"/>
                  <w:vAlign w:val="center"/>
                </w:tcPr>
                <w:p w14:paraId="28145802">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隔声等综合降噪措施</w:t>
                  </w:r>
                </w:p>
              </w:tc>
              <w:tc>
                <w:tcPr>
                  <w:tcW w:w="1251" w:type="dxa"/>
                  <w:vAlign w:val="center"/>
                </w:tcPr>
                <w:p w14:paraId="6DF9A9CD">
                  <w:pPr>
                    <w:pStyle w:val="153"/>
                    <w:rPr>
                      <w:rFonts w:ascii="Times New Roman" w:hAnsi="Times New Roman" w:cs="Times New Roman"/>
                      <w:color w:val="auto"/>
                      <w:highlight w:val="none"/>
                    </w:rPr>
                  </w:pPr>
                  <w:r>
                    <w:rPr>
                      <w:rFonts w:ascii="Times New Roman" w:hAnsi="Times New Roman" w:cs="Times New Roman"/>
                      <w:color w:val="auto"/>
                      <w:szCs w:val="21"/>
                      <w:highlight w:val="none"/>
                    </w:rPr>
                    <w:t>场界</w:t>
                  </w:r>
                  <w:r>
                    <w:rPr>
                      <w:rFonts w:ascii="Times New Roman" w:hAnsi="Times New Roman" w:cs="Times New Roman"/>
                      <w:color w:val="auto"/>
                      <w:highlight w:val="none"/>
                    </w:rPr>
                    <w:t>噪声达标情况</w:t>
                  </w:r>
                </w:p>
              </w:tc>
              <w:tc>
                <w:tcPr>
                  <w:tcW w:w="2089" w:type="dxa"/>
                  <w:vAlign w:val="center"/>
                </w:tcPr>
                <w:p w14:paraId="4145A500">
                  <w:pPr>
                    <w:pStyle w:val="153"/>
                    <w:rPr>
                      <w:rFonts w:ascii="Times New Roman" w:hAnsi="Times New Roman" w:cs="Times New Roman"/>
                      <w:color w:val="auto"/>
                      <w:highlight w:val="none"/>
                    </w:rPr>
                  </w:pPr>
                  <w:r>
                    <w:rPr>
                      <w:rFonts w:ascii="Times New Roman" w:hAnsi="Times New Roman" w:eastAsia="宋体" w:cs="Times New Roman"/>
                      <w:color w:val="auto"/>
                      <w:highlight w:val="none"/>
                    </w:rPr>
                    <w:t>噪声排放执行《社会生活环境噪声排放标准》（GB22337-2008）中表1的2类标准，靠近</w:t>
                  </w:r>
                  <w:r>
                    <w:rPr>
                      <w:rFonts w:hint="default" w:ascii="Times New Roman" w:hAnsi="Times New Roman" w:cs="Times New Roman"/>
                      <w:color w:val="auto"/>
                      <w:highlight w:val="none"/>
                      <w:lang w:val="en-US" w:eastAsia="zh-CN"/>
                    </w:rPr>
                    <w:t>清盛大道</w:t>
                  </w:r>
                  <w:r>
                    <w:rPr>
                      <w:rFonts w:ascii="Times New Roman" w:hAnsi="Times New Roman" w:eastAsia="宋体" w:cs="Times New Roman"/>
                      <w:color w:val="auto"/>
                      <w:highlight w:val="none"/>
                    </w:rPr>
                    <w:t>一侧执行《社会生活环境噪声排放标准》（GB22337-2008）中表1的</w:t>
                  </w:r>
                  <w:r>
                    <w:rPr>
                      <w:rFonts w:hint="default" w:ascii="Times New Roman" w:hAnsi="Times New Roman" w:cs="Times New Roman"/>
                      <w:color w:val="auto"/>
                      <w:highlight w:val="none"/>
                      <w:lang w:eastAsia="zh-CN"/>
                    </w:rPr>
                    <w:t>4类</w:t>
                  </w:r>
                  <w:r>
                    <w:rPr>
                      <w:rFonts w:ascii="Times New Roman" w:hAnsi="Times New Roman" w:eastAsia="宋体" w:cs="Times New Roman"/>
                      <w:color w:val="auto"/>
                      <w:highlight w:val="none"/>
                    </w:rPr>
                    <w:t>标准</w:t>
                  </w:r>
                </w:p>
              </w:tc>
            </w:tr>
            <w:tr w14:paraId="43F4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413" w:type="dxa"/>
                  <w:vAlign w:val="center"/>
                </w:tcPr>
                <w:p w14:paraId="784844BF">
                  <w:pPr>
                    <w:pStyle w:val="153"/>
                    <w:rPr>
                      <w:rFonts w:ascii="Times New Roman" w:hAnsi="Times New Roman" w:cs="Times New Roman"/>
                      <w:color w:val="auto"/>
                      <w:highlight w:val="none"/>
                    </w:rPr>
                  </w:pPr>
                  <w:r>
                    <w:rPr>
                      <w:rFonts w:ascii="Times New Roman" w:hAnsi="Times New Roman" w:cs="Times New Roman"/>
                      <w:color w:val="auto"/>
                      <w:highlight w:val="none"/>
                    </w:rPr>
                    <w:t>固废</w:t>
                  </w:r>
                </w:p>
              </w:tc>
              <w:tc>
                <w:tcPr>
                  <w:tcW w:w="7563" w:type="dxa"/>
                  <w:gridSpan w:val="5"/>
                  <w:vAlign w:val="center"/>
                </w:tcPr>
                <w:p w14:paraId="0AA68A43">
                  <w:pPr>
                    <w:pStyle w:val="159"/>
                    <w:numPr>
                      <w:ilvl w:val="0"/>
                      <w:numId w:val="0"/>
                    </w:numPr>
                    <w:spacing w:line="240" w:lineRule="auto"/>
                    <w:ind w:firstLine="0" w:firstLineChars="0"/>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kern w:val="2"/>
                      <w:sz w:val="21"/>
                      <w:szCs w:val="21"/>
                      <w:lang w:val="en-US" w:eastAsia="zh-CN" w:bidi="ar-SA"/>
                    </w:rPr>
                    <w:t>（1）</w:t>
                  </w:r>
                  <w:r>
                    <w:rPr>
                      <w:rFonts w:hint="default"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14:paraId="1913BDE0">
                  <w:pPr>
                    <w:pStyle w:val="153"/>
                    <w:jc w:val="both"/>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lang w:val="en-US" w:eastAsia="zh-CN"/>
                    </w:rPr>
                    <w:t>2）诊疗废物</w:t>
                  </w:r>
                  <w:r>
                    <w:rPr>
                      <w:rFonts w:hint="default" w:ascii="Times New Roman" w:hAnsi="Times New Roman" w:eastAsia="宋体" w:cs="Times New Roman"/>
                      <w:bCs w:val="0"/>
                      <w:color w:val="auto"/>
                      <w:sz w:val="21"/>
                      <w:szCs w:val="21"/>
                      <w:highlight w:val="none"/>
                    </w:rPr>
                    <w:t>：暂存于危废间</w:t>
                  </w: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rPr>
                    <w:t>由</w:t>
                  </w:r>
                  <w:r>
                    <w:rPr>
                      <w:rFonts w:hint="default" w:ascii="Times New Roman" w:hAnsi="Times New Roman" w:eastAsia="宋体" w:cs="Times New Roman"/>
                      <w:bCs w:val="0"/>
                      <w:color w:val="auto"/>
                      <w:sz w:val="21"/>
                      <w:szCs w:val="21"/>
                      <w:highlight w:val="none"/>
                      <w:lang w:eastAsia="zh-CN"/>
                    </w:rPr>
                    <w:t>资质单位</w:t>
                  </w:r>
                  <w:r>
                    <w:rPr>
                      <w:rFonts w:hint="default" w:ascii="Times New Roman" w:hAnsi="Times New Roman" w:eastAsia="宋体" w:cs="Times New Roman"/>
                      <w:bCs w:val="0"/>
                      <w:color w:val="auto"/>
                      <w:sz w:val="21"/>
                      <w:szCs w:val="21"/>
                      <w:highlight w:val="none"/>
                    </w:rPr>
                    <w:t>定期转运处置。</w:t>
                  </w:r>
                </w:p>
                <w:p w14:paraId="69188319">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（3）化验室内产生的</w:t>
                  </w:r>
                  <w:r>
                    <w:rPr>
                      <w:rFonts w:hint="default" w:ascii="Times New Roman" w:hAnsi="Times New Roman" w:eastAsia="宋体" w:cs="Times New Roman"/>
                      <w:color w:val="auto"/>
                      <w:highlight w:val="none"/>
                      <w:lang w:eastAsia="zh-CN"/>
                    </w:rPr>
                    <w:t>化验废液</w:t>
                  </w:r>
                  <w:r>
                    <w:rPr>
                      <w:rFonts w:hint="default" w:ascii="Times New Roman" w:hAnsi="Times New Roman" w:eastAsia="宋体" w:cs="Times New Roman"/>
                      <w:color w:val="auto"/>
                      <w:highlight w:val="none"/>
                      <w:lang w:val="en-US" w:eastAsia="zh-CN"/>
                    </w:rPr>
                    <w:t>使用专用废液收集袋暂存，当危废处理，</w:t>
                  </w:r>
                  <w:r>
                    <w:rPr>
                      <w:rFonts w:hint="default" w:ascii="Times New Roman" w:hAnsi="Times New Roman" w:eastAsia="宋体" w:cs="Times New Roman"/>
                      <w:color w:val="auto"/>
                      <w:highlight w:val="none"/>
                      <w:lang w:eastAsia="zh-CN"/>
                    </w:rPr>
                    <w:t>由资质单位定期清运。</w:t>
                  </w:r>
                </w:p>
                <w:p w14:paraId="434EA32A">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rPr>
                    <w:t>产生的污泥</w:t>
                  </w:r>
                  <w:r>
                    <w:rPr>
                      <w:rFonts w:hint="default" w:ascii="Times New Roman" w:hAnsi="Times New Roman" w:eastAsia="宋体" w:cs="Times New Roman"/>
                      <w:color w:val="auto"/>
                      <w:kern w:val="0"/>
                      <w:sz w:val="21"/>
                      <w:szCs w:val="21"/>
                      <w:highlight w:val="none"/>
                    </w:rPr>
                    <w:t>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sz w:val="21"/>
                      <w:szCs w:val="21"/>
                      <w:highlight w:val="none"/>
                    </w:rPr>
                    <w:t>定期清运。</w:t>
                  </w:r>
                </w:p>
                <w:p w14:paraId="5AF2888E">
                  <w:pPr>
                    <w:ind w:firstLine="420" w:firstLineChars="200"/>
                    <w:rPr>
                      <w:rFonts w:ascii="Times New Roman" w:hAnsi="Times New Roman" w:cs="Times New Roman"/>
                      <w:color w:val="auto"/>
                    </w:rPr>
                  </w:pPr>
                  <w:r>
                    <w:rPr>
                      <w:rFonts w:hint="default" w:ascii="Times New Roman" w:hAnsi="Times New Roman" w:cs="Times New Roman"/>
                      <w:color w:val="auto"/>
                      <w:sz w:val="21"/>
                      <w:szCs w:val="21"/>
                      <w:lang w:val="en-US" w:eastAsia="zh-CN"/>
                    </w:rPr>
                    <w:t>各类危险性物品处置参照</w:t>
                  </w:r>
                  <w:r>
                    <w:rPr>
                      <w:rFonts w:hint="default" w:ascii="Times New Roman" w:hAnsi="Times New Roman" w:cs="Times New Roman"/>
                      <w:color w:val="auto"/>
                      <w:sz w:val="21"/>
                      <w:szCs w:val="21"/>
                    </w:rPr>
                    <w:t>《危险废物贮存污染控制标准》（GB18597-2023）及</w:t>
                  </w:r>
                  <w:r>
                    <w:rPr>
                      <w:rFonts w:hint="default" w:ascii="Times New Roman" w:hAnsi="Times New Roman" w:cs="Times New Roman"/>
                      <w:color w:val="auto"/>
                      <w:sz w:val="21"/>
                      <w:szCs w:val="21"/>
                      <w:lang w:eastAsia="zh-CN"/>
                    </w:rPr>
                    <w:t>《医疗废物管理条例》</w:t>
                  </w:r>
                  <w:r>
                    <w:rPr>
                      <w:rFonts w:hint="default" w:ascii="Times New Roman" w:hAnsi="Times New Roman" w:cs="Times New Roman"/>
                      <w:color w:val="auto"/>
                      <w:sz w:val="21"/>
                      <w:szCs w:val="21"/>
                    </w:rPr>
                    <w:t>中的相关规定。</w:t>
                  </w:r>
                  <w:r>
                    <w:rPr>
                      <w:rFonts w:hint="default" w:ascii="Times New Roman" w:hAnsi="Times New Roman" w:cs="Times New Roman"/>
                      <w:color w:val="auto"/>
                      <w:sz w:val="21"/>
                      <w:szCs w:val="21"/>
                      <w:lang w:val="en-US" w:eastAsia="zh-CN"/>
                    </w:rPr>
                    <w:t>各类危险性物品</w:t>
                  </w:r>
                  <w:r>
                    <w:rPr>
                      <w:rFonts w:hint="default" w:ascii="Times New Roman" w:hAnsi="Times New Roman" w:cs="Times New Roman"/>
                      <w:color w:val="auto"/>
                      <w:sz w:val="21"/>
                      <w:szCs w:val="21"/>
                    </w:rPr>
                    <w:t>转移过程应遵从《危险废物转移联单管理办法》及其它有关规定的要求；对</w:t>
                  </w:r>
                  <w:r>
                    <w:rPr>
                      <w:rFonts w:hint="default" w:ascii="Times New Roman" w:hAnsi="Times New Roman" w:cs="Times New Roman"/>
                      <w:color w:val="auto"/>
                      <w:sz w:val="21"/>
                      <w:szCs w:val="21"/>
                      <w:lang w:val="en-US" w:eastAsia="zh-CN"/>
                    </w:rPr>
                    <w:t>各类危险性物品</w:t>
                  </w:r>
                  <w:r>
                    <w:rPr>
                      <w:rFonts w:hint="default" w:ascii="Times New Roman" w:hAnsi="Times New Roman" w:cs="Times New Roman"/>
                      <w:color w:val="auto"/>
                      <w:sz w:val="21"/>
                      <w:szCs w:val="21"/>
                    </w:rPr>
                    <w:t>的移交处置情况进行记录，做好环境管理台账。</w:t>
                  </w:r>
                </w:p>
              </w:tc>
            </w:tr>
            <w:tr w14:paraId="50EE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413" w:type="dxa"/>
                  <w:vAlign w:val="center"/>
                </w:tcPr>
                <w:p w14:paraId="657EC99B">
                  <w:pPr>
                    <w:pStyle w:val="153"/>
                    <w:rPr>
                      <w:rFonts w:ascii="Times New Roman" w:hAnsi="Times New Roman" w:cs="Times New Roman"/>
                      <w:color w:val="auto"/>
                      <w:highlight w:val="none"/>
                    </w:rPr>
                  </w:pPr>
                  <w:r>
                    <w:rPr>
                      <w:rFonts w:ascii="Times New Roman" w:hAnsi="Times New Roman" w:cs="Times New Roman"/>
                      <w:color w:val="auto"/>
                      <w:highlight w:val="none"/>
                    </w:rPr>
                    <w:t>环境风险</w:t>
                  </w:r>
                </w:p>
              </w:tc>
              <w:tc>
                <w:tcPr>
                  <w:tcW w:w="7563" w:type="dxa"/>
                  <w:gridSpan w:val="5"/>
                  <w:vAlign w:val="center"/>
                </w:tcPr>
                <w:p w14:paraId="18B62D75">
                  <w:pPr>
                    <w:pStyle w:val="153"/>
                    <w:rPr>
                      <w:rFonts w:ascii="Times New Roman" w:hAnsi="Times New Roman" w:cs="Times New Roman"/>
                      <w:color w:val="auto"/>
                      <w:highlight w:val="none"/>
                    </w:rPr>
                  </w:pPr>
                  <w:r>
                    <w:rPr>
                      <w:rFonts w:ascii="Times New Roman" w:hAnsi="Times New Roman" w:cs="Times New Roman"/>
                      <w:color w:val="auto"/>
                      <w:highlight w:val="none"/>
                    </w:rPr>
                    <w:t>危废间设置标识牌，防火标志</w:t>
                  </w:r>
                  <w:r>
                    <w:rPr>
                      <w:rFonts w:hint="default" w:ascii="Times New Roman" w:hAnsi="Times New Roman" w:cs="Times New Roman"/>
                      <w:color w:val="auto"/>
                      <w:highlight w:val="none"/>
                    </w:rPr>
                    <w:t>；</w:t>
                  </w:r>
                  <w:r>
                    <w:rPr>
                      <w:rFonts w:ascii="Times New Roman" w:hAnsi="Times New Roman" w:cs="Times New Roman"/>
                      <w:color w:val="auto"/>
                      <w:highlight w:val="none"/>
                    </w:rPr>
                    <w:t>地坪做好防渗措施，购买容器及防渗托盘</w:t>
                  </w:r>
                  <w:r>
                    <w:rPr>
                      <w:rFonts w:hint="default" w:ascii="Times New Roman" w:hAnsi="Times New Roman" w:cs="Times New Roman"/>
                      <w:bCs/>
                      <w:color w:val="auto"/>
                      <w:highlight w:val="none"/>
                    </w:rPr>
                    <w:t>。</w:t>
                  </w:r>
                </w:p>
              </w:tc>
            </w:tr>
          </w:tbl>
          <w:p w14:paraId="19C1B127">
            <w:pPr>
              <w:pStyle w:val="159"/>
              <w:ind w:firstLine="480"/>
              <w:rPr>
                <w:rFonts w:ascii="Times New Roman" w:hAnsi="Times New Roman" w:eastAsia="宋体" w:cs="Times New Roman"/>
                <w:color w:val="auto"/>
                <w:highlight w:val="none"/>
              </w:rPr>
            </w:pPr>
          </w:p>
          <w:p w14:paraId="79A912AA">
            <w:pPr>
              <w:pStyle w:val="159"/>
              <w:ind w:firstLine="480"/>
              <w:rPr>
                <w:rFonts w:ascii="Times New Roman" w:hAnsi="Times New Roman" w:cs="Times New Roman"/>
                <w:color w:val="auto"/>
                <w:highlight w:val="none"/>
              </w:rPr>
            </w:pPr>
          </w:p>
          <w:p w14:paraId="3751F4A6">
            <w:pPr>
              <w:pStyle w:val="159"/>
              <w:ind w:firstLine="480"/>
              <w:rPr>
                <w:rFonts w:ascii="Times New Roman" w:hAnsi="Times New Roman" w:cs="Times New Roman"/>
                <w:color w:val="auto"/>
                <w:highlight w:val="none"/>
              </w:rPr>
            </w:pPr>
          </w:p>
          <w:p w14:paraId="20912332">
            <w:pPr>
              <w:pStyle w:val="159"/>
              <w:ind w:left="0" w:leftChars="0" w:firstLine="0" w:firstLineChars="0"/>
              <w:rPr>
                <w:rFonts w:ascii="Times New Roman" w:hAnsi="Times New Roman" w:cs="Times New Roman"/>
                <w:color w:val="auto"/>
                <w:highlight w:val="none"/>
              </w:rPr>
            </w:pPr>
          </w:p>
        </w:tc>
      </w:tr>
    </w:tbl>
    <w:p w14:paraId="40B7AD5B">
      <w:pPr>
        <w:pStyle w:val="2"/>
        <w:keepNext/>
        <w:keepLines/>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highlight w:val="none"/>
        </w:rPr>
      </w:pPr>
      <w:bookmarkStart w:id="196" w:name="_Toc133251565"/>
      <w:r>
        <w:rPr>
          <w:rFonts w:hint="default" w:ascii="Times New Roman" w:hAnsi="Times New Roman" w:cs="Times New Roman"/>
          <w:color w:val="auto"/>
          <w:highlight w:val="none"/>
          <w:lang w:val="en-US" w:eastAsia="zh-CN"/>
        </w:rPr>
        <w:t>五、</w:t>
      </w:r>
      <w:r>
        <w:rPr>
          <w:rFonts w:ascii="Times New Roman" w:hAnsi="Times New Roman" w:cs="Times New Roman"/>
          <w:color w:val="auto"/>
          <w:highlight w:val="none"/>
        </w:rPr>
        <w:t>环境保护措施监督检查清单</w:t>
      </w:r>
      <w:bookmarkEnd w:id="189"/>
      <w:bookmarkEnd w:id="190"/>
      <w:bookmarkEnd w:id="196"/>
    </w:p>
    <w:tbl>
      <w:tblPr>
        <w:tblStyle w:val="50"/>
        <w:tblW w:w="8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411"/>
        <w:gridCol w:w="1409"/>
        <w:gridCol w:w="2066"/>
        <w:gridCol w:w="2547"/>
      </w:tblGrid>
      <w:tr w14:paraId="57815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tcBorders>
              <w:tl2br w:val="single" w:color="auto" w:sz="4" w:space="0"/>
            </w:tcBorders>
          </w:tcPr>
          <w:p w14:paraId="6F2E25EA">
            <w:pPr>
              <w:adjustRightInd w:val="0"/>
              <w:snapToGrid w:val="0"/>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14:paraId="2275F1C0">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411" w:type="dxa"/>
            <w:vAlign w:val="center"/>
          </w:tcPr>
          <w:p w14:paraId="1C38E12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409" w:type="dxa"/>
            <w:vAlign w:val="center"/>
          </w:tcPr>
          <w:p w14:paraId="48944C1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66" w:type="dxa"/>
            <w:vAlign w:val="center"/>
          </w:tcPr>
          <w:p w14:paraId="5EC4602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547" w:type="dxa"/>
            <w:vAlign w:val="center"/>
          </w:tcPr>
          <w:p w14:paraId="340E0F6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14:paraId="0B13D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vAlign w:val="center"/>
          </w:tcPr>
          <w:p w14:paraId="2192F29F">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大气环境</w:t>
            </w:r>
          </w:p>
        </w:tc>
        <w:tc>
          <w:tcPr>
            <w:tcW w:w="1411" w:type="dxa"/>
            <w:vAlign w:val="center"/>
          </w:tcPr>
          <w:p w14:paraId="041AF706">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宠物诊疗、美容洗护、消毒设备处理废水等产生的异味</w:t>
            </w:r>
          </w:p>
        </w:tc>
        <w:tc>
          <w:tcPr>
            <w:tcW w:w="1409" w:type="dxa"/>
            <w:vAlign w:val="center"/>
          </w:tcPr>
          <w:p w14:paraId="779BBD9C">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臭气浓度</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S、NH</w:t>
            </w:r>
            <w:r>
              <w:rPr>
                <w:rFonts w:hint="default" w:ascii="Times New Roman" w:hAnsi="Times New Roman" w:eastAsia="宋体" w:cs="Times New Roman"/>
                <w:bCs/>
                <w:color w:val="auto"/>
                <w:sz w:val="21"/>
                <w:szCs w:val="21"/>
                <w:highlight w:val="none"/>
                <w:vertAlign w:val="subscript"/>
              </w:rPr>
              <w:t>3</w:t>
            </w:r>
          </w:p>
        </w:tc>
        <w:tc>
          <w:tcPr>
            <w:tcW w:w="2066" w:type="dxa"/>
            <w:vAlign w:val="center"/>
          </w:tcPr>
          <w:p w14:paraId="0AC42445">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新风系统</w:t>
            </w:r>
            <w:r>
              <w:rPr>
                <w:rFonts w:hint="default" w:ascii="Times New Roman" w:hAnsi="Times New Roman" w:eastAsia="宋体" w:cs="Times New Roman"/>
                <w:bCs/>
                <w:color w:val="auto"/>
                <w:sz w:val="21"/>
                <w:szCs w:val="21"/>
                <w:highlight w:val="none"/>
              </w:rPr>
              <w:t>、定期喷洒除臭剂等</w:t>
            </w:r>
          </w:p>
        </w:tc>
        <w:tc>
          <w:tcPr>
            <w:tcW w:w="2547" w:type="dxa"/>
            <w:vAlign w:val="center"/>
          </w:tcPr>
          <w:p w14:paraId="677E84DB">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《恶臭污染物排放标准》（GB14554-93）表1</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eastAsia="zh-CN"/>
              </w:rPr>
              <w:t>二级标准</w:t>
            </w:r>
          </w:p>
        </w:tc>
      </w:tr>
      <w:tr w14:paraId="78543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318" w:type="dxa"/>
            <w:vMerge w:val="restart"/>
            <w:vAlign w:val="center"/>
          </w:tcPr>
          <w:p w14:paraId="5DBD68C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411" w:type="dxa"/>
            <w:vAlign w:val="center"/>
          </w:tcPr>
          <w:p w14:paraId="684F6D9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409" w:type="dxa"/>
            <w:vAlign w:val="center"/>
          </w:tcPr>
          <w:p w14:paraId="5FAD73D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w:t>
            </w:r>
          </w:p>
        </w:tc>
        <w:tc>
          <w:tcPr>
            <w:tcW w:w="2066" w:type="dxa"/>
            <w:vMerge w:val="restart"/>
            <w:vAlign w:val="center"/>
          </w:tcPr>
          <w:p w14:paraId="3C40CD1D">
            <w:pPr>
              <w:adjustRightInd w:val="0"/>
              <w:snapToGrid w:val="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生活污水直接通过下水管道排入化粪池</w:t>
            </w:r>
            <w:r>
              <w:rPr>
                <w:rFonts w:hint="eastAsia"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诊疗废水</w:t>
            </w:r>
            <w:r>
              <w:rPr>
                <w:rFonts w:hint="default" w:ascii="Times New Roman" w:hAnsi="Times New Roman"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cs="Times New Roman"/>
                <w:color w:val="auto"/>
                <w:sz w:val="21"/>
                <w:szCs w:val="21"/>
                <w:highlight w:val="none"/>
                <w:lang w:val="en-US" w:eastAsia="zh-CN"/>
              </w:rPr>
              <w:t>消毒设备</w:t>
            </w:r>
            <w:r>
              <w:rPr>
                <w:rFonts w:hint="default" w:ascii="Times New Roman" w:hAnsi="Times New Roman" w:eastAsia="宋体" w:cs="Times New Roman"/>
                <w:color w:val="auto"/>
                <w:sz w:val="21"/>
                <w:szCs w:val="21"/>
                <w:highlight w:val="none"/>
                <w:lang w:val="en-US" w:eastAsia="zh-CN"/>
              </w:rPr>
              <w:t>消毒排入</w:t>
            </w:r>
            <w:r>
              <w:rPr>
                <w:rFonts w:hint="default" w:ascii="Times New Roman" w:hAnsi="Times New Roman" w:cs="Times New Roman"/>
                <w:color w:val="auto"/>
                <w:sz w:val="21"/>
                <w:szCs w:val="21"/>
                <w:highlight w:val="none"/>
                <w:lang w:eastAsia="zh-CN"/>
              </w:rPr>
              <w:t>化粪池</w:t>
            </w:r>
            <w:r>
              <w:rPr>
                <w:rFonts w:hint="eastAsia" w:cs="Times New Roman"/>
                <w:color w:val="auto"/>
                <w:sz w:val="21"/>
                <w:szCs w:val="21"/>
                <w:highlight w:val="none"/>
                <w:lang w:val="en-US" w:eastAsia="zh-CN"/>
              </w:rPr>
              <w:t>处理后统一纳入</w:t>
            </w:r>
            <w:r>
              <w:rPr>
                <w:rFonts w:hint="default" w:ascii="Times New Roman" w:hAnsi="Times New Roman" w:eastAsia="宋体" w:cs="Times New Roman"/>
                <w:color w:val="auto"/>
                <w:sz w:val="21"/>
                <w:szCs w:val="21"/>
                <w:highlight w:val="none"/>
                <w:lang w:eastAsia="zh-CN"/>
              </w:rPr>
              <w:t>市政污水管网</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eastAsia="zh-CN"/>
              </w:rPr>
              <w:t>福清市融元污水处理厂</w:t>
            </w:r>
          </w:p>
        </w:tc>
        <w:tc>
          <w:tcPr>
            <w:tcW w:w="2547" w:type="dxa"/>
            <w:vMerge w:val="restart"/>
            <w:vAlign w:val="center"/>
          </w:tcPr>
          <w:p w14:paraId="326D71F3">
            <w:pPr>
              <w:adjustRightInd w:val="0"/>
              <w:snapToGrid w:val="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执行《污水综合排放标准》（GB8978-1996）表4中的三级标准排放标准（氨氮排放标准参考《污水排入城镇下水道水质标准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（GB/T31962-2015）B等级标准限值）</w:t>
            </w:r>
          </w:p>
        </w:tc>
      </w:tr>
      <w:tr w14:paraId="5A68B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318" w:type="dxa"/>
            <w:vMerge w:val="continue"/>
            <w:vAlign w:val="center"/>
          </w:tcPr>
          <w:p w14:paraId="0821852F">
            <w:pPr>
              <w:adjustRightInd w:val="0"/>
              <w:snapToGrid w:val="0"/>
              <w:jc w:val="center"/>
            </w:pPr>
          </w:p>
        </w:tc>
        <w:tc>
          <w:tcPr>
            <w:tcW w:w="1411" w:type="dxa"/>
            <w:vAlign w:val="center"/>
          </w:tcPr>
          <w:p w14:paraId="5D85389E">
            <w:pPr>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诊疗废水、宠物美容废水</w:t>
            </w:r>
          </w:p>
        </w:tc>
        <w:tc>
          <w:tcPr>
            <w:tcW w:w="1409" w:type="dxa"/>
            <w:vAlign w:val="center"/>
          </w:tcPr>
          <w:p w14:paraId="025162A9">
            <w:pPr>
              <w:adjustRightInd w:val="0"/>
              <w:snapToGrid w:val="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SS、氨氮、粪大肠菌</w:t>
            </w:r>
            <w:r>
              <w:rPr>
                <w:rFonts w:hint="default" w:ascii="Times New Roman" w:hAnsi="Times New Roman" w:eastAsia="宋体" w:cs="Times New Roman"/>
                <w:color w:val="auto"/>
                <w:sz w:val="21"/>
                <w:szCs w:val="21"/>
                <w:highlight w:val="none"/>
                <w:lang w:val="en-US" w:eastAsia="zh-CN"/>
              </w:rPr>
              <w:t>群</w:t>
            </w:r>
            <w:r>
              <w:rPr>
                <w:rFonts w:hint="default" w:ascii="Times New Roman" w:hAnsi="Times New Roman" w:cs="Times New Roman"/>
                <w:color w:val="auto"/>
                <w:sz w:val="21"/>
                <w:szCs w:val="21"/>
                <w:highlight w:val="none"/>
                <w:lang w:val="en-US" w:eastAsia="zh-CN"/>
              </w:rPr>
              <w:t>、总余氯</w:t>
            </w:r>
          </w:p>
        </w:tc>
        <w:tc>
          <w:tcPr>
            <w:tcW w:w="2066" w:type="dxa"/>
            <w:vMerge w:val="continue"/>
            <w:vAlign w:val="center"/>
          </w:tcPr>
          <w:p w14:paraId="742FDB69">
            <w:pPr>
              <w:adjustRightInd w:val="0"/>
              <w:snapToGrid w:val="0"/>
              <w:jc w:val="center"/>
              <w:rPr>
                <w:rFonts w:hint="eastAsia" w:cs="Times New Roman"/>
                <w:color w:val="auto"/>
                <w:sz w:val="21"/>
                <w:szCs w:val="21"/>
                <w:highlight w:val="none"/>
                <w:lang w:val="en-US" w:eastAsia="zh-CN"/>
              </w:rPr>
            </w:pPr>
          </w:p>
        </w:tc>
        <w:tc>
          <w:tcPr>
            <w:tcW w:w="2547" w:type="dxa"/>
            <w:vMerge w:val="continue"/>
            <w:vAlign w:val="center"/>
          </w:tcPr>
          <w:p w14:paraId="2D078B6F">
            <w:pPr>
              <w:adjustRightInd w:val="0"/>
              <w:snapToGrid w:val="0"/>
              <w:jc w:val="center"/>
              <w:rPr>
                <w:rFonts w:hint="eastAsia" w:cs="Times New Roman"/>
                <w:color w:val="auto"/>
                <w:sz w:val="21"/>
                <w:szCs w:val="21"/>
                <w:highlight w:val="none"/>
                <w:lang w:val="en-US" w:eastAsia="zh-CN"/>
              </w:rPr>
            </w:pPr>
          </w:p>
        </w:tc>
      </w:tr>
      <w:tr w14:paraId="2045A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vAlign w:val="center"/>
          </w:tcPr>
          <w:p w14:paraId="60633AE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411" w:type="dxa"/>
            <w:vAlign w:val="center"/>
          </w:tcPr>
          <w:p w14:paraId="5738AF9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场界</w:t>
            </w:r>
            <w:r>
              <w:rPr>
                <w:rFonts w:hint="default" w:ascii="Times New Roman" w:hAnsi="Times New Roman" w:eastAsia="宋体" w:cs="Times New Roman"/>
                <w:color w:val="auto"/>
                <w:sz w:val="21"/>
                <w:szCs w:val="21"/>
                <w:highlight w:val="none"/>
              </w:rPr>
              <w:t>噪声</w:t>
            </w:r>
          </w:p>
        </w:tc>
        <w:tc>
          <w:tcPr>
            <w:tcW w:w="1409" w:type="dxa"/>
            <w:vAlign w:val="center"/>
          </w:tcPr>
          <w:p w14:paraId="0C6CE2A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等效A声级</w:t>
            </w:r>
          </w:p>
        </w:tc>
        <w:tc>
          <w:tcPr>
            <w:tcW w:w="2066" w:type="dxa"/>
            <w:vAlign w:val="center"/>
          </w:tcPr>
          <w:p w14:paraId="0483ACB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隔声等综合降噪措施</w:t>
            </w:r>
          </w:p>
        </w:tc>
        <w:tc>
          <w:tcPr>
            <w:tcW w:w="2547" w:type="dxa"/>
            <w:vAlign w:val="center"/>
          </w:tcPr>
          <w:p w14:paraId="1BC88AB3">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噪声排放执行《社会生活环境噪声排放标准》（GB22337-2008）中表1的2类标准，靠近</w:t>
            </w:r>
            <w:r>
              <w:rPr>
                <w:rFonts w:hint="default" w:ascii="Times New Roman" w:hAnsi="Times New Roman" w:cs="Times New Roman"/>
                <w:color w:val="auto"/>
                <w:sz w:val="21"/>
                <w:szCs w:val="21"/>
                <w:highlight w:val="none"/>
                <w:lang w:val="en-US" w:eastAsia="zh-CN"/>
              </w:rPr>
              <w:t>清盛大道</w:t>
            </w:r>
            <w:r>
              <w:rPr>
                <w:rFonts w:hint="default" w:ascii="Times New Roman" w:hAnsi="Times New Roman" w:eastAsia="宋体" w:cs="Times New Roman"/>
                <w:color w:val="auto"/>
                <w:sz w:val="21"/>
                <w:szCs w:val="21"/>
                <w:highlight w:val="none"/>
                <w:lang w:eastAsia="zh-CN"/>
              </w:rPr>
              <w:t>一侧执行《社会生活环境噪声排放标准》（GB22337-2008）中表1的</w:t>
            </w:r>
            <w:r>
              <w:rPr>
                <w:rFonts w:hint="default" w:ascii="Times New Roman" w:hAnsi="Times New Roman" w:cs="Times New Roman"/>
                <w:color w:val="auto"/>
                <w:sz w:val="21"/>
                <w:szCs w:val="21"/>
                <w:highlight w:val="none"/>
                <w:lang w:eastAsia="zh-CN"/>
              </w:rPr>
              <w:t>4类</w:t>
            </w:r>
            <w:r>
              <w:rPr>
                <w:rFonts w:hint="default" w:ascii="Times New Roman" w:hAnsi="Times New Roman" w:eastAsia="宋体" w:cs="Times New Roman"/>
                <w:color w:val="auto"/>
                <w:sz w:val="21"/>
                <w:szCs w:val="21"/>
                <w:highlight w:val="none"/>
                <w:lang w:eastAsia="zh-CN"/>
              </w:rPr>
              <w:t>标准</w:t>
            </w:r>
          </w:p>
        </w:tc>
      </w:tr>
      <w:tr w14:paraId="6B746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318" w:type="dxa"/>
            <w:vAlign w:val="center"/>
          </w:tcPr>
          <w:p w14:paraId="74AB69E0">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固体废物</w:t>
            </w:r>
          </w:p>
        </w:tc>
        <w:tc>
          <w:tcPr>
            <w:tcW w:w="7433" w:type="dxa"/>
            <w:gridSpan w:val="4"/>
            <w:vAlign w:val="center"/>
          </w:tcPr>
          <w:p w14:paraId="751E275B">
            <w:pPr>
              <w:pStyle w:val="159"/>
              <w:numPr>
                <w:ilvl w:val="0"/>
                <w:numId w:val="0"/>
              </w:numPr>
              <w:spacing w:line="240" w:lineRule="auto"/>
              <w:ind w:firstLine="0" w:firstLineChars="0"/>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kern w:val="2"/>
                <w:sz w:val="21"/>
                <w:szCs w:val="21"/>
                <w:lang w:val="en-US" w:eastAsia="zh-CN" w:bidi="ar-SA"/>
              </w:rPr>
              <w:t>（1）</w:t>
            </w:r>
            <w:r>
              <w:rPr>
                <w:rFonts w:hint="default"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14:paraId="7660AB9D">
            <w:pPr>
              <w:pStyle w:val="159"/>
              <w:spacing w:line="240" w:lineRule="auto"/>
              <w:ind w:firstLine="0" w:firstLineChars="0"/>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lang w:val="en-US" w:eastAsia="zh-CN"/>
              </w:rPr>
              <w:t>2）诊疗废物</w:t>
            </w:r>
            <w:r>
              <w:rPr>
                <w:rFonts w:hint="default" w:ascii="Times New Roman" w:hAnsi="Times New Roman" w:eastAsia="宋体" w:cs="Times New Roman"/>
                <w:bCs w:val="0"/>
                <w:color w:val="auto"/>
                <w:sz w:val="21"/>
                <w:szCs w:val="21"/>
                <w:highlight w:val="none"/>
              </w:rPr>
              <w:t>：暂存于危废间</w:t>
            </w:r>
            <w:r>
              <w:rPr>
                <w:rFonts w:hint="default" w:ascii="Times New Roman" w:hAnsi="Times New Roman" w:eastAsia="宋体" w:cs="Times New Roman"/>
                <w:bCs w:val="0"/>
                <w:color w:val="auto"/>
                <w:sz w:val="21"/>
                <w:szCs w:val="21"/>
                <w:highlight w:val="none"/>
                <w:lang w:eastAsia="zh-CN"/>
              </w:rPr>
              <w:t>，</w:t>
            </w:r>
            <w:r>
              <w:rPr>
                <w:rFonts w:hint="default" w:ascii="Times New Roman" w:hAnsi="Times New Roman" w:eastAsia="宋体" w:cs="Times New Roman"/>
                <w:bCs w:val="0"/>
                <w:color w:val="auto"/>
                <w:sz w:val="21"/>
                <w:szCs w:val="21"/>
                <w:highlight w:val="none"/>
              </w:rPr>
              <w:t>由</w:t>
            </w:r>
            <w:r>
              <w:rPr>
                <w:rFonts w:hint="default" w:ascii="Times New Roman" w:hAnsi="Times New Roman" w:eastAsia="宋体" w:cs="Times New Roman"/>
                <w:bCs w:val="0"/>
                <w:color w:val="auto"/>
                <w:sz w:val="21"/>
                <w:szCs w:val="21"/>
                <w:highlight w:val="none"/>
                <w:lang w:eastAsia="zh-CN"/>
              </w:rPr>
              <w:t>资质单位</w:t>
            </w:r>
            <w:r>
              <w:rPr>
                <w:rFonts w:hint="default" w:ascii="Times New Roman" w:hAnsi="Times New Roman" w:eastAsia="宋体" w:cs="Times New Roman"/>
                <w:bCs w:val="0"/>
                <w:color w:val="auto"/>
                <w:sz w:val="21"/>
                <w:szCs w:val="21"/>
                <w:highlight w:val="none"/>
              </w:rPr>
              <w:t>定期转运处置。</w:t>
            </w:r>
          </w:p>
          <w:p w14:paraId="07321C04">
            <w:pPr>
              <w:pStyle w:val="191"/>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（3）化验室内产生的</w:t>
            </w:r>
            <w:r>
              <w:rPr>
                <w:rFonts w:hint="default" w:ascii="Times New Roman" w:hAnsi="Times New Roman" w:eastAsia="宋体" w:cs="Times New Roman"/>
                <w:color w:val="auto"/>
                <w:highlight w:val="none"/>
                <w:lang w:eastAsia="zh-CN"/>
              </w:rPr>
              <w:t>化验废液</w:t>
            </w:r>
            <w:r>
              <w:rPr>
                <w:rFonts w:hint="default" w:ascii="Times New Roman" w:hAnsi="Times New Roman" w:eastAsia="宋体" w:cs="Times New Roman"/>
                <w:color w:val="auto"/>
                <w:highlight w:val="none"/>
                <w:lang w:val="en-US" w:eastAsia="zh-CN"/>
              </w:rPr>
              <w:t>使用专用废液收集袋暂存，当危废处理，</w:t>
            </w:r>
            <w:r>
              <w:rPr>
                <w:rFonts w:hint="default" w:ascii="Times New Roman" w:hAnsi="Times New Roman" w:eastAsia="宋体" w:cs="Times New Roman"/>
                <w:color w:val="auto"/>
                <w:highlight w:val="none"/>
                <w:lang w:eastAsia="zh-CN"/>
              </w:rPr>
              <w:t>由资质单位定期清运。</w:t>
            </w:r>
          </w:p>
          <w:p w14:paraId="7FC17F73">
            <w:pPr>
              <w:pStyle w:val="15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lang w:val="en-US" w:eastAsia="zh-CN"/>
              </w:rPr>
              <w:t>和宠物美容废水</w:t>
            </w:r>
            <w:r>
              <w:rPr>
                <w:rFonts w:hint="default" w:ascii="Times New Roman" w:hAnsi="Times New Roman" w:eastAsia="宋体" w:cs="Times New Roman"/>
                <w:color w:val="auto"/>
                <w:sz w:val="21"/>
                <w:szCs w:val="21"/>
                <w:highlight w:val="none"/>
              </w:rPr>
              <w:t>产生的污泥</w:t>
            </w:r>
            <w:r>
              <w:rPr>
                <w:rFonts w:hint="default" w:ascii="Times New Roman" w:hAnsi="Times New Roman" w:eastAsia="宋体" w:cs="Times New Roman"/>
                <w:color w:val="auto"/>
                <w:kern w:val="0"/>
                <w:sz w:val="21"/>
                <w:szCs w:val="21"/>
                <w:highlight w:val="none"/>
              </w:rPr>
              <w:t>每</w:t>
            </w:r>
            <w:r>
              <w:rPr>
                <w:rFonts w:hint="default" w:ascii="Times New Roman" w:hAnsi="Times New Roman" w:eastAsia="宋体" w:cs="Times New Roman"/>
                <w:color w:val="auto"/>
                <w:kern w:val="0"/>
                <w:sz w:val="21"/>
                <w:szCs w:val="21"/>
                <w:highlight w:val="none"/>
                <w:lang w:val="en-US" w:eastAsia="zh-CN"/>
              </w:rPr>
              <w:t>10~15天</w:t>
            </w:r>
            <w:r>
              <w:rPr>
                <w:rFonts w:hint="default" w:ascii="Times New Roman" w:hAnsi="Times New Roman" w:eastAsia="宋体" w:cs="Times New Roman"/>
                <w:color w:val="auto"/>
                <w:kern w:val="0"/>
                <w:sz w:val="21"/>
                <w:szCs w:val="21"/>
                <w:highlight w:val="none"/>
              </w:rPr>
              <w:t>清掏一次，</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福建省固体废物处置有限公司</w:t>
            </w:r>
            <w:r>
              <w:rPr>
                <w:rFonts w:hint="default" w:ascii="Times New Roman" w:hAnsi="Times New Roman" w:eastAsia="宋体" w:cs="Times New Roman"/>
                <w:color w:val="auto"/>
                <w:sz w:val="21"/>
                <w:szCs w:val="21"/>
                <w:highlight w:val="none"/>
              </w:rPr>
              <w:t>定期清运。</w:t>
            </w:r>
          </w:p>
          <w:p w14:paraId="1C861658">
            <w:pPr>
              <w:pStyle w:val="159"/>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lang w:val="en-US" w:eastAsia="zh-CN"/>
              </w:rPr>
              <w:t>各类危险性物品处置参照</w:t>
            </w:r>
            <w:r>
              <w:rPr>
                <w:rFonts w:hint="default" w:ascii="Times New Roman" w:hAnsi="Times New Roman" w:eastAsia="宋体" w:cs="Times New Roman"/>
                <w:bCs w:val="0"/>
                <w:color w:val="auto"/>
                <w:sz w:val="21"/>
                <w:szCs w:val="21"/>
              </w:rPr>
              <w:t>《危险废物贮存污染控制标准》（GB18597-2023）及</w:t>
            </w:r>
            <w:r>
              <w:rPr>
                <w:rFonts w:hint="default" w:ascii="Times New Roman" w:hAnsi="Times New Roman" w:eastAsia="宋体" w:cs="Times New Roman"/>
                <w:bCs w:val="0"/>
                <w:color w:val="auto"/>
                <w:sz w:val="21"/>
                <w:szCs w:val="21"/>
                <w:lang w:eastAsia="zh-CN"/>
              </w:rPr>
              <w:t>《医疗废物管理条例》</w:t>
            </w:r>
            <w:r>
              <w:rPr>
                <w:rFonts w:hint="default" w:ascii="Times New Roman" w:hAnsi="Times New Roman" w:eastAsia="宋体" w:cs="Times New Roman"/>
                <w:bCs w:val="0"/>
                <w:color w:val="auto"/>
                <w:sz w:val="21"/>
                <w:szCs w:val="21"/>
              </w:rPr>
              <w:t>中的相关规定。</w:t>
            </w:r>
            <w:r>
              <w:rPr>
                <w:rFonts w:hint="default" w:ascii="Times New Roman" w:hAnsi="Times New Roman" w:eastAsia="宋体" w:cs="Times New Roman"/>
                <w:bCs w:val="0"/>
                <w:color w:val="auto"/>
                <w:sz w:val="21"/>
                <w:szCs w:val="21"/>
                <w:lang w:val="en-US" w:eastAsia="zh-CN"/>
              </w:rPr>
              <w:t>各类危险性物品</w:t>
            </w:r>
            <w:r>
              <w:rPr>
                <w:rFonts w:hint="default" w:ascii="Times New Roman" w:hAnsi="Times New Roman" w:eastAsia="宋体" w:cs="Times New Roman"/>
                <w:bCs w:val="0"/>
                <w:color w:val="auto"/>
                <w:sz w:val="21"/>
                <w:szCs w:val="21"/>
              </w:rPr>
              <w:t>转移过程应遵从《危险废物转移联单管理办法》及其它有关规定的要求；对</w:t>
            </w:r>
            <w:r>
              <w:rPr>
                <w:rFonts w:hint="default" w:ascii="Times New Roman" w:hAnsi="Times New Roman" w:eastAsia="宋体" w:cs="Times New Roman"/>
                <w:bCs w:val="0"/>
                <w:color w:val="auto"/>
                <w:sz w:val="21"/>
                <w:szCs w:val="21"/>
                <w:lang w:val="en-US" w:eastAsia="zh-CN"/>
              </w:rPr>
              <w:t>各类危险性物品</w:t>
            </w:r>
            <w:r>
              <w:rPr>
                <w:rFonts w:hint="default" w:ascii="Times New Roman" w:hAnsi="Times New Roman" w:eastAsia="宋体" w:cs="Times New Roman"/>
                <w:bCs w:val="0"/>
                <w:color w:val="auto"/>
                <w:sz w:val="21"/>
                <w:szCs w:val="21"/>
              </w:rPr>
              <w:t>的移交处置情况进行记录，做好环境管理台账。</w:t>
            </w:r>
          </w:p>
        </w:tc>
      </w:tr>
      <w:tr w14:paraId="3DEDD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318" w:type="dxa"/>
            <w:vAlign w:val="center"/>
          </w:tcPr>
          <w:p w14:paraId="7F7151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433" w:type="dxa"/>
            <w:gridSpan w:val="4"/>
            <w:vAlign w:val="center"/>
          </w:tcPr>
          <w:p w14:paraId="3B9B545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r>
      <w:tr w14:paraId="781BC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318" w:type="dxa"/>
            <w:vAlign w:val="center"/>
          </w:tcPr>
          <w:p w14:paraId="22DC7D5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w:t>
            </w:r>
          </w:p>
          <w:p w14:paraId="220095C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w:t>
            </w:r>
          </w:p>
        </w:tc>
        <w:tc>
          <w:tcPr>
            <w:tcW w:w="7433" w:type="dxa"/>
            <w:gridSpan w:val="4"/>
            <w:vAlign w:val="center"/>
          </w:tcPr>
          <w:p w14:paraId="18D27F8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r>
      <w:tr w14:paraId="65315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318" w:type="dxa"/>
            <w:vAlign w:val="center"/>
          </w:tcPr>
          <w:p w14:paraId="31D6EB9D">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14:paraId="6A4C5183">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433" w:type="dxa"/>
            <w:gridSpan w:val="4"/>
            <w:vAlign w:val="center"/>
          </w:tcPr>
          <w:p w14:paraId="496ABAEE">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（1）针对</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事故排放所产生的风险，建设单位应加强</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排入市政污水管网，并报告</w:t>
            </w:r>
            <w:r>
              <w:rPr>
                <w:rFonts w:hint="default" w:ascii="Times New Roman" w:hAnsi="Times New Roman" w:eastAsia="宋体" w:cs="Times New Roman"/>
                <w:color w:val="auto"/>
                <w:sz w:val="21"/>
                <w:szCs w:val="21"/>
                <w:highlight w:val="none"/>
                <w:lang w:val="en-US" w:eastAsia="zh-CN"/>
              </w:rPr>
              <w:t>医院</w:t>
            </w:r>
            <w:r>
              <w:rPr>
                <w:rFonts w:hint="default" w:ascii="Times New Roman" w:hAnsi="Times New Roman" w:eastAsia="宋体" w:cs="Times New Roman"/>
                <w:color w:val="auto"/>
                <w:sz w:val="21"/>
                <w:szCs w:val="21"/>
                <w:highlight w:val="none"/>
              </w:rPr>
              <w:t>管理人员，封闭现场，及时抢修。若出现管道破裂或废水溢流等情况，需紧急疏散周边居民，立即封锁现场，对污染事故进行处理，对事故现场及周边影响地区进行清理、消毒，同时应调查事故发生原因，防范事故再次发生。</w:t>
            </w:r>
          </w:p>
          <w:p w14:paraId="46D70D29">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产生的</w:t>
            </w:r>
            <w:r>
              <w:rPr>
                <w:rFonts w:hint="default" w:ascii="Times New Roman" w:hAnsi="Times New Roman" w:eastAsia="宋体"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必须经科学地分类收集、贮存运送后交由具有相关资质的单位进行最终处置。</w:t>
            </w:r>
          </w:p>
          <w:p w14:paraId="6D35DD37">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（3）加强通风，采用局部排风等措施。配备相应品种和数量的应急处理设备，紧急救援时佩戴空气呼吸器，迅速将患者转移至空气新鲜处，立即就医。</w:t>
            </w:r>
          </w:p>
          <w:p w14:paraId="7A4D336F">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运营后，由于人员集中，电线密集，且设备等属于可燃物，因此存在一定的火灾风险，建设单位要严格按照消防部门所提要求落实消防措施，提高来往人员防火意识，杜绝火灾风险事故的发生。</w:t>
            </w:r>
          </w:p>
          <w:p w14:paraId="22D05C2A">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公共场所是消防安全的重点单位，因此，建设单位必须具备以下消防安全条件：</w:t>
            </w:r>
          </w:p>
          <w:p w14:paraId="2F390397">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①建立健全消防安全组织，消防安全责任明确；</w:t>
            </w:r>
          </w:p>
          <w:p w14:paraId="25095180">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②建立消防安全管理制度和保障消防安全的操作规程；</w:t>
            </w:r>
          </w:p>
          <w:p w14:paraId="0F3C6FD5">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③员工须经消防安全培训；</w:t>
            </w:r>
          </w:p>
          <w:p w14:paraId="50EAC5D9">
            <w:pPr>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④建筑消防设施齐全、完好有效</w:t>
            </w:r>
            <w:r>
              <w:rPr>
                <w:rFonts w:hint="default" w:ascii="Times New Roman" w:hAnsi="Times New Roman" w:eastAsia="宋体" w:cs="Times New Roman"/>
                <w:color w:val="auto"/>
                <w:sz w:val="21"/>
                <w:szCs w:val="21"/>
                <w:highlight w:val="none"/>
                <w:lang w:eastAsia="zh-CN"/>
              </w:rPr>
              <w:t>。</w:t>
            </w:r>
          </w:p>
        </w:tc>
      </w:tr>
      <w:tr w14:paraId="77DDF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18" w:type="dxa"/>
            <w:vAlign w:val="center"/>
          </w:tcPr>
          <w:p w14:paraId="79022A57">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3D9AF8BE">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433" w:type="dxa"/>
            <w:gridSpan w:val="4"/>
            <w:vAlign w:val="center"/>
          </w:tcPr>
          <w:p w14:paraId="480D2646">
            <w:pPr>
              <w:pStyle w:val="19"/>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4ABDC0B0">
      <w:pPr>
        <w:pStyle w:val="21"/>
        <w:ind w:left="480" w:firstLine="480"/>
        <w:rPr>
          <w:rFonts w:ascii="Times New Roman" w:hAnsi="Times New Roman" w:cs="Times New Roman"/>
          <w:color w:val="auto"/>
          <w:highlight w:val="none"/>
        </w:rPr>
      </w:pPr>
    </w:p>
    <w:p w14:paraId="076FC09B">
      <w:pPr>
        <w:rPr>
          <w:rFonts w:ascii="Times New Roman" w:hAnsi="Times New Roman" w:cs="Times New Roman"/>
          <w:color w:val="auto"/>
          <w:highlight w:val="none"/>
        </w:rPr>
      </w:pPr>
    </w:p>
    <w:p w14:paraId="0DA43965">
      <w:pPr>
        <w:pStyle w:val="19"/>
        <w:rPr>
          <w:rFonts w:ascii="Times New Roman" w:hAnsi="Times New Roman" w:cs="Times New Roman"/>
          <w:color w:val="auto"/>
          <w:highlight w:val="none"/>
        </w:rPr>
      </w:pPr>
    </w:p>
    <w:p w14:paraId="25554BA8">
      <w:pPr>
        <w:pStyle w:val="12"/>
        <w:rPr>
          <w:rFonts w:ascii="Times New Roman" w:hAnsi="Times New Roman" w:cs="Times New Roman"/>
          <w:color w:val="auto"/>
          <w:highlight w:val="none"/>
        </w:rPr>
      </w:pPr>
    </w:p>
    <w:p w14:paraId="44F57A52">
      <w:pPr>
        <w:rPr>
          <w:rFonts w:ascii="Times New Roman" w:hAnsi="Times New Roman" w:cs="Times New Roman"/>
          <w:color w:val="auto"/>
          <w:highlight w:val="none"/>
        </w:rPr>
      </w:pPr>
    </w:p>
    <w:p w14:paraId="62503D5E">
      <w:pPr>
        <w:pStyle w:val="19"/>
        <w:rPr>
          <w:rFonts w:ascii="Times New Roman" w:hAnsi="Times New Roman" w:cs="Times New Roman"/>
          <w:color w:val="auto"/>
          <w:highlight w:val="none"/>
        </w:rPr>
      </w:pPr>
    </w:p>
    <w:p w14:paraId="6F91628B">
      <w:pPr>
        <w:pStyle w:val="12"/>
        <w:rPr>
          <w:rFonts w:ascii="Times New Roman" w:hAnsi="Times New Roman" w:cs="Times New Roman"/>
          <w:color w:val="auto"/>
          <w:highlight w:val="none"/>
        </w:rPr>
      </w:pPr>
    </w:p>
    <w:p w14:paraId="3908A191">
      <w:pPr>
        <w:rPr>
          <w:rFonts w:ascii="Times New Roman" w:hAnsi="Times New Roman" w:cs="Times New Roman"/>
          <w:color w:val="auto"/>
          <w:highlight w:val="none"/>
        </w:rPr>
      </w:pPr>
    </w:p>
    <w:p w14:paraId="5DB82809">
      <w:pPr>
        <w:pStyle w:val="19"/>
        <w:rPr>
          <w:rFonts w:ascii="Times New Roman" w:hAnsi="Times New Roman" w:cs="Times New Roman"/>
          <w:color w:val="auto"/>
          <w:highlight w:val="none"/>
        </w:rPr>
      </w:pPr>
    </w:p>
    <w:p w14:paraId="56F3C0B4">
      <w:pPr>
        <w:pStyle w:val="12"/>
        <w:rPr>
          <w:rFonts w:ascii="Times New Roman" w:hAnsi="Times New Roman" w:cs="Times New Roman"/>
          <w:color w:val="auto"/>
          <w:highlight w:val="none"/>
        </w:rPr>
        <w:sectPr>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56929419">
      <w:pPr>
        <w:rPr>
          <w:rFonts w:hint="eastAsia" w:cs="Times New Roman"/>
          <w:snapToGrid w:val="0"/>
          <w:color w:val="auto"/>
          <w:highlight w:val="none"/>
          <w:lang w:val="en-US" w:eastAsia="zh-CN"/>
        </w:rPr>
      </w:pPr>
      <w:r>
        <w:rPr>
          <w:rFonts w:hint="eastAsia" w:cs="Times New Roman"/>
          <w:snapToGrid w:val="0"/>
          <w:color w:val="auto"/>
          <w:highlight w:val="none"/>
          <w:lang w:val="en-US" w:eastAsia="zh-CN"/>
        </w:rPr>
        <w:t xml:space="preserve">                                              </w:t>
      </w:r>
    </w:p>
    <w:p w14:paraId="054FA5B6">
      <w:pPr>
        <w:rPr>
          <w:rFonts w:hint="default" w:ascii="Times New Roman" w:hAnsi="Times New Roman" w:eastAsia="宋体" w:cs="Times New Roman"/>
          <w:color w:val="auto"/>
          <w:highlight w:val="none"/>
          <w:lang w:eastAsia="zh-CN"/>
        </w:rPr>
        <w:sectPr>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highlight w:val="none"/>
          <w:lang w:eastAsia="zh-CN"/>
        </w:rPr>
        <w:drawing>
          <wp:inline distT="0" distB="0" distL="114300" distR="114300">
            <wp:extent cx="5274945" cy="8162290"/>
            <wp:effectExtent l="0" t="0" r="1905" b="10160"/>
            <wp:docPr id="5" name="图片 5" descr="d9e80a1b304fce6798436257d10b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e80a1b304fce6798436257d10bed4"/>
                    <pic:cNvPicPr>
                      <a:picLocks noChangeAspect="1"/>
                    </pic:cNvPicPr>
                  </pic:nvPicPr>
                  <pic:blipFill>
                    <a:blip r:embed="rId39"/>
                    <a:stretch>
                      <a:fillRect/>
                    </a:stretch>
                  </pic:blipFill>
                  <pic:spPr>
                    <a:xfrm>
                      <a:off x="0" y="0"/>
                      <a:ext cx="5274945" cy="8162290"/>
                    </a:xfrm>
                    <a:prstGeom prst="rect">
                      <a:avLst/>
                    </a:prstGeom>
                  </pic:spPr>
                </pic:pic>
              </a:graphicData>
            </a:graphic>
          </wp:inline>
        </w:drawing>
      </w:r>
    </w:p>
    <w:bookmarkEnd w:id="3"/>
    <w:bookmarkEnd w:id="4"/>
    <w:bookmarkEnd w:id="5"/>
    <w:bookmarkEnd w:id="6"/>
    <w:bookmarkEnd w:id="7"/>
    <w:bookmarkEnd w:id="8"/>
    <w:bookmarkEnd w:id="9"/>
    <w:bookmarkEnd w:id="10"/>
    <w:bookmarkEnd w:id="11"/>
    <w:p w14:paraId="0C1021E6">
      <w:pPr>
        <w:pStyle w:val="2"/>
        <w:numPr>
          <w:ilvl w:val="0"/>
          <w:numId w:val="0"/>
        </w:numPr>
        <w:jc w:val="left"/>
        <w:rPr>
          <w:rFonts w:ascii="Times New Roman" w:hAnsi="Times New Roman" w:cs="Times New Roman"/>
          <w:color w:val="auto"/>
          <w:highlight w:val="none"/>
        </w:rPr>
      </w:pPr>
      <w:bookmarkStart w:id="197" w:name="_Toc17695"/>
      <w:bookmarkStart w:id="198" w:name="_Toc5673"/>
      <w:bookmarkStart w:id="199" w:name="_Toc133251567"/>
      <w:bookmarkStart w:id="200" w:name="_Toc20525"/>
      <w:r>
        <w:rPr>
          <w:rFonts w:ascii="Times New Roman" w:hAnsi="Times New Roman" w:cs="Times New Roman"/>
          <w:color w:val="auto"/>
          <w:highlight w:val="none"/>
        </w:rPr>
        <w:t>附表</w:t>
      </w:r>
    </w:p>
    <w:p w14:paraId="7FFB6BB7">
      <w:pPr>
        <w:pStyle w:val="322"/>
        <w:ind w:firstLine="482"/>
        <w:jc w:val="center"/>
        <w:rPr>
          <w:rFonts w:ascii="Times New Roman" w:hAnsi="Times New Roman" w:cs="Times New Roman"/>
          <w:b/>
          <w:bCs/>
          <w:color w:val="auto"/>
          <w:highlight w:val="none"/>
        </w:rPr>
      </w:pPr>
      <w:r>
        <w:rPr>
          <w:rFonts w:hint="default" w:ascii="Times New Roman" w:hAnsi="Times New Roman" w:cs="Times New Roman"/>
          <w:b/>
          <w:bCs/>
          <w:color w:val="auto"/>
          <w:highlight w:val="none"/>
        </w:rPr>
        <w:t>全院</w:t>
      </w:r>
      <w:r>
        <w:rPr>
          <w:rFonts w:ascii="Times New Roman" w:hAnsi="Times New Roman" w:cs="Times New Roman"/>
          <w:b/>
          <w:bCs/>
          <w:color w:val="auto"/>
          <w:highlight w:val="none"/>
        </w:rPr>
        <w:t>污染物排放量汇总表</w:t>
      </w:r>
    </w:p>
    <w:tbl>
      <w:tblPr>
        <w:tblStyle w:val="5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047"/>
        <w:gridCol w:w="1701"/>
        <w:gridCol w:w="1276"/>
        <w:gridCol w:w="1701"/>
        <w:gridCol w:w="1559"/>
        <w:gridCol w:w="1761"/>
        <w:gridCol w:w="1655"/>
        <w:gridCol w:w="1130"/>
      </w:tblGrid>
      <w:tr w14:paraId="3C828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tcBorders>
              <w:tl2br w:val="single" w:color="auto" w:sz="4" w:space="0"/>
            </w:tcBorders>
            <w:tcMar>
              <w:left w:w="28" w:type="dxa"/>
              <w:right w:w="28" w:type="dxa"/>
            </w:tcMar>
            <w:vAlign w:val="center"/>
          </w:tcPr>
          <w:p w14:paraId="169D2494">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 xml:space="preserve">   项目</w:t>
            </w:r>
          </w:p>
          <w:p w14:paraId="0B9B4FAE">
            <w:pPr>
              <w:pStyle w:val="153"/>
              <w:jc w:val="left"/>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分类</w:t>
            </w:r>
          </w:p>
        </w:tc>
        <w:tc>
          <w:tcPr>
            <w:tcW w:w="2047" w:type="dxa"/>
            <w:tcMar>
              <w:left w:w="28" w:type="dxa"/>
              <w:right w:w="28" w:type="dxa"/>
            </w:tcMar>
            <w:vAlign w:val="center"/>
          </w:tcPr>
          <w:p w14:paraId="11BDA5D8">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污染物名称</w:t>
            </w:r>
          </w:p>
        </w:tc>
        <w:tc>
          <w:tcPr>
            <w:tcW w:w="1701" w:type="dxa"/>
            <w:tcMar>
              <w:left w:w="28" w:type="dxa"/>
              <w:right w:w="28" w:type="dxa"/>
            </w:tcMar>
            <w:vAlign w:val="center"/>
          </w:tcPr>
          <w:p w14:paraId="293B0597">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现有工程</w:t>
            </w:r>
          </w:p>
          <w:p w14:paraId="61D463CF">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排放量（固体废物产生量）</w:t>
            </w:r>
            <w:r>
              <w:rPr>
                <w:rFonts w:hint="default" w:ascii="Times New Roman" w:hAnsi="Times New Roman" w:cs="Times New Roman"/>
                <w:color w:val="auto"/>
                <w:sz w:val="21"/>
                <w:szCs w:val="21"/>
                <w:highlight w:val="none"/>
              </w:rPr>
              <w:t>①</w:t>
            </w:r>
          </w:p>
        </w:tc>
        <w:tc>
          <w:tcPr>
            <w:tcW w:w="1276" w:type="dxa"/>
            <w:tcMar>
              <w:left w:w="28" w:type="dxa"/>
              <w:right w:w="28" w:type="dxa"/>
            </w:tcMar>
            <w:vAlign w:val="center"/>
          </w:tcPr>
          <w:p w14:paraId="1ECCBB04">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现有工程</w:t>
            </w:r>
          </w:p>
          <w:p w14:paraId="684C00A7">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许可排放量</w:t>
            </w:r>
          </w:p>
          <w:p w14:paraId="6CD7D4EB">
            <w:pPr>
              <w:pStyle w:val="153"/>
              <w:rPr>
                <w:rFonts w:ascii="Times New Roman" w:hAnsi="Times New Roman" w:cs="Times New Roman"/>
                <w:color w:val="auto"/>
                <w:spacing w:val="-6"/>
                <w:kern w:val="21"/>
                <w:sz w:val="21"/>
                <w:szCs w:val="21"/>
                <w:highlight w:val="none"/>
              </w:rPr>
            </w:pPr>
            <w:r>
              <w:rPr>
                <w:rFonts w:hint="default" w:ascii="Times New Roman" w:hAnsi="Times New Roman" w:cs="Times New Roman"/>
                <w:color w:val="auto"/>
                <w:spacing w:val="-6"/>
                <w:kern w:val="21"/>
                <w:sz w:val="21"/>
                <w:szCs w:val="21"/>
                <w:highlight w:val="none"/>
              </w:rPr>
              <w:t>②</w:t>
            </w:r>
          </w:p>
        </w:tc>
        <w:tc>
          <w:tcPr>
            <w:tcW w:w="1701" w:type="dxa"/>
            <w:tcMar>
              <w:left w:w="28" w:type="dxa"/>
              <w:right w:w="28" w:type="dxa"/>
            </w:tcMar>
            <w:vAlign w:val="center"/>
          </w:tcPr>
          <w:p w14:paraId="68FC8C65">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在建工程</w:t>
            </w:r>
          </w:p>
          <w:p w14:paraId="4F381E6C">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排放量（固体废物产生量）</w:t>
            </w:r>
            <w:r>
              <w:rPr>
                <w:rFonts w:hint="default" w:ascii="Times New Roman" w:hAnsi="Times New Roman" w:cs="Times New Roman"/>
                <w:color w:val="auto"/>
                <w:sz w:val="21"/>
                <w:szCs w:val="21"/>
                <w:highlight w:val="none"/>
              </w:rPr>
              <w:t>③</w:t>
            </w:r>
          </w:p>
        </w:tc>
        <w:tc>
          <w:tcPr>
            <w:tcW w:w="1559" w:type="dxa"/>
            <w:tcMar>
              <w:left w:w="28" w:type="dxa"/>
              <w:right w:w="28" w:type="dxa"/>
            </w:tcMar>
            <w:vAlign w:val="center"/>
          </w:tcPr>
          <w:p w14:paraId="2318D98D">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本项目</w:t>
            </w:r>
          </w:p>
          <w:p w14:paraId="60F7884A">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排放量（固体废物产生量）</w:t>
            </w:r>
            <w:r>
              <w:rPr>
                <w:rFonts w:hint="default" w:ascii="Times New Roman" w:hAnsi="Times New Roman" w:cs="Times New Roman"/>
                <w:color w:val="auto"/>
                <w:sz w:val="21"/>
                <w:szCs w:val="21"/>
                <w:highlight w:val="none"/>
              </w:rPr>
              <w:t>④</w:t>
            </w:r>
          </w:p>
        </w:tc>
        <w:tc>
          <w:tcPr>
            <w:tcW w:w="1761" w:type="dxa"/>
            <w:tcMar>
              <w:left w:w="28" w:type="dxa"/>
              <w:right w:w="28" w:type="dxa"/>
            </w:tcMar>
            <w:vAlign w:val="center"/>
          </w:tcPr>
          <w:p w14:paraId="18438423">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以新带老削减量</w:t>
            </w:r>
          </w:p>
          <w:p w14:paraId="4316CA2C">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（新建项目不填）</w:t>
            </w:r>
            <w:r>
              <w:rPr>
                <w:rFonts w:hint="default" w:ascii="Times New Roman" w:hAnsi="Times New Roman" w:cs="Times New Roman"/>
                <w:color w:val="auto"/>
                <w:sz w:val="21"/>
                <w:szCs w:val="21"/>
                <w:highlight w:val="none"/>
              </w:rPr>
              <w:t>⑤</w:t>
            </w:r>
          </w:p>
        </w:tc>
        <w:tc>
          <w:tcPr>
            <w:tcW w:w="1655" w:type="dxa"/>
            <w:tcMar>
              <w:left w:w="28" w:type="dxa"/>
              <w:right w:w="28" w:type="dxa"/>
            </w:tcMar>
            <w:vAlign w:val="center"/>
          </w:tcPr>
          <w:p w14:paraId="0223773D">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本项目建成后</w:t>
            </w:r>
          </w:p>
          <w:p w14:paraId="39C96276">
            <w:pPr>
              <w:pStyle w:val="153"/>
              <w:rPr>
                <w:rFonts w:ascii="Times New Roman" w:hAnsi="Times New Roman" w:cs="Times New Roman"/>
                <w:color w:val="auto"/>
                <w:spacing w:val="-16"/>
                <w:kern w:val="21"/>
                <w:sz w:val="21"/>
                <w:szCs w:val="21"/>
                <w:highlight w:val="none"/>
              </w:rPr>
            </w:pPr>
            <w:r>
              <w:rPr>
                <w:rFonts w:ascii="Times New Roman" w:hAnsi="Times New Roman" w:cs="Times New Roman"/>
                <w:color w:val="auto"/>
                <w:spacing w:val="-16"/>
                <w:kern w:val="21"/>
                <w:sz w:val="21"/>
                <w:szCs w:val="21"/>
                <w:highlight w:val="none"/>
              </w:rPr>
              <w:t>全厂排放量（固体废物产生量）</w:t>
            </w:r>
            <w:r>
              <w:rPr>
                <w:rFonts w:hint="default" w:ascii="Times New Roman" w:hAnsi="Times New Roman" w:cs="Times New Roman"/>
                <w:color w:val="auto"/>
                <w:sz w:val="21"/>
                <w:szCs w:val="21"/>
                <w:highlight w:val="none"/>
              </w:rPr>
              <w:t>⑥</w:t>
            </w:r>
          </w:p>
        </w:tc>
        <w:tc>
          <w:tcPr>
            <w:tcW w:w="1130" w:type="dxa"/>
            <w:tcMar>
              <w:left w:w="28" w:type="dxa"/>
              <w:right w:w="28" w:type="dxa"/>
            </w:tcMar>
            <w:vAlign w:val="center"/>
          </w:tcPr>
          <w:p w14:paraId="0475CED1">
            <w:pPr>
              <w:pStyle w:val="153"/>
              <w:rPr>
                <w:rFonts w:ascii="Times New Roman" w:hAnsi="Times New Roman" w:cs="Times New Roman"/>
                <w:color w:val="auto"/>
                <w:spacing w:val="-6"/>
                <w:kern w:val="21"/>
                <w:sz w:val="21"/>
                <w:szCs w:val="21"/>
                <w:highlight w:val="none"/>
              </w:rPr>
            </w:pPr>
            <w:r>
              <w:rPr>
                <w:rFonts w:ascii="Times New Roman" w:hAnsi="Times New Roman" w:cs="Times New Roman"/>
                <w:color w:val="auto"/>
                <w:spacing w:val="-6"/>
                <w:kern w:val="21"/>
                <w:sz w:val="21"/>
                <w:szCs w:val="21"/>
                <w:highlight w:val="none"/>
              </w:rPr>
              <w:t>变化量</w:t>
            </w:r>
          </w:p>
          <w:p w14:paraId="6CA077BD">
            <w:pPr>
              <w:pStyle w:val="153"/>
              <w:rPr>
                <w:rFonts w:ascii="Times New Roman" w:hAnsi="Times New Roman" w:cs="Times New Roman"/>
                <w:color w:val="auto"/>
                <w:spacing w:val="-6"/>
                <w:kern w:val="21"/>
                <w:sz w:val="21"/>
                <w:szCs w:val="21"/>
                <w:highlight w:val="none"/>
              </w:rPr>
            </w:pPr>
            <w:r>
              <w:rPr>
                <w:rFonts w:hint="default" w:ascii="Times New Roman" w:hAnsi="Times New Roman" w:cs="Times New Roman"/>
                <w:color w:val="auto"/>
                <w:sz w:val="21"/>
                <w:szCs w:val="21"/>
                <w:highlight w:val="none"/>
              </w:rPr>
              <w:t>⑦</w:t>
            </w:r>
          </w:p>
        </w:tc>
      </w:tr>
      <w:tr w14:paraId="6BC23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restart"/>
            <w:vAlign w:val="center"/>
          </w:tcPr>
          <w:p w14:paraId="0304FF15">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废气</w:t>
            </w:r>
          </w:p>
        </w:tc>
        <w:tc>
          <w:tcPr>
            <w:tcW w:w="2047" w:type="dxa"/>
            <w:vAlign w:val="center"/>
          </w:tcPr>
          <w:p w14:paraId="5CA0F2C4">
            <w:pPr>
              <w:snapToGrid w:val="0"/>
              <w:jc w:val="center"/>
              <w:rPr>
                <w:rFonts w:ascii="Times New Roman" w:hAnsi="Times New Roman" w:cs="Times New Roman"/>
                <w:iCs/>
                <w:snapToGrid w:val="0"/>
                <w:color w:val="auto"/>
                <w:kern w:val="21"/>
                <w:sz w:val="21"/>
                <w:szCs w:val="21"/>
                <w:highlight w:val="none"/>
              </w:rPr>
            </w:pPr>
            <w:r>
              <w:rPr>
                <w:rFonts w:ascii="Times New Roman" w:hAnsi="Times New Roman" w:cs="Times New Roman"/>
                <w:color w:val="auto"/>
                <w:sz w:val="21"/>
                <w:szCs w:val="21"/>
                <w:highlight w:val="none"/>
              </w:rPr>
              <w:t>二氧化硫</w:t>
            </w:r>
          </w:p>
        </w:tc>
        <w:tc>
          <w:tcPr>
            <w:tcW w:w="1701" w:type="dxa"/>
            <w:vAlign w:val="center"/>
          </w:tcPr>
          <w:p w14:paraId="7F9275E9">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276" w:type="dxa"/>
            <w:vAlign w:val="center"/>
          </w:tcPr>
          <w:p w14:paraId="59A0C9DF">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3637A06C">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01C92D83">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761" w:type="dxa"/>
            <w:vAlign w:val="center"/>
          </w:tcPr>
          <w:p w14:paraId="1C78FA71">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6F38948C">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130" w:type="dxa"/>
            <w:vAlign w:val="center"/>
          </w:tcPr>
          <w:p w14:paraId="38863FE6">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r>
      <w:tr w14:paraId="0F75A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66663045">
            <w:pPr>
              <w:pStyle w:val="153"/>
              <w:rPr>
                <w:rFonts w:ascii="Times New Roman" w:hAnsi="Times New Roman" w:cs="Times New Roman"/>
                <w:color w:val="auto"/>
                <w:kern w:val="21"/>
                <w:sz w:val="21"/>
                <w:szCs w:val="21"/>
                <w:highlight w:val="none"/>
              </w:rPr>
            </w:pPr>
          </w:p>
        </w:tc>
        <w:tc>
          <w:tcPr>
            <w:tcW w:w="2047" w:type="dxa"/>
            <w:vAlign w:val="center"/>
          </w:tcPr>
          <w:p w14:paraId="54808CF8">
            <w:pPr>
              <w:snapToGrid w:val="0"/>
              <w:jc w:val="center"/>
              <w:rPr>
                <w:rFonts w:ascii="Times New Roman" w:hAnsi="Times New Roman" w:cs="Times New Roman"/>
                <w:snapToGrid w:val="0"/>
                <w:color w:val="auto"/>
                <w:kern w:val="21"/>
                <w:sz w:val="21"/>
                <w:szCs w:val="21"/>
                <w:highlight w:val="none"/>
              </w:rPr>
            </w:pPr>
            <w:r>
              <w:rPr>
                <w:rFonts w:ascii="Times New Roman" w:hAnsi="Times New Roman" w:cs="Times New Roman"/>
                <w:color w:val="auto"/>
                <w:sz w:val="21"/>
                <w:szCs w:val="21"/>
                <w:highlight w:val="none"/>
              </w:rPr>
              <w:t>氮氧化物</w:t>
            </w:r>
          </w:p>
        </w:tc>
        <w:tc>
          <w:tcPr>
            <w:tcW w:w="1701" w:type="dxa"/>
            <w:vAlign w:val="center"/>
          </w:tcPr>
          <w:p w14:paraId="2B0AFBE7">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276" w:type="dxa"/>
            <w:vAlign w:val="center"/>
          </w:tcPr>
          <w:p w14:paraId="29C5D6F2">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6DBCD708">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3CE5F141">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761" w:type="dxa"/>
            <w:vAlign w:val="center"/>
          </w:tcPr>
          <w:p w14:paraId="66F25DA9">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59DFCA82">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130" w:type="dxa"/>
            <w:vAlign w:val="center"/>
          </w:tcPr>
          <w:p w14:paraId="22FC9198">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r>
      <w:tr w14:paraId="66806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46F511EC">
            <w:pPr>
              <w:pStyle w:val="153"/>
              <w:rPr>
                <w:rFonts w:ascii="Times New Roman" w:hAnsi="Times New Roman" w:cs="Times New Roman"/>
                <w:color w:val="auto"/>
                <w:kern w:val="21"/>
                <w:sz w:val="21"/>
                <w:szCs w:val="21"/>
                <w:highlight w:val="none"/>
              </w:rPr>
            </w:pPr>
          </w:p>
        </w:tc>
        <w:tc>
          <w:tcPr>
            <w:tcW w:w="2047" w:type="dxa"/>
            <w:vAlign w:val="center"/>
          </w:tcPr>
          <w:p w14:paraId="48CFDB80">
            <w:pPr>
              <w:snapToGrid w:val="0"/>
              <w:jc w:val="center"/>
              <w:rPr>
                <w:rFonts w:ascii="Times New Roman" w:hAnsi="Times New Roman" w:cs="Times New Roman"/>
                <w:snapToGrid w:val="0"/>
                <w:color w:val="auto"/>
                <w:kern w:val="21"/>
                <w:sz w:val="21"/>
                <w:szCs w:val="21"/>
                <w:highlight w:val="none"/>
              </w:rPr>
            </w:pPr>
            <w:r>
              <w:rPr>
                <w:rFonts w:ascii="Times New Roman" w:hAnsi="Times New Roman" w:cs="Times New Roman"/>
                <w:color w:val="auto"/>
                <w:sz w:val="21"/>
                <w:szCs w:val="21"/>
                <w:highlight w:val="none"/>
              </w:rPr>
              <w:t>颗粒物</w:t>
            </w:r>
          </w:p>
        </w:tc>
        <w:tc>
          <w:tcPr>
            <w:tcW w:w="1701" w:type="dxa"/>
            <w:vAlign w:val="center"/>
          </w:tcPr>
          <w:p w14:paraId="0E733C7E">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276" w:type="dxa"/>
            <w:vAlign w:val="center"/>
          </w:tcPr>
          <w:p w14:paraId="0928D5DA">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42A51435">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75B894AB">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761" w:type="dxa"/>
            <w:vAlign w:val="center"/>
          </w:tcPr>
          <w:p w14:paraId="5B5055C2">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3D74943F">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130" w:type="dxa"/>
            <w:vAlign w:val="center"/>
          </w:tcPr>
          <w:p w14:paraId="777DFF94">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r>
      <w:tr w14:paraId="5BEB9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restart"/>
            <w:vAlign w:val="center"/>
          </w:tcPr>
          <w:p w14:paraId="7907A23D">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废水</w:t>
            </w:r>
          </w:p>
        </w:tc>
        <w:tc>
          <w:tcPr>
            <w:tcW w:w="2047" w:type="dxa"/>
            <w:vAlign w:val="center"/>
          </w:tcPr>
          <w:p w14:paraId="77E05E0A">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废水量（t/a）</w:t>
            </w:r>
          </w:p>
        </w:tc>
        <w:tc>
          <w:tcPr>
            <w:tcW w:w="1701" w:type="dxa"/>
            <w:shd w:val="clear" w:color="auto" w:fill="auto"/>
            <w:vAlign w:val="center"/>
          </w:tcPr>
          <w:p w14:paraId="185A35DC">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443.475</w:t>
            </w:r>
          </w:p>
        </w:tc>
        <w:tc>
          <w:tcPr>
            <w:tcW w:w="1276" w:type="dxa"/>
            <w:vAlign w:val="center"/>
          </w:tcPr>
          <w:p w14:paraId="311D06AE">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43605701">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449422B9">
            <w:pPr>
              <w:widowControl/>
              <w:jc w:val="center"/>
              <w:textAlignment w:val="center"/>
              <w:rPr>
                <w:rFonts w:hint="default" w:ascii="Times New Roman" w:hAnsi="Times New Roman" w:eastAsia="宋体" w:cs="Times New Roman"/>
                <w:iCs/>
                <w:color w:val="auto"/>
                <w:sz w:val="21"/>
                <w:szCs w:val="21"/>
                <w:highlight w:val="none"/>
                <w:lang w:val="en-US" w:eastAsia="zh-CN"/>
              </w:rPr>
            </w:pPr>
            <w:r>
              <w:rPr>
                <w:rFonts w:hint="eastAsia" w:cs="Times New Roman"/>
                <w:iCs/>
                <w:color w:val="auto"/>
                <w:sz w:val="21"/>
                <w:szCs w:val="21"/>
                <w:highlight w:val="none"/>
                <w:lang w:val="en-US" w:eastAsia="zh-CN"/>
              </w:rPr>
              <w:t>24.6375</w:t>
            </w:r>
          </w:p>
        </w:tc>
        <w:tc>
          <w:tcPr>
            <w:tcW w:w="1761" w:type="dxa"/>
            <w:vAlign w:val="center"/>
          </w:tcPr>
          <w:p w14:paraId="4AA44B53">
            <w:pPr>
              <w:pStyle w:val="153"/>
              <w:textAlignment w:val="baseline"/>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6F0F155A">
            <w:pPr>
              <w:pStyle w:val="19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468.1125</w:t>
            </w:r>
          </w:p>
        </w:tc>
        <w:tc>
          <w:tcPr>
            <w:tcW w:w="1130" w:type="dxa"/>
            <w:vAlign w:val="center"/>
          </w:tcPr>
          <w:p w14:paraId="42921432">
            <w:pPr>
              <w:widowControl/>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73.9125</w:t>
            </w:r>
          </w:p>
        </w:tc>
      </w:tr>
      <w:tr w14:paraId="4288C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20624F8F">
            <w:pPr>
              <w:pStyle w:val="153"/>
              <w:rPr>
                <w:rFonts w:ascii="Times New Roman" w:hAnsi="Times New Roman" w:cs="Times New Roman"/>
                <w:color w:val="auto"/>
                <w:kern w:val="21"/>
                <w:sz w:val="21"/>
                <w:szCs w:val="21"/>
                <w:highlight w:val="none"/>
              </w:rPr>
            </w:pPr>
          </w:p>
        </w:tc>
        <w:tc>
          <w:tcPr>
            <w:tcW w:w="2047" w:type="dxa"/>
            <w:vAlign w:val="center"/>
          </w:tcPr>
          <w:p w14:paraId="4A3945DE">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r>
              <w:rPr>
                <w:rFonts w:ascii="Times New Roman" w:hAnsi="Times New Roman" w:eastAsia="宋体" w:cs="Times New Roman"/>
                <w:color w:val="auto"/>
                <w:sz w:val="21"/>
                <w:szCs w:val="21"/>
                <w:highlight w:val="none"/>
              </w:rPr>
              <w:t>（t/a）</w:t>
            </w:r>
          </w:p>
        </w:tc>
        <w:tc>
          <w:tcPr>
            <w:tcW w:w="1701" w:type="dxa"/>
            <w:shd w:val="clear" w:color="auto" w:fill="auto"/>
            <w:vAlign w:val="center"/>
          </w:tcPr>
          <w:p w14:paraId="40E60B55">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0.13193</w:t>
            </w:r>
          </w:p>
        </w:tc>
        <w:tc>
          <w:tcPr>
            <w:tcW w:w="1276" w:type="dxa"/>
            <w:vAlign w:val="center"/>
          </w:tcPr>
          <w:p w14:paraId="52758391">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76F8AF87">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2BE0C98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0.00616</w:t>
            </w:r>
          </w:p>
        </w:tc>
        <w:tc>
          <w:tcPr>
            <w:tcW w:w="1761" w:type="dxa"/>
            <w:vAlign w:val="center"/>
          </w:tcPr>
          <w:p w14:paraId="26E8AC89">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6D52E8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0.13717</w:t>
            </w:r>
          </w:p>
        </w:tc>
        <w:tc>
          <w:tcPr>
            <w:tcW w:w="1130" w:type="dxa"/>
            <w:shd w:val="clear" w:color="auto" w:fill="auto"/>
            <w:vAlign w:val="center"/>
          </w:tcPr>
          <w:p w14:paraId="131903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0.00524 </w:t>
            </w:r>
          </w:p>
        </w:tc>
      </w:tr>
      <w:tr w14:paraId="3C88B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1529A0EA">
            <w:pPr>
              <w:pStyle w:val="153"/>
              <w:rPr>
                <w:rFonts w:ascii="Times New Roman" w:hAnsi="Times New Roman" w:cs="Times New Roman"/>
                <w:color w:val="auto"/>
                <w:kern w:val="21"/>
                <w:sz w:val="21"/>
                <w:szCs w:val="21"/>
                <w:highlight w:val="none"/>
              </w:rPr>
            </w:pPr>
          </w:p>
        </w:tc>
        <w:tc>
          <w:tcPr>
            <w:tcW w:w="2047" w:type="dxa"/>
            <w:vAlign w:val="center"/>
          </w:tcPr>
          <w:p w14:paraId="2951CB1C">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BOD</w:t>
            </w:r>
            <w:r>
              <w:rPr>
                <w:rFonts w:ascii="Times New Roman" w:hAnsi="Times New Roman" w:eastAsia="宋体" w:cs="Times New Roman"/>
                <w:color w:val="auto"/>
                <w:sz w:val="21"/>
                <w:szCs w:val="21"/>
                <w:highlight w:val="none"/>
                <w:vertAlign w:val="subscript"/>
              </w:rPr>
              <w:t>5</w:t>
            </w:r>
            <w:r>
              <w:rPr>
                <w:rFonts w:ascii="Times New Roman" w:hAnsi="Times New Roman" w:eastAsia="宋体" w:cs="Times New Roman"/>
                <w:color w:val="auto"/>
                <w:sz w:val="21"/>
                <w:szCs w:val="21"/>
                <w:highlight w:val="none"/>
              </w:rPr>
              <w:t>（t/a）</w:t>
            </w:r>
          </w:p>
        </w:tc>
        <w:tc>
          <w:tcPr>
            <w:tcW w:w="1701" w:type="dxa"/>
            <w:shd w:val="clear" w:color="auto" w:fill="auto"/>
            <w:vAlign w:val="center"/>
          </w:tcPr>
          <w:p w14:paraId="74A19F7E">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0.06578</w:t>
            </w:r>
          </w:p>
        </w:tc>
        <w:tc>
          <w:tcPr>
            <w:tcW w:w="1276" w:type="dxa"/>
            <w:vAlign w:val="center"/>
          </w:tcPr>
          <w:p w14:paraId="4B6B1B73">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3665EF82">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6FF245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0.00246</w:t>
            </w:r>
          </w:p>
        </w:tc>
        <w:tc>
          <w:tcPr>
            <w:tcW w:w="1761" w:type="dxa"/>
            <w:vAlign w:val="center"/>
          </w:tcPr>
          <w:p w14:paraId="7494D1D5">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1696A6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0.06797</w:t>
            </w:r>
          </w:p>
        </w:tc>
        <w:tc>
          <w:tcPr>
            <w:tcW w:w="1130" w:type="dxa"/>
            <w:shd w:val="clear" w:color="auto" w:fill="auto"/>
            <w:vAlign w:val="center"/>
          </w:tcPr>
          <w:p w14:paraId="39CE91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0.00219 </w:t>
            </w:r>
          </w:p>
        </w:tc>
      </w:tr>
      <w:tr w14:paraId="4CE08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6D0214B4">
            <w:pPr>
              <w:pStyle w:val="153"/>
              <w:rPr>
                <w:rFonts w:ascii="Times New Roman" w:hAnsi="Times New Roman" w:cs="Times New Roman"/>
                <w:color w:val="auto"/>
                <w:kern w:val="21"/>
                <w:sz w:val="21"/>
                <w:szCs w:val="21"/>
                <w:highlight w:val="none"/>
              </w:rPr>
            </w:pPr>
          </w:p>
        </w:tc>
        <w:tc>
          <w:tcPr>
            <w:tcW w:w="2047" w:type="dxa"/>
            <w:vAlign w:val="center"/>
          </w:tcPr>
          <w:p w14:paraId="0F98BA9B">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SS（t/a）</w:t>
            </w:r>
          </w:p>
        </w:tc>
        <w:tc>
          <w:tcPr>
            <w:tcW w:w="1701" w:type="dxa"/>
            <w:shd w:val="clear" w:color="auto" w:fill="auto"/>
            <w:vAlign w:val="center"/>
          </w:tcPr>
          <w:p w14:paraId="7FD9AC6D">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0.03761</w:t>
            </w:r>
          </w:p>
        </w:tc>
        <w:tc>
          <w:tcPr>
            <w:tcW w:w="1276" w:type="dxa"/>
            <w:vAlign w:val="center"/>
          </w:tcPr>
          <w:p w14:paraId="31E19720">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7B240138">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110114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0.00197</w:t>
            </w:r>
          </w:p>
        </w:tc>
        <w:tc>
          <w:tcPr>
            <w:tcW w:w="1761" w:type="dxa"/>
            <w:vAlign w:val="center"/>
          </w:tcPr>
          <w:p w14:paraId="6CE14595">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66F6A19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0.03865</w:t>
            </w:r>
          </w:p>
        </w:tc>
        <w:tc>
          <w:tcPr>
            <w:tcW w:w="1130" w:type="dxa"/>
            <w:shd w:val="clear" w:color="auto" w:fill="auto"/>
            <w:vAlign w:val="center"/>
          </w:tcPr>
          <w:p w14:paraId="6015B3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0.00104 </w:t>
            </w:r>
          </w:p>
        </w:tc>
      </w:tr>
      <w:tr w14:paraId="11D97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77E5D006">
            <w:pPr>
              <w:pStyle w:val="153"/>
              <w:rPr>
                <w:rFonts w:ascii="Times New Roman" w:hAnsi="Times New Roman" w:cs="Times New Roman"/>
                <w:color w:val="auto"/>
                <w:kern w:val="21"/>
                <w:sz w:val="21"/>
                <w:szCs w:val="21"/>
                <w:highlight w:val="none"/>
              </w:rPr>
            </w:pPr>
          </w:p>
        </w:tc>
        <w:tc>
          <w:tcPr>
            <w:tcW w:w="2047" w:type="dxa"/>
            <w:vAlign w:val="center"/>
          </w:tcPr>
          <w:p w14:paraId="33AE0C60">
            <w:pPr>
              <w:pStyle w:val="191"/>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氨氮（t/a）</w:t>
            </w:r>
          </w:p>
        </w:tc>
        <w:tc>
          <w:tcPr>
            <w:tcW w:w="1701" w:type="dxa"/>
            <w:shd w:val="clear" w:color="auto" w:fill="auto"/>
            <w:vAlign w:val="center"/>
          </w:tcPr>
          <w:p w14:paraId="1E0DF8F3">
            <w:pPr>
              <w:pStyle w:val="191"/>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0.01721</w:t>
            </w:r>
          </w:p>
        </w:tc>
        <w:tc>
          <w:tcPr>
            <w:tcW w:w="1276" w:type="dxa"/>
            <w:vAlign w:val="center"/>
          </w:tcPr>
          <w:p w14:paraId="437D1A9D">
            <w:pPr>
              <w:pStyle w:val="191"/>
              <w:spacing w:line="240" w:lineRule="auto"/>
              <w:rPr>
                <w:rFonts w:ascii="Times New Roman" w:hAnsi="Times New Roman" w:eastAsia="宋体" w:cs="Times New Roman"/>
                <w:snapToGrid w:val="0"/>
                <w:color w:val="auto"/>
                <w:kern w:val="21"/>
                <w:sz w:val="21"/>
                <w:szCs w:val="21"/>
                <w:highlight w:val="none"/>
              </w:rPr>
            </w:pPr>
            <w:r>
              <w:rPr>
                <w:rFonts w:ascii="Times New Roman" w:hAnsi="Times New Roman" w:eastAsia="宋体" w:cs="Times New Roman"/>
                <w:color w:val="auto"/>
                <w:sz w:val="21"/>
                <w:szCs w:val="21"/>
                <w:highlight w:val="none"/>
              </w:rPr>
              <w:t>/</w:t>
            </w:r>
          </w:p>
        </w:tc>
        <w:tc>
          <w:tcPr>
            <w:tcW w:w="1701" w:type="dxa"/>
            <w:vAlign w:val="center"/>
          </w:tcPr>
          <w:p w14:paraId="45AFF6BB">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29ECF1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0.00074</w:t>
            </w:r>
          </w:p>
        </w:tc>
        <w:tc>
          <w:tcPr>
            <w:tcW w:w="1761" w:type="dxa"/>
            <w:vAlign w:val="center"/>
          </w:tcPr>
          <w:p w14:paraId="2FB42CBD">
            <w:pPr>
              <w:pStyle w:val="153"/>
              <w:rPr>
                <w:rFonts w:ascii="Times New Roman" w:hAnsi="Times New Roman" w:cs="Times New Roman"/>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10B7CD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0.01792</w:t>
            </w:r>
          </w:p>
        </w:tc>
        <w:tc>
          <w:tcPr>
            <w:tcW w:w="1130" w:type="dxa"/>
            <w:shd w:val="clear" w:color="auto" w:fill="auto"/>
            <w:vAlign w:val="center"/>
          </w:tcPr>
          <w:p w14:paraId="2DCEAF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i w:val="0"/>
                <w:iCs w:val="0"/>
                <w:color w:val="000000"/>
                <w:kern w:val="0"/>
                <w:sz w:val="21"/>
                <w:szCs w:val="21"/>
                <w:u w:val="none"/>
                <w:lang w:val="en-US" w:eastAsia="zh-CN" w:bidi="ar"/>
              </w:rPr>
              <w:t xml:space="preserve">0.00072 </w:t>
            </w:r>
          </w:p>
        </w:tc>
      </w:tr>
      <w:tr w14:paraId="4ECA9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58" w:type="dxa"/>
            <w:vMerge w:val="restart"/>
            <w:vAlign w:val="center"/>
          </w:tcPr>
          <w:p w14:paraId="04A0A198">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固废</w:t>
            </w:r>
          </w:p>
        </w:tc>
        <w:tc>
          <w:tcPr>
            <w:tcW w:w="2047" w:type="dxa"/>
            <w:vAlign w:val="center"/>
          </w:tcPr>
          <w:p w14:paraId="6536CB47">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诊疗废物</w:t>
            </w:r>
            <w:r>
              <w:rPr>
                <w:rFonts w:ascii="Times New Roman" w:hAnsi="Times New Roman" w:eastAsia="宋体" w:cs="Times New Roman"/>
                <w:color w:val="auto"/>
                <w:sz w:val="21"/>
                <w:szCs w:val="21"/>
                <w:highlight w:val="none"/>
              </w:rPr>
              <w:t>（t/a）</w:t>
            </w:r>
          </w:p>
        </w:tc>
        <w:tc>
          <w:tcPr>
            <w:tcW w:w="1701" w:type="dxa"/>
            <w:vAlign w:val="center"/>
          </w:tcPr>
          <w:p w14:paraId="7924B0A4">
            <w:pPr>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1.095</w:t>
            </w:r>
          </w:p>
        </w:tc>
        <w:tc>
          <w:tcPr>
            <w:tcW w:w="1276" w:type="dxa"/>
            <w:vAlign w:val="center"/>
          </w:tcPr>
          <w:p w14:paraId="0F7654B0">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701" w:type="dxa"/>
            <w:vAlign w:val="center"/>
          </w:tcPr>
          <w:p w14:paraId="415C54CB">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7B8339F2">
            <w:pPr>
              <w:jc w:val="center"/>
              <w:rPr>
                <w:rFonts w:hint="default" w:ascii="Times New Roman" w:hAnsi="Times New Roman" w:eastAsia="宋体" w:cs="Times New Roman"/>
                <w:iCs/>
                <w:snapToGrid w:val="0"/>
                <w:color w:val="auto"/>
                <w:sz w:val="21"/>
                <w:szCs w:val="21"/>
                <w:highlight w:val="none"/>
                <w:lang w:val="en-US" w:eastAsia="zh-CN"/>
              </w:rPr>
            </w:pPr>
            <w:r>
              <w:rPr>
                <w:rFonts w:hint="eastAsia" w:cs="Times New Roman"/>
                <w:color w:val="auto"/>
                <w:sz w:val="21"/>
                <w:szCs w:val="21"/>
                <w:highlight w:val="none"/>
                <w:lang w:val="en-US" w:eastAsia="zh-CN"/>
              </w:rPr>
              <w:t>0.365</w:t>
            </w:r>
          </w:p>
        </w:tc>
        <w:tc>
          <w:tcPr>
            <w:tcW w:w="1761" w:type="dxa"/>
            <w:vAlign w:val="center"/>
          </w:tcPr>
          <w:p w14:paraId="72D21D29">
            <w:pPr>
              <w:jc w:val="center"/>
              <w:rPr>
                <w:rFonts w:ascii="Times New Roman" w:hAnsi="Times New Roman" w:cs="Times New Roman"/>
                <w:snapToGrid w:val="0"/>
                <w:color w:val="auto"/>
                <w:kern w:val="21"/>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3BFADA4B">
            <w:pPr>
              <w:pStyle w:val="153"/>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w:t>
            </w:r>
          </w:p>
        </w:tc>
        <w:tc>
          <w:tcPr>
            <w:tcW w:w="1130" w:type="dxa"/>
            <w:vAlign w:val="center"/>
          </w:tcPr>
          <w:p w14:paraId="4BF8FD0B">
            <w:pPr>
              <w:jc w:val="center"/>
              <w:rPr>
                <w:rFonts w:hint="default"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rPr>
              <w:t>/</w:t>
            </w:r>
          </w:p>
        </w:tc>
      </w:tr>
      <w:tr w14:paraId="69F65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58" w:type="dxa"/>
            <w:vMerge w:val="continue"/>
            <w:vAlign w:val="center"/>
          </w:tcPr>
          <w:p w14:paraId="0B60D8DE">
            <w:pPr>
              <w:pStyle w:val="153"/>
              <w:rPr>
                <w:rFonts w:ascii="Times New Roman" w:hAnsi="Times New Roman" w:cs="Times New Roman"/>
                <w:color w:val="auto"/>
                <w:kern w:val="21"/>
                <w:sz w:val="21"/>
                <w:szCs w:val="21"/>
                <w:highlight w:val="none"/>
              </w:rPr>
            </w:pPr>
          </w:p>
        </w:tc>
        <w:tc>
          <w:tcPr>
            <w:tcW w:w="2047" w:type="dxa"/>
            <w:vAlign w:val="center"/>
          </w:tcPr>
          <w:p w14:paraId="7BDCBAC9">
            <w:pPr>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化验废液</w:t>
            </w:r>
            <w:r>
              <w:rPr>
                <w:rFonts w:ascii="Times New Roman" w:hAnsi="Times New Roman" w:eastAsia="宋体" w:cs="Times New Roman"/>
                <w:color w:val="auto"/>
                <w:sz w:val="21"/>
                <w:szCs w:val="21"/>
                <w:highlight w:val="none"/>
              </w:rPr>
              <w:t>（t/a）</w:t>
            </w:r>
          </w:p>
        </w:tc>
        <w:tc>
          <w:tcPr>
            <w:tcW w:w="1701" w:type="dxa"/>
            <w:vAlign w:val="center"/>
          </w:tcPr>
          <w:p w14:paraId="16973F17">
            <w:pPr>
              <w:pStyle w:val="153"/>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1276" w:type="dxa"/>
            <w:vAlign w:val="center"/>
          </w:tcPr>
          <w:p w14:paraId="1759E7B2">
            <w:pPr>
              <w:pStyle w:val="153"/>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701" w:type="dxa"/>
            <w:vAlign w:val="center"/>
          </w:tcPr>
          <w:p w14:paraId="28476B9D">
            <w:pPr>
              <w:pStyle w:val="153"/>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9" w:type="dxa"/>
            <w:vAlign w:val="center"/>
          </w:tcPr>
          <w:p w14:paraId="19F0872B">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61" w:type="dxa"/>
            <w:vAlign w:val="center"/>
          </w:tcPr>
          <w:p w14:paraId="5E0DAB31">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55" w:type="dxa"/>
            <w:vAlign w:val="center"/>
          </w:tcPr>
          <w:p w14:paraId="4A559913">
            <w:pPr>
              <w:pStyle w:val="153"/>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1130" w:type="dxa"/>
            <w:vAlign w:val="center"/>
          </w:tcPr>
          <w:p w14:paraId="3FDF5539">
            <w:pPr>
              <w:jc w:val="center"/>
              <w:rPr>
                <w:rFonts w:hint="default" w:ascii="Times New Roman" w:hAnsi="Times New Roman" w:cs="Times New Roman"/>
                <w:iCs/>
                <w:color w:val="auto"/>
                <w:sz w:val="21"/>
                <w:szCs w:val="21"/>
                <w:highlight w:val="none"/>
                <w:lang w:val="en-US"/>
              </w:rPr>
            </w:pPr>
            <w:r>
              <w:rPr>
                <w:rFonts w:ascii="Times New Roman" w:hAnsi="Times New Roman" w:cs="Times New Roman"/>
                <w:color w:val="auto"/>
                <w:sz w:val="21"/>
                <w:szCs w:val="21"/>
                <w:highlight w:val="none"/>
              </w:rPr>
              <w:t>/</w:t>
            </w:r>
          </w:p>
        </w:tc>
      </w:tr>
      <w:tr w14:paraId="6C7D2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1DB2B85B">
            <w:pPr>
              <w:pStyle w:val="153"/>
              <w:rPr>
                <w:rFonts w:ascii="Times New Roman" w:hAnsi="Times New Roman" w:cs="Times New Roman"/>
                <w:color w:val="auto"/>
                <w:kern w:val="21"/>
                <w:sz w:val="21"/>
                <w:szCs w:val="21"/>
                <w:highlight w:val="none"/>
              </w:rPr>
            </w:pPr>
          </w:p>
        </w:tc>
        <w:tc>
          <w:tcPr>
            <w:tcW w:w="2047" w:type="dxa"/>
            <w:vAlign w:val="center"/>
          </w:tcPr>
          <w:p w14:paraId="0E5CDAB8">
            <w:pPr>
              <w:pStyle w:val="191"/>
              <w:adjustRightInd w:val="0"/>
              <w:snapToGrid w:val="0"/>
              <w:spacing w:line="240" w:lineRule="auto"/>
              <w:rPr>
                <w:rFonts w:ascii="Times New Roman" w:hAnsi="Times New Roman" w:eastAsia="宋体" w:cs="Times New Roman"/>
                <w:color w:val="auto"/>
                <w:sz w:val="21"/>
                <w:szCs w:val="21"/>
                <w:highlight w:val="none"/>
              </w:rPr>
            </w:pPr>
            <w:r>
              <w:rPr>
                <w:rFonts w:ascii="Times New Roman" w:hAnsi="Times New Roman" w:eastAsia="宋体" w:cs="Times New Roman"/>
                <w:snapToGrid w:val="0"/>
                <w:color w:val="auto"/>
                <w:kern w:val="21"/>
                <w:sz w:val="21"/>
                <w:szCs w:val="21"/>
                <w:highlight w:val="none"/>
              </w:rPr>
              <w:t>生活垃圾</w:t>
            </w:r>
            <w:r>
              <w:rPr>
                <w:rFonts w:ascii="Times New Roman" w:hAnsi="Times New Roman" w:eastAsia="宋体" w:cs="Times New Roman"/>
                <w:color w:val="auto"/>
                <w:sz w:val="21"/>
                <w:szCs w:val="21"/>
                <w:highlight w:val="none"/>
              </w:rPr>
              <w:t>（t/a）</w:t>
            </w:r>
          </w:p>
        </w:tc>
        <w:tc>
          <w:tcPr>
            <w:tcW w:w="1701" w:type="dxa"/>
            <w:vAlign w:val="center"/>
          </w:tcPr>
          <w:p w14:paraId="385956FF">
            <w:pPr>
              <w:pStyle w:val="153"/>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3.285</w:t>
            </w:r>
          </w:p>
        </w:tc>
        <w:tc>
          <w:tcPr>
            <w:tcW w:w="1276" w:type="dxa"/>
            <w:vAlign w:val="center"/>
          </w:tcPr>
          <w:p w14:paraId="22367AC1">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701" w:type="dxa"/>
            <w:vAlign w:val="center"/>
          </w:tcPr>
          <w:p w14:paraId="26F759A9">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559" w:type="dxa"/>
            <w:vAlign w:val="center"/>
          </w:tcPr>
          <w:p w14:paraId="2CD81FBA">
            <w:pPr>
              <w:pStyle w:val="153"/>
              <w:rPr>
                <w:rFonts w:hint="eastAsia" w:ascii="Times New Roman" w:hAnsi="Times New Roman" w:eastAsia="宋体" w:cs="Times New Roman"/>
                <w:iCs/>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0</w:t>
            </w:r>
          </w:p>
        </w:tc>
        <w:tc>
          <w:tcPr>
            <w:tcW w:w="1761" w:type="dxa"/>
            <w:vAlign w:val="center"/>
          </w:tcPr>
          <w:p w14:paraId="732BC240">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655" w:type="dxa"/>
            <w:vAlign w:val="center"/>
          </w:tcPr>
          <w:p w14:paraId="62EA4B0F">
            <w:pPr>
              <w:pStyle w:val="191"/>
              <w:adjustRightInd w:val="0"/>
              <w:snapToGrid w:val="0"/>
              <w:spacing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3.285</w:t>
            </w:r>
          </w:p>
        </w:tc>
        <w:tc>
          <w:tcPr>
            <w:tcW w:w="1130" w:type="dxa"/>
            <w:vAlign w:val="center"/>
          </w:tcPr>
          <w:p w14:paraId="0170ECAF">
            <w:pPr>
              <w:pStyle w:val="153"/>
              <w:rPr>
                <w:rFonts w:hint="default" w:ascii="Times New Roman" w:hAnsi="Times New Roman" w:eastAsia="宋体" w:cs="Times New Roman"/>
                <w:snapToGrid w:val="0"/>
                <w:color w:val="auto"/>
                <w:kern w:val="21"/>
                <w:sz w:val="21"/>
                <w:szCs w:val="21"/>
                <w:highlight w:val="none"/>
                <w:lang w:val="en-US"/>
              </w:rPr>
            </w:pPr>
            <w:r>
              <w:rPr>
                <w:rFonts w:ascii="Times New Roman" w:hAnsi="Times New Roman" w:cs="Times New Roman"/>
                <w:color w:val="auto"/>
                <w:kern w:val="21"/>
                <w:sz w:val="21"/>
                <w:szCs w:val="21"/>
                <w:highlight w:val="none"/>
              </w:rPr>
              <w:t>/</w:t>
            </w:r>
          </w:p>
        </w:tc>
      </w:tr>
      <w:tr w14:paraId="0B830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dxa"/>
            <w:vMerge w:val="continue"/>
            <w:vAlign w:val="center"/>
          </w:tcPr>
          <w:p w14:paraId="2550AA32">
            <w:pPr>
              <w:pStyle w:val="153"/>
              <w:rPr>
                <w:rFonts w:ascii="Times New Roman" w:hAnsi="Times New Roman" w:cs="Times New Roman"/>
                <w:color w:val="auto"/>
                <w:kern w:val="21"/>
                <w:sz w:val="21"/>
                <w:szCs w:val="21"/>
                <w:highlight w:val="none"/>
              </w:rPr>
            </w:pPr>
          </w:p>
        </w:tc>
        <w:tc>
          <w:tcPr>
            <w:tcW w:w="2047" w:type="dxa"/>
            <w:vAlign w:val="center"/>
          </w:tcPr>
          <w:p w14:paraId="077B2F9A">
            <w:pPr>
              <w:pStyle w:val="191"/>
              <w:adjustRightInd w:val="0"/>
              <w:snapToGrid w:val="0"/>
              <w:spacing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污水处理污泥</w:t>
            </w:r>
            <w:r>
              <w:rPr>
                <w:rFonts w:ascii="Times New Roman" w:hAnsi="Times New Roman" w:eastAsia="宋体" w:cs="Times New Roman"/>
                <w:color w:val="auto"/>
                <w:sz w:val="21"/>
                <w:szCs w:val="21"/>
                <w:highlight w:val="none"/>
              </w:rPr>
              <w:t>（t/a）</w:t>
            </w:r>
          </w:p>
        </w:tc>
        <w:tc>
          <w:tcPr>
            <w:tcW w:w="1701" w:type="dxa"/>
            <w:shd w:val="clear" w:color="auto" w:fill="auto"/>
            <w:vAlign w:val="center"/>
          </w:tcPr>
          <w:p w14:paraId="72C33E90">
            <w:pPr>
              <w:pStyle w:val="153"/>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kern w:val="21"/>
                <w:sz w:val="21"/>
                <w:szCs w:val="21"/>
                <w:highlight w:val="none"/>
                <w:lang w:val="en-US" w:eastAsia="zh-CN"/>
              </w:rPr>
              <w:t>0.01478</w:t>
            </w:r>
          </w:p>
        </w:tc>
        <w:tc>
          <w:tcPr>
            <w:tcW w:w="1276" w:type="dxa"/>
            <w:shd w:val="clear" w:color="auto" w:fill="auto"/>
            <w:vAlign w:val="center"/>
          </w:tcPr>
          <w:p w14:paraId="7D437FAC">
            <w:pPr>
              <w:pStyle w:val="153"/>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cs="Times New Roman"/>
                <w:color w:val="auto"/>
                <w:kern w:val="21"/>
                <w:sz w:val="21"/>
                <w:szCs w:val="21"/>
                <w:highlight w:val="none"/>
              </w:rPr>
              <w:t>/</w:t>
            </w:r>
          </w:p>
        </w:tc>
        <w:tc>
          <w:tcPr>
            <w:tcW w:w="1701" w:type="dxa"/>
            <w:shd w:val="clear" w:color="auto" w:fill="auto"/>
            <w:vAlign w:val="center"/>
          </w:tcPr>
          <w:p w14:paraId="575A0714">
            <w:pPr>
              <w:pStyle w:val="153"/>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cs="Times New Roman"/>
                <w:color w:val="auto"/>
                <w:kern w:val="21"/>
                <w:sz w:val="21"/>
                <w:szCs w:val="21"/>
                <w:highlight w:val="none"/>
              </w:rPr>
              <w:t>/</w:t>
            </w:r>
          </w:p>
        </w:tc>
        <w:tc>
          <w:tcPr>
            <w:tcW w:w="1559" w:type="dxa"/>
            <w:vAlign w:val="center"/>
          </w:tcPr>
          <w:p w14:paraId="7F865F32">
            <w:pPr>
              <w:pStyle w:val="153"/>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0.00246</w:t>
            </w:r>
          </w:p>
        </w:tc>
        <w:tc>
          <w:tcPr>
            <w:tcW w:w="1761" w:type="dxa"/>
            <w:vAlign w:val="center"/>
          </w:tcPr>
          <w:p w14:paraId="7A1A811C">
            <w:pPr>
              <w:pStyle w:val="153"/>
              <w:rPr>
                <w:rFonts w:ascii="Times New Roman" w:hAnsi="Times New Roman" w:cs="Times New Roman"/>
                <w:color w:val="auto"/>
                <w:kern w:val="21"/>
                <w:sz w:val="21"/>
                <w:szCs w:val="21"/>
                <w:highlight w:val="none"/>
              </w:rPr>
            </w:pPr>
            <w:r>
              <w:rPr>
                <w:rFonts w:ascii="Times New Roman" w:hAnsi="Times New Roman" w:cs="Times New Roman"/>
                <w:color w:val="auto"/>
                <w:kern w:val="21"/>
                <w:sz w:val="21"/>
                <w:szCs w:val="21"/>
                <w:highlight w:val="none"/>
              </w:rPr>
              <w:t>/</w:t>
            </w:r>
          </w:p>
        </w:tc>
        <w:tc>
          <w:tcPr>
            <w:tcW w:w="1655" w:type="dxa"/>
            <w:vAlign w:val="center"/>
          </w:tcPr>
          <w:p w14:paraId="51192D47">
            <w:pPr>
              <w:pStyle w:val="191"/>
              <w:adjustRightInd w:val="0"/>
              <w:snapToGrid w:val="0"/>
              <w:spacing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0.01725</w:t>
            </w:r>
          </w:p>
        </w:tc>
        <w:tc>
          <w:tcPr>
            <w:tcW w:w="1130" w:type="dxa"/>
            <w:vAlign w:val="center"/>
          </w:tcPr>
          <w:p w14:paraId="26BD502C">
            <w:pPr>
              <w:pStyle w:val="153"/>
              <w:rPr>
                <w:rFonts w:hint="default" w:ascii="Times New Roman" w:hAnsi="Times New Roman" w:cs="Times New Roman"/>
                <w:color w:val="auto"/>
                <w:kern w:val="0"/>
                <w:sz w:val="21"/>
                <w:szCs w:val="21"/>
                <w:highlight w:val="none"/>
              </w:rPr>
            </w:pPr>
            <w:r>
              <w:rPr>
                <w:rFonts w:ascii="Times New Roman" w:hAnsi="Times New Roman" w:cs="Times New Roman"/>
                <w:color w:val="auto"/>
                <w:kern w:val="21"/>
                <w:sz w:val="21"/>
                <w:szCs w:val="21"/>
                <w:highlight w:val="none"/>
              </w:rPr>
              <w:t>/</w:t>
            </w:r>
          </w:p>
        </w:tc>
      </w:tr>
    </w:tbl>
    <w:p w14:paraId="6C2AA771">
      <w:pPr>
        <w:rPr>
          <w:rFonts w:ascii="Times New Roman" w:hAnsi="Times New Roman" w:cs="Times New Roman"/>
          <w:snapToGrid w:val="0"/>
          <w:color w:val="auto"/>
          <w:spacing w:val="-6"/>
          <w:kern w:val="21"/>
          <w:sz w:val="21"/>
          <w:szCs w:val="21"/>
          <w:highlight w:val="none"/>
        </w:rPr>
      </w:pPr>
      <w:r>
        <w:rPr>
          <w:rFonts w:ascii="Times New Roman" w:hAnsi="Times New Roman" w:cs="Times New Roman"/>
          <w:snapToGrid w:val="0"/>
          <w:color w:val="auto"/>
          <w:kern w:val="21"/>
          <w:sz w:val="21"/>
          <w:szCs w:val="21"/>
          <w:highlight w:val="none"/>
        </w:rPr>
        <w:t>注：</w:t>
      </w:r>
      <w:r>
        <w:rPr>
          <w:rFonts w:hint="default" w:ascii="Times New Roman" w:hAnsi="Times New Roman" w:cs="Times New Roman"/>
          <w:color w:val="auto"/>
          <w:sz w:val="21"/>
          <w:szCs w:val="21"/>
          <w:highlight w:val="none"/>
        </w:rPr>
        <w:t>⑥</w:t>
      </w:r>
      <w:r>
        <w:rPr>
          <w:rFonts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③</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④</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⑤</w:t>
      </w:r>
      <w:r>
        <w:rPr>
          <w:rFonts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⑦</w:t>
      </w:r>
      <w:r>
        <w:rPr>
          <w:rFonts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⑥</w:t>
      </w:r>
      <w:r>
        <w:rPr>
          <w:rFonts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p>
    <w:p w14:paraId="5B99C610">
      <w:pPr>
        <w:pStyle w:val="2"/>
        <w:rPr>
          <w:rFonts w:ascii="Times New Roman" w:hAnsi="Times New Roman" w:cs="Times New Roman"/>
          <w:color w:val="auto"/>
          <w:highlight w:val="none"/>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720" w:num="1"/>
          <w:docGrid w:linePitch="312" w:charSpace="0"/>
        </w:sectPr>
      </w:pPr>
    </w:p>
    <w:bookmarkEnd w:id="197"/>
    <w:bookmarkEnd w:id="198"/>
    <w:bookmarkEnd w:id="199"/>
    <w:bookmarkEnd w:id="200"/>
    <w:p w14:paraId="539BFAD7">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cs="Times New Roman"/>
          <w:lang w:val="en-US" w:eastAsia="zh-CN"/>
        </w:rPr>
      </w:pPr>
      <w:bookmarkStart w:id="201" w:name="_Toc133251577"/>
      <w:r>
        <w:drawing>
          <wp:inline distT="0" distB="0" distL="114300" distR="114300">
            <wp:extent cx="5274310" cy="6812280"/>
            <wp:effectExtent l="0" t="0" r="2540" b="762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40"/>
                    <a:stretch>
                      <a:fillRect/>
                    </a:stretch>
                  </pic:blipFill>
                  <pic:spPr>
                    <a:xfrm>
                      <a:off x="0" y="0"/>
                      <a:ext cx="5274310" cy="6812280"/>
                    </a:xfrm>
                    <a:prstGeom prst="rect">
                      <a:avLst/>
                    </a:prstGeom>
                    <a:noFill/>
                    <a:ln>
                      <a:noFill/>
                    </a:ln>
                  </pic:spPr>
                </pic:pic>
              </a:graphicData>
            </a:graphic>
          </wp:inline>
        </w:drawing>
      </w:r>
      <w:bookmarkEnd w:id="201"/>
      <w:bookmarkStart w:id="202" w:name="_GoBack"/>
      <w:bookmarkEnd w:id="202"/>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603F01FF" w:csb1="FFFF0000"/>
  </w:font>
  <w:font w:name="ISOCT">
    <w:panose1 w:val="00000400000000000000"/>
    <w:charset w:val="00"/>
    <w:family w:val="auto"/>
    <w:pitch w:val="default"/>
    <w:sig w:usb0="00000007" w:usb1="00000000" w:usb2="00000000" w:usb3="00000000" w:csb0="000001FF"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PMingLiU">
    <w:altName w:val="Microsoft JhengHei UI"/>
    <w:panose1 w:val="02020500000000000000"/>
    <w:charset w:val="88"/>
    <w:family w:val="auto"/>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imes">
    <w:altName w:val="Times New Roman"/>
    <w:panose1 w:val="02020603050405020304"/>
    <w:charset w:val="00"/>
    <w:family w:val="roman"/>
    <w:pitch w:val="default"/>
    <w:sig w:usb0="00000000" w:usb1="00000000" w:usb2="00000009" w:usb3="00000000" w:csb0="000001FF" w:csb1="00000000"/>
  </w:font>
  <w:font w:name="MingLiU">
    <w:altName w:val="Microsoft JhengHei UI"/>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auto"/>
    <w:pitch w:val="default"/>
    <w:sig w:usb0="E00006FF" w:usb1="420024FF" w:usb2="02000000" w:usb3="00000000" w:csb0="2000019F"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BF008">
    <w:pPr>
      <w:pStyle w:val="33"/>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C237F">
    <w:pPr>
      <w:pStyle w:val="33"/>
      <w:spacing w:line="20" w:lineRule="exact"/>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EFA1C53">
                          <w:pPr>
                            <w:pStyle w:val="33"/>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xUZUmQkCAAAUBAAADgAAAAAAAAABACAAAAAeAQAAZHJz&#10;L2Uyb0RvYy54bWxQSwUGAAAAAAYABgBZAQAAmQUAAAAA&#10;">
              <v:fill on="f" focussize="0,0"/>
              <v:stroke on="f"/>
              <v:imagedata o:title=""/>
              <o:lock v:ext="edit" aspectratio="f"/>
              <v:textbox inset="0mm,0mm,0mm,0mm" style="mso-fit-shape-to-text:t;">
                <w:txbxContent>
                  <w:p w14:paraId="5EFA1C53">
                    <w:pPr>
                      <w:pStyle w:val="3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97BCE">
    <w:pPr>
      <w:pStyle w:val="33"/>
      <w:spacing w:line="20" w:lineRule="exac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0700C16">
                          <w:pPr>
                            <w:pStyle w:val="33"/>
                          </w:pPr>
                          <w:r>
                            <w:fldChar w:fldCharType="begin"/>
                          </w:r>
                          <w:r>
                            <w:instrText xml:space="preserve"> PAGE  \* MERGEFORMAT </w:instrText>
                          </w:r>
                          <w:r>
                            <w:fldChar w:fldCharType="separate"/>
                          </w:r>
                          <w:r>
                            <w:t>10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VeZHhgkCAAAWBAAADgAAAAAAAAABACAAAAAeAQAAZHJz&#10;L2Uyb0RvYy54bWxQSwUGAAAAAAYABgBZAQAAmQUAAAAA&#10;">
              <v:fill on="f" focussize="0,0"/>
              <v:stroke on="f"/>
              <v:imagedata o:title=""/>
              <o:lock v:ext="edit" aspectratio="f"/>
              <v:textbox inset="0mm,0mm,0mm,0mm" style="mso-fit-shape-to-text:t;">
                <w:txbxContent>
                  <w:p w14:paraId="00700C16">
                    <w:pPr>
                      <w:pStyle w:val="3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A66CC">
    <w:pPr>
      <w:pStyle w:val="33"/>
      <w:spacing w:line="20" w:lineRule="exac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B2095BF">
                          <w:pPr>
                            <w:pStyle w:val="33"/>
                          </w:pPr>
                          <w:r>
                            <w:fldChar w:fldCharType="begin"/>
                          </w:r>
                          <w:r>
                            <w:instrText xml:space="preserve"> PAGE  \* MERGEFORMAT </w:instrText>
                          </w:r>
                          <w:r>
                            <w:fldChar w:fldCharType="separate"/>
                          </w:r>
                          <w:r>
                            <w:t>16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d2AoCAAAWBAAADgAAAGRycy9lMm9Eb2MueG1srVNLbtswEN0X6B0I&#10;7mvZXgSu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oPndgKAgAAFgQAAA4AAAAAAAAAAQAgAAAAHgEAAGRy&#10;cy9lMm9Eb2MueG1sUEsFBgAAAAAGAAYAWQEAAJoFAAAAAA==&#10;">
              <v:fill on="f" focussize="0,0"/>
              <v:stroke on="f"/>
              <v:imagedata o:title=""/>
              <o:lock v:ext="edit" aspectratio="f"/>
              <v:textbox inset="0mm,0mm,0mm,0mm" style="mso-fit-shape-to-text:t;">
                <w:txbxContent>
                  <w:p w14:paraId="7B2095BF">
                    <w:pPr>
                      <w:pStyle w:val="3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5B7A">
    <w:pPr>
      <w:pStyle w:val="33"/>
      <w:spacing w:line="20"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0B28004">
                          <w:pPr>
                            <w:pStyle w:val="33"/>
                          </w:pPr>
                          <w:r>
                            <w:fldChar w:fldCharType="begin"/>
                          </w:r>
                          <w:r>
                            <w:instrText xml:space="preserve"> PAGE  \* MERGEFORMAT </w:instrText>
                          </w:r>
                          <w:r>
                            <w:fldChar w:fldCharType="separate"/>
                          </w:r>
                          <w:r>
                            <w:t>23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EcvvHQKAgAAFgQAAA4AAAAAAAAAAQAgAAAAHgEAAGRy&#10;cy9lMm9Eb2MueG1sUEsFBgAAAAAGAAYAWQEAAJoFAAAAAA==&#10;">
              <v:fill on="f" focussize="0,0"/>
              <v:stroke on="f"/>
              <v:imagedata o:title=""/>
              <o:lock v:ext="edit" aspectratio="f"/>
              <v:textbox inset="0mm,0mm,0mm,0mm" style="mso-fit-shape-to-text:t;">
                <w:txbxContent>
                  <w:p w14:paraId="70B28004">
                    <w:pPr>
                      <w:pStyle w:val="3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658BE">
    <w:pPr>
      <w:pStyle w:val="33"/>
      <w:spacing w:line="20" w:lineRule="exac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D57134C">
                          <w:pPr>
                            <w:pStyle w:val="33"/>
                          </w:pPr>
                          <w:r>
                            <w:fldChar w:fldCharType="begin"/>
                          </w:r>
                          <w:r>
                            <w:instrText xml:space="preserve"> PAGE  \* MERGEFORMAT </w:instrText>
                          </w:r>
                          <w:r>
                            <w:fldChar w:fldCharType="separate"/>
                          </w:r>
                          <w:r>
                            <w:t>49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fn5woCAAAWBAAADgAAAGRycy9lMm9Eb2MueG1srVNLbtswEN0X6B0I&#10;7mvZXqSG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nX5+cKAgAAFgQAAA4AAAAAAAAAAQAgAAAAHgEAAGRy&#10;cy9lMm9Eb2MueG1sUEsFBgAAAAAGAAYAWQEAAJoFAAAAAA==&#10;">
              <v:fill on="f" focussize="0,0"/>
              <v:stroke on="f"/>
              <v:imagedata o:title=""/>
              <o:lock v:ext="edit" aspectratio="f"/>
              <v:textbox inset="0mm,0mm,0mm,0mm" style="mso-fit-shape-to-text:t;">
                <w:txbxContent>
                  <w:p w14:paraId="5D57134C">
                    <w:pPr>
                      <w:pStyle w:val="3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AEFD2">
    <w:pPr>
      <w:pStyle w:val="33"/>
      <w:spacing w:line="20" w:lineRule="exact"/>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33919">
                          <w:pPr>
                            <w:pStyle w:val="3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64E33919">
                    <w:pPr>
                      <w:pStyle w:val="3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298F0">
    <w:pPr>
      <w:pStyle w:val="33"/>
      <w:spacing w:line="2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E84E6">
    <w:pPr>
      <w:pStyle w:val="33"/>
      <w:spacing w:line="2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F0BF">
    <w:pPr>
      <w:pStyle w:val="3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2119F"/>
    <w:multiLevelType w:val="multilevel"/>
    <w:tmpl w:val="AAF2119F"/>
    <w:lvl w:ilvl="0" w:tentative="0">
      <w:start w:val="1"/>
      <w:numFmt w:val="chineseCounting"/>
      <w:pStyle w:val="2"/>
      <w:suff w:val="space"/>
      <w:lvlText w:val="%1、"/>
      <w:lvlJc w:val="left"/>
      <w:pPr>
        <w:tabs>
          <w:tab w:val="left" w:pos="420"/>
        </w:tabs>
        <w:ind w:left="6905" w:hanging="425"/>
      </w:pPr>
      <w:rPr>
        <w:rFonts w:hint="eastAsia" w:ascii="宋体" w:hAnsi="宋体" w:eastAsia="宋体" w:cs="宋体"/>
      </w:rPr>
    </w:lvl>
    <w:lvl w:ilvl="1" w:tentative="0">
      <w:start w:val="1"/>
      <w:numFmt w:val="decimal"/>
      <w:pStyle w:val="3"/>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pStyle w:val="4"/>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pStyle w:val="5"/>
      <w:isLgl/>
      <w:lvlText w:val="%1.%2.%3.%4."/>
      <w:lvlJc w:val="left"/>
      <w:pPr>
        <w:tabs>
          <w:tab w:val="left" w:pos="0"/>
        </w:tabs>
        <w:ind w:left="0" w:firstLine="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C8B764F4"/>
    <w:multiLevelType w:val="multilevel"/>
    <w:tmpl w:val="C8B764F4"/>
    <w:lvl w:ilvl="0" w:tentative="0">
      <w:start w:val="1"/>
      <w:numFmt w:val="chineseCounting"/>
      <w:suff w:val="nothing"/>
      <w:lvlText w:val="%1、"/>
      <w:lvlJc w:val="left"/>
      <w:pPr>
        <w:tabs>
          <w:tab w:val="left" w:pos="0"/>
        </w:tabs>
        <w:ind w:left="0" w:firstLine="0"/>
      </w:pPr>
      <w:rPr>
        <w:rFonts w:hint="eastAsia"/>
      </w:rPr>
    </w:lvl>
    <w:lvl w:ilvl="1" w:tentative="0">
      <w:start w:val="1"/>
      <w:numFmt w:val="decimal"/>
      <w:suff w:val="nothing"/>
      <w:lvlText w:val="%2.1"/>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FFFFFF82"/>
    <w:multiLevelType w:val="singleLevel"/>
    <w:tmpl w:val="FFFFFF82"/>
    <w:lvl w:ilvl="0" w:tentative="0">
      <w:start w:val="1"/>
      <w:numFmt w:val="bullet"/>
      <w:pStyle w:val="18"/>
      <w:lvlText w:val=""/>
      <w:lvlJc w:val="left"/>
      <w:pPr>
        <w:tabs>
          <w:tab w:val="left" w:pos="1200"/>
        </w:tabs>
        <w:ind w:left="1200" w:hanging="360"/>
      </w:pPr>
      <w:rPr>
        <w:rFonts w:hint="default" w:ascii="Wingdings" w:hAnsi="Wingdings"/>
      </w:rPr>
    </w:lvl>
  </w:abstractNum>
  <w:abstractNum w:abstractNumId="3">
    <w:nsid w:val="0A3E1C1F"/>
    <w:multiLevelType w:val="multilevel"/>
    <w:tmpl w:val="0A3E1C1F"/>
    <w:lvl w:ilvl="0" w:tentative="0">
      <w:start w:val="1"/>
      <w:numFmt w:val="decimal"/>
      <w:pStyle w:val="374"/>
      <w:lvlText w:val="%1"/>
      <w:lvlJc w:val="left"/>
      <w:pPr>
        <w:ind w:left="0" w:firstLine="0"/>
      </w:pPr>
      <w:rPr>
        <w:rFonts w:hint="eastAsia"/>
      </w:rPr>
    </w:lvl>
    <w:lvl w:ilvl="1" w:tentative="0">
      <w:start w:val="1"/>
      <w:numFmt w:val="decimal"/>
      <w:suff w:val="space"/>
      <w:lvlText w:val="%1.%2"/>
      <w:lvlJc w:val="left"/>
      <w:pPr>
        <w:ind w:left="426"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5B133E2E"/>
    <w:multiLevelType w:val="multilevel"/>
    <w:tmpl w:val="5B133E2E"/>
    <w:lvl w:ilvl="0" w:tentative="0">
      <w:start w:val="1"/>
      <w:numFmt w:val="decimal"/>
      <w:lvlText w:val="%1"/>
      <w:lvlJc w:val="left"/>
      <w:pPr>
        <w:ind w:left="425" w:hanging="425"/>
      </w:pPr>
      <w:rPr>
        <w:rFonts w:hint="eastAsia"/>
      </w:rPr>
    </w:lvl>
    <w:lvl w:ilvl="1" w:tentative="0">
      <w:start w:val="1"/>
      <w:numFmt w:val="decimal"/>
      <w:pStyle w:val="349"/>
      <w:lvlText w:val="%1.%2"/>
      <w:lvlJc w:val="left"/>
      <w:pPr>
        <w:ind w:left="992" w:hanging="992"/>
      </w:pPr>
      <w:rPr>
        <w:rFonts w:hint="eastAsia"/>
      </w:rPr>
    </w:lvl>
    <w:lvl w:ilvl="2" w:tentative="0">
      <w:start w:val="1"/>
      <w:numFmt w:val="decimal"/>
      <w:lvlText w:val="%1.%2.%3"/>
      <w:lvlJc w:val="left"/>
      <w:pPr>
        <w:ind w:left="567" w:hanging="567"/>
      </w:pPr>
      <w:rPr>
        <w:rFonts w:hint="eastAsia"/>
      </w:rPr>
    </w:lvl>
    <w:lvl w:ilvl="3" w:tentative="0">
      <w:start w:val="1"/>
      <w:numFmt w:val="decimal"/>
      <w:pStyle w:val="355"/>
      <w:isLg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5B1C16FF"/>
    <w:multiLevelType w:val="multilevel"/>
    <w:tmpl w:val="5B1C16FF"/>
    <w:lvl w:ilvl="0" w:tentative="0">
      <w:start w:val="1"/>
      <w:numFmt w:val="decimal"/>
      <w:lvlText w:val="%1"/>
      <w:lvlJc w:val="left"/>
      <w:pPr>
        <w:ind w:left="425" w:hanging="425"/>
      </w:pPr>
      <w:rPr>
        <w:rFonts w:hint="eastAsia"/>
      </w:rPr>
    </w:lvl>
    <w:lvl w:ilvl="1" w:tentative="0">
      <w:start w:val="1"/>
      <w:numFmt w:val="decimal"/>
      <w:lvlText w:val="%1.%2"/>
      <w:lvlJc w:val="left"/>
      <w:pPr>
        <w:ind w:left="992" w:hanging="992"/>
      </w:pPr>
      <w:rPr>
        <w:rFonts w:hint="eastAsia"/>
      </w:rPr>
    </w:lvl>
    <w:lvl w:ilvl="2" w:tentative="0">
      <w:start w:val="1"/>
      <w:numFmt w:val="decimal"/>
      <w:pStyle w:val="336"/>
      <w:lvlText w:val="%1.%2.%3"/>
      <w:lvlJc w:val="left"/>
      <w:pPr>
        <w:ind w:left="567" w:hanging="567"/>
      </w:pPr>
      <w:rPr>
        <w:rFonts w:hint="eastAsia"/>
      </w:rPr>
    </w:lvl>
    <w:lvl w:ilvl="3" w:tentative="0">
      <w:start w:val="1"/>
      <w:numFmt w:val="decima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mODBjMzQ0NjEyZjg5MGI0NDkzNzg2M2I0ZjRiOTUifQ=="/>
  </w:docVars>
  <w:rsids>
    <w:rsidRoot w:val="00172A27"/>
    <w:rsid w:val="0000054D"/>
    <w:rsid w:val="00013D76"/>
    <w:rsid w:val="000158FC"/>
    <w:rsid w:val="000200D6"/>
    <w:rsid w:val="0002334D"/>
    <w:rsid w:val="000312DE"/>
    <w:rsid w:val="000340DB"/>
    <w:rsid w:val="00045147"/>
    <w:rsid w:val="0006305F"/>
    <w:rsid w:val="00076791"/>
    <w:rsid w:val="000779E2"/>
    <w:rsid w:val="0008787E"/>
    <w:rsid w:val="000A0CF7"/>
    <w:rsid w:val="000A2328"/>
    <w:rsid w:val="000B7301"/>
    <w:rsid w:val="000C775C"/>
    <w:rsid w:val="000D48A5"/>
    <w:rsid w:val="000D54AF"/>
    <w:rsid w:val="000D5B19"/>
    <w:rsid w:val="000E1B01"/>
    <w:rsid w:val="000E7E32"/>
    <w:rsid w:val="000F2901"/>
    <w:rsid w:val="000F3E10"/>
    <w:rsid w:val="00111026"/>
    <w:rsid w:val="00113B8A"/>
    <w:rsid w:val="00114087"/>
    <w:rsid w:val="0011668E"/>
    <w:rsid w:val="00124E0A"/>
    <w:rsid w:val="001263C0"/>
    <w:rsid w:val="001306B5"/>
    <w:rsid w:val="0013773E"/>
    <w:rsid w:val="00143706"/>
    <w:rsid w:val="00144D40"/>
    <w:rsid w:val="00152B68"/>
    <w:rsid w:val="00154565"/>
    <w:rsid w:val="00156120"/>
    <w:rsid w:val="00161DCA"/>
    <w:rsid w:val="00165DA2"/>
    <w:rsid w:val="00171DF2"/>
    <w:rsid w:val="001744D1"/>
    <w:rsid w:val="001747CD"/>
    <w:rsid w:val="0018099E"/>
    <w:rsid w:val="00192C04"/>
    <w:rsid w:val="00197D8B"/>
    <w:rsid w:val="001A591E"/>
    <w:rsid w:val="001B61E3"/>
    <w:rsid w:val="001D00BC"/>
    <w:rsid w:val="001D03E9"/>
    <w:rsid w:val="001D0D34"/>
    <w:rsid w:val="001D1019"/>
    <w:rsid w:val="001E419D"/>
    <w:rsid w:val="001F2B7D"/>
    <w:rsid w:val="0020536F"/>
    <w:rsid w:val="00206B91"/>
    <w:rsid w:val="0021033D"/>
    <w:rsid w:val="00211D28"/>
    <w:rsid w:val="002126FD"/>
    <w:rsid w:val="002235CA"/>
    <w:rsid w:val="00242312"/>
    <w:rsid w:val="002467AA"/>
    <w:rsid w:val="00250678"/>
    <w:rsid w:val="002536A0"/>
    <w:rsid w:val="00263C6E"/>
    <w:rsid w:val="002644F9"/>
    <w:rsid w:val="00291402"/>
    <w:rsid w:val="002A6F5E"/>
    <w:rsid w:val="002B61FB"/>
    <w:rsid w:val="002B7D35"/>
    <w:rsid w:val="002C5118"/>
    <w:rsid w:val="002C5128"/>
    <w:rsid w:val="002D7F07"/>
    <w:rsid w:val="002E1F87"/>
    <w:rsid w:val="002E31D9"/>
    <w:rsid w:val="002E4CD4"/>
    <w:rsid w:val="002E6F0D"/>
    <w:rsid w:val="002F123B"/>
    <w:rsid w:val="002F2554"/>
    <w:rsid w:val="002F558C"/>
    <w:rsid w:val="00302226"/>
    <w:rsid w:val="00302ACC"/>
    <w:rsid w:val="0032469A"/>
    <w:rsid w:val="00325B48"/>
    <w:rsid w:val="003322FE"/>
    <w:rsid w:val="003330D0"/>
    <w:rsid w:val="00335C61"/>
    <w:rsid w:val="0034116C"/>
    <w:rsid w:val="003432EB"/>
    <w:rsid w:val="003448A1"/>
    <w:rsid w:val="00346CEA"/>
    <w:rsid w:val="00347437"/>
    <w:rsid w:val="00350AE0"/>
    <w:rsid w:val="0036647E"/>
    <w:rsid w:val="0037575F"/>
    <w:rsid w:val="00391A86"/>
    <w:rsid w:val="00396C0C"/>
    <w:rsid w:val="003978F3"/>
    <w:rsid w:val="003A5D59"/>
    <w:rsid w:val="003B2086"/>
    <w:rsid w:val="003C468C"/>
    <w:rsid w:val="003D5C19"/>
    <w:rsid w:val="003D5F18"/>
    <w:rsid w:val="003E4120"/>
    <w:rsid w:val="003F3D5A"/>
    <w:rsid w:val="004072BA"/>
    <w:rsid w:val="004238F6"/>
    <w:rsid w:val="004436A0"/>
    <w:rsid w:val="004465D1"/>
    <w:rsid w:val="004558E4"/>
    <w:rsid w:val="00457B13"/>
    <w:rsid w:val="00464550"/>
    <w:rsid w:val="00475514"/>
    <w:rsid w:val="004828B9"/>
    <w:rsid w:val="0048647D"/>
    <w:rsid w:val="004876ED"/>
    <w:rsid w:val="00495AFB"/>
    <w:rsid w:val="004A1FCA"/>
    <w:rsid w:val="004A3659"/>
    <w:rsid w:val="004A5CD6"/>
    <w:rsid w:val="004A7D58"/>
    <w:rsid w:val="004B2ABB"/>
    <w:rsid w:val="004C31A9"/>
    <w:rsid w:val="004C4F2F"/>
    <w:rsid w:val="004C76A6"/>
    <w:rsid w:val="004D6A88"/>
    <w:rsid w:val="004D6CD0"/>
    <w:rsid w:val="004D7774"/>
    <w:rsid w:val="004E7E01"/>
    <w:rsid w:val="004F27B5"/>
    <w:rsid w:val="004F27C0"/>
    <w:rsid w:val="0050509B"/>
    <w:rsid w:val="00507243"/>
    <w:rsid w:val="0050746A"/>
    <w:rsid w:val="00507A3C"/>
    <w:rsid w:val="005154E3"/>
    <w:rsid w:val="00517110"/>
    <w:rsid w:val="00520221"/>
    <w:rsid w:val="00523E99"/>
    <w:rsid w:val="00536273"/>
    <w:rsid w:val="00544079"/>
    <w:rsid w:val="00553144"/>
    <w:rsid w:val="0056115A"/>
    <w:rsid w:val="0056351E"/>
    <w:rsid w:val="00567542"/>
    <w:rsid w:val="005709A5"/>
    <w:rsid w:val="00575F61"/>
    <w:rsid w:val="005771FC"/>
    <w:rsid w:val="0057770E"/>
    <w:rsid w:val="00580CFC"/>
    <w:rsid w:val="0058287F"/>
    <w:rsid w:val="00584C87"/>
    <w:rsid w:val="00592E71"/>
    <w:rsid w:val="005963C2"/>
    <w:rsid w:val="00597ACD"/>
    <w:rsid w:val="005A485D"/>
    <w:rsid w:val="005A5C10"/>
    <w:rsid w:val="005A6518"/>
    <w:rsid w:val="005B0910"/>
    <w:rsid w:val="005B212F"/>
    <w:rsid w:val="005B24F4"/>
    <w:rsid w:val="005B5D19"/>
    <w:rsid w:val="005C11A0"/>
    <w:rsid w:val="005E1097"/>
    <w:rsid w:val="005E471B"/>
    <w:rsid w:val="005E7EC3"/>
    <w:rsid w:val="005F0C1C"/>
    <w:rsid w:val="005F60A2"/>
    <w:rsid w:val="005F7642"/>
    <w:rsid w:val="005F7C8A"/>
    <w:rsid w:val="0060286A"/>
    <w:rsid w:val="0060305C"/>
    <w:rsid w:val="00611769"/>
    <w:rsid w:val="00611779"/>
    <w:rsid w:val="00611F60"/>
    <w:rsid w:val="006140D1"/>
    <w:rsid w:val="00625BAE"/>
    <w:rsid w:val="0063591B"/>
    <w:rsid w:val="00635CEF"/>
    <w:rsid w:val="00636F17"/>
    <w:rsid w:val="00641AF6"/>
    <w:rsid w:val="0064367E"/>
    <w:rsid w:val="0064594F"/>
    <w:rsid w:val="006508DC"/>
    <w:rsid w:val="00650911"/>
    <w:rsid w:val="00650D83"/>
    <w:rsid w:val="00651EF8"/>
    <w:rsid w:val="00660750"/>
    <w:rsid w:val="00676030"/>
    <w:rsid w:val="00682367"/>
    <w:rsid w:val="006A34E4"/>
    <w:rsid w:val="006A36F9"/>
    <w:rsid w:val="006A5534"/>
    <w:rsid w:val="006B3770"/>
    <w:rsid w:val="006B5510"/>
    <w:rsid w:val="006C4A09"/>
    <w:rsid w:val="006D0E8A"/>
    <w:rsid w:val="006D3C5E"/>
    <w:rsid w:val="006D4488"/>
    <w:rsid w:val="006D724E"/>
    <w:rsid w:val="00703F0F"/>
    <w:rsid w:val="007070CA"/>
    <w:rsid w:val="00711294"/>
    <w:rsid w:val="007112B5"/>
    <w:rsid w:val="00711A11"/>
    <w:rsid w:val="00721E3F"/>
    <w:rsid w:val="00726E49"/>
    <w:rsid w:val="007311EB"/>
    <w:rsid w:val="00741F2A"/>
    <w:rsid w:val="007422E8"/>
    <w:rsid w:val="00755DC8"/>
    <w:rsid w:val="00755DF0"/>
    <w:rsid w:val="0075738C"/>
    <w:rsid w:val="00765B97"/>
    <w:rsid w:val="00773A54"/>
    <w:rsid w:val="007806D9"/>
    <w:rsid w:val="007816FC"/>
    <w:rsid w:val="00783395"/>
    <w:rsid w:val="007A28A6"/>
    <w:rsid w:val="007A39F3"/>
    <w:rsid w:val="007B09DD"/>
    <w:rsid w:val="007C3059"/>
    <w:rsid w:val="007C4BE9"/>
    <w:rsid w:val="007C56E6"/>
    <w:rsid w:val="007C589B"/>
    <w:rsid w:val="007D5759"/>
    <w:rsid w:val="007D57B4"/>
    <w:rsid w:val="007D62E6"/>
    <w:rsid w:val="007E18D5"/>
    <w:rsid w:val="007F5000"/>
    <w:rsid w:val="00806BF4"/>
    <w:rsid w:val="008173F5"/>
    <w:rsid w:val="008260E0"/>
    <w:rsid w:val="00830691"/>
    <w:rsid w:val="00840AF9"/>
    <w:rsid w:val="00847DBC"/>
    <w:rsid w:val="00850527"/>
    <w:rsid w:val="00850AB2"/>
    <w:rsid w:val="0085616C"/>
    <w:rsid w:val="00862622"/>
    <w:rsid w:val="00865EE6"/>
    <w:rsid w:val="0086641A"/>
    <w:rsid w:val="00867368"/>
    <w:rsid w:val="008820B7"/>
    <w:rsid w:val="0088533C"/>
    <w:rsid w:val="008876E1"/>
    <w:rsid w:val="0089362C"/>
    <w:rsid w:val="008A09C2"/>
    <w:rsid w:val="008A6D9E"/>
    <w:rsid w:val="008B0D61"/>
    <w:rsid w:val="008B4632"/>
    <w:rsid w:val="008D5EA1"/>
    <w:rsid w:val="008D6AE6"/>
    <w:rsid w:val="008E6933"/>
    <w:rsid w:val="008E75A7"/>
    <w:rsid w:val="008E778D"/>
    <w:rsid w:val="008F034A"/>
    <w:rsid w:val="008F383E"/>
    <w:rsid w:val="008F401C"/>
    <w:rsid w:val="0090096E"/>
    <w:rsid w:val="00902D22"/>
    <w:rsid w:val="00914943"/>
    <w:rsid w:val="00924E6B"/>
    <w:rsid w:val="009272F3"/>
    <w:rsid w:val="00931F2F"/>
    <w:rsid w:val="00934CA5"/>
    <w:rsid w:val="00937A3B"/>
    <w:rsid w:val="00941EBE"/>
    <w:rsid w:val="009424DA"/>
    <w:rsid w:val="009553A2"/>
    <w:rsid w:val="00962721"/>
    <w:rsid w:val="009645BC"/>
    <w:rsid w:val="009655C9"/>
    <w:rsid w:val="00981AE9"/>
    <w:rsid w:val="0098360F"/>
    <w:rsid w:val="009B43B8"/>
    <w:rsid w:val="009D1877"/>
    <w:rsid w:val="009D4FAD"/>
    <w:rsid w:val="009E2E59"/>
    <w:rsid w:val="009F3441"/>
    <w:rsid w:val="00A07113"/>
    <w:rsid w:val="00A11539"/>
    <w:rsid w:val="00A158EB"/>
    <w:rsid w:val="00A2781E"/>
    <w:rsid w:val="00A34A03"/>
    <w:rsid w:val="00A44E5A"/>
    <w:rsid w:val="00A46B31"/>
    <w:rsid w:val="00A5002B"/>
    <w:rsid w:val="00A519A8"/>
    <w:rsid w:val="00A656DA"/>
    <w:rsid w:val="00A6733E"/>
    <w:rsid w:val="00A90BDA"/>
    <w:rsid w:val="00A90D94"/>
    <w:rsid w:val="00A9201D"/>
    <w:rsid w:val="00A92F4A"/>
    <w:rsid w:val="00A97FE3"/>
    <w:rsid w:val="00AA3671"/>
    <w:rsid w:val="00AA6B9B"/>
    <w:rsid w:val="00AB1192"/>
    <w:rsid w:val="00AC0568"/>
    <w:rsid w:val="00AD553C"/>
    <w:rsid w:val="00AE2EF5"/>
    <w:rsid w:val="00AE5FA5"/>
    <w:rsid w:val="00AE637D"/>
    <w:rsid w:val="00AE6A66"/>
    <w:rsid w:val="00AE743B"/>
    <w:rsid w:val="00B00979"/>
    <w:rsid w:val="00B059B6"/>
    <w:rsid w:val="00B06862"/>
    <w:rsid w:val="00B06E28"/>
    <w:rsid w:val="00B07CFF"/>
    <w:rsid w:val="00B07F19"/>
    <w:rsid w:val="00B2283C"/>
    <w:rsid w:val="00B22859"/>
    <w:rsid w:val="00B34CC0"/>
    <w:rsid w:val="00B35A2E"/>
    <w:rsid w:val="00B3605F"/>
    <w:rsid w:val="00B45991"/>
    <w:rsid w:val="00B45FAB"/>
    <w:rsid w:val="00B50044"/>
    <w:rsid w:val="00B556A4"/>
    <w:rsid w:val="00B61A52"/>
    <w:rsid w:val="00B7705C"/>
    <w:rsid w:val="00B81906"/>
    <w:rsid w:val="00B82895"/>
    <w:rsid w:val="00B84322"/>
    <w:rsid w:val="00B9061E"/>
    <w:rsid w:val="00BA3276"/>
    <w:rsid w:val="00BA4420"/>
    <w:rsid w:val="00BB1C73"/>
    <w:rsid w:val="00BB2038"/>
    <w:rsid w:val="00BB3935"/>
    <w:rsid w:val="00BB4295"/>
    <w:rsid w:val="00BB667B"/>
    <w:rsid w:val="00BC1EE6"/>
    <w:rsid w:val="00BC4475"/>
    <w:rsid w:val="00BC4B8D"/>
    <w:rsid w:val="00BD0B2B"/>
    <w:rsid w:val="00BD2CAB"/>
    <w:rsid w:val="00BD3602"/>
    <w:rsid w:val="00BE118B"/>
    <w:rsid w:val="00BE4751"/>
    <w:rsid w:val="00BE507F"/>
    <w:rsid w:val="00BE5CA5"/>
    <w:rsid w:val="00BF1830"/>
    <w:rsid w:val="00BF6E0B"/>
    <w:rsid w:val="00C023A4"/>
    <w:rsid w:val="00C0465C"/>
    <w:rsid w:val="00C05735"/>
    <w:rsid w:val="00C15E73"/>
    <w:rsid w:val="00C176F9"/>
    <w:rsid w:val="00C2326D"/>
    <w:rsid w:val="00C262EE"/>
    <w:rsid w:val="00C304CC"/>
    <w:rsid w:val="00C45CBF"/>
    <w:rsid w:val="00C464F1"/>
    <w:rsid w:val="00C52782"/>
    <w:rsid w:val="00C536E0"/>
    <w:rsid w:val="00C977AD"/>
    <w:rsid w:val="00CA5E7C"/>
    <w:rsid w:val="00CB5D94"/>
    <w:rsid w:val="00CC3AC3"/>
    <w:rsid w:val="00CD2406"/>
    <w:rsid w:val="00CD247A"/>
    <w:rsid w:val="00CD4CB5"/>
    <w:rsid w:val="00CE4DE9"/>
    <w:rsid w:val="00D02D06"/>
    <w:rsid w:val="00D0313E"/>
    <w:rsid w:val="00D1636B"/>
    <w:rsid w:val="00D246B4"/>
    <w:rsid w:val="00D32D94"/>
    <w:rsid w:val="00D3734F"/>
    <w:rsid w:val="00D37690"/>
    <w:rsid w:val="00D47CB3"/>
    <w:rsid w:val="00D51841"/>
    <w:rsid w:val="00D52B5F"/>
    <w:rsid w:val="00D55A79"/>
    <w:rsid w:val="00D64503"/>
    <w:rsid w:val="00D659F5"/>
    <w:rsid w:val="00D70449"/>
    <w:rsid w:val="00D70F86"/>
    <w:rsid w:val="00D80EFB"/>
    <w:rsid w:val="00D86190"/>
    <w:rsid w:val="00D91CC8"/>
    <w:rsid w:val="00D91DA9"/>
    <w:rsid w:val="00D9683B"/>
    <w:rsid w:val="00DA5AC7"/>
    <w:rsid w:val="00DB4070"/>
    <w:rsid w:val="00DB5259"/>
    <w:rsid w:val="00DC62B1"/>
    <w:rsid w:val="00DC6A72"/>
    <w:rsid w:val="00DC73CA"/>
    <w:rsid w:val="00DD36BC"/>
    <w:rsid w:val="00DD6249"/>
    <w:rsid w:val="00DE0530"/>
    <w:rsid w:val="00E05E34"/>
    <w:rsid w:val="00E13F30"/>
    <w:rsid w:val="00E16FB0"/>
    <w:rsid w:val="00E200A2"/>
    <w:rsid w:val="00E2557B"/>
    <w:rsid w:val="00E36C4C"/>
    <w:rsid w:val="00E40802"/>
    <w:rsid w:val="00E47CD6"/>
    <w:rsid w:val="00E615C7"/>
    <w:rsid w:val="00E6302C"/>
    <w:rsid w:val="00E83827"/>
    <w:rsid w:val="00E85224"/>
    <w:rsid w:val="00E86163"/>
    <w:rsid w:val="00E900A0"/>
    <w:rsid w:val="00E93AFB"/>
    <w:rsid w:val="00EA0D3E"/>
    <w:rsid w:val="00EA255B"/>
    <w:rsid w:val="00EA4DB5"/>
    <w:rsid w:val="00EA5450"/>
    <w:rsid w:val="00EB336A"/>
    <w:rsid w:val="00EB5D0A"/>
    <w:rsid w:val="00EB6D44"/>
    <w:rsid w:val="00ED543B"/>
    <w:rsid w:val="00EE53DE"/>
    <w:rsid w:val="00EE585E"/>
    <w:rsid w:val="00F0109E"/>
    <w:rsid w:val="00F1215B"/>
    <w:rsid w:val="00F15665"/>
    <w:rsid w:val="00F168E0"/>
    <w:rsid w:val="00F234BD"/>
    <w:rsid w:val="00F25B0A"/>
    <w:rsid w:val="00F429C1"/>
    <w:rsid w:val="00F42FBF"/>
    <w:rsid w:val="00F46C24"/>
    <w:rsid w:val="00F52B51"/>
    <w:rsid w:val="00F578DF"/>
    <w:rsid w:val="00F65CC7"/>
    <w:rsid w:val="00F80F34"/>
    <w:rsid w:val="00F81062"/>
    <w:rsid w:val="00F828E5"/>
    <w:rsid w:val="00F8672F"/>
    <w:rsid w:val="00F87AC9"/>
    <w:rsid w:val="00F9257D"/>
    <w:rsid w:val="00F9303D"/>
    <w:rsid w:val="00F95137"/>
    <w:rsid w:val="00FB00EC"/>
    <w:rsid w:val="00FB0C30"/>
    <w:rsid w:val="00FB62C7"/>
    <w:rsid w:val="00FB73DC"/>
    <w:rsid w:val="00FC7409"/>
    <w:rsid w:val="00FD65C7"/>
    <w:rsid w:val="00FE0A16"/>
    <w:rsid w:val="00FE7413"/>
    <w:rsid w:val="00FF6661"/>
    <w:rsid w:val="011718D7"/>
    <w:rsid w:val="011C648D"/>
    <w:rsid w:val="01255DC7"/>
    <w:rsid w:val="01423F24"/>
    <w:rsid w:val="01522790"/>
    <w:rsid w:val="016956B6"/>
    <w:rsid w:val="016C71F3"/>
    <w:rsid w:val="0194674A"/>
    <w:rsid w:val="01A82414"/>
    <w:rsid w:val="01AC3774"/>
    <w:rsid w:val="01D54D98"/>
    <w:rsid w:val="01D66A1A"/>
    <w:rsid w:val="01E67010"/>
    <w:rsid w:val="01F23341"/>
    <w:rsid w:val="0204567E"/>
    <w:rsid w:val="02101892"/>
    <w:rsid w:val="023F66B6"/>
    <w:rsid w:val="02403D07"/>
    <w:rsid w:val="029B345B"/>
    <w:rsid w:val="02BF0260"/>
    <w:rsid w:val="02D62714"/>
    <w:rsid w:val="02E16CA8"/>
    <w:rsid w:val="02F53322"/>
    <w:rsid w:val="02F57CEF"/>
    <w:rsid w:val="030471AD"/>
    <w:rsid w:val="031A3C59"/>
    <w:rsid w:val="03214D8F"/>
    <w:rsid w:val="03280EF8"/>
    <w:rsid w:val="033E071B"/>
    <w:rsid w:val="034443F1"/>
    <w:rsid w:val="03451AAA"/>
    <w:rsid w:val="034543E2"/>
    <w:rsid w:val="034F0B7A"/>
    <w:rsid w:val="03647119"/>
    <w:rsid w:val="038D6C57"/>
    <w:rsid w:val="03CD03B2"/>
    <w:rsid w:val="03F23D0A"/>
    <w:rsid w:val="04143FD8"/>
    <w:rsid w:val="041A162E"/>
    <w:rsid w:val="04387860"/>
    <w:rsid w:val="045D6A08"/>
    <w:rsid w:val="049107B7"/>
    <w:rsid w:val="04A362D9"/>
    <w:rsid w:val="04A81148"/>
    <w:rsid w:val="04C15D69"/>
    <w:rsid w:val="04CB796F"/>
    <w:rsid w:val="04D70E27"/>
    <w:rsid w:val="04FD6E0E"/>
    <w:rsid w:val="0510665E"/>
    <w:rsid w:val="051A3950"/>
    <w:rsid w:val="053C512E"/>
    <w:rsid w:val="054F4E62"/>
    <w:rsid w:val="05504736"/>
    <w:rsid w:val="05575AC4"/>
    <w:rsid w:val="056621AB"/>
    <w:rsid w:val="05696605"/>
    <w:rsid w:val="05794DEB"/>
    <w:rsid w:val="05827CAF"/>
    <w:rsid w:val="059B55E5"/>
    <w:rsid w:val="05A87D37"/>
    <w:rsid w:val="05AB7BBE"/>
    <w:rsid w:val="05B60EBD"/>
    <w:rsid w:val="05D13AC9"/>
    <w:rsid w:val="061B2F96"/>
    <w:rsid w:val="06344057"/>
    <w:rsid w:val="063D2F0C"/>
    <w:rsid w:val="064249C6"/>
    <w:rsid w:val="064A5629"/>
    <w:rsid w:val="064F0F69"/>
    <w:rsid w:val="06805772"/>
    <w:rsid w:val="06847D38"/>
    <w:rsid w:val="068609F1"/>
    <w:rsid w:val="0687062B"/>
    <w:rsid w:val="06872CD5"/>
    <w:rsid w:val="06976AC0"/>
    <w:rsid w:val="069B3F52"/>
    <w:rsid w:val="06A938AC"/>
    <w:rsid w:val="06B55198"/>
    <w:rsid w:val="06B70F10"/>
    <w:rsid w:val="06EE2CE7"/>
    <w:rsid w:val="07041C7C"/>
    <w:rsid w:val="071664ED"/>
    <w:rsid w:val="071F6AB6"/>
    <w:rsid w:val="072365A6"/>
    <w:rsid w:val="073C06BA"/>
    <w:rsid w:val="075229E7"/>
    <w:rsid w:val="0754373C"/>
    <w:rsid w:val="07B70A9C"/>
    <w:rsid w:val="07E6781E"/>
    <w:rsid w:val="07EF46DA"/>
    <w:rsid w:val="07F9426E"/>
    <w:rsid w:val="07FB7581"/>
    <w:rsid w:val="07FD6CD2"/>
    <w:rsid w:val="08000695"/>
    <w:rsid w:val="080C0DE8"/>
    <w:rsid w:val="08181EB5"/>
    <w:rsid w:val="081952B3"/>
    <w:rsid w:val="081C4DA3"/>
    <w:rsid w:val="086D16B2"/>
    <w:rsid w:val="087668EF"/>
    <w:rsid w:val="08805F77"/>
    <w:rsid w:val="0895281C"/>
    <w:rsid w:val="08A162D5"/>
    <w:rsid w:val="08AA2B89"/>
    <w:rsid w:val="08B7732F"/>
    <w:rsid w:val="08BB0B94"/>
    <w:rsid w:val="08DD2784"/>
    <w:rsid w:val="08F301FA"/>
    <w:rsid w:val="090B30C5"/>
    <w:rsid w:val="090D355B"/>
    <w:rsid w:val="09150170"/>
    <w:rsid w:val="09385C0D"/>
    <w:rsid w:val="09481ECD"/>
    <w:rsid w:val="097338C4"/>
    <w:rsid w:val="097543EA"/>
    <w:rsid w:val="097D009D"/>
    <w:rsid w:val="09A146FA"/>
    <w:rsid w:val="09AE7AB6"/>
    <w:rsid w:val="09FA6117"/>
    <w:rsid w:val="0A2F1DA4"/>
    <w:rsid w:val="0A5A1B74"/>
    <w:rsid w:val="0A80270E"/>
    <w:rsid w:val="0A876E4C"/>
    <w:rsid w:val="0A9434B7"/>
    <w:rsid w:val="0AA40E1C"/>
    <w:rsid w:val="0AAA0BDE"/>
    <w:rsid w:val="0AB94B2B"/>
    <w:rsid w:val="0AC94BF5"/>
    <w:rsid w:val="0AE24082"/>
    <w:rsid w:val="0AFA559E"/>
    <w:rsid w:val="0B03614E"/>
    <w:rsid w:val="0B0B7BA2"/>
    <w:rsid w:val="0B0C6BC5"/>
    <w:rsid w:val="0B0E5885"/>
    <w:rsid w:val="0B2A17FB"/>
    <w:rsid w:val="0B2C17A1"/>
    <w:rsid w:val="0B343F32"/>
    <w:rsid w:val="0B4053DD"/>
    <w:rsid w:val="0B443E34"/>
    <w:rsid w:val="0BA16075"/>
    <w:rsid w:val="0BA46B52"/>
    <w:rsid w:val="0BC77592"/>
    <w:rsid w:val="0BF32B59"/>
    <w:rsid w:val="0BFC1173"/>
    <w:rsid w:val="0C147A06"/>
    <w:rsid w:val="0C1A23EC"/>
    <w:rsid w:val="0C2F779B"/>
    <w:rsid w:val="0C3C5A14"/>
    <w:rsid w:val="0C67530F"/>
    <w:rsid w:val="0C6C43F7"/>
    <w:rsid w:val="0C913837"/>
    <w:rsid w:val="0CA92045"/>
    <w:rsid w:val="0CBB2DDD"/>
    <w:rsid w:val="0CE54304"/>
    <w:rsid w:val="0CEF7314"/>
    <w:rsid w:val="0CFF79F4"/>
    <w:rsid w:val="0D164829"/>
    <w:rsid w:val="0D3D30EB"/>
    <w:rsid w:val="0D416AB9"/>
    <w:rsid w:val="0D4670D2"/>
    <w:rsid w:val="0D4E4D51"/>
    <w:rsid w:val="0D887163"/>
    <w:rsid w:val="0D8D55CF"/>
    <w:rsid w:val="0D953916"/>
    <w:rsid w:val="0D9D24E2"/>
    <w:rsid w:val="0DAE5F61"/>
    <w:rsid w:val="0DB81183"/>
    <w:rsid w:val="0DB95BF1"/>
    <w:rsid w:val="0DBE0DD6"/>
    <w:rsid w:val="0DE46363"/>
    <w:rsid w:val="0DEE56BA"/>
    <w:rsid w:val="0DF5199B"/>
    <w:rsid w:val="0E337741"/>
    <w:rsid w:val="0E4911BF"/>
    <w:rsid w:val="0E4F4A42"/>
    <w:rsid w:val="0E52151F"/>
    <w:rsid w:val="0E526D1E"/>
    <w:rsid w:val="0E530A7B"/>
    <w:rsid w:val="0E5B38F2"/>
    <w:rsid w:val="0E7F7B64"/>
    <w:rsid w:val="0E8C4A31"/>
    <w:rsid w:val="0E992EBC"/>
    <w:rsid w:val="0EA40CAF"/>
    <w:rsid w:val="0EB46C44"/>
    <w:rsid w:val="0ECC6578"/>
    <w:rsid w:val="0EE94353"/>
    <w:rsid w:val="0EED0F2D"/>
    <w:rsid w:val="0EEF2296"/>
    <w:rsid w:val="0EF85813"/>
    <w:rsid w:val="0F2558B9"/>
    <w:rsid w:val="0F463F2F"/>
    <w:rsid w:val="0F471D20"/>
    <w:rsid w:val="0F5B4403"/>
    <w:rsid w:val="0F5F0397"/>
    <w:rsid w:val="0F9A6AC6"/>
    <w:rsid w:val="0FA9433A"/>
    <w:rsid w:val="0FB12275"/>
    <w:rsid w:val="0FCA6697"/>
    <w:rsid w:val="0FD2700E"/>
    <w:rsid w:val="0FDB1837"/>
    <w:rsid w:val="0FDE5659"/>
    <w:rsid w:val="0FDE750E"/>
    <w:rsid w:val="0FF97F53"/>
    <w:rsid w:val="0FFA1E6E"/>
    <w:rsid w:val="100920B1"/>
    <w:rsid w:val="10246EEB"/>
    <w:rsid w:val="105D24B8"/>
    <w:rsid w:val="10800EB1"/>
    <w:rsid w:val="10953945"/>
    <w:rsid w:val="10BE2E9B"/>
    <w:rsid w:val="10BE3645"/>
    <w:rsid w:val="10DD74B7"/>
    <w:rsid w:val="10EA76BB"/>
    <w:rsid w:val="10EE19D3"/>
    <w:rsid w:val="10FB491B"/>
    <w:rsid w:val="110B23A1"/>
    <w:rsid w:val="111F3680"/>
    <w:rsid w:val="11292A0B"/>
    <w:rsid w:val="11366ED6"/>
    <w:rsid w:val="113917C7"/>
    <w:rsid w:val="113B43BE"/>
    <w:rsid w:val="113E7DC8"/>
    <w:rsid w:val="11621A79"/>
    <w:rsid w:val="116357AF"/>
    <w:rsid w:val="1165435B"/>
    <w:rsid w:val="11673155"/>
    <w:rsid w:val="11712A15"/>
    <w:rsid w:val="11714438"/>
    <w:rsid w:val="117F5232"/>
    <w:rsid w:val="1187688C"/>
    <w:rsid w:val="11883AE7"/>
    <w:rsid w:val="11934DBF"/>
    <w:rsid w:val="119C7740"/>
    <w:rsid w:val="11B43EFD"/>
    <w:rsid w:val="11C821E6"/>
    <w:rsid w:val="11CC59BB"/>
    <w:rsid w:val="11D16BFE"/>
    <w:rsid w:val="11D4028A"/>
    <w:rsid w:val="11DC5CCF"/>
    <w:rsid w:val="11DD55A3"/>
    <w:rsid w:val="11E94E70"/>
    <w:rsid w:val="11E972EE"/>
    <w:rsid w:val="121C60CC"/>
    <w:rsid w:val="122E5870"/>
    <w:rsid w:val="123029BC"/>
    <w:rsid w:val="123E24E6"/>
    <w:rsid w:val="124978B0"/>
    <w:rsid w:val="124B029A"/>
    <w:rsid w:val="12547039"/>
    <w:rsid w:val="126B56C5"/>
    <w:rsid w:val="126D66A4"/>
    <w:rsid w:val="128447BF"/>
    <w:rsid w:val="12A5270F"/>
    <w:rsid w:val="12D04C70"/>
    <w:rsid w:val="12E4700C"/>
    <w:rsid w:val="12F326F6"/>
    <w:rsid w:val="13290778"/>
    <w:rsid w:val="13455612"/>
    <w:rsid w:val="138E08A4"/>
    <w:rsid w:val="13A40F9B"/>
    <w:rsid w:val="13FD017F"/>
    <w:rsid w:val="140B4552"/>
    <w:rsid w:val="14226340"/>
    <w:rsid w:val="1450022E"/>
    <w:rsid w:val="14751297"/>
    <w:rsid w:val="147922AC"/>
    <w:rsid w:val="14A639E9"/>
    <w:rsid w:val="14C30A80"/>
    <w:rsid w:val="14D17B96"/>
    <w:rsid w:val="14DA6A78"/>
    <w:rsid w:val="14DD669C"/>
    <w:rsid w:val="14E01E8F"/>
    <w:rsid w:val="14F13AEF"/>
    <w:rsid w:val="14F3416A"/>
    <w:rsid w:val="14FD43FB"/>
    <w:rsid w:val="15033573"/>
    <w:rsid w:val="15141DAB"/>
    <w:rsid w:val="1536119F"/>
    <w:rsid w:val="154A2F50"/>
    <w:rsid w:val="156264EB"/>
    <w:rsid w:val="15703CF9"/>
    <w:rsid w:val="158703BA"/>
    <w:rsid w:val="15A62ED3"/>
    <w:rsid w:val="15B050E0"/>
    <w:rsid w:val="15C1695E"/>
    <w:rsid w:val="15DF1FA7"/>
    <w:rsid w:val="15F15AC1"/>
    <w:rsid w:val="15F5735F"/>
    <w:rsid w:val="15FB74E5"/>
    <w:rsid w:val="15FD4466"/>
    <w:rsid w:val="160D760A"/>
    <w:rsid w:val="16147C60"/>
    <w:rsid w:val="164B155C"/>
    <w:rsid w:val="165335C1"/>
    <w:rsid w:val="166A423B"/>
    <w:rsid w:val="166C2BF6"/>
    <w:rsid w:val="166E7112"/>
    <w:rsid w:val="16753B37"/>
    <w:rsid w:val="167A1613"/>
    <w:rsid w:val="167B0653"/>
    <w:rsid w:val="16832127"/>
    <w:rsid w:val="168F6536"/>
    <w:rsid w:val="169D7D19"/>
    <w:rsid w:val="16AA2401"/>
    <w:rsid w:val="16B74745"/>
    <w:rsid w:val="16B8213B"/>
    <w:rsid w:val="16C4052B"/>
    <w:rsid w:val="16C44F84"/>
    <w:rsid w:val="16C866EB"/>
    <w:rsid w:val="16D231FD"/>
    <w:rsid w:val="16F27400"/>
    <w:rsid w:val="16F45869"/>
    <w:rsid w:val="16F73983"/>
    <w:rsid w:val="16F93553"/>
    <w:rsid w:val="16FA4B4D"/>
    <w:rsid w:val="16FD2B0A"/>
    <w:rsid w:val="17365E81"/>
    <w:rsid w:val="1767428D"/>
    <w:rsid w:val="17747262"/>
    <w:rsid w:val="1793457E"/>
    <w:rsid w:val="17A01F68"/>
    <w:rsid w:val="17A73BA8"/>
    <w:rsid w:val="17A81B8D"/>
    <w:rsid w:val="17B5414D"/>
    <w:rsid w:val="17B7144C"/>
    <w:rsid w:val="17DC68F6"/>
    <w:rsid w:val="17F521F2"/>
    <w:rsid w:val="17FB49D5"/>
    <w:rsid w:val="18195443"/>
    <w:rsid w:val="1820060D"/>
    <w:rsid w:val="1840063A"/>
    <w:rsid w:val="185D46E4"/>
    <w:rsid w:val="18622CA6"/>
    <w:rsid w:val="186D31F9"/>
    <w:rsid w:val="1889752F"/>
    <w:rsid w:val="189317E1"/>
    <w:rsid w:val="189967BF"/>
    <w:rsid w:val="189D5854"/>
    <w:rsid w:val="18AC5756"/>
    <w:rsid w:val="18C876D8"/>
    <w:rsid w:val="18CF1477"/>
    <w:rsid w:val="18F57676"/>
    <w:rsid w:val="18F8118C"/>
    <w:rsid w:val="191D550D"/>
    <w:rsid w:val="192113E3"/>
    <w:rsid w:val="192659E2"/>
    <w:rsid w:val="193A152D"/>
    <w:rsid w:val="193C20DF"/>
    <w:rsid w:val="194C7105"/>
    <w:rsid w:val="19592641"/>
    <w:rsid w:val="19622BC3"/>
    <w:rsid w:val="196B16E7"/>
    <w:rsid w:val="19855C0C"/>
    <w:rsid w:val="198D6A46"/>
    <w:rsid w:val="19924EC5"/>
    <w:rsid w:val="199D05C1"/>
    <w:rsid w:val="199E7D0E"/>
    <w:rsid w:val="19A77654"/>
    <w:rsid w:val="19B33992"/>
    <w:rsid w:val="19C47DAF"/>
    <w:rsid w:val="19CA0B03"/>
    <w:rsid w:val="19D1592B"/>
    <w:rsid w:val="19DD290B"/>
    <w:rsid w:val="1A266BDC"/>
    <w:rsid w:val="1A2D5C81"/>
    <w:rsid w:val="1A30440D"/>
    <w:rsid w:val="1A3C3210"/>
    <w:rsid w:val="1A432DD4"/>
    <w:rsid w:val="1A543F54"/>
    <w:rsid w:val="1A661FA5"/>
    <w:rsid w:val="1A765A93"/>
    <w:rsid w:val="1A9D7FC6"/>
    <w:rsid w:val="1AA94BBC"/>
    <w:rsid w:val="1AC27A2C"/>
    <w:rsid w:val="1ADE4866"/>
    <w:rsid w:val="1AEB2ADF"/>
    <w:rsid w:val="1AF776D6"/>
    <w:rsid w:val="1AFC1190"/>
    <w:rsid w:val="1B1F4E7E"/>
    <w:rsid w:val="1B216501"/>
    <w:rsid w:val="1B2B55D1"/>
    <w:rsid w:val="1B495A57"/>
    <w:rsid w:val="1B4A1CB5"/>
    <w:rsid w:val="1B502A95"/>
    <w:rsid w:val="1B59213E"/>
    <w:rsid w:val="1B5B5A5C"/>
    <w:rsid w:val="1B7467CC"/>
    <w:rsid w:val="1B8B6070"/>
    <w:rsid w:val="1B8D1DE8"/>
    <w:rsid w:val="1B916494"/>
    <w:rsid w:val="1BE77CE2"/>
    <w:rsid w:val="1BEC2FB3"/>
    <w:rsid w:val="1C00080C"/>
    <w:rsid w:val="1C090F1F"/>
    <w:rsid w:val="1C1B5646"/>
    <w:rsid w:val="1C2034D9"/>
    <w:rsid w:val="1C493F61"/>
    <w:rsid w:val="1C654B13"/>
    <w:rsid w:val="1C6E1D22"/>
    <w:rsid w:val="1C720CAA"/>
    <w:rsid w:val="1C8F393E"/>
    <w:rsid w:val="1CA01595"/>
    <w:rsid w:val="1CA80D22"/>
    <w:rsid w:val="1CB33AD0"/>
    <w:rsid w:val="1CC17F9B"/>
    <w:rsid w:val="1CC261FE"/>
    <w:rsid w:val="1CC55489"/>
    <w:rsid w:val="1CDA5C81"/>
    <w:rsid w:val="1D320DB9"/>
    <w:rsid w:val="1D567984"/>
    <w:rsid w:val="1D6628F1"/>
    <w:rsid w:val="1DA04055"/>
    <w:rsid w:val="1DD87B86"/>
    <w:rsid w:val="1E0349E4"/>
    <w:rsid w:val="1E2E78B2"/>
    <w:rsid w:val="1E2E7FB4"/>
    <w:rsid w:val="1E390005"/>
    <w:rsid w:val="1E4E1501"/>
    <w:rsid w:val="1E707F61"/>
    <w:rsid w:val="1E870D71"/>
    <w:rsid w:val="1E9E5A06"/>
    <w:rsid w:val="1EA50EAC"/>
    <w:rsid w:val="1EAA3E92"/>
    <w:rsid w:val="1EB37DB8"/>
    <w:rsid w:val="1ED22CE1"/>
    <w:rsid w:val="1EDB4B64"/>
    <w:rsid w:val="1EE241F9"/>
    <w:rsid w:val="1EEB532C"/>
    <w:rsid w:val="1EF146FB"/>
    <w:rsid w:val="1F0054DA"/>
    <w:rsid w:val="1F0B7B54"/>
    <w:rsid w:val="1F1D3483"/>
    <w:rsid w:val="1F29362C"/>
    <w:rsid w:val="1F3031B6"/>
    <w:rsid w:val="1F4101D1"/>
    <w:rsid w:val="1F4711E8"/>
    <w:rsid w:val="1F507874"/>
    <w:rsid w:val="1F6400AC"/>
    <w:rsid w:val="1F7A795E"/>
    <w:rsid w:val="1F7B7743"/>
    <w:rsid w:val="1F811C64"/>
    <w:rsid w:val="1F884DA0"/>
    <w:rsid w:val="1FCD6C7A"/>
    <w:rsid w:val="1FD3016F"/>
    <w:rsid w:val="1FD405CC"/>
    <w:rsid w:val="1FE025A0"/>
    <w:rsid w:val="1FE55012"/>
    <w:rsid w:val="1FE869F6"/>
    <w:rsid w:val="1FEB3581"/>
    <w:rsid w:val="200E7E97"/>
    <w:rsid w:val="201A7085"/>
    <w:rsid w:val="2020053C"/>
    <w:rsid w:val="204131A1"/>
    <w:rsid w:val="20504DA7"/>
    <w:rsid w:val="205419D7"/>
    <w:rsid w:val="20620F0B"/>
    <w:rsid w:val="207773A7"/>
    <w:rsid w:val="2084273E"/>
    <w:rsid w:val="20971013"/>
    <w:rsid w:val="20AC3C86"/>
    <w:rsid w:val="20C64A1B"/>
    <w:rsid w:val="20CA5142"/>
    <w:rsid w:val="20D34C23"/>
    <w:rsid w:val="20DB35F6"/>
    <w:rsid w:val="20E72B14"/>
    <w:rsid w:val="20EC12D5"/>
    <w:rsid w:val="20F0219A"/>
    <w:rsid w:val="20F13631"/>
    <w:rsid w:val="21037B2A"/>
    <w:rsid w:val="21063B54"/>
    <w:rsid w:val="2117708C"/>
    <w:rsid w:val="2118189C"/>
    <w:rsid w:val="21303322"/>
    <w:rsid w:val="213C22E6"/>
    <w:rsid w:val="213C6F79"/>
    <w:rsid w:val="21742B65"/>
    <w:rsid w:val="219D3366"/>
    <w:rsid w:val="21A50411"/>
    <w:rsid w:val="21A535D6"/>
    <w:rsid w:val="21C55387"/>
    <w:rsid w:val="21D00DD1"/>
    <w:rsid w:val="21D544E9"/>
    <w:rsid w:val="21DC13D3"/>
    <w:rsid w:val="21FB549C"/>
    <w:rsid w:val="22031056"/>
    <w:rsid w:val="221F1461"/>
    <w:rsid w:val="22381E32"/>
    <w:rsid w:val="22426FD3"/>
    <w:rsid w:val="22452A44"/>
    <w:rsid w:val="22463ED4"/>
    <w:rsid w:val="225278E7"/>
    <w:rsid w:val="22555F21"/>
    <w:rsid w:val="22592A24"/>
    <w:rsid w:val="22683BFA"/>
    <w:rsid w:val="22717D6E"/>
    <w:rsid w:val="227A01F3"/>
    <w:rsid w:val="2297354C"/>
    <w:rsid w:val="22995516"/>
    <w:rsid w:val="229B4DF7"/>
    <w:rsid w:val="22C179E6"/>
    <w:rsid w:val="22F12418"/>
    <w:rsid w:val="22F34C27"/>
    <w:rsid w:val="22F74CD5"/>
    <w:rsid w:val="22F90C34"/>
    <w:rsid w:val="22FD6B41"/>
    <w:rsid w:val="23040ECE"/>
    <w:rsid w:val="2319507F"/>
    <w:rsid w:val="233D51EB"/>
    <w:rsid w:val="234C07FD"/>
    <w:rsid w:val="235929D6"/>
    <w:rsid w:val="235A6A54"/>
    <w:rsid w:val="23616034"/>
    <w:rsid w:val="23624AFA"/>
    <w:rsid w:val="236B5698"/>
    <w:rsid w:val="236E24FF"/>
    <w:rsid w:val="23757D31"/>
    <w:rsid w:val="237C0206"/>
    <w:rsid w:val="237D2B13"/>
    <w:rsid w:val="2392443F"/>
    <w:rsid w:val="23C14D9F"/>
    <w:rsid w:val="23C245F9"/>
    <w:rsid w:val="23C73835"/>
    <w:rsid w:val="23E01946"/>
    <w:rsid w:val="23F3403F"/>
    <w:rsid w:val="23F517A7"/>
    <w:rsid w:val="24023372"/>
    <w:rsid w:val="240C0A38"/>
    <w:rsid w:val="24286B52"/>
    <w:rsid w:val="244319AB"/>
    <w:rsid w:val="24505078"/>
    <w:rsid w:val="245071DF"/>
    <w:rsid w:val="2455546D"/>
    <w:rsid w:val="248A0D12"/>
    <w:rsid w:val="24A54D6D"/>
    <w:rsid w:val="24B94F4B"/>
    <w:rsid w:val="24BB5C18"/>
    <w:rsid w:val="24BD4B8E"/>
    <w:rsid w:val="24C45CA4"/>
    <w:rsid w:val="24D03CD9"/>
    <w:rsid w:val="24DB5972"/>
    <w:rsid w:val="24F00EBB"/>
    <w:rsid w:val="25203CCD"/>
    <w:rsid w:val="25262F8B"/>
    <w:rsid w:val="25284504"/>
    <w:rsid w:val="252945B0"/>
    <w:rsid w:val="255450E3"/>
    <w:rsid w:val="257638ED"/>
    <w:rsid w:val="25873E3A"/>
    <w:rsid w:val="25937EC2"/>
    <w:rsid w:val="259C511D"/>
    <w:rsid w:val="25B17862"/>
    <w:rsid w:val="25B328ED"/>
    <w:rsid w:val="25C96113"/>
    <w:rsid w:val="25CD65B8"/>
    <w:rsid w:val="25D074A1"/>
    <w:rsid w:val="25F018F1"/>
    <w:rsid w:val="25F70601"/>
    <w:rsid w:val="26117B5D"/>
    <w:rsid w:val="26377520"/>
    <w:rsid w:val="263E3022"/>
    <w:rsid w:val="266D4E09"/>
    <w:rsid w:val="26720558"/>
    <w:rsid w:val="267A2304"/>
    <w:rsid w:val="269C76E0"/>
    <w:rsid w:val="26A507B9"/>
    <w:rsid w:val="26A85D28"/>
    <w:rsid w:val="26B83AD1"/>
    <w:rsid w:val="26C16DEA"/>
    <w:rsid w:val="26E26884"/>
    <w:rsid w:val="26F61BE2"/>
    <w:rsid w:val="27000F03"/>
    <w:rsid w:val="27124FEB"/>
    <w:rsid w:val="2731261E"/>
    <w:rsid w:val="27353B24"/>
    <w:rsid w:val="273E5401"/>
    <w:rsid w:val="2740697A"/>
    <w:rsid w:val="274F0899"/>
    <w:rsid w:val="27547C5E"/>
    <w:rsid w:val="277B343D"/>
    <w:rsid w:val="27900E8F"/>
    <w:rsid w:val="27BA3F65"/>
    <w:rsid w:val="27C26BE0"/>
    <w:rsid w:val="27E46A9F"/>
    <w:rsid w:val="27E9484A"/>
    <w:rsid w:val="27F50765"/>
    <w:rsid w:val="28125B4F"/>
    <w:rsid w:val="282E0A21"/>
    <w:rsid w:val="284B1054"/>
    <w:rsid w:val="28786926"/>
    <w:rsid w:val="289801AB"/>
    <w:rsid w:val="28A83F4B"/>
    <w:rsid w:val="28AD2AA2"/>
    <w:rsid w:val="28BC1F5F"/>
    <w:rsid w:val="28CA1C7C"/>
    <w:rsid w:val="28DC7F0B"/>
    <w:rsid w:val="28F1619D"/>
    <w:rsid w:val="28F47EF8"/>
    <w:rsid w:val="290370AF"/>
    <w:rsid w:val="29105C7F"/>
    <w:rsid w:val="291B0A33"/>
    <w:rsid w:val="293855CF"/>
    <w:rsid w:val="29443FEA"/>
    <w:rsid w:val="2959266F"/>
    <w:rsid w:val="295C3E2E"/>
    <w:rsid w:val="2976210D"/>
    <w:rsid w:val="29826D04"/>
    <w:rsid w:val="2983725E"/>
    <w:rsid w:val="299427C0"/>
    <w:rsid w:val="29A44ECD"/>
    <w:rsid w:val="29AA5CD7"/>
    <w:rsid w:val="29C60D55"/>
    <w:rsid w:val="29D56A0C"/>
    <w:rsid w:val="29D72F01"/>
    <w:rsid w:val="29DA54B5"/>
    <w:rsid w:val="29E4170D"/>
    <w:rsid w:val="29E526E8"/>
    <w:rsid w:val="29F179E6"/>
    <w:rsid w:val="29FA0F90"/>
    <w:rsid w:val="2A027E45"/>
    <w:rsid w:val="2A27165A"/>
    <w:rsid w:val="2A3E169A"/>
    <w:rsid w:val="2A673B00"/>
    <w:rsid w:val="2A676689"/>
    <w:rsid w:val="2A707610"/>
    <w:rsid w:val="2A97058D"/>
    <w:rsid w:val="2A9D08C9"/>
    <w:rsid w:val="2AD417E1"/>
    <w:rsid w:val="2AFC4FDF"/>
    <w:rsid w:val="2B075B16"/>
    <w:rsid w:val="2B37791C"/>
    <w:rsid w:val="2B395AE8"/>
    <w:rsid w:val="2B577D1D"/>
    <w:rsid w:val="2BBD04C8"/>
    <w:rsid w:val="2BCE04AE"/>
    <w:rsid w:val="2BD14DA5"/>
    <w:rsid w:val="2BD6624A"/>
    <w:rsid w:val="2BEA550D"/>
    <w:rsid w:val="2BFD06C1"/>
    <w:rsid w:val="2C183950"/>
    <w:rsid w:val="2C18705C"/>
    <w:rsid w:val="2C293151"/>
    <w:rsid w:val="2C2E41EA"/>
    <w:rsid w:val="2C363DD6"/>
    <w:rsid w:val="2C3D33B6"/>
    <w:rsid w:val="2C3D53FA"/>
    <w:rsid w:val="2C582281"/>
    <w:rsid w:val="2C742F1C"/>
    <w:rsid w:val="2C8F68B4"/>
    <w:rsid w:val="2C931228"/>
    <w:rsid w:val="2C984D6B"/>
    <w:rsid w:val="2CA05E4D"/>
    <w:rsid w:val="2CA558B1"/>
    <w:rsid w:val="2CA909E9"/>
    <w:rsid w:val="2CAA2072"/>
    <w:rsid w:val="2CD45304"/>
    <w:rsid w:val="2CEC751D"/>
    <w:rsid w:val="2CEE475B"/>
    <w:rsid w:val="2CF125AC"/>
    <w:rsid w:val="2CFF066C"/>
    <w:rsid w:val="2D02524D"/>
    <w:rsid w:val="2D191FCE"/>
    <w:rsid w:val="2D1B36F8"/>
    <w:rsid w:val="2D3D1686"/>
    <w:rsid w:val="2D656721"/>
    <w:rsid w:val="2D6706EB"/>
    <w:rsid w:val="2D76092E"/>
    <w:rsid w:val="2D771DAF"/>
    <w:rsid w:val="2D856DC3"/>
    <w:rsid w:val="2D941213"/>
    <w:rsid w:val="2D964B2C"/>
    <w:rsid w:val="2DA11D26"/>
    <w:rsid w:val="2DD57127"/>
    <w:rsid w:val="2DD678F6"/>
    <w:rsid w:val="2DE14043"/>
    <w:rsid w:val="2DEA4E54"/>
    <w:rsid w:val="2DEC6E42"/>
    <w:rsid w:val="2DF950C8"/>
    <w:rsid w:val="2DFB6B1F"/>
    <w:rsid w:val="2E0F4CE4"/>
    <w:rsid w:val="2E395380"/>
    <w:rsid w:val="2E3F4DEC"/>
    <w:rsid w:val="2E400F3C"/>
    <w:rsid w:val="2E4D26B8"/>
    <w:rsid w:val="2E4E3659"/>
    <w:rsid w:val="2E5E3A03"/>
    <w:rsid w:val="2E6E14FD"/>
    <w:rsid w:val="2E960B5C"/>
    <w:rsid w:val="2E9C30F9"/>
    <w:rsid w:val="2EC91E34"/>
    <w:rsid w:val="2EDB3451"/>
    <w:rsid w:val="2EF22C8E"/>
    <w:rsid w:val="2F1321AD"/>
    <w:rsid w:val="2F146650"/>
    <w:rsid w:val="2F154177"/>
    <w:rsid w:val="2F2F348A"/>
    <w:rsid w:val="2F454A5C"/>
    <w:rsid w:val="2F736A5D"/>
    <w:rsid w:val="2FB15C4D"/>
    <w:rsid w:val="2FE86532"/>
    <w:rsid w:val="300762F7"/>
    <w:rsid w:val="30095CB8"/>
    <w:rsid w:val="302723B3"/>
    <w:rsid w:val="30630083"/>
    <w:rsid w:val="30A5072E"/>
    <w:rsid w:val="30A6762B"/>
    <w:rsid w:val="30B04157"/>
    <w:rsid w:val="30B874AF"/>
    <w:rsid w:val="30BA4B19"/>
    <w:rsid w:val="30D320BD"/>
    <w:rsid w:val="30DB0484"/>
    <w:rsid w:val="312B482F"/>
    <w:rsid w:val="31385A50"/>
    <w:rsid w:val="31434FCB"/>
    <w:rsid w:val="3154222C"/>
    <w:rsid w:val="31807FCD"/>
    <w:rsid w:val="31973569"/>
    <w:rsid w:val="31C50FC3"/>
    <w:rsid w:val="31CA2942"/>
    <w:rsid w:val="31CB6D6E"/>
    <w:rsid w:val="31D74128"/>
    <w:rsid w:val="31E367AE"/>
    <w:rsid w:val="31E87920"/>
    <w:rsid w:val="32001CE0"/>
    <w:rsid w:val="32081D71"/>
    <w:rsid w:val="32195D2C"/>
    <w:rsid w:val="32350942"/>
    <w:rsid w:val="323963CE"/>
    <w:rsid w:val="32496D26"/>
    <w:rsid w:val="326C0551"/>
    <w:rsid w:val="32862DA2"/>
    <w:rsid w:val="32AF09B7"/>
    <w:rsid w:val="32CD77ED"/>
    <w:rsid w:val="32FB2DDD"/>
    <w:rsid w:val="33052F69"/>
    <w:rsid w:val="3317335F"/>
    <w:rsid w:val="33281F09"/>
    <w:rsid w:val="332C1870"/>
    <w:rsid w:val="33361BD4"/>
    <w:rsid w:val="3348156F"/>
    <w:rsid w:val="3360379C"/>
    <w:rsid w:val="33631DE5"/>
    <w:rsid w:val="33723405"/>
    <w:rsid w:val="33A2671D"/>
    <w:rsid w:val="33A57B50"/>
    <w:rsid w:val="33AB50A9"/>
    <w:rsid w:val="33AF7055"/>
    <w:rsid w:val="33C526D7"/>
    <w:rsid w:val="33D508EE"/>
    <w:rsid w:val="33FA3644"/>
    <w:rsid w:val="33FB393B"/>
    <w:rsid w:val="34007CA1"/>
    <w:rsid w:val="340842AA"/>
    <w:rsid w:val="340E1592"/>
    <w:rsid w:val="340E390D"/>
    <w:rsid w:val="341C44CD"/>
    <w:rsid w:val="342101A7"/>
    <w:rsid w:val="3422536C"/>
    <w:rsid w:val="342C582E"/>
    <w:rsid w:val="34362BC5"/>
    <w:rsid w:val="343F1006"/>
    <w:rsid w:val="34572E6D"/>
    <w:rsid w:val="346D03F5"/>
    <w:rsid w:val="346F257B"/>
    <w:rsid w:val="34775E62"/>
    <w:rsid w:val="34836E59"/>
    <w:rsid w:val="34A95C9F"/>
    <w:rsid w:val="34A9783B"/>
    <w:rsid w:val="34C079AA"/>
    <w:rsid w:val="34C2172F"/>
    <w:rsid w:val="34C24459"/>
    <w:rsid w:val="34C500E4"/>
    <w:rsid w:val="34CA3411"/>
    <w:rsid w:val="34D97D4E"/>
    <w:rsid w:val="34DD5737"/>
    <w:rsid w:val="34E93982"/>
    <w:rsid w:val="350157B8"/>
    <w:rsid w:val="353F3A56"/>
    <w:rsid w:val="355569F3"/>
    <w:rsid w:val="355C48AD"/>
    <w:rsid w:val="35700359"/>
    <w:rsid w:val="35724D6F"/>
    <w:rsid w:val="359336F3"/>
    <w:rsid w:val="35A87AF3"/>
    <w:rsid w:val="35E850C8"/>
    <w:rsid w:val="35F270EF"/>
    <w:rsid w:val="36127662"/>
    <w:rsid w:val="361A14C6"/>
    <w:rsid w:val="364923F2"/>
    <w:rsid w:val="364A5241"/>
    <w:rsid w:val="366302C2"/>
    <w:rsid w:val="367E6AA5"/>
    <w:rsid w:val="368045CB"/>
    <w:rsid w:val="368500BA"/>
    <w:rsid w:val="368F66E1"/>
    <w:rsid w:val="3690229C"/>
    <w:rsid w:val="36914A2B"/>
    <w:rsid w:val="36D83E65"/>
    <w:rsid w:val="36DC3513"/>
    <w:rsid w:val="36F56D67"/>
    <w:rsid w:val="37495DEC"/>
    <w:rsid w:val="37532B2C"/>
    <w:rsid w:val="376424AF"/>
    <w:rsid w:val="377B1306"/>
    <w:rsid w:val="37984962"/>
    <w:rsid w:val="379C71E3"/>
    <w:rsid w:val="37A5140C"/>
    <w:rsid w:val="37BD6142"/>
    <w:rsid w:val="38251228"/>
    <w:rsid w:val="382556DE"/>
    <w:rsid w:val="383039B4"/>
    <w:rsid w:val="38325D99"/>
    <w:rsid w:val="38486C0E"/>
    <w:rsid w:val="38547ABE"/>
    <w:rsid w:val="38697929"/>
    <w:rsid w:val="389D0587"/>
    <w:rsid w:val="38BA6FA4"/>
    <w:rsid w:val="38BB3AFF"/>
    <w:rsid w:val="38F90665"/>
    <w:rsid w:val="390C1745"/>
    <w:rsid w:val="39117715"/>
    <w:rsid w:val="39253208"/>
    <w:rsid w:val="39316051"/>
    <w:rsid w:val="39355B41"/>
    <w:rsid w:val="393F6923"/>
    <w:rsid w:val="39592215"/>
    <w:rsid w:val="39627FB8"/>
    <w:rsid w:val="39654C68"/>
    <w:rsid w:val="396C6715"/>
    <w:rsid w:val="39755F3E"/>
    <w:rsid w:val="39777F08"/>
    <w:rsid w:val="398B7A57"/>
    <w:rsid w:val="398E5251"/>
    <w:rsid w:val="399A043B"/>
    <w:rsid w:val="39B90520"/>
    <w:rsid w:val="39BF365D"/>
    <w:rsid w:val="39C66BB3"/>
    <w:rsid w:val="39D30EB6"/>
    <w:rsid w:val="39E12403"/>
    <w:rsid w:val="39F72E11"/>
    <w:rsid w:val="39F911AC"/>
    <w:rsid w:val="3A013C75"/>
    <w:rsid w:val="3A1747A4"/>
    <w:rsid w:val="3A1C285D"/>
    <w:rsid w:val="3A3561B5"/>
    <w:rsid w:val="3A3951BD"/>
    <w:rsid w:val="3A5D6A1D"/>
    <w:rsid w:val="3A971ABC"/>
    <w:rsid w:val="3A9E7716"/>
    <w:rsid w:val="3AB27BC1"/>
    <w:rsid w:val="3AC50A5A"/>
    <w:rsid w:val="3AC727C9"/>
    <w:rsid w:val="3ACD1DA9"/>
    <w:rsid w:val="3ACD3383"/>
    <w:rsid w:val="3AD82C28"/>
    <w:rsid w:val="3AEA295B"/>
    <w:rsid w:val="3AF143FE"/>
    <w:rsid w:val="3AF61300"/>
    <w:rsid w:val="3B530501"/>
    <w:rsid w:val="3B6B264B"/>
    <w:rsid w:val="3B6E6127"/>
    <w:rsid w:val="3B876F33"/>
    <w:rsid w:val="3B9E5DA2"/>
    <w:rsid w:val="3BA42B0A"/>
    <w:rsid w:val="3BB008A3"/>
    <w:rsid w:val="3BEE0996"/>
    <w:rsid w:val="3BF750E1"/>
    <w:rsid w:val="3C072B08"/>
    <w:rsid w:val="3C1620B4"/>
    <w:rsid w:val="3C2C639E"/>
    <w:rsid w:val="3C526CEF"/>
    <w:rsid w:val="3C6250A3"/>
    <w:rsid w:val="3C771FCD"/>
    <w:rsid w:val="3C821C2C"/>
    <w:rsid w:val="3C862A99"/>
    <w:rsid w:val="3CA01523"/>
    <w:rsid w:val="3CA7694E"/>
    <w:rsid w:val="3CB76BD4"/>
    <w:rsid w:val="3CBB63AA"/>
    <w:rsid w:val="3CBD71BB"/>
    <w:rsid w:val="3CC01BC6"/>
    <w:rsid w:val="3CDA559D"/>
    <w:rsid w:val="3D17054B"/>
    <w:rsid w:val="3D1B4F89"/>
    <w:rsid w:val="3D2802B6"/>
    <w:rsid w:val="3D624A2B"/>
    <w:rsid w:val="3D6A0C69"/>
    <w:rsid w:val="3D853F47"/>
    <w:rsid w:val="3D911ECA"/>
    <w:rsid w:val="3DBF1E7D"/>
    <w:rsid w:val="3DD376D7"/>
    <w:rsid w:val="3DDA0A65"/>
    <w:rsid w:val="3DEC1D01"/>
    <w:rsid w:val="3E020DB2"/>
    <w:rsid w:val="3E166731"/>
    <w:rsid w:val="3E1F291C"/>
    <w:rsid w:val="3E4A5D71"/>
    <w:rsid w:val="3E5720B6"/>
    <w:rsid w:val="3E6C5B08"/>
    <w:rsid w:val="3E72001C"/>
    <w:rsid w:val="3E86299B"/>
    <w:rsid w:val="3EA05FBA"/>
    <w:rsid w:val="3EA90437"/>
    <w:rsid w:val="3EAD617A"/>
    <w:rsid w:val="3EAF2499"/>
    <w:rsid w:val="3EBD300F"/>
    <w:rsid w:val="3ECB4805"/>
    <w:rsid w:val="3EE103EE"/>
    <w:rsid w:val="3EEA2F2A"/>
    <w:rsid w:val="3EF26D83"/>
    <w:rsid w:val="3EF7100B"/>
    <w:rsid w:val="3F014834"/>
    <w:rsid w:val="3F086863"/>
    <w:rsid w:val="3F11184D"/>
    <w:rsid w:val="3F126122"/>
    <w:rsid w:val="3F2327AF"/>
    <w:rsid w:val="3F4B7D4A"/>
    <w:rsid w:val="3F685210"/>
    <w:rsid w:val="3F7A2599"/>
    <w:rsid w:val="3FAE03FB"/>
    <w:rsid w:val="3FB00B32"/>
    <w:rsid w:val="3FB377C0"/>
    <w:rsid w:val="3FCE4591"/>
    <w:rsid w:val="3FD020C9"/>
    <w:rsid w:val="3FE34D30"/>
    <w:rsid w:val="40056133"/>
    <w:rsid w:val="40161AFD"/>
    <w:rsid w:val="401A339B"/>
    <w:rsid w:val="402D02C6"/>
    <w:rsid w:val="402D02D2"/>
    <w:rsid w:val="404E74E8"/>
    <w:rsid w:val="4050500F"/>
    <w:rsid w:val="405504E9"/>
    <w:rsid w:val="408812A1"/>
    <w:rsid w:val="40B30755"/>
    <w:rsid w:val="40B864DA"/>
    <w:rsid w:val="40BE01CA"/>
    <w:rsid w:val="40BE466E"/>
    <w:rsid w:val="40C17CBA"/>
    <w:rsid w:val="40EF6094"/>
    <w:rsid w:val="40F005A0"/>
    <w:rsid w:val="40FF5BB5"/>
    <w:rsid w:val="4110389C"/>
    <w:rsid w:val="41214BFD"/>
    <w:rsid w:val="414032D5"/>
    <w:rsid w:val="414426B3"/>
    <w:rsid w:val="41595CEA"/>
    <w:rsid w:val="416C652F"/>
    <w:rsid w:val="417426B5"/>
    <w:rsid w:val="417967E7"/>
    <w:rsid w:val="417F008A"/>
    <w:rsid w:val="41961147"/>
    <w:rsid w:val="41B67685"/>
    <w:rsid w:val="41C21F3C"/>
    <w:rsid w:val="41E0516D"/>
    <w:rsid w:val="41EC6FB9"/>
    <w:rsid w:val="41ED7081"/>
    <w:rsid w:val="41F8595E"/>
    <w:rsid w:val="41FF4DFA"/>
    <w:rsid w:val="420419EC"/>
    <w:rsid w:val="420B3AB0"/>
    <w:rsid w:val="420F0CC4"/>
    <w:rsid w:val="42121E7D"/>
    <w:rsid w:val="421502BE"/>
    <w:rsid w:val="421A7ECF"/>
    <w:rsid w:val="421C10A0"/>
    <w:rsid w:val="423F358D"/>
    <w:rsid w:val="425132C0"/>
    <w:rsid w:val="427E2307"/>
    <w:rsid w:val="42A43C6B"/>
    <w:rsid w:val="42C45840"/>
    <w:rsid w:val="42D526F1"/>
    <w:rsid w:val="42F430FC"/>
    <w:rsid w:val="43084027"/>
    <w:rsid w:val="43107D57"/>
    <w:rsid w:val="43144A19"/>
    <w:rsid w:val="432363C5"/>
    <w:rsid w:val="432E1C8E"/>
    <w:rsid w:val="434A053E"/>
    <w:rsid w:val="43721740"/>
    <w:rsid w:val="43774488"/>
    <w:rsid w:val="43D30BE2"/>
    <w:rsid w:val="43D321DE"/>
    <w:rsid w:val="43E551C3"/>
    <w:rsid w:val="43EF4B3E"/>
    <w:rsid w:val="440028DC"/>
    <w:rsid w:val="440C36D9"/>
    <w:rsid w:val="44240E0B"/>
    <w:rsid w:val="44242A3A"/>
    <w:rsid w:val="442834F8"/>
    <w:rsid w:val="442A5B77"/>
    <w:rsid w:val="444147B5"/>
    <w:rsid w:val="44573093"/>
    <w:rsid w:val="44581EC4"/>
    <w:rsid w:val="445E32F8"/>
    <w:rsid w:val="44967308"/>
    <w:rsid w:val="44A8440D"/>
    <w:rsid w:val="44D03FBB"/>
    <w:rsid w:val="44D2693A"/>
    <w:rsid w:val="44E119CD"/>
    <w:rsid w:val="44F248E6"/>
    <w:rsid w:val="450109F8"/>
    <w:rsid w:val="450D6B5A"/>
    <w:rsid w:val="4529388B"/>
    <w:rsid w:val="453B25D8"/>
    <w:rsid w:val="45521FA0"/>
    <w:rsid w:val="45562B95"/>
    <w:rsid w:val="455F37DF"/>
    <w:rsid w:val="45653EC7"/>
    <w:rsid w:val="45700B7C"/>
    <w:rsid w:val="45A212DC"/>
    <w:rsid w:val="45B41BEE"/>
    <w:rsid w:val="45B85B30"/>
    <w:rsid w:val="45BE23EF"/>
    <w:rsid w:val="45DF37EB"/>
    <w:rsid w:val="45E035FC"/>
    <w:rsid w:val="45EE70E7"/>
    <w:rsid w:val="45FA0FA2"/>
    <w:rsid w:val="461F3BB2"/>
    <w:rsid w:val="46433D26"/>
    <w:rsid w:val="46562D4C"/>
    <w:rsid w:val="465D66D7"/>
    <w:rsid w:val="46686E80"/>
    <w:rsid w:val="46791187"/>
    <w:rsid w:val="469138A5"/>
    <w:rsid w:val="4695307F"/>
    <w:rsid w:val="46AE2A8F"/>
    <w:rsid w:val="46AF05B5"/>
    <w:rsid w:val="46BA456E"/>
    <w:rsid w:val="46C2653A"/>
    <w:rsid w:val="46C6602A"/>
    <w:rsid w:val="46D32CBE"/>
    <w:rsid w:val="46E00F2B"/>
    <w:rsid w:val="46E22739"/>
    <w:rsid w:val="46E717FB"/>
    <w:rsid w:val="46FF444B"/>
    <w:rsid w:val="47151D47"/>
    <w:rsid w:val="471C20EE"/>
    <w:rsid w:val="471E5E67"/>
    <w:rsid w:val="47256C62"/>
    <w:rsid w:val="472D42FC"/>
    <w:rsid w:val="47685334"/>
    <w:rsid w:val="476870E2"/>
    <w:rsid w:val="47947ED7"/>
    <w:rsid w:val="47983486"/>
    <w:rsid w:val="479E2B03"/>
    <w:rsid w:val="47B42327"/>
    <w:rsid w:val="47E50732"/>
    <w:rsid w:val="47F701D8"/>
    <w:rsid w:val="480E2AC1"/>
    <w:rsid w:val="48186B7D"/>
    <w:rsid w:val="481B0CA2"/>
    <w:rsid w:val="481C1C7A"/>
    <w:rsid w:val="481E439A"/>
    <w:rsid w:val="482E5F75"/>
    <w:rsid w:val="482F5E51"/>
    <w:rsid w:val="48313923"/>
    <w:rsid w:val="48343468"/>
    <w:rsid w:val="48417775"/>
    <w:rsid w:val="48853CC3"/>
    <w:rsid w:val="488C2618"/>
    <w:rsid w:val="489F7731"/>
    <w:rsid w:val="48AA5453"/>
    <w:rsid w:val="48AC1341"/>
    <w:rsid w:val="48D76283"/>
    <w:rsid w:val="48EB29D7"/>
    <w:rsid w:val="48F95E52"/>
    <w:rsid w:val="491F2082"/>
    <w:rsid w:val="49236455"/>
    <w:rsid w:val="49282FCC"/>
    <w:rsid w:val="492F31C0"/>
    <w:rsid w:val="49325BF9"/>
    <w:rsid w:val="49384514"/>
    <w:rsid w:val="493D13B8"/>
    <w:rsid w:val="493D634C"/>
    <w:rsid w:val="495D0879"/>
    <w:rsid w:val="49641B2B"/>
    <w:rsid w:val="49677556"/>
    <w:rsid w:val="4968786D"/>
    <w:rsid w:val="496B110B"/>
    <w:rsid w:val="49744B12"/>
    <w:rsid w:val="49801CBF"/>
    <w:rsid w:val="498B67D5"/>
    <w:rsid w:val="49A975B4"/>
    <w:rsid w:val="49BE52E9"/>
    <w:rsid w:val="49CA16D0"/>
    <w:rsid w:val="49D547D7"/>
    <w:rsid w:val="49F25388"/>
    <w:rsid w:val="49F7027C"/>
    <w:rsid w:val="4A08695A"/>
    <w:rsid w:val="4A2C2E06"/>
    <w:rsid w:val="4A4213E1"/>
    <w:rsid w:val="4A45552A"/>
    <w:rsid w:val="4A590F64"/>
    <w:rsid w:val="4A5E2A1E"/>
    <w:rsid w:val="4A655B5A"/>
    <w:rsid w:val="4A701E8D"/>
    <w:rsid w:val="4A7C7111"/>
    <w:rsid w:val="4A89776F"/>
    <w:rsid w:val="4A9401EE"/>
    <w:rsid w:val="4A957EA7"/>
    <w:rsid w:val="4AB970CC"/>
    <w:rsid w:val="4ABC3662"/>
    <w:rsid w:val="4AC85E62"/>
    <w:rsid w:val="4AC960E9"/>
    <w:rsid w:val="4AD27144"/>
    <w:rsid w:val="4AFF6578"/>
    <w:rsid w:val="4B0B1F4A"/>
    <w:rsid w:val="4B101F6A"/>
    <w:rsid w:val="4B1B26BD"/>
    <w:rsid w:val="4B3C494D"/>
    <w:rsid w:val="4B4C3A47"/>
    <w:rsid w:val="4B80089E"/>
    <w:rsid w:val="4B9E5402"/>
    <w:rsid w:val="4BAF3531"/>
    <w:rsid w:val="4BB95EC5"/>
    <w:rsid w:val="4BDD08B6"/>
    <w:rsid w:val="4BE11211"/>
    <w:rsid w:val="4BEB08B1"/>
    <w:rsid w:val="4C1C5F2C"/>
    <w:rsid w:val="4C325F10"/>
    <w:rsid w:val="4C3260E9"/>
    <w:rsid w:val="4C387642"/>
    <w:rsid w:val="4C3E48B5"/>
    <w:rsid w:val="4C401D19"/>
    <w:rsid w:val="4C455C43"/>
    <w:rsid w:val="4C5B0FC3"/>
    <w:rsid w:val="4C5D7845"/>
    <w:rsid w:val="4C9254BF"/>
    <w:rsid w:val="4CA7772A"/>
    <w:rsid w:val="4CB132D9"/>
    <w:rsid w:val="4CB6280A"/>
    <w:rsid w:val="4CD124FE"/>
    <w:rsid w:val="4CD36114"/>
    <w:rsid w:val="4CDF7E46"/>
    <w:rsid w:val="4CE8187B"/>
    <w:rsid w:val="4D360AFE"/>
    <w:rsid w:val="4D3D691B"/>
    <w:rsid w:val="4D4B7289"/>
    <w:rsid w:val="4D52686A"/>
    <w:rsid w:val="4D7F381E"/>
    <w:rsid w:val="4D802573"/>
    <w:rsid w:val="4D8A3297"/>
    <w:rsid w:val="4D930161"/>
    <w:rsid w:val="4DA90454"/>
    <w:rsid w:val="4DA9608F"/>
    <w:rsid w:val="4DBC0187"/>
    <w:rsid w:val="4DCD7C9F"/>
    <w:rsid w:val="4DFF1E22"/>
    <w:rsid w:val="4E145097"/>
    <w:rsid w:val="4E1C6E78"/>
    <w:rsid w:val="4E2B70BB"/>
    <w:rsid w:val="4E31544E"/>
    <w:rsid w:val="4E4C6964"/>
    <w:rsid w:val="4E740A62"/>
    <w:rsid w:val="4E7E3E6F"/>
    <w:rsid w:val="4E846008"/>
    <w:rsid w:val="4E9F6920"/>
    <w:rsid w:val="4EB26E94"/>
    <w:rsid w:val="4EC015B1"/>
    <w:rsid w:val="4ECA2430"/>
    <w:rsid w:val="4ECE0172"/>
    <w:rsid w:val="4ECF008C"/>
    <w:rsid w:val="4ED5296D"/>
    <w:rsid w:val="4F0D67A5"/>
    <w:rsid w:val="4F133DD7"/>
    <w:rsid w:val="4F310701"/>
    <w:rsid w:val="4F3501F1"/>
    <w:rsid w:val="4F45079D"/>
    <w:rsid w:val="4F4E4E0F"/>
    <w:rsid w:val="4F544D6B"/>
    <w:rsid w:val="4F5F72F7"/>
    <w:rsid w:val="4F8D6A55"/>
    <w:rsid w:val="4FAF6CA3"/>
    <w:rsid w:val="4FB16355"/>
    <w:rsid w:val="4FD03A76"/>
    <w:rsid w:val="4FDE7304"/>
    <w:rsid w:val="4FE70DC0"/>
    <w:rsid w:val="4FFF435B"/>
    <w:rsid w:val="501408D0"/>
    <w:rsid w:val="502260EB"/>
    <w:rsid w:val="505226DD"/>
    <w:rsid w:val="506B7C43"/>
    <w:rsid w:val="507B7E86"/>
    <w:rsid w:val="50A868B7"/>
    <w:rsid w:val="50BF5F50"/>
    <w:rsid w:val="50CD338E"/>
    <w:rsid w:val="50D2381E"/>
    <w:rsid w:val="50D4718B"/>
    <w:rsid w:val="50D545BC"/>
    <w:rsid w:val="50E21A58"/>
    <w:rsid w:val="50EE70FF"/>
    <w:rsid w:val="50F675AE"/>
    <w:rsid w:val="51037E7B"/>
    <w:rsid w:val="510C6D30"/>
    <w:rsid w:val="513A2283"/>
    <w:rsid w:val="51497F84"/>
    <w:rsid w:val="51532BB1"/>
    <w:rsid w:val="515A6077"/>
    <w:rsid w:val="515C5B4A"/>
    <w:rsid w:val="51680592"/>
    <w:rsid w:val="516E106E"/>
    <w:rsid w:val="517174DB"/>
    <w:rsid w:val="519A012F"/>
    <w:rsid w:val="51AC22C1"/>
    <w:rsid w:val="51BC3290"/>
    <w:rsid w:val="51C63383"/>
    <w:rsid w:val="51CB5703"/>
    <w:rsid w:val="51CE738D"/>
    <w:rsid w:val="520E0886"/>
    <w:rsid w:val="522C11FF"/>
    <w:rsid w:val="52407A3D"/>
    <w:rsid w:val="52502EFE"/>
    <w:rsid w:val="527F3531"/>
    <w:rsid w:val="528F19C6"/>
    <w:rsid w:val="529671F9"/>
    <w:rsid w:val="52994D0A"/>
    <w:rsid w:val="529C0587"/>
    <w:rsid w:val="52A5743C"/>
    <w:rsid w:val="52B458D1"/>
    <w:rsid w:val="52BC29D7"/>
    <w:rsid w:val="52CB6777"/>
    <w:rsid w:val="52D70FF5"/>
    <w:rsid w:val="53042DB3"/>
    <w:rsid w:val="533D7674"/>
    <w:rsid w:val="534D0381"/>
    <w:rsid w:val="53545E52"/>
    <w:rsid w:val="535A6478"/>
    <w:rsid w:val="53633F20"/>
    <w:rsid w:val="5365657E"/>
    <w:rsid w:val="53BB4A3D"/>
    <w:rsid w:val="53C32496"/>
    <w:rsid w:val="53C61698"/>
    <w:rsid w:val="53D43C9C"/>
    <w:rsid w:val="53D71491"/>
    <w:rsid w:val="540E2DBF"/>
    <w:rsid w:val="54244390"/>
    <w:rsid w:val="54282699"/>
    <w:rsid w:val="54422A68"/>
    <w:rsid w:val="544D1B39"/>
    <w:rsid w:val="54531F10"/>
    <w:rsid w:val="546E1A6F"/>
    <w:rsid w:val="548A4B3B"/>
    <w:rsid w:val="549500A2"/>
    <w:rsid w:val="54B63BA9"/>
    <w:rsid w:val="54DA7145"/>
    <w:rsid w:val="54DB4129"/>
    <w:rsid w:val="54DF5299"/>
    <w:rsid w:val="54E31E40"/>
    <w:rsid w:val="54F14BBA"/>
    <w:rsid w:val="552A00CC"/>
    <w:rsid w:val="553141F3"/>
    <w:rsid w:val="555A5EEB"/>
    <w:rsid w:val="555B2034"/>
    <w:rsid w:val="55626964"/>
    <w:rsid w:val="556C4241"/>
    <w:rsid w:val="55760C1C"/>
    <w:rsid w:val="5577067E"/>
    <w:rsid w:val="55773401"/>
    <w:rsid w:val="557D01FC"/>
    <w:rsid w:val="55B51455"/>
    <w:rsid w:val="55CB33C8"/>
    <w:rsid w:val="55DF0EB7"/>
    <w:rsid w:val="55ED23BB"/>
    <w:rsid w:val="56004989"/>
    <w:rsid w:val="561D19DF"/>
    <w:rsid w:val="56221102"/>
    <w:rsid w:val="563D798B"/>
    <w:rsid w:val="564927D4"/>
    <w:rsid w:val="56696900"/>
    <w:rsid w:val="56785D5C"/>
    <w:rsid w:val="569752EE"/>
    <w:rsid w:val="569D042A"/>
    <w:rsid w:val="56A562FD"/>
    <w:rsid w:val="56A919C7"/>
    <w:rsid w:val="56B97893"/>
    <w:rsid w:val="56E062F3"/>
    <w:rsid w:val="56EB388B"/>
    <w:rsid w:val="570A6004"/>
    <w:rsid w:val="570C06A2"/>
    <w:rsid w:val="572A655F"/>
    <w:rsid w:val="572D7A00"/>
    <w:rsid w:val="57342B3C"/>
    <w:rsid w:val="573B211D"/>
    <w:rsid w:val="573D13FB"/>
    <w:rsid w:val="575859CB"/>
    <w:rsid w:val="576F67CA"/>
    <w:rsid w:val="579F26AB"/>
    <w:rsid w:val="57BF5FD4"/>
    <w:rsid w:val="57C56175"/>
    <w:rsid w:val="57D0303B"/>
    <w:rsid w:val="57DF12C9"/>
    <w:rsid w:val="57E427B4"/>
    <w:rsid w:val="580759F7"/>
    <w:rsid w:val="580966D7"/>
    <w:rsid w:val="582538D4"/>
    <w:rsid w:val="582D6D32"/>
    <w:rsid w:val="582F707B"/>
    <w:rsid w:val="584375EF"/>
    <w:rsid w:val="5846521D"/>
    <w:rsid w:val="584C5802"/>
    <w:rsid w:val="586A0701"/>
    <w:rsid w:val="58977827"/>
    <w:rsid w:val="58DA7713"/>
    <w:rsid w:val="58EB1921"/>
    <w:rsid w:val="58FE1654"/>
    <w:rsid w:val="59034B0E"/>
    <w:rsid w:val="59285535"/>
    <w:rsid w:val="592A342E"/>
    <w:rsid w:val="59350505"/>
    <w:rsid w:val="59357ED0"/>
    <w:rsid w:val="593D7D36"/>
    <w:rsid w:val="59417793"/>
    <w:rsid w:val="59465FF6"/>
    <w:rsid w:val="59626F88"/>
    <w:rsid w:val="596D67DA"/>
    <w:rsid w:val="597213EE"/>
    <w:rsid w:val="59767DFB"/>
    <w:rsid w:val="597B5BD4"/>
    <w:rsid w:val="5992363E"/>
    <w:rsid w:val="59926240"/>
    <w:rsid w:val="59AE2310"/>
    <w:rsid w:val="59BF0516"/>
    <w:rsid w:val="59CD0E34"/>
    <w:rsid w:val="59D070A8"/>
    <w:rsid w:val="59D52CBB"/>
    <w:rsid w:val="59DB53F4"/>
    <w:rsid w:val="59F17DE1"/>
    <w:rsid w:val="5A037DBC"/>
    <w:rsid w:val="5A07022F"/>
    <w:rsid w:val="5A1607F5"/>
    <w:rsid w:val="5A6C62B6"/>
    <w:rsid w:val="5A850901"/>
    <w:rsid w:val="5AB53F94"/>
    <w:rsid w:val="5ABA2E98"/>
    <w:rsid w:val="5AD07020"/>
    <w:rsid w:val="5ADC59C5"/>
    <w:rsid w:val="5ADE2869"/>
    <w:rsid w:val="5AF16B53"/>
    <w:rsid w:val="5AF431BF"/>
    <w:rsid w:val="5AF745AD"/>
    <w:rsid w:val="5B0D134A"/>
    <w:rsid w:val="5B264E92"/>
    <w:rsid w:val="5B3D5079"/>
    <w:rsid w:val="5B3E6680"/>
    <w:rsid w:val="5B4120E6"/>
    <w:rsid w:val="5B414987"/>
    <w:rsid w:val="5B460B40"/>
    <w:rsid w:val="5B4F0B01"/>
    <w:rsid w:val="5B6E2A65"/>
    <w:rsid w:val="5B7A511B"/>
    <w:rsid w:val="5B7E082A"/>
    <w:rsid w:val="5B831FB5"/>
    <w:rsid w:val="5B8874CC"/>
    <w:rsid w:val="5B89006B"/>
    <w:rsid w:val="5B9D24BE"/>
    <w:rsid w:val="5BA30291"/>
    <w:rsid w:val="5BAF30D9"/>
    <w:rsid w:val="5BBB1A7E"/>
    <w:rsid w:val="5BC023FC"/>
    <w:rsid w:val="5BC41CC4"/>
    <w:rsid w:val="5BD82550"/>
    <w:rsid w:val="5BE865EB"/>
    <w:rsid w:val="5BF06461"/>
    <w:rsid w:val="5BFD32B2"/>
    <w:rsid w:val="5BFD6830"/>
    <w:rsid w:val="5C014CF7"/>
    <w:rsid w:val="5C077946"/>
    <w:rsid w:val="5C0E6052"/>
    <w:rsid w:val="5C1318BA"/>
    <w:rsid w:val="5C272EF3"/>
    <w:rsid w:val="5C27405A"/>
    <w:rsid w:val="5C361EF0"/>
    <w:rsid w:val="5C6519EA"/>
    <w:rsid w:val="5C86208C"/>
    <w:rsid w:val="5C961809"/>
    <w:rsid w:val="5CBF734C"/>
    <w:rsid w:val="5CD4202A"/>
    <w:rsid w:val="5CD544A4"/>
    <w:rsid w:val="5CE77D3C"/>
    <w:rsid w:val="5CEF4699"/>
    <w:rsid w:val="5CFF4007"/>
    <w:rsid w:val="5D017965"/>
    <w:rsid w:val="5D051061"/>
    <w:rsid w:val="5D11431E"/>
    <w:rsid w:val="5D251029"/>
    <w:rsid w:val="5D284E9D"/>
    <w:rsid w:val="5D31207E"/>
    <w:rsid w:val="5D3C274B"/>
    <w:rsid w:val="5D4304F3"/>
    <w:rsid w:val="5D4C032F"/>
    <w:rsid w:val="5D553EF3"/>
    <w:rsid w:val="5D6121B1"/>
    <w:rsid w:val="5D9978C0"/>
    <w:rsid w:val="5DAF4C1B"/>
    <w:rsid w:val="5DC07DFE"/>
    <w:rsid w:val="5DC10D1E"/>
    <w:rsid w:val="5DE1395B"/>
    <w:rsid w:val="5DFF5C52"/>
    <w:rsid w:val="5E2778B7"/>
    <w:rsid w:val="5E343D6A"/>
    <w:rsid w:val="5E3A0775"/>
    <w:rsid w:val="5E4107AB"/>
    <w:rsid w:val="5E4D7EB2"/>
    <w:rsid w:val="5E7F79B1"/>
    <w:rsid w:val="5E954808"/>
    <w:rsid w:val="5E9640DD"/>
    <w:rsid w:val="5EA27CF7"/>
    <w:rsid w:val="5EA444A0"/>
    <w:rsid w:val="5EA67C0E"/>
    <w:rsid w:val="5EB34C8F"/>
    <w:rsid w:val="5EC27110"/>
    <w:rsid w:val="5EC849B8"/>
    <w:rsid w:val="5ECB022A"/>
    <w:rsid w:val="5EFB31D0"/>
    <w:rsid w:val="5F1C6CD8"/>
    <w:rsid w:val="5F27742B"/>
    <w:rsid w:val="5F3C1030"/>
    <w:rsid w:val="5F3F29C6"/>
    <w:rsid w:val="5F466902"/>
    <w:rsid w:val="5F6146EB"/>
    <w:rsid w:val="5F6465CB"/>
    <w:rsid w:val="5F662E49"/>
    <w:rsid w:val="5F677827"/>
    <w:rsid w:val="5F7F40F4"/>
    <w:rsid w:val="5F8F74AA"/>
    <w:rsid w:val="5FAF242C"/>
    <w:rsid w:val="5FB707AE"/>
    <w:rsid w:val="5FC05400"/>
    <w:rsid w:val="5FD55225"/>
    <w:rsid w:val="5FD760CD"/>
    <w:rsid w:val="5FEB06C4"/>
    <w:rsid w:val="5FEF7845"/>
    <w:rsid w:val="5FF037E1"/>
    <w:rsid w:val="5FF91718"/>
    <w:rsid w:val="601C4AB5"/>
    <w:rsid w:val="6026036A"/>
    <w:rsid w:val="602776E2"/>
    <w:rsid w:val="60410E36"/>
    <w:rsid w:val="60483AFC"/>
    <w:rsid w:val="60557729"/>
    <w:rsid w:val="606079EE"/>
    <w:rsid w:val="60645B10"/>
    <w:rsid w:val="606F2B03"/>
    <w:rsid w:val="60787F3E"/>
    <w:rsid w:val="60804271"/>
    <w:rsid w:val="609664CC"/>
    <w:rsid w:val="60B13450"/>
    <w:rsid w:val="60C5514D"/>
    <w:rsid w:val="60D759D8"/>
    <w:rsid w:val="60DB48AB"/>
    <w:rsid w:val="60E37FD4"/>
    <w:rsid w:val="60E94F36"/>
    <w:rsid w:val="610C1348"/>
    <w:rsid w:val="612C3FFB"/>
    <w:rsid w:val="613876CD"/>
    <w:rsid w:val="61530DE8"/>
    <w:rsid w:val="617A5EC3"/>
    <w:rsid w:val="618B3265"/>
    <w:rsid w:val="619C5EAE"/>
    <w:rsid w:val="61B968D7"/>
    <w:rsid w:val="61C81091"/>
    <w:rsid w:val="61F961C7"/>
    <w:rsid w:val="62074496"/>
    <w:rsid w:val="620B36E5"/>
    <w:rsid w:val="620C2843"/>
    <w:rsid w:val="6211064A"/>
    <w:rsid w:val="62132194"/>
    <w:rsid w:val="62196ADD"/>
    <w:rsid w:val="62375ACC"/>
    <w:rsid w:val="624502F4"/>
    <w:rsid w:val="627A0905"/>
    <w:rsid w:val="62853336"/>
    <w:rsid w:val="628908CB"/>
    <w:rsid w:val="628D57F7"/>
    <w:rsid w:val="629D1EDE"/>
    <w:rsid w:val="62A379A4"/>
    <w:rsid w:val="62AA45FB"/>
    <w:rsid w:val="62B6148B"/>
    <w:rsid w:val="62BA3381"/>
    <w:rsid w:val="62D11B87"/>
    <w:rsid w:val="62F15205"/>
    <w:rsid w:val="63043D0B"/>
    <w:rsid w:val="63147CC6"/>
    <w:rsid w:val="632A47DA"/>
    <w:rsid w:val="632E2B36"/>
    <w:rsid w:val="636B4E7E"/>
    <w:rsid w:val="637C7D45"/>
    <w:rsid w:val="638B28E8"/>
    <w:rsid w:val="63A70B3A"/>
    <w:rsid w:val="63AA2D92"/>
    <w:rsid w:val="63B35731"/>
    <w:rsid w:val="63C306A6"/>
    <w:rsid w:val="63D80CF3"/>
    <w:rsid w:val="63E47698"/>
    <w:rsid w:val="6429154F"/>
    <w:rsid w:val="64370110"/>
    <w:rsid w:val="64500020"/>
    <w:rsid w:val="649C565F"/>
    <w:rsid w:val="64BD6867"/>
    <w:rsid w:val="64C10AA0"/>
    <w:rsid w:val="64C71494"/>
    <w:rsid w:val="64C858B0"/>
    <w:rsid w:val="64CE1ADF"/>
    <w:rsid w:val="64D63A82"/>
    <w:rsid w:val="64F352EC"/>
    <w:rsid w:val="650049A6"/>
    <w:rsid w:val="65037FF2"/>
    <w:rsid w:val="653644EB"/>
    <w:rsid w:val="653B572C"/>
    <w:rsid w:val="653F0E3D"/>
    <w:rsid w:val="65493CF3"/>
    <w:rsid w:val="655D3BA6"/>
    <w:rsid w:val="65613696"/>
    <w:rsid w:val="6562079B"/>
    <w:rsid w:val="65752C9E"/>
    <w:rsid w:val="65844F8D"/>
    <w:rsid w:val="659770B8"/>
    <w:rsid w:val="65BC08CD"/>
    <w:rsid w:val="65C92FEA"/>
    <w:rsid w:val="65CC7397"/>
    <w:rsid w:val="65F8567D"/>
    <w:rsid w:val="65F934BA"/>
    <w:rsid w:val="66092364"/>
    <w:rsid w:val="662621EA"/>
    <w:rsid w:val="663043E4"/>
    <w:rsid w:val="66317058"/>
    <w:rsid w:val="66372649"/>
    <w:rsid w:val="663A3261"/>
    <w:rsid w:val="66527D73"/>
    <w:rsid w:val="66723681"/>
    <w:rsid w:val="667B50FD"/>
    <w:rsid w:val="668138C4"/>
    <w:rsid w:val="66952ECC"/>
    <w:rsid w:val="66964D24"/>
    <w:rsid w:val="669C06FE"/>
    <w:rsid w:val="66D853AC"/>
    <w:rsid w:val="66D871A4"/>
    <w:rsid w:val="66DD4563"/>
    <w:rsid w:val="66DE4873"/>
    <w:rsid w:val="66EB3AD5"/>
    <w:rsid w:val="66F15C26"/>
    <w:rsid w:val="66F7325B"/>
    <w:rsid w:val="6700770E"/>
    <w:rsid w:val="67073449"/>
    <w:rsid w:val="67090219"/>
    <w:rsid w:val="670C0300"/>
    <w:rsid w:val="670F30BA"/>
    <w:rsid w:val="6716462B"/>
    <w:rsid w:val="67185FD7"/>
    <w:rsid w:val="671F62CE"/>
    <w:rsid w:val="674419D4"/>
    <w:rsid w:val="674E19F8"/>
    <w:rsid w:val="67604F32"/>
    <w:rsid w:val="677355DB"/>
    <w:rsid w:val="677671A1"/>
    <w:rsid w:val="677A6D57"/>
    <w:rsid w:val="67931A24"/>
    <w:rsid w:val="67A00AF3"/>
    <w:rsid w:val="67A41618"/>
    <w:rsid w:val="67B960B2"/>
    <w:rsid w:val="67C03F80"/>
    <w:rsid w:val="67C3130F"/>
    <w:rsid w:val="67DF6EC0"/>
    <w:rsid w:val="67E3069C"/>
    <w:rsid w:val="67EF5770"/>
    <w:rsid w:val="68152516"/>
    <w:rsid w:val="68190258"/>
    <w:rsid w:val="681C40ED"/>
    <w:rsid w:val="6823620F"/>
    <w:rsid w:val="68550B65"/>
    <w:rsid w:val="685E3B40"/>
    <w:rsid w:val="68632C80"/>
    <w:rsid w:val="68890C27"/>
    <w:rsid w:val="689551AC"/>
    <w:rsid w:val="6897229E"/>
    <w:rsid w:val="68B026F9"/>
    <w:rsid w:val="68C84CF7"/>
    <w:rsid w:val="68E25BC0"/>
    <w:rsid w:val="69140A20"/>
    <w:rsid w:val="691F06D0"/>
    <w:rsid w:val="69310AF9"/>
    <w:rsid w:val="69446F6F"/>
    <w:rsid w:val="69450BD9"/>
    <w:rsid w:val="695014D2"/>
    <w:rsid w:val="69584116"/>
    <w:rsid w:val="69791E01"/>
    <w:rsid w:val="697F1A1F"/>
    <w:rsid w:val="69975517"/>
    <w:rsid w:val="69BF3220"/>
    <w:rsid w:val="69C021D9"/>
    <w:rsid w:val="69DA0045"/>
    <w:rsid w:val="69EF3B3D"/>
    <w:rsid w:val="69F06D97"/>
    <w:rsid w:val="6A15597A"/>
    <w:rsid w:val="6A29380D"/>
    <w:rsid w:val="6A3C022E"/>
    <w:rsid w:val="6A5A06B4"/>
    <w:rsid w:val="6A687275"/>
    <w:rsid w:val="6A6D488B"/>
    <w:rsid w:val="6A7A0CAF"/>
    <w:rsid w:val="6A7A48B2"/>
    <w:rsid w:val="6A7A6958"/>
    <w:rsid w:val="6A7F011B"/>
    <w:rsid w:val="6A9040D6"/>
    <w:rsid w:val="6AA3205B"/>
    <w:rsid w:val="6ADF750A"/>
    <w:rsid w:val="6AF27F47"/>
    <w:rsid w:val="6B0D1BCA"/>
    <w:rsid w:val="6B1B6095"/>
    <w:rsid w:val="6B3C73F8"/>
    <w:rsid w:val="6B3D71DE"/>
    <w:rsid w:val="6B3F541F"/>
    <w:rsid w:val="6B41023F"/>
    <w:rsid w:val="6B7925B5"/>
    <w:rsid w:val="6BAE62FA"/>
    <w:rsid w:val="6BAF3B39"/>
    <w:rsid w:val="6BC83AA5"/>
    <w:rsid w:val="6C04649D"/>
    <w:rsid w:val="6C0C1E82"/>
    <w:rsid w:val="6C0C3C30"/>
    <w:rsid w:val="6C440EAF"/>
    <w:rsid w:val="6C664248"/>
    <w:rsid w:val="6C8531BA"/>
    <w:rsid w:val="6C86579C"/>
    <w:rsid w:val="6C8F2FF0"/>
    <w:rsid w:val="6C9F43D9"/>
    <w:rsid w:val="6CEC63D9"/>
    <w:rsid w:val="6D192AA9"/>
    <w:rsid w:val="6D23382C"/>
    <w:rsid w:val="6D2B6338"/>
    <w:rsid w:val="6D374F86"/>
    <w:rsid w:val="6D452D6D"/>
    <w:rsid w:val="6D502AE7"/>
    <w:rsid w:val="6D5D5725"/>
    <w:rsid w:val="6D631F76"/>
    <w:rsid w:val="6D6D5BB4"/>
    <w:rsid w:val="6D7B03C6"/>
    <w:rsid w:val="6D8365B1"/>
    <w:rsid w:val="6D9851F2"/>
    <w:rsid w:val="6DA22E83"/>
    <w:rsid w:val="6DAA3701"/>
    <w:rsid w:val="6DB33828"/>
    <w:rsid w:val="6DC373C0"/>
    <w:rsid w:val="6DC74338"/>
    <w:rsid w:val="6DDA1BDC"/>
    <w:rsid w:val="6DEC3919"/>
    <w:rsid w:val="6DF06134"/>
    <w:rsid w:val="6DF374C6"/>
    <w:rsid w:val="6E0556DC"/>
    <w:rsid w:val="6E39446C"/>
    <w:rsid w:val="6E3B7411"/>
    <w:rsid w:val="6E4771A1"/>
    <w:rsid w:val="6E753D0F"/>
    <w:rsid w:val="6E761835"/>
    <w:rsid w:val="6E8142FE"/>
    <w:rsid w:val="6E8F41AA"/>
    <w:rsid w:val="6E97431A"/>
    <w:rsid w:val="6EAE5472"/>
    <w:rsid w:val="6EB365E5"/>
    <w:rsid w:val="6ECB0CC0"/>
    <w:rsid w:val="6EE36ECA"/>
    <w:rsid w:val="6EE80984"/>
    <w:rsid w:val="6EED4B84"/>
    <w:rsid w:val="6EEE1389"/>
    <w:rsid w:val="6EF72529"/>
    <w:rsid w:val="6F0926A9"/>
    <w:rsid w:val="6F2F210F"/>
    <w:rsid w:val="6F321E6A"/>
    <w:rsid w:val="6F38553C"/>
    <w:rsid w:val="6F675D4D"/>
    <w:rsid w:val="6F685AFA"/>
    <w:rsid w:val="6F7264A0"/>
    <w:rsid w:val="6F765F90"/>
    <w:rsid w:val="6F9704C7"/>
    <w:rsid w:val="6FD607DD"/>
    <w:rsid w:val="6FDA4DF2"/>
    <w:rsid w:val="6FF3138F"/>
    <w:rsid w:val="6FFB4570"/>
    <w:rsid w:val="70230F84"/>
    <w:rsid w:val="702F666B"/>
    <w:rsid w:val="7091755D"/>
    <w:rsid w:val="70933AF8"/>
    <w:rsid w:val="70BD199D"/>
    <w:rsid w:val="70C25290"/>
    <w:rsid w:val="70FF2DCA"/>
    <w:rsid w:val="71007E4D"/>
    <w:rsid w:val="71096DA2"/>
    <w:rsid w:val="711168DD"/>
    <w:rsid w:val="71300C02"/>
    <w:rsid w:val="71347EB1"/>
    <w:rsid w:val="717E3CF2"/>
    <w:rsid w:val="7193638A"/>
    <w:rsid w:val="71990047"/>
    <w:rsid w:val="719B39D6"/>
    <w:rsid w:val="719D1B7E"/>
    <w:rsid w:val="71C60BB4"/>
    <w:rsid w:val="71EF507F"/>
    <w:rsid w:val="71F65166"/>
    <w:rsid w:val="7206015E"/>
    <w:rsid w:val="7218332F"/>
    <w:rsid w:val="721F67CA"/>
    <w:rsid w:val="722013F6"/>
    <w:rsid w:val="722577FA"/>
    <w:rsid w:val="723B0A44"/>
    <w:rsid w:val="72784C2E"/>
    <w:rsid w:val="727D5888"/>
    <w:rsid w:val="72871FD2"/>
    <w:rsid w:val="72AC3A77"/>
    <w:rsid w:val="72BA0857"/>
    <w:rsid w:val="72BD3ED6"/>
    <w:rsid w:val="72C140BF"/>
    <w:rsid w:val="72CB2E2F"/>
    <w:rsid w:val="72DB3906"/>
    <w:rsid w:val="72DD79E1"/>
    <w:rsid w:val="72E43211"/>
    <w:rsid w:val="72EE0533"/>
    <w:rsid w:val="72F07E08"/>
    <w:rsid w:val="7303326F"/>
    <w:rsid w:val="730E64E0"/>
    <w:rsid w:val="73185FA3"/>
    <w:rsid w:val="73310977"/>
    <w:rsid w:val="73326848"/>
    <w:rsid w:val="73353A6C"/>
    <w:rsid w:val="733E5017"/>
    <w:rsid w:val="73426189"/>
    <w:rsid w:val="7348194A"/>
    <w:rsid w:val="734A208F"/>
    <w:rsid w:val="734E0078"/>
    <w:rsid w:val="7353343B"/>
    <w:rsid w:val="737060E3"/>
    <w:rsid w:val="737308E6"/>
    <w:rsid w:val="73A20FDF"/>
    <w:rsid w:val="73CD0149"/>
    <w:rsid w:val="73CD639B"/>
    <w:rsid w:val="73D72923"/>
    <w:rsid w:val="73DD6D17"/>
    <w:rsid w:val="73E13BF4"/>
    <w:rsid w:val="73F720C5"/>
    <w:rsid w:val="740B2A1F"/>
    <w:rsid w:val="741B7106"/>
    <w:rsid w:val="744322BA"/>
    <w:rsid w:val="74454183"/>
    <w:rsid w:val="74637F1A"/>
    <w:rsid w:val="74640AAD"/>
    <w:rsid w:val="7467234B"/>
    <w:rsid w:val="7481459E"/>
    <w:rsid w:val="748B4A38"/>
    <w:rsid w:val="748C068B"/>
    <w:rsid w:val="74980BA6"/>
    <w:rsid w:val="74BA06CD"/>
    <w:rsid w:val="74EE481B"/>
    <w:rsid w:val="74FA31C0"/>
    <w:rsid w:val="74FC1D2B"/>
    <w:rsid w:val="750641BE"/>
    <w:rsid w:val="751D2A0A"/>
    <w:rsid w:val="75247457"/>
    <w:rsid w:val="752E13D7"/>
    <w:rsid w:val="753541F8"/>
    <w:rsid w:val="75367586"/>
    <w:rsid w:val="754206C3"/>
    <w:rsid w:val="754B0F7F"/>
    <w:rsid w:val="754E680C"/>
    <w:rsid w:val="755C1784"/>
    <w:rsid w:val="75622AAC"/>
    <w:rsid w:val="7565076B"/>
    <w:rsid w:val="757A1C0A"/>
    <w:rsid w:val="75932CCC"/>
    <w:rsid w:val="75B4336E"/>
    <w:rsid w:val="75B8308A"/>
    <w:rsid w:val="75C86E1A"/>
    <w:rsid w:val="75D62912"/>
    <w:rsid w:val="75F34355"/>
    <w:rsid w:val="75F366AC"/>
    <w:rsid w:val="76285B0A"/>
    <w:rsid w:val="76456718"/>
    <w:rsid w:val="7677439C"/>
    <w:rsid w:val="76971556"/>
    <w:rsid w:val="769F69FB"/>
    <w:rsid w:val="76A15D65"/>
    <w:rsid w:val="76AE5798"/>
    <w:rsid w:val="76B34F7A"/>
    <w:rsid w:val="76BE3D7E"/>
    <w:rsid w:val="76BE4E69"/>
    <w:rsid w:val="76F16762"/>
    <w:rsid w:val="76FB1881"/>
    <w:rsid w:val="76FF4961"/>
    <w:rsid w:val="77473114"/>
    <w:rsid w:val="77637F6A"/>
    <w:rsid w:val="777572CA"/>
    <w:rsid w:val="777B5B91"/>
    <w:rsid w:val="777B66C5"/>
    <w:rsid w:val="777E63ED"/>
    <w:rsid w:val="779F356A"/>
    <w:rsid w:val="77CE1DBC"/>
    <w:rsid w:val="77D0645A"/>
    <w:rsid w:val="77D87C8E"/>
    <w:rsid w:val="77DA0571"/>
    <w:rsid w:val="77DB67A7"/>
    <w:rsid w:val="78182DED"/>
    <w:rsid w:val="781D17B3"/>
    <w:rsid w:val="781F2ADC"/>
    <w:rsid w:val="78222899"/>
    <w:rsid w:val="782C3FC4"/>
    <w:rsid w:val="782D78A1"/>
    <w:rsid w:val="78331343"/>
    <w:rsid w:val="783469E8"/>
    <w:rsid w:val="784221CC"/>
    <w:rsid w:val="784C5638"/>
    <w:rsid w:val="784F5146"/>
    <w:rsid w:val="7854632A"/>
    <w:rsid w:val="7859644F"/>
    <w:rsid w:val="787F73A0"/>
    <w:rsid w:val="78A044E4"/>
    <w:rsid w:val="78B95140"/>
    <w:rsid w:val="78D37FAF"/>
    <w:rsid w:val="78E906E5"/>
    <w:rsid w:val="78EE6B97"/>
    <w:rsid w:val="78F1760A"/>
    <w:rsid w:val="790243F1"/>
    <w:rsid w:val="79030123"/>
    <w:rsid w:val="790B392E"/>
    <w:rsid w:val="791C756C"/>
    <w:rsid w:val="79330292"/>
    <w:rsid w:val="794837A4"/>
    <w:rsid w:val="796F4E0F"/>
    <w:rsid w:val="799F6E46"/>
    <w:rsid w:val="79A20C3E"/>
    <w:rsid w:val="79BA71B9"/>
    <w:rsid w:val="79D7587D"/>
    <w:rsid w:val="79F019EC"/>
    <w:rsid w:val="7A0E5017"/>
    <w:rsid w:val="7A30361C"/>
    <w:rsid w:val="7A4324A6"/>
    <w:rsid w:val="7A6C1BEF"/>
    <w:rsid w:val="7A8F3806"/>
    <w:rsid w:val="7A913CBB"/>
    <w:rsid w:val="7AAB2866"/>
    <w:rsid w:val="7AB357AC"/>
    <w:rsid w:val="7AB45BBF"/>
    <w:rsid w:val="7AD63F71"/>
    <w:rsid w:val="7AD9673C"/>
    <w:rsid w:val="7AF82EA0"/>
    <w:rsid w:val="7B05641A"/>
    <w:rsid w:val="7B086324"/>
    <w:rsid w:val="7B212B22"/>
    <w:rsid w:val="7B2369BA"/>
    <w:rsid w:val="7B27198E"/>
    <w:rsid w:val="7B2F5245"/>
    <w:rsid w:val="7B5812E9"/>
    <w:rsid w:val="7B9003DA"/>
    <w:rsid w:val="7B9A5581"/>
    <w:rsid w:val="7BA94FF8"/>
    <w:rsid w:val="7BD847BF"/>
    <w:rsid w:val="7C1A51DF"/>
    <w:rsid w:val="7C243100"/>
    <w:rsid w:val="7C4F2E4B"/>
    <w:rsid w:val="7C574A54"/>
    <w:rsid w:val="7C7B0B06"/>
    <w:rsid w:val="7C7D72CE"/>
    <w:rsid w:val="7CA51C63"/>
    <w:rsid w:val="7CB64FDE"/>
    <w:rsid w:val="7CC21730"/>
    <w:rsid w:val="7CDA5749"/>
    <w:rsid w:val="7CE51337"/>
    <w:rsid w:val="7CF733B6"/>
    <w:rsid w:val="7CFF74C1"/>
    <w:rsid w:val="7D037CAF"/>
    <w:rsid w:val="7D142945"/>
    <w:rsid w:val="7D2232B3"/>
    <w:rsid w:val="7D230DDA"/>
    <w:rsid w:val="7D3D1E9B"/>
    <w:rsid w:val="7D506E79"/>
    <w:rsid w:val="7D684AEE"/>
    <w:rsid w:val="7D97463E"/>
    <w:rsid w:val="7D9F66B2"/>
    <w:rsid w:val="7DB30B7E"/>
    <w:rsid w:val="7DB52270"/>
    <w:rsid w:val="7DC64242"/>
    <w:rsid w:val="7DCC06C7"/>
    <w:rsid w:val="7DE762AB"/>
    <w:rsid w:val="7E0B4983"/>
    <w:rsid w:val="7E492AC2"/>
    <w:rsid w:val="7E584AB3"/>
    <w:rsid w:val="7E722019"/>
    <w:rsid w:val="7E7D067A"/>
    <w:rsid w:val="7E923102"/>
    <w:rsid w:val="7EA34DF7"/>
    <w:rsid w:val="7EA42555"/>
    <w:rsid w:val="7ECE0D9B"/>
    <w:rsid w:val="7ED23680"/>
    <w:rsid w:val="7ED54A2F"/>
    <w:rsid w:val="7EE62BBF"/>
    <w:rsid w:val="7EE66563"/>
    <w:rsid w:val="7EF30690"/>
    <w:rsid w:val="7EF722B8"/>
    <w:rsid w:val="7F1D7072"/>
    <w:rsid w:val="7F4C286A"/>
    <w:rsid w:val="7F517E80"/>
    <w:rsid w:val="7F572FBC"/>
    <w:rsid w:val="7F6A2E74"/>
    <w:rsid w:val="7F74591C"/>
    <w:rsid w:val="7F7B314F"/>
    <w:rsid w:val="7F857E4D"/>
    <w:rsid w:val="7F895D71"/>
    <w:rsid w:val="7FAB4CC4"/>
    <w:rsid w:val="7FC356F8"/>
    <w:rsid w:val="7FC5291B"/>
    <w:rsid w:val="7FFB14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62"/>
    <w:autoRedefine/>
    <w:qFormat/>
    <w:uiPriority w:val="0"/>
    <w:pPr>
      <w:keepNext/>
      <w:keepLines/>
      <w:numPr>
        <w:ilvl w:val="0"/>
        <w:numId w:val="1"/>
      </w:numPr>
      <w:adjustRightInd w:val="0"/>
      <w:snapToGrid w:val="0"/>
      <w:spacing w:line="360" w:lineRule="auto"/>
      <w:jc w:val="center"/>
      <w:outlineLvl w:val="0"/>
    </w:pPr>
    <w:rPr>
      <w:b/>
      <w:bCs/>
      <w:kern w:val="0"/>
      <w:sz w:val="30"/>
      <w:szCs w:val="30"/>
    </w:rPr>
  </w:style>
  <w:style w:type="paragraph" w:styleId="3">
    <w:name w:val="heading 2"/>
    <w:basedOn w:val="2"/>
    <w:next w:val="1"/>
    <w:link w:val="63"/>
    <w:autoRedefine/>
    <w:qFormat/>
    <w:uiPriority w:val="0"/>
    <w:pPr>
      <w:keepNext/>
      <w:keepLines/>
      <w:numPr>
        <w:ilvl w:val="1"/>
        <w:numId w:val="1"/>
      </w:numPr>
      <w:tabs>
        <w:tab w:val="clear" w:pos="420"/>
      </w:tabs>
      <w:adjustRightInd w:val="0"/>
      <w:snapToGrid w:val="0"/>
      <w:spacing w:line="360" w:lineRule="auto"/>
      <w:jc w:val="left"/>
      <w:outlineLvl w:val="1"/>
    </w:pPr>
    <w:rPr>
      <w:sz w:val="28"/>
      <w:szCs w:val="28"/>
    </w:rPr>
  </w:style>
  <w:style w:type="paragraph" w:styleId="4">
    <w:name w:val="heading 3"/>
    <w:basedOn w:val="1"/>
    <w:next w:val="1"/>
    <w:link w:val="64"/>
    <w:autoRedefine/>
    <w:qFormat/>
    <w:uiPriority w:val="0"/>
    <w:pPr>
      <w:keepNext/>
      <w:keepLines/>
      <w:numPr>
        <w:ilvl w:val="2"/>
        <w:numId w:val="1"/>
      </w:numPr>
      <w:tabs>
        <w:tab w:val="left" w:pos="420"/>
      </w:tabs>
      <w:adjustRightInd w:val="0"/>
      <w:snapToGrid w:val="0"/>
      <w:spacing w:line="360" w:lineRule="auto"/>
      <w:jc w:val="left"/>
      <w:outlineLvl w:val="2"/>
    </w:pPr>
    <w:rPr>
      <w:b/>
      <w:bCs/>
    </w:rPr>
  </w:style>
  <w:style w:type="paragraph" w:styleId="5">
    <w:name w:val="heading 4"/>
    <w:basedOn w:val="1"/>
    <w:next w:val="1"/>
    <w:link w:val="65"/>
    <w:autoRedefine/>
    <w:qFormat/>
    <w:uiPriority w:val="0"/>
    <w:pPr>
      <w:keepNext/>
      <w:keepLines/>
      <w:numPr>
        <w:ilvl w:val="3"/>
        <w:numId w:val="1"/>
      </w:numPr>
      <w:adjustRightInd w:val="0"/>
      <w:snapToGrid w:val="0"/>
      <w:spacing w:line="360" w:lineRule="auto"/>
      <w:outlineLvl w:val="3"/>
    </w:pPr>
    <w:rPr>
      <w:b/>
      <w:bCs/>
    </w:rPr>
  </w:style>
  <w:style w:type="paragraph" w:styleId="6">
    <w:name w:val="heading 5"/>
    <w:basedOn w:val="1"/>
    <w:next w:val="1"/>
    <w:link w:val="66"/>
    <w:autoRedefine/>
    <w:qFormat/>
    <w:uiPriority w:val="0"/>
    <w:pPr>
      <w:keepNext/>
      <w:keepLines/>
      <w:numPr>
        <w:ilvl w:val="4"/>
        <w:numId w:val="2"/>
      </w:numPr>
      <w:tabs>
        <w:tab w:val="left" w:pos="1008"/>
      </w:tabs>
      <w:spacing w:line="360" w:lineRule="auto"/>
      <w:outlineLvl w:val="4"/>
    </w:pPr>
    <w:rPr>
      <w:bCs/>
      <w:szCs w:val="28"/>
    </w:rPr>
  </w:style>
  <w:style w:type="paragraph" w:styleId="7">
    <w:name w:val="heading 6"/>
    <w:basedOn w:val="1"/>
    <w:next w:val="1"/>
    <w:link w:val="67"/>
    <w:autoRedefine/>
    <w:qFormat/>
    <w:uiPriority w:val="0"/>
    <w:pPr>
      <w:keepNext/>
      <w:keepLines/>
      <w:numPr>
        <w:ilvl w:val="5"/>
        <w:numId w:val="2"/>
      </w:numPr>
      <w:tabs>
        <w:tab w:val="left" w:pos="1152"/>
      </w:tabs>
      <w:spacing w:before="240" w:after="64" w:line="317" w:lineRule="auto"/>
      <w:outlineLvl w:val="5"/>
    </w:pPr>
    <w:rPr>
      <w:rFonts w:ascii="Arial" w:hAnsi="Arial" w:eastAsia="黑体"/>
      <w:b/>
      <w:bCs/>
    </w:rPr>
  </w:style>
  <w:style w:type="paragraph" w:styleId="8">
    <w:name w:val="heading 7"/>
    <w:basedOn w:val="1"/>
    <w:next w:val="1"/>
    <w:link w:val="68"/>
    <w:autoRedefine/>
    <w:qFormat/>
    <w:uiPriority w:val="0"/>
    <w:pPr>
      <w:keepNext/>
      <w:keepLines/>
      <w:numPr>
        <w:ilvl w:val="6"/>
        <w:numId w:val="2"/>
      </w:numPr>
      <w:tabs>
        <w:tab w:val="left" w:pos="1296"/>
      </w:tabs>
      <w:spacing w:before="240" w:after="64" w:line="317" w:lineRule="auto"/>
      <w:outlineLvl w:val="6"/>
    </w:pPr>
    <w:rPr>
      <w:b/>
      <w:bCs/>
    </w:rPr>
  </w:style>
  <w:style w:type="paragraph" w:styleId="9">
    <w:name w:val="heading 8"/>
    <w:basedOn w:val="1"/>
    <w:next w:val="1"/>
    <w:link w:val="69"/>
    <w:autoRedefine/>
    <w:qFormat/>
    <w:uiPriority w:val="0"/>
    <w:pPr>
      <w:keepNext/>
      <w:keepLines/>
      <w:numPr>
        <w:ilvl w:val="7"/>
        <w:numId w:val="2"/>
      </w:numPr>
      <w:tabs>
        <w:tab w:val="left" w:pos="1440"/>
      </w:tabs>
      <w:spacing w:before="240" w:after="64" w:line="317" w:lineRule="auto"/>
      <w:outlineLvl w:val="7"/>
    </w:pPr>
    <w:rPr>
      <w:rFonts w:ascii="Arial" w:hAnsi="Arial" w:eastAsia="黑体"/>
    </w:rPr>
  </w:style>
  <w:style w:type="paragraph" w:styleId="10">
    <w:name w:val="heading 9"/>
    <w:basedOn w:val="1"/>
    <w:next w:val="1"/>
    <w:link w:val="70"/>
    <w:autoRedefine/>
    <w:qFormat/>
    <w:uiPriority w:val="0"/>
    <w:pPr>
      <w:keepNext/>
      <w:keepLines/>
      <w:numPr>
        <w:ilvl w:val="8"/>
        <w:numId w:val="2"/>
      </w:numPr>
      <w:tabs>
        <w:tab w:val="left" w:pos="1584"/>
      </w:tabs>
      <w:spacing w:before="240" w:after="64" w:line="317" w:lineRule="auto"/>
      <w:outlineLvl w:val="8"/>
    </w:pPr>
    <w:rPr>
      <w:rFonts w:ascii="Arial" w:hAnsi="Arial" w:eastAsia="黑体"/>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00"/>
      <w:jc w:val="left"/>
    </w:pPr>
    <w:rPr>
      <w:rFonts w:ascii="Calibri" w:hAnsi="Calibri"/>
      <w:sz w:val="20"/>
      <w:szCs w:val="20"/>
    </w:rPr>
  </w:style>
  <w:style w:type="paragraph" w:styleId="12">
    <w:name w:val="Note Heading"/>
    <w:basedOn w:val="1"/>
    <w:next w:val="1"/>
    <w:link w:val="71"/>
    <w:autoRedefine/>
    <w:qFormat/>
    <w:uiPriority w:val="0"/>
    <w:pPr>
      <w:jc w:val="left"/>
    </w:pPr>
  </w:style>
  <w:style w:type="paragraph" w:styleId="13">
    <w:name w:val="Normal Indent"/>
    <w:basedOn w:val="1"/>
    <w:next w:val="1"/>
    <w:link w:val="72"/>
    <w:autoRedefine/>
    <w:qFormat/>
    <w:uiPriority w:val="0"/>
    <w:pPr>
      <w:ind w:firstLine="420"/>
    </w:pPr>
    <w:rPr>
      <w:rFonts w:ascii="宋体" w:hAnsi="宋体"/>
      <w:color w:val="000000"/>
      <w:sz w:val="21"/>
      <w:szCs w:val="20"/>
    </w:rPr>
  </w:style>
  <w:style w:type="paragraph" w:styleId="14">
    <w:name w:val="caption"/>
    <w:basedOn w:val="1"/>
    <w:next w:val="1"/>
    <w:link w:val="73"/>
    <w:autoRedefine/>
    <w:qFormat/>
    <w:uiPriority w:val="0"/>
    <w:rPr>
      <w:rFonts w:ascii="Arial" w:hAnsi="Arial" w:eastAsia="黑体" w:cs="Arial"/>
      <w:sz w:val="18"/>
    </w:rPr>
  </w:style>
  <w:style w:type="paragraph" w:styleId="15">
    <w:name w:val="Document Map"/>
    <w:basedOn w:val="1"/>
    <w:link w:val="74"/>
    <w:autoRedefine/>
    <w:qFormat/>
    <w:uiPriority w:val="0"/>
    <w:pPr>
      <w:shd w:val="clear" w:color="auto" w:fill="000080"/>
    </w:pPr>
  </w:style>
  <w:style w:type="paragraph" w:styleId="16">
    <w:name w:val="annotation text"/>
    <w:basedOn w:val="1"/>
    <w:link w:val="75"/>
    <w:autoRedefine/>
    <w:qFormat/>
    <w:uiPriority w:val="0"/>
    <w:pPr>
      <w:jc w:val="left"/>
    </w:pPr>
    <w:rPr>
      <w:sz w:val="21"/>
    </w:rPr>
  </w:style>
  <w:style w:type="paragraph" w:styleId="17">
    <w:name w:val="index 6"/>
    <w:basedOn w:val="1"/>
    <w:next w:val="1"/>
    <w:autoRedefine/>
    <w:qFormat/>
    <w:uiPriority w:val="0"/>
    <w:pPr>
      <w:ind w:left="1000" w:leftChars="1000"/>
    </w:pPr>
  </w:style>
  <w:style w:type="paragraph" w:styleId="18">
    <w:name w:val="List Bullet 3"/>
    <w:basedOn w:val="1"/>
    <w:autoRedefine/>
    <w:qFormat/>
    <w:uiPriority w:val="0"/>
    <w:pPr>
      <w:numPr>
        <w:ilvl w:val="0"/>
        <w:numId w:val="3"/>
      </w:numPr>
      <w:adjustRightInd w:val="0"/>
      <w:spacing w:line="312" w:lineRule="atLeast"/>
      <w:ind w:left="0" w:firstLine="0"/>
      <w:textAlignment w:val="baseline"/>
    </w:pPr>
    <w:rPr>
      <w:kern w:val="0"/>
      <w:sz w:val="21"/>
      <w:szCs w:val="20"/>
    </w:rPr>
  </w:style>
  <w:style w:type="paragraph" w:styleId="19">
    <w:name w:val="Body Text"/>
    <w:basedOn w:val="1"/>
    <w:next w:val="12"/>
    <w:link w:val="76"/>
    <w:autoRedefine/>
    <w:qFormat/>
    <w:uiPriority w:val="0"/>
    <w:pPr>
      <w:spacing w:after="120"/>
    </w:pPr>
  </w:style>
  <w:style w:type="paragraph" w:styleId="20">
    <w:name w:val="Body Text Indent"/>
    <w:basedOn w:val="1"/>
    <w:next w:val="21"/>
    <w:link w:val="77"/>
    <w:autoRedefine/>
    <w:qFormat/>
    <w:uiPriority w:val="99"/>
    <w:pPr>
      <w:spacing w:after="120"/>
      <w:ind w:left="420" w:leftChars="200"/>
    </w:pPr>
  </w:style>
  <w:style w:type="paragraph" w:styleId="21">
    <w:name w:val="Body Text First Indent 2"/>
    <w:basedOn w:val="20"/>
    <w:next w:val="22"/>
    <w:link w:val="78"/>
    <w:autoRedefine/>
    <w:qFormat/>
    <w:uiPriority w:val="0"/>
    <w:pPr>
      <w:ind w:firstLine="420" w:firstLineChars="200"/>
    </w:pPr>
  </w:style>
  <w:style w:type="paragraph" w:customStyle="1" w:styleId="22">
    <w:name w:val="Default"/>
    <w:basedOn w:val="23"/>
    <w:autoRedefine/>
    <w:qFormat/>
    <w:uiPriority w:val="0"/>
    <w:pPr>
      <w:autoSpaceDE w:val="0"/>
      <w:autoSpaceDN w:val="0"/>
      <w:adjustRightInd w:val="0"/>
    </w:pPr>
    <w:rPr>
      <w:rFonts w:ascii="黑体" w:hAnsi="Calibri" w:eastAsia="黑体" w:cs="黑体"/>
      <w:color w:val="000000"/>
      <w:sz w:val="24"/>
      <w:szCs w:val="24"/>
      <w:lang w:eastAsia="zh-CN"/>
    </w:rPr>
  </w:style>
  <w:style w:type="paragraph" w:customStyle="1" w:styleId="23">
    <w:name w:val="纯文本1"/>
    <w:basedOn w:val="1"/>
    <w:autoRedefine/>
    <w:qFormat/>
    <w:uiPriority w:val="0"/>
    <w:pPr>
      <w:suppressAutoHyphens/>
      <w:snapToGrid w:val="0"/>
      <w:spacing w:line="400" w:lineRule="exact"/>
    </w:pPr>
    <w:rPr>
      <w:rFonts w:ascii="宋体" w:hAnsi="宋体"/>
      <w:kern w:val="1"/>
      <w:sz w:val="21"/>
      <w:szCs w:val="21"/>
      <w:lang w:eastAsia="ar-SA"/>
    </w:rPr>
  </w:style>
  <w:style w:type="paragraph" w:styleId="24">
    <w:name w:val="Block Text"/>
    <w:basedOn w:val="1"/>
    <w:autoRedefine/>
    <w:qFormat/>
    <w:uiPriority w:val="0"/>
    <w:pPr>
      <w:autoSpaceDE w:val="0"/>
      <w:autoSpaceDN w:val="0"/>
      <w:adjustRightInd w:val="0"/>
      <w:ind w:left="98" w:right="72" w:firstLine="490" w:firstLineChars="175"/>
      <w:jc w:val="left"/>
    </w:pPr>
    <w:rPr>
      <w:rFonts w:ascii="宋体" w:hAnsi="宋体"/>
      <w:kern w:val="0"/>
      <w:sz w:val="28"/>
      <w:szCs w:val="26"/>
    </w:rPr>
  </w:style>
  <w:style w:type="paragraph" w:styleId="25">
    <w:name w:val="index 4"/>
    <w:basedOn w:val="1"/>
    <w:next w:val="1"/>
    <w:autoRedefine/>
    <w:qFormat/>
    <w:uiPriority w:val="0"/>
    <w:pPr>
      <w:ind w:left="600" w:leftChars="600"/>
    </w:pPr>
    <w:rPr>
      <w:sz w:val="21"/>
    </w:rPr>
  </w:style>
  <w:style w:type="paragraph" w:styleId="26">
    <w:name w:val="toc 5"/>
    <w:basedOn w:val="1"/>
    <w:next w:val="1"/>
    <w:autoRedefine/>
    <w:qFormat/>
    <w:uiPriority w:val="39"/>
    <w:pPr>
      <w:ind w:left="720"/>
      <w:jc w:val="left"/>
    </w:pPr>
    <w:rPr>
      <w:rFonts w:ascii="Calibri" w:hAnsi="Calibri"/>
      <w:sz w:val="20"/>
      <w:szCs w:val="20"/>
    </w:rPr>
  </w:style>
  <w:style w:type="paragraph" w:styleId="27">
    <w:name w:val="toc 3"/>
    <w:basedOn w:val="1"/>
    <w:next w:val="1"/>
    <w:autoRedefine/>
    <w:qFormat/>
    <w:uiPriority w:val="39"/>
    <w:pPr>
      <w:ind w:left="240"/>
      <w:jc w:val="left"/>
    </w:pPr>
    <w:rPr>
      <w:rFonts w:ascii="Calibri" w:hAnsi="Calibri"/>
      <w:sz w:val="20"/>
      <w:szCs w:val="20"/>
    </w:rPr>
  </w:style>
  <w:style w:type="paragraph" w:styleId="28">
    <w:name w:val="Plain Text"/>
    <w:basedOn w:val="1"/>
    <w:next w:val="1"/>
    <w:link w:val="79"/>
    <w:autoRedefine/>
    <w:qFormat/>
    <w:uiPriority w:val="0"/>
    <w:pPr>
      <w:spacing w:line="360" w:lineRule="auto"/>
      <w:ind w:firstLine="200" w:firstLineChars="200"/>
    </w:pPr>
    <w:rPr>
      <w:rFonts w:ascii="宋体" w:hAnsi="Courier New" w:cs="Courier New"/>
      <w:szCs w:val="21"/>
    </w:rPr>
  </w:style>
  <w:style w:type="paragraph" w:styleId="29">
    <w:name w:val="toc 8"/>
    <w:basedOn w:val="1"/>
    <w:next w:val="1"/>
    <w:autoRedefine/>
    <w:qFormat/>
    <w:uiPriority w:val="39"/>
    <w:pPr>
      <w:ind w:left="1440"/>
      <w:jc w:val="left"/>
    </w:pPr>
    <w:rPr>
      <w:rFonts w:ascii="Calibri" w:hAnsi="Calibri"/>
      <w:sz w:val="20"/>
      <w:szCs w:val="20"/>
    </w:rPr>
  </w:style>
  <w:style w:type="paragraph" w:styleId="30">
    <w:name w:val="Date"/>
    <w:basedOn w:val="1"/>
    <w:next w:val="1"/>
    <w:link w:val="80"/>
    <w:autoRedefine/>
    <w:qFormat/>
    <w:uiPriority w:val="0"/>
    <w:pPr>
      <w:adjustRightInd w:val="0"/>
      <w:spacing w:line="312" w:lineRule="atLeast"/>
      <w:jc w:val="right"/>
      <w:textAlignment w:val="baseline"/>
    </w:pPr>
    <w:rPr>
      <w:kern w:val="0"/>
      <w:sz w:val="28"/>
      <w:szCs w:val="20"/>
    </w:rPr>
  </w:style>
  <w:style w:type="paragraph" w:styleId="31">
    <w:name w:val="Body Text Indent 2"/>
    <w:basedOn w:val="1"/>
    <w:next w:val="21"/>
    <w:link w:val="81"/>
    <w:autoRedefine/>
    <w:qFormat/>
    <w:uiPriority w:val="0"/>
    <w:pPr>
      <w:spacing w:after="120" w:line="480" w:lineRule="auto"/>
      <w:ind w:left="420" w:leftChars="200" w:firstLine="200" w:firstLineChars="200"/>
    </w:pPr>
  </w:style>
  <w:style w:type="paragraph" w:styleId="32">
    <w:name w:val="Balloon Text"/>
    <w:basedOn w:val="1"/>
    <w:link w:val="82"/>
    <w:autoRedefine/>
    <w:qFormat/>
    <w:uiPriority w:val="0"/>
    <w:rPr>
      <w:sz w:val="18"/>
      <w:szCs w:val="18"/>
    </w:rPr>
  </w:style>
  <w:style w:type="paragraph" w:styleId="33">
    <w:name w:val="footer"/>
    <w:basedOn w:val="1"/>
    <w:link w:val="83"/>
    <w:autoRedefine/>
    <w:qFormat/>
    <w:uiPriority w:val="99"/>
    <w:pPr>
      <w:tabs>
        <w:tab w:val="center" w:pos="4153"/>
        <w:tab w:val="right" w:pos="8306"/>
      </w:tabs>
      <w:snapToGrid w:val="0"/>
      <w:spacing w:line="240" w:lineRule="atLeast"/>
      <w:jc w:val="left"/>
    </w:pPr>
    <w:rPr>
      <w:sz w:val="21"/>
      <w:szCs w:val="21"/>
    </w:rPr>
  </w:style>
  <w:style w:type="paragraph" w:styleId="34">
    <w:name w:val="envelope return"/>
    <w:basedOn w:val="1"/>
    <w:autoRedefine/>
    <w:qFormat/>
    <w:uiPriority w:val="0"/>
    <w:pPr>
      <w:snapToGrid w:val="0"/>
    </w:pPr>
    <w:rPr>
      <w:rFonts w:ascii="Arial" w:hAnsi="Arial"/>
    </w:rPr>
  </w:style>
  <w:style w:type="paragraph" w:styleId="35">
    <w:name w:val="header"/>
    <w:basedOn w:val="1"/>
    <w:link w:val="84"/>
    <w:autoRedefine/>
    <w:qFormat/>
    <w:uiPriority w:val="99"/>
    <w:pPr>
      <w:pBdr>
        <w:bottom w:val="single" w:color="auto" w:sz="6" w:space="1"/>
      </w:pBdr>
      <w:tabs>
        <w:tab w:val="center" w:pos="4153"/>
        <w:tab w:val="right" w:pos="8306"/>
      </w:tabs>
      <w:snapToGrid w:val="0"/>
      <w:spacing w:line="240" w:lineRule="atLeast"/>
      <w:jc w:val="center"/>
    </w:pPr>
    <w:rPr>
      <w:sz w:val="21"/>
    </w:rPr>
  </w:style>
  <w:style w:type="paragraph" w:styleId="36">
    <w:name w:val="toc 1"/>
    <w:basedOn w:val="1"/>
    <w:next w:val="1"/>
    <w:autoRedefine/>
    <w:qFormat/>
    <w:uiPriority w:val="39"/>
    <w:pPr>
      <w:spacing w:line="360" w:lineRule="auto"/>
      <w:jc w:val="left"/>
    </w:pPr>
    <w:rPr>
      <w:b/>
      <w:bCs/>
      <w:caps/>
    </w:rPr>
  </w:style>
  <w:style w:type="paragraph" w:styleId="37">
    <w:name w:val="toc 4"/>
    <w:basedOn w:val="1"/>
    <w:next w:val="1"/>
    <w:autoRedefine/>
    <w:qFormat/>
    <w:uiPriority w:val="39"/>
    <w:pPr>
      <w:ind w:left="480"/>
      <w:jc w:val="left"/>
    </w:pPr>
    <w:rPr>
      <w:rFonts w:ascii="Calibri" w:hAnsi="Calibri"/>
      <w:sz w:val="20"/>
      <w:szCs w:val="20"/>
    </w:rPr>
  </w:style>
  <w:style w:type="paragraph" w:styleId="38">
    <w:name w:val="List"/>
    <w:basedOn w:val="1"/>
    <w:autoRedefine/>
    <w:qFormat/>
    <w:uiPriority w:val="0"/>
    <w:pPr>
      <w:spacing w:line="360" w:lineRule="auto"/>
      <w:jc w:val="center"/>
    </w:pPr>
    <w:rPr>
      <w:rFonts w:eastAsia="黑体"/>
      <w:b/>
      <w:snapToGrid w:val="0"/>
      <w:kern w:val="0"/>
    </w:rPr>
  </w:style>
  <w:style w:type="paragraph" w:styleId="39">
    <w:name w:val="toc 6"/>
    <w:basedOn w:val="1"/>
    <w:next w:val="1"/>
    <w:autoRedefine/>
    <w:qFormat/>
    <w:uiPriority w:val="39"/>
    <w:pPr>
      <w:ind w:left="960"/>
      <w:jc w:val="left"/>
    </w:pPr>
    <w:rPr>
      <w:rFonts w:ascii="Calibri" w:hAnsi="Calibri"/>
      <w:sz w:val="20"/>
      <w:szCs w:val="20"/>
    </w:rPr>
  </w:style>
  <w:style w:type="paragraph" w:styleId="40">
    <w:name w:val="Body Text Indent 3"/>
    <w:basedOn w:val="1"/>
    <w:link w:val="85"/>
    <w:autoRedefine/>
    <w:qFormat/>
    <w:uiPriority w:val="0"/>
    <w:pPr>
      <w:spacing w:after="120"/>
      <w:ind w:left="420" w:leftChars="200"/>
    </w:pPr>
    <w:rPr>
      <w:sz w:val="16"/>
      <w:szCs w:val="16"/>
    </w:rPr>
  </w:style>
  <w:style w:type="paragraph" w:styleId="41">
    <w:name w:val="toc 2"/>
    <w:basedOn w:val="1"/>
    <w:next w:val="1"/>
    <w:autoRedefine/>
    <w:qFormat/>
    <w:uiPriority w:val="39"/>
    <w:pPr>
      <w:spacing w:line="360" w:lineRule="auto"/>
      <w:ind w:left="200" w:leftChars="200"/>
      <w:jc w:val="left"/>
    </w:pPr>
    <w:rPr>
      <w:bCs/>
    </w:rPr>
  </w:style>
  <w:style w:type="paragraph" w:styleId="42">
    <w:name w:val="toc 9"/>
    <w:basedOn w:val="1"/>
    <w:next w:val="1"/>
    <w:autoRedefine/>
    <w:qFormat/>
    <w:uiPriority w:val="39"/>
    <w:pPr>
      <w:ind w:left="1680"/>
      <w:jc w:val="left"/>
    </w:pPr>
    <w:rPr>
      <w:rFonts w:ascii="Calibri" w:hAnsi="Calibri"/>
      <w:sz w:val="20"/>
      <w:szCs w:val="20"/>
    </w:rPr>
  </w:style>
  <w:style w:type="paragraph" w:styleId="43">
    <w:name w:val="Body Text 2"/>
    <w:basedOn w:val="1"/>
    <w:link w:val="86"/>
    <w:autoRedefine/>
    <w:qFormat/>
    <w:uiPriority w:val="0"/>
    <w:pPr>
      <w:spacing w:after="120" w:line="480" w:lineRule="auto"/>
    </w:pPr>
    <w:rPr>
      <w:sz w:val="21"/>
    </w:rPr>
  </w:style>
  <w:style w:type="paragraph" w:styleId="44">
    <w:name w:val="HTML Preformatted"/>
    <w:basedOn w:val="1"/>
    <w:link w:val="87"/>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45">
    <w:name w:val="Normal (Web)"/>
    <w:basedOn w:val="1"/>
    <w:link w:val="489"/>
    <w:autoRedefine/>
    <w:qFormat/>
    <w:uiPriority w:val="0"/>
  </w:style>
  <w:style w:type="paragraph" w:styleId="46">
    <w:name w:val="index 1"/>
    <w:basedOn w:val="1"/>
    <w:next w:val="1"/>
    <w:autoRedefine/>
    <w:qFormat/>
    <w:uiPriority w:val="0"/>
    <w:pPr>
      <w:tabs>
        <w:tab w:val="left" w:pos="1980"/>
        <w:tab w:val="left" w:pos="4680"/>
      </w:tabs>
      <w:snapToGrid w:val="0"/>
      <w:spacing w:line="240" w:lineRule="exact"/>
      <w:jc w:val="center"/>
    </w:pPr>
    <w:rPr>
      <w:rFonts w:ascii="楷体_GB2312" w:hAnsi="宋体" w:eastAsia="楷体_GB2312"/>
      <w:sz w:val="21"/>
      <w:szCs w:val="20"/>
    </w:rPr>
  </w:style>
  <w:style w:type="paragraph" w:styleId="47">
    <w:name w:val="Title"/>
    <w:basedOn w:val="1"/>
    <w:next w:val="1"/>
    <w:link w:val="88"/>
    <w:autoRedefine/>
    <w:qFormat/>
    <w:uiPriority w:val="0"/>
    <w:pPr>
      <w:spacing w:before="240" w:after="60"/>
      <w:jc w:val="center"/>
      <w:outlineLvl w:val="0"/>
    </w:pPr>
    <w:rPr>
      <w:rFonts w:ascii="Cambria" w:hAnsi="Cambria"/>
      <w:b/>
      <w:bCs/>
      <w:sz w:val="32"/>
      <w:szCs w:val="32"/>
    </w:rPr>
  </w:style>
  <w:style w:type="paragraph" w:styleId="48">
    <w:name w:val="annotation subject"/>
    <w:basedOn w:val="16"/>
    <w:next w:val="16"/>
    <w:link w:val="89"/>
    <w:autoRedefine/>
    <w:qFormat/>
    <w:uiPriority w:val="0"/>
    <w:pPr>
      <w:spacing w:line="360" w:lineRule="auto"/>
      <w:ind w:firstLine="200" w:firstLineChars="200"/>
    </w:pPr>
    <w:rPr>
      <w:b/>
      <w:bCs/>
      <w:sz w:val="24"/>
    </w:rPr>
  </w:style>
  <w:style w:type="paragraph" w:styleId="49">
    <w:name w:val="Body Text First Indent"/>
    <w:basedOn w:val="19"/>
    <w:next w:val="1"/>
    <w:link w:val="91"/>
    <w:autoRedefine/>
    <w:qFormat/>
    <w:uiPriority w:val="0"/>
    <w:pPr>
      <w:ind w:firstLine="420" w:firstLineChars="100"/>
    </w:pPr>
  </w:style>
  <w:style w:type="table" w:styleId="51">
    <w:name w:val="Table Grid"/>
    <w:basedOn w:val="50"/>
    <w:autoRedefine/>
    <w:unhideWhenUsed/>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3">
    <w:name w:val="Strong"/>
    <w:autoRedefine/>
    <w:qFormat/>
    <w:uiPriority w:val="0"/>
    <w:rPr>
      <w:b/>
      <w:bCs/>
    </w:rPr>
  </w:style>
  <w:style w:type="character" w:styleId="54">
    <w:name w:val="endnote reference"/>
    <w:autoRedefine/>
    <w:qFormat/>
    <w:uiPriority w:val="0"/>
    <w:rPr>
      <w:vertAlign w:val="superscript"/>
    </w:rPr>
  </w:style>
  <w:style w:type="character" w:styleId="55">
    <w:name w:val="page number"/>
    <w:autoRedefine/>
    <w:qFormat/>
    <w:uiPriority w:val="0"/>
  </w:style>
  <w:style w:type="character" w:styleId="56">
    <w:name w:val="FollowedHyperlink"/>
    <w:autoRedefine/>
    <w:qFormat/>
    <w:uiPriority w:val="99"/>
    <w:rPr>
      <w:color w:val="800080"/>
      <w:u w:val="single"/>
    </w:rPr>
  </w:style>
  <w:style w:type="character" w:styleId="57">
    <w:name w:val="Emphasis"/>
    <w:autoRedefine/>
    <w:qFormat/>
    <w:uiPriority w:val="0"/>
  </w:style>
  <w:style w:type="character" w:styleId="58">
    <w:name w:val="Hyperlink"/>
    <w:autoRedefine/>
    <w:qFormat/>
    <w:uiPriority w:val="99"/>
    <w:rPr>
      <w:rFonts w:ascii="Times New Roman" w:hAnsi="Times New Roman" w:eastAsia="宋体"/>
      <w:color w:val="0000FF"/>
      <w:sz w:val="24"/>
      <w:szCs w:val="24"/>
      <w:u w:val="single"/>
    </w:rPr>
  </w:style>
  <w:style w:type="character" w:styleId="59">
    <w:name w:val="annotation reference"/>
    <w:autoRedefine/>
    <w:qFormat/>
    <w:uiPriority w:val="0"/>
    <w:rPr>
      <w:rFonts w:ascii="宋体" w:hAnsi="宋体" w:eastAsia="宋体" w:cs="宋体"/>
      <w:kern w:val="2"/>
      <w:sz w:val="21"/>
      <w:szCs w:val="21"/>
      <w:lang w:val="en-US" w:eastAsia="zh-CN" w:bidi="ar-SA"/>
    </w:rPr>
  </w:style>
  <w:style w:type="paragraph" w:customStyle="1" w:styleId="60">
    <w:name w:val="样式2"/>
    <w:basedOn w:val="25"/>
    <w:next w:val="5"/>
    <w:autoRedefine/>
    <w:qFormat/>
    <w:uiPriority w:val="0"/>
    <w:pPr>
      <w:spacing w:line="360" w:lineRule="auto"/>
      <w:ind w:firstLine="482" w:firstLineChars="200"/>
    </w:pPr>
    <w:rPr>
      <w:b/>
      <w:sz w:val="24"/>
    </w:rPr>
  </w:style>
  <w:style w:type="paragraph" w:customStyle="1" w:styleId="61">
    <w:name w:val="正文(首行缩进)"/>
    <w:basedOn w:val="1"/>
    <w:link w:val="208"/>
    <w:autoRedefine/>
    <w:qFormat/>
    <w:uiPriority w:val="0"/>
    <w:pPr>
      <w:spacing w:line="360" w:lineRule="auto"/>
      <w:ind w:firstLine="480" w:firstLineChars="200"/>
    </w:pPr>
    <w:rPr>
      <w:rFonts w:ascii="宋体" w:hAnsi="宋体" w:eastAsiaTheme="minorEastAsia" w:cstheme="minorBidi"/>
      <w:color w:val="000000"/>
      <w:kern w:val="24"/>
      <w:szCs w:val="22"/>
    </w:rPr>
  </w:style>
  <w:style w:type="character" w:customStyle="1" w:styleId="62">
    <w:name w:val="标题 1 Char"/>
    <w:basedOn w:val="52"/>
    <w:link w:val="2"/>
    <w:autoRedefine/>
    <w:qFormat/>
    <w:uiPriority w:val="0"/>
    <w:rPr>
      <w:rFonts w:ascii="Times New Roman" w:hAnsi="Times New Roman" w:eastAsia="宋体" w:cs="Times New Roman"/>
      <w:b/>
      <w:bCs/>
      <w:kern w:val="0"/>
      <w:sz w:val="30"/>
      <w:szCs w:val="30"/>
    </w:rPr>
  </w:style>
  <w:style w:type="character" w:customStyle="1" w:styleId="63">
    <w:name w:val="标题 2 Char"/>
    <w:basedOn w:val="52"/>
    <w:link w:val="3"/>
    <w:autoRedefine/>
    <w:qFormat/>
    <w:uiPriority w:val="0"/>
    <w:rPr>
      <w:rFonts w:ascii="Times New Roman" w:hAnsi="Times New Roman" w:eastAsia="宋体" w:cs="Times New Roman"/>
      <w:b/>
      <w:bCs/>
      <w:sz w:val="28"/>
      <w:szCs w:val="28"/>
    </w:rPr>
  </w:style>
  <w:style w:type="character" w:customStyle="1" w:styleId="64">
    <w:name w:val="标题 3 Char"/>
    <w:basedOn w:val="52"/>
    <w:link w:val="4"/>
    <w:autoRedefine/>
    <w:qFormat/>
    <w:uiPriority w:val="0"/>
    <w:rPr>
      <w:rFonts w:ascii="Times New Roman" w:hAnsi="Times New Roman" w:eastAsia="宋体" w:cs="Times New Roman"/>
      <w:b/>
      <w:bCs/>
      <w:kern w:val="2"/>
      <w:sz w:val="24"/>
      <w:szCs w:val="24"/>
    </w:rPr>
  </w:style>
  <w:style w:type="character" w:customStyle="1" w:styleId="65">
    <w:name w:val="标题 4 Char"/>
    <w:basedOn w:val="52"/>
    <w:link w:val="5"/>
    <w:autoRedefine/>
    <w:qFormat/>
    <w:uiPriority w:val="0"/>
    <w:rPr>
      <w:rFonts w:ascii="Times New Roman" w:hAnsi="Times New Roman" w:eastAsia="宋体" w:cs="Times New Roman"/>
      <w:b/>
      <w:bCs/>
      <w:sz w:val="24"/>
      <w:szCs w:val="24"/>
    </w:rPr>
  </w:style>
  <w:style w:type="character" w:customStyle="1" w:styleId="66">
    <w:name w:val="标题 5 Char"/>
    <w:basedOn w:val="52"/>
    <w:link w:val="6"/>
    <w:autoRedefine/>
    <w:qFormat/>
    <w:uiPriority w:val="0"/>
    <w:rPr>
      <w:rFonts w:ascii="Times New Roman" w:hAnsi="Times New Roman" w:eastAsia="宋体" w:cs="Times New Roman"/>
      <w:bCs/>
      <w:sz w:val="24"/>
      <w:szCs w:val="28"/>
    </w:rPr>
  </w:style>
  <w:style w:type="character" w:customStyle="1" w:styleId="67">
    <w:name w:val="标题 6 Char"/>
    <w:basedOn w:val="52"/>
    <w:link w:val="7"/>
    <w:autoRedefine/>
    <w:qFormat/>
    <w:uiPriority w:val="0"/>
    <w:rPr>
      <w:rFonts w:ascii="Arial" w:hAnsi="Arial" w:eastAsia="黑体" w:cs="Times New Roman"/>
      <w:b/>
      <w:bCs/>
      <w:sz w:val="24"/>
      <w:szCs w:val="24"/>
    </w:rPr>
  </w:style>
  <w:style w:type="character" w:customStyle="1" w:styleId="68">
    <w:name w:val="标题 7 Char"/>
    <w:basedOn w:val="52"/>
    <w:link w:val="8"/>
    <w:autoRedefine/>
    <w:qFormat/>
    <w:uiPriority w:val="0"/>
    <w:rPr>
      <w:rFonts w:ascii="Times New Roman" w:hAnsi="Times New Roman" w:eastAsia="宋体" w:cs="Times New Roman"/>
      <w:b/>
      <w:bCs/>
      <w:sz w:val="24"/>
      <w:szCs w:val="24"/>
    </w:rPr>
  </w:style>
  <w:style w:type="character" w:customStyle="1" w:styleId="69">
    <w:name w:val="标题 8 Char"/>
    <w:basedOn w:val="52"/>
    <w:link w:val="9"/>
    <w:autoRedefine/>
    <w:qFormat/>
    <w:uiPriority w:val="0"/>
    <w:rPr>
      <w:rFonts w:ascii="Arial" w:hAnsi="Arial" w:eastAsia="黑体" w:cs="Times New Roman"/>
      <w:sz w:val="24"/>
      <w:szCs w:val="24"/>
    </w:rPr>
  </w:style>
  <w:style w:type="character" w:customStyle="1" w:styleId="70">
    <w:name w:val="标题 9 Char"/>
    <w:basedOn w:val="52"/>
    <w:link w:val="10"/>
    <w:autoRedefine/>
    <w:qFormat/>
    <w:uiPriority w:val="0"/>
    <w:rPr>
      <w:rFonts w:ascii="Arial" w:hAnsi="Arial" w:eastAsia="黑体" w:cs="Times New Roman"/>
      <w:sz w:val="24"/>
      <w:szCs w:val="21"/>
    </w:rPr>
  </w:style>
  <w:style w:type="character" w:customStyle="1" w:styleId="71">
    <w:name w:val="注释标题 Char"/>
    <w:basedOn w:val="52"/>
    <w:link w:val="12"/>
    <w:autoRedefine/>
    <w:qFormat/>
    <w:uiPriority w:val="0"/>
    <w:rPr>
      <w:rFonts w:ascii="Times New Roman" w:hAnsi="Times New Roman" w:eastAsia="宋体" w:cs="Times New Roman"/>
      <w:sz w:val="24"/>
      <w:szCs w:val="24"/>
    </w:rPr>
  </w:style>
  <w:style w:type="character" w:customStyle="1" w:styleId="72">
    <w:name w:val="正文缩进 Char"/>
    <w:link w:val="13"/>
    <w:autoRedefine/>
    <w:qFormat/>
    <w:uiPriority w:val="0"/>
    <w:rPr>
      <w:rFonts w:ascii="宋体" w:hAnsi="宋体" w:eastAsia="宋体" w:cs="Times New Roman"/>
      <w:color w:val="000000"/>
      <w:szCs w:val="20"/>
    </w:rPr>
  </w:style>
  <w:style w:type="character" w:customStyle="1" w:styleId="73">
    <w:name w:val="题注 Char"/>
    <w:link w:val="14"/>
    <w:autoRedefine/>
    <w:qFormat/>
    <w:uiPriority w:val="0"/>
    <w:rPr>
      <w:rFonts w:ascii="Arial" w:hAnsi="Arial" w:eastAsia="黑体" w:cs="Arial"/>
      <w:sz w:val="18"/>
      <w:szCs w:val="24"/>
    </w:rPr>
  </w:style>
  <w:style w:type="character" w:customStyle="1" w:styleId="74">
    <w:name w:val="文档结构图 Char"/>
    <w:basedOn w:val="52"/>
    <w:link w:val="15"/>
    <w:autoRedefine/>
    <w:qFormat/>
    <w:uiPriority w:val="0"/>
    <w:rPr>
      <w:rFonts w:ascii="Times New Roman" w:hAnsi="Times New Roman" w:eastAsia="宋体" w:cs="Times New Roman"/>
      <w:sz w:val="24"/>
      <w:szCs w:val="24"/>
      <w:shd w:val="clear" w:color="auto" w:fill="000080"/>
    </w:rPr>
  </w:style>
  <w:style w:type="character" w:customStyle="1" w:styleId="75">
    <w:name w:val="批注文字 Char"/>
    <w:basedOn w:val="52"/>
    <w:link w:val="16"/>
    <w:autoRedefine/>
    <w:qFormat/>
    <w:uiPriority w:val="0"/>
    <w:rPr>
      <w:rFonts w:ascii="Times New Roman" w:hAnsi="Times New Roman" w:eastAsia="宋体" w:cs="Times New Roman"/>
      <w:szCs w:val="24"/>
    </w:rPr>
  </w:style>
  <w:style w:type="character" w:customStyle="1" w:styleId="76">
    <w:name w:val="正文文本 Char"/>
    <w:basedOn w:val="52"/>
    <w:link w:val="19"/>
    <w:autoRedefine/>
    <w:qFormat/>
    <w:uiPriority w:val="0"/>
    <w:rPr>
      <w:rFonts w:ascii="Times New Roman" w:hAnsi="Times New Roman" w:eastAsia="宋体" w:cs="Times New Roman"/>
      <w:sz w:val="24"/>
      <w:szCs w:val="24"/>
    </w:rPr>
  </w:style>
  <w:style w:type="character" w:customStyle="1" w:styleId="77">
    <w:name w:val="正文文本缩进 Char"/>
    <w:basedOn w:val="52"/>
    <w:link w:val="20"/>
    <w:autoRedefine/>
    <w:qFormat/>
    <w:uiPriority w:val="99"/>
    <w:rPr>
      <w:rFonts w:ascii="Times New Roman" w:hAnsi="Times New Roman" w:eastAsia="宋体" w:cs="Times New Roman"/>
      <w:sz w:val="24"/>
      <w:szCs w:val="24"/>
    </w:rPr>
  </w:style>
  <w:style w:type="character" w:customStyle="1" w:styleId="78">
    <w:name w:val="正文首行缩进 2 Char"/>
    <w:basedOn w:val="77"/>
    <w:link w:val="21"/>
    <w:autoRedefine/>
    <w:qFormat/>
    <w:uiPriority w:val="0"/>
    <w:rPr>
      <w:rFonts w:ascii="Times New Roman" w:hAnsi="Times New Roman" w:eastAsia="宋体" w:cs="Times New Roman"/>
      <w:sz w:val="24"/>
      <w:szCs w:val="24"/>
    </w:rPr>
  </w:style>
  <w:style w:type="character" w:customStyle="1" w:styleId="79">
    <w:name w:val="纯文本 Char"/>
    <w:basedOn w:val="52"/>
    <w:link w:val="28"/>
    <w:autoRedefine/>
    <w:qFormat/>
    <w:uiPriority w:val="0"/>
    <w:rPr>
      <w:rFonts w:ascii="宋体" w:hAnsi="Courier New" w:eastAsia="宋体" w:cs="Courier New"/>
      <w:sz w:val="24"/>
      <w:szCs w:val="21"/>
    </w:rPr>
  </w:style>
  <w:style w:type="character" w:customStyle="1" w:styleId="80">
    <w:name w:val="日期 Char"/>
    <w:basedOn w:val="52"/>
    <w:link w:val="30"/>
    <w:autoRedefine/>
    <w:qFormat/>
    <w:uiPriority w:val="0"/>
    <w:rPr>
      <w:rFonts w:ascii="Times New Roman" w:hAnsi="Times New Roman" w:eastAsia="宋体" w:cs="Times New Roman"/>
      <w:kern w:val="0"/>
      <w:sz w:val="28"/>
      <w:szCs w:val="20"/>
    </w:rPr>
  </w:style>
  <w:style w:type="character" w:customStyle="1" w:styleId="81">
    <w:name w:val="正文文本缩进 2 Char"/>
    <w:basedOn w:val="52"/>
    <w:link w:val="31"/>
    <w:autoRedefine/>
    <w:qFormat/>
    <w:uiPriority w:val="0"/>
    <w:rPr>
      <w:rFonts w:ascii="Times New Roman" w:hAnsi="Times New Roman" w:eastAsia="宋体" w:cs="Times New Roman"/>
      <w:sz w:val="24"/>
      <w:szCs w:val="24"/>
    </w:rPr>
  </w:style>
  <w:style w:type="character" w:customStyle="1" w:styleId="82">
    <w:name w:val="批注框文本 Char"/>
    <w:basedOn w:val="52"/>
    <w:link w:val="32"/>
    <w:autoRedefine/>
    <w:qFormat/>
    <w:uiPriority w:val="0"/>
    <w:rPr>
      <w:rFonts w:ascii="Times New Roman" w:hAnsi="Times New Roman" w:eastAsia="宋体" w:cs="Times New Roman"/>
      <w:sz w:val="18"/>
      <w:szCs w:val="18"/>
    </w:rPr>
  </w:style>
  <w:style w:type="character" w:customStyle="1" w:styleId="83">
    <w:name w:val="页脚 Char"/>
    <w:basedOn w:val="52"/>
    <w:link w:val="33"/>
    <w:autoRedefine/>
    <w:qFormat/>
    <w:uiPriority w:val="99"/>
    <w:rPr>
      <w:rFonts w:ascii="Times New Roman" w:hAnsi="Times New Roman" w:eastAsia="宋体" w:cs="Times New Roman"/>
      <w:szCs w:val="21"/>
    </w:rPr>
  </w:style>
  <w:style w:type="character" w:customStyle="1" w:styleId="84">
    <w:name w:val="页眉 Char"/>
    <w:basedOn w:val="52"/>
    <w:link w:val="35"/>
    <w:autoRedefine/>
    <w:qFormat/>
    <w:uiPriority w:val="99"/>
    <w:rPr>
      <w:rFonts w:ascii="Times New Roman" w:hAnsi="Times New Roman" w:eastAsia="宋体" w:cs="Times New Roman"/>
      <w:szCs w:val="24"/>
    </w:rPr>
  </w:style>
  <w:style w:type="character" w:customStyle="1" w:styleId="85">
    <w:name w:val="正文文本缩进 3 Char"/>
    <w:basedOn w:val="52"/>
    <w:link w:val="40"/>
    <w:autoRedefine/>
    <w:qFormat/>
    <w:uiPriority w:val="0"/>
    <w:rPr>
      <w:rFonts w:ascii="Times New Roman" w:hAnsi="Times New Roman" w:eastAsia="宋体" w:cs="Times New Roman"/>
      <w:sz w:val="16"/>
      <w:szCs w:val="16"/>
    </w:rPr>
  </w:style>
  <w:style w:type="character" w:customStyle="1" w:styleId="86">
    <w:name w:val="正文文本 2 Char"/>
    <w:basedOn w:val="52"/>
    <w:link w:val="43"/>
    <w:autoRedefine/>
    <w:qFormat/>
    <w:uiPriority w:val="0"/>
    <w:rPr>
      <w:rFonts w:ascii="Times New Roman" w:hAnsi="Times New Roman" w:eastAsia="宋体" w:cs="Times New Roman"/>
      <w:szCs w:val="24"/>
    </w:rPr>
  </w:style>
  <w:style w:type="character" w:customStyle="1" w:styleId="87">
    <w:name w:val="HTML 预设格式 Char"/>
    <w:basedOn w:val="52"/>
    <w:link w:val="44"/>
    <w:autoRedefine/>
    <w:qFormat/>
    <w:uiPriority w:val="99"/>
    <w:rPr>
      <w:rFonts w:ascii="宋体" w:hAnsi="宋体" w:eastAsia="宋体" w:cs="Times New Roman"/>
      <w:kern w:val="0"/>
      <w:sz w:val="24"/>
      <w:szCs w:val="24"/>
    </w:rPr>
  </w:style>
  <w:style w:type="character" w:customStyle="1" w:styleId="88">
    <w:name w:val="标题 Char"/>
    <w:basedOn w:val="52"/>
    <w:link w:val="47"/>
    <w:autoRedefine/>
    <w:qFormat/>
    <w:uiPriority w:val="0"/>
    <w:rPr>
      <w:rFonts w:ascii="Cambria" w:hAnsi="Cambria" w:eastAsia="宋体" w:cs="Times New Roman"/>
      <w:b/>
      <w:bCs/>
      <w:sz w:val="32"/>
      <w:szCs w:val="32"/>
    </w:rPr>
  </w:style>
  <w:style w:type="character" w:customStyle="1" w:styleId="89">
    <w:name w:val="批注主题 Char"/>
    <w:basedOn w:val="75"/>
    <w:link w:val="48"/>
    <w:autoRedefine/>
    <w:qFormat/>
    <w:uiPriority w:val="0"/>
    <w:rPr>
      <w:rFonts w:ascii="Times New Roman" w:hAnsi="Times New Roman" w:eastAsia="宋体" w:cs="Times New Roman"/>
      <w:b/>
      <w:bCs/>
      <w:sz w:val="24"/>
      <w:szCs w:val="24"/>
    </w:rPr>
  </w:style>
  <w:style w:type="character" w:customStyle="1" w:styleId="90">
    <w:name w:val="批注文字 Char1"/>
    <w:autoRedefine/>
    <w:semiHidden/>
    <w:qFormat/>
    <w:uiPriority w:val="99"/>
    <w:rPr>
      <w:kern w:val="2"/>
      <w:sz w:val="24"/>
      <w:szCs w:val="24"/>
    </w:rPr>
  </w:style>
  <w:style w:type="character" w:customStyle="1" w:styleId="91">
    <w:name w:val="正文首行缩进 Char"/>
    <w:basedOn w:val="76"/>
    <w:link w:val="49"/>
    <w:autoRedefine/>
    <w:qFormat/>
    <w:uiPriority w:val="0"/>
    <w:rPr>
      <w:rFonts w:ascii="Times New Roman" w:hAnsi="Times New Roman" w:eastAsia="宋体" w:cs="Times New Roman"/>
      <w:sz w:val="24"/>
      <w:szCs w:val="24"/>
    </w:rPr>
  </w:style>
  <w:style w:type="character" w:customStyle="1" w:styleId="92">
    <w:name w:val="sp1"/>
    <w:autoRedefine/>
    <w:qFormat/>
    <w:uiPriority w:val="0"/>
  </w:style>
  <w:style w:type="character" w:customStyle="1" w:styleId="93">
    <w:name w:val="文档结构图 Char1"/>
    <w:autoRedefine/>
    <w:semiHidden/>
    <w:qFormat/>
    <w:uiPriority w:val="99"/>
    <w:rPr>
      <w:rFonts w:ascii="宋体"/>
      <w:kern w:val="2"/>
      <w:sz w:val="18"/>
      <w:szCs w:val="18"/>
    </w:rPr>
  </w:style>
  <w:style w:type="character" w:customStyle="1" w:styleId="94">
    <w:name w:val="zhang正文 Char Char Char"/>
    <w:link w:val="95"/>
    <w:autoRedefine/>
    <w:semiHidden/>
    <w:qFormat/>
    <w:uiPriority w:val="0"/>
    <w:rPr>
      <w:sz w:val="28"/>
      <w:lang w:bidi="he-IL"/>
    </w:rPr>
  </w:style>
  <w:style w:type="paragraph" w:customStyle="1" w:styleId="95">
    <w:name w:val="zhang正文 Char Char"/>
    <w:basedOn w:val="20"/>
    <w:link w:val="94"/>
    <w:autoRedefine/>
    <w:semiHidden/>
    <w:qFormat/>
    <w:uiPriority w:val="0"/>
    <w:pPr>
      <w:autoSpaceDE w:val="0"/>
      <w:autoSpaceDN w:val="0"/>
      <w:adjustRightInd w:val="0"/>
      <w:snapToGrid w:val="0"/>
      <w:spacing w:after="0" w:line="360" w:lineRule="auto"/>
      <w:ind w:left="0" w:leftChars="0" w:firstLine="200" w:firstLineChars="200"/>
      <w:textAlignment w:val="baseline"/>
    </w:pPr>
    <w:rPr>
      <w:rFonts w:asciiTheme="minorHAnsi" w:hAnsiTheme="minorHAnsi" w:eastAsiaTheme="minorEastAsia" w:cstheme="minorBidi"/>
      <w:sz w:val="28"/>
      <w:szCs w:val="22"/>
      <w:lang w:bidi="he-IL"/>
    </w:rPr>
  </w:style>
  <w:style w:type="character" w:customStyle="1" w:styleId="96">
    <w:name w:val="正文首行缩进 Char1"/>
    <w:autoRedefine/>
    <w:semiHidden/>
    <w:qFormat/>
    <w:uiPriority w:val="99"/>
  </w:style>
  <w:style w:type="character" w:customStyle="1" w:styleId="97">
    <w:name w:val="正文文本 Char1"/>
    <w:autoRedefine/>
    <w:semiHidden/>
    <w:qFormat/>
    <w:uiPriority w:val="99"/>
    <w:rPr>
      <w:kern w:val="2"/>
      <w:sz w:val="24"/>
      <w:szCs w:val="24"/>
    </w:rPr>
  </w:style>
  <w:style w:type="character" w:customStyle="1" w:styleId="98">
    <w:name w:val="7表格(治) Char"/>
    <w:link w:val="99"/>
    <w:autoRedefine/>
    <w:qFormat/>
    <w:uiPriority w:val="0"/>
    <w:rPr>
      <w:rFonts w:eastAsia="楷体_GB2312" w:cs="宋体"/>
      <w:szCs w:val="36"/>
    </w:rPr>
  </w:style>
  <w:style w:type="paragraph" w:customStyle="1" w:styleId="99">
    <w:name w:val="7表格(治)"/>
    <w:link w:val="98"/>
    <w:autoRedefine/>
    <w:qFormat/>
    <w:uiPriority w:val="0"/>
    <w:pPr>
      <w:widowControl w:val="0"/>
      <w:tabs>
        <w:tab w:val="center" w:pos="4153"/>
        <w:tab w:val="right" w:pos="8306"/>
      </w:tabs>
      <w:suppressAutoHyphens/>
      <w:snapToGrid w:val="0"/>
      <w:jc w:val="center"/>
    </w:pPr>
    <w:rPr>
      <w:rFonts w:eastAsia="楷体_GB2312" w:cs="宋体" w:asciiTheme="minorHAnsi" w:hAnsiTheme="minorHAnsi"/>
      <w:kern w:val="2"/>
      <w:sz w:val="21"/>
      <w:szCs w:val="36"/>
      <w:lang w:val="en-US" w:eastAsia="zh-CN" w:bidi="ar-SA"/>
    </w:rPr>
  </w:style>
  <w:style w:type="character" w:customStyle="1" w:styleId="100">
    <w:name w:val="Char Char Char"/>
    <w:link w:val="101"/>
    <w:autoRedefine/>
    <w:qFormat/>
    <w:uiPriority w:val="0"/>
  </w:style>
  <w:style w:type="paragraph" w:customStyle="1" w:styleId="101">
    <w:name w:val="Char"/>
    <w:basedOn w:val="1"/>
    <w:link w:val="100"/>
    <w:autoRedefine/>
    <w:qFormat/>
    <w:uiPriority w:val="0"/>
    <w:rPr>
      <w:rFonts w:asciiTheme="minorHAnsi" w:hAnsiTheme="minorHAnsi" w:eastAsiaTheme="minorEastAsia" w:cstheme="minorBidi"/>
      <w:sz w:val="21"/>
      <w:szCs w:val="22"/>
    </w:rPr>
  </w:style>
  <w:style w:type="character" w:customStyle="1" w:styleId="102">
    <w:name w:val="1标题2级 Char"/>
    <w:link w:val="103"/>
    <w:autoRedefine/>
    <w:qFormat/>
    <w:uiPriority w:val="0"/>
    <w:rPr>
      <w:rFonts w:eastAsia="黑体"/>
      <w:b/>
      <w:sz w:val="30"/>
    </w:rPr>
  </w:style>
  <w:style w:type="paragraph" w:customStyle="1" w:styleId="103">
    <w:name w:val="1标题2级"/>
    <w:basedOn w:val="1"/>
    <w:link w:val="102"/>
    <w:autoRedefine/>
    <w:qFormat/>
    <w:uiPriority w:val="0"/>
    <w:pPr>
      <w:keepNext/>
      <w:adjustRightInd w:val="0"/>
      <w:snapToGrid w:val="0"/>
      <w:spacing w:line="360" w:lineRule="auto"/>
      <w:textAlignment w:val="baseline"/>
      <w:outlineLvl w:val="1"/>
    </w:pPr>
    <w:rPr>
      <w:rFonts w:eastAsia="黑体" w:asciiTheme="minorHAnsi" w:hAnsiTheme="minorHAnsi" w:cstheme="minorBidi"/>
      <w:b/>
      <w:sz w:val="30"/>
      <w:szCs w:val="22"/>
    </w:rPr>
  </w:style>
  <w:style w:type="character" w:customStyle="1" w:styleId="104">
    <w:name w:val="r"/>
    <w:autoRedefine/>
    <w:qFormat/>
    <w:uiPriority w:val="0"/>
  </w:style>
  <w:style w:type="character" w:customStyle="1" w:styleId="105">
    <w:name w:val="hps"/>
    <w:autoRedefine/>
    <w:qFormat/>
    <w:uiPriority w:val="0"/>
  </w:style>
  <w:style w:type="character" w:customStyle="1" w:styleId="106">
    <w:name w:val="二级标题 Char"/>
    <w:link w:val="107"/>
    <w:autoRedefine/>
    <w:semiHidden/>
    <w:qFormat/>
    <w:uiPriority w:val="0"/>
    <w:rPr>
      <w:rFonts w:cs="宋体"/>
      <w:b/>
      <w:bCs/>
      <w:sz w:val="30"/>
    </w:rPr>
  </w:style>
  <w:style w:type="paragraph" w:customStyle="1" w:styleId="107">
    <w:name w:val="二级标题"/>
    <w:basedOn w:val="1"/>
    <w:link w:val="106"/>
    <w:autoRedefine/>
    <w:semiHidden/>
    <w:qFormat/>
    <w:uiPriority w:val="0"/>
    <w:pPr>
      <w:keepNext/>
      <w:keepLines/>
      <w:snapToGrid w:val="0"/>
      <w:spacing w:beforeLines="50" w:afterLines="50" w:line="360" w:lineRule="auto"/>
      <w:outlineLvl w:val="1"/>
    </w:pPr>
    <w:rPr>
      <w:rFonts w:cs="宋体" w:asciiTheme="minorHAnsi" w:hAnsiTheme="minorHAnsi" w:eastAsiaTheme="minorEastAsia"/>
      <w:b/>
      <w:bCs/>
      <w:sz w:val="30"/>
      <w:szCs w:val="22"/>
    </w:rPr>
  </w:style>
  <w:style w:type="character" w:customStyle="1" w:styleId="108">
    <w:name w:val="正文文本缩进 2 Char1"/>
    <w:autoRedefine/>
    <w:semiHidden/>
    <w:qFormat/>
    <w:uiPriority w:val="99"/>
    <w:rPr>
      <w:kern w:val="2"/>
      <w:sz w:val="24"/>
      <w:szCs w:val="24"/>
    </w:rPr>
  </w:style>
  <w:style w:type="character" w:customStyle="1" w:styleId="109">
    <w:name w:val="表头 Char1"/>
    <w:autoRedefine/>
    <w:qFormat/>
    <w:uiPriority w:val="0"/>
    <w:rPr>
      <w:rFonts w:eastAsia="宋体" w:cs="宋体"/>
      <w:b/>
      <w:bCs/>
      <w:color w:val="000000"/>
      <w:kern w:val="2"/>
      <w:sz w:val="24"/>
      <w:lang w:val="en-US" w:eastAsia="zh-CN" w:bidi="ar-SA"/>
    </w:rPr>
  </w:style>
  <w:style w:type="character" w:customStyle="1" w:styleId="110">
    <w:name w:val="bt Char"/>
    <w:autoRedefine/>
    <w:qFormat/>
    <w:uiPriority w:val="0"/>
    <w:rPr>
      <w:rFonts w:ascii="Times New Roman" w:hAnsi="Times New Roman" w:eastAsia="宋体" w:cs="Times New Roman"/>
      <w:szCs w:val="24"/>
    </w:rPr>
  </w:style>
  <w:style w:type="character" w:customStyle="1" w:styleId="111">
    <w:name w:val="sp3"/>
    <w:autoRedefine/>
    <w:qFormat/>
    <w:uiPriority w:val="0"/>
  </w:style>
  <w:style w:type="character" w:customStyle="1" w:styleId="112">
    <w:name w:val="表头格式1 Char"/>
    <w:link w:val="113"/>
    <w:autoRedefine/>
    <w:qFormat/>
    <w:uiPriority w:val="0"/>
    <w:rPr>
      <w:rFonts w:hAnsi="宋体"/>
      <w:b/>
      <w:sz w:val="24"/>
      <w:szCs w:val="24"/>
    </w:rPr>
  </w:style>
  <w:style w:type="paragraph" w:customStyle="1" w:styleId="113">
    <w:name w:val="表头格式1"/>
    <w:basedOn w:val="1"/>
    <w:link w:val="112"/>
    <w:autoRedefine/>
    <w:qFormat/>
    <w:uiPriority w:val="0"/>
    <w:pPr>
      <w:tabs>
        <w:tab w:val="left" w:pos="1980"/>
      </w:tabs>
      <w:spacing w:line="360" w:lineRule="auto"/>
      <w:ind w:firstLine="420"/>
      <w:jc w:val="center"/>
    </w:pPr>
    <w:rPr>
      <w:rFonts w:hAnsi="宋体" w:asciiTheme="minorHAnsi" w:eastAsiaTheme="minorEastAsia" w:cstheme="minorBidi"/>
      <w:b/>
    </w:rPr>
  </w:style>
  <w:style w:type="character" w:customStyle="1" w:styleId="114">
    <w:name w:val="文本 Char"/>
    <w:link w:val="115"/>
    <w:autoRedefine/>
    <w:qFormat/>
    <w:uiPriority w:val="0"/>
    <w:rPr>
      <w:rFonts w:eastAsia="宋体" w:cs="宋体"/>
      <w:sz w:val="24"/>
      <w:szCs w:val="24"/>
    </w:rPr>
  </w:style>
  <w:style w:type="paragraph" w:customStyle="1" w:styleId="115">
    <w:name w:val="文本"/>
    <w:basedOn w:val="1"/>
    <w:link w:val="114"/>
    <w:autoRedefine/>
    <w:qFormat/>
    <w:uiPriority w:val="0"/>
    <w:pPr>
      <w:spacing w:line="360" w:lineRule="auto"/>
      <w:ind w:firstLine="200" w:firstLineChars="200"/>
    </w:pPr>
    <w:rPr>
      <w:rFonts w:cs="宋体" w:asciiTheme="minorHAnsi" w:hAnsiTheme="minorHAnsi"/>
    </w:rPr>
  </w:style>
  <w:style w:type="character" w:customStyle="1" w:styleId="116">
    <w:name w:val="公式编号 Char"/>
    <w:link w:val="117"/>
    <w:autoRedefine/>
    <w:qFormat/>
    <w:uiPriority w:val="0"/>
    <w:rPr>
      <w:rFonts w:eastAsia="宋体" w:cs="宋体"/>
      <w:szCs w:val="24"/>
    </w:rPr>
  </w:style>
  <w:style w:type="paragraph" w:customStyle="1" w:styleId="117">
    <w:name w:val="公式编号"/>
    <w:basedOn w:val="1"/>
    <w:link w:val="116"/>
    <w:autoRedefine/>
    <w:qFormat/>
    <w:uiPriority w:val="0"/>
    <w:pPr>
      <w:ind w:firstLine="200"/>
      <w:jc w:val="right"/>
    </w:pPr>
    <w:rPr>
      <w:rFonts w:cs="宋体" w:asciiTheme="minorHAnsi" w:hAnsiTheme="minorHAnsi"/>
      <w:sz w:val="21"/>
    </w:rPr>
  </w:style>
  <w:style w:type="character" w:customStyle="1" w:styleId="118">
    <w:name w:val="表头 Char"/>
    <w:link w:val="119"/>
    <w:autoRedefine/>
    <w:qFormat/>
    <w:uiPriority w:val="0"/>
    <w:rPr>
      <w:rFonts w:eastAsia="黑体"/>
      <w:spacing w:val="10"/>
      <w:sz w:val="28"/>
    </w:rPr>
  </w:style>
  <w:style w:type="paragraph" w:customStyle="1" w:styleId="119">
    <w:name w:val="表头"/>
    <w:basedOn w:val="1"/>
    <w:next w:val="1"/>
    <w:link w:val="118"/>
    <w:autoRedefine/>
    <w:qFormat/>
    <w:uiPriority w:val="0"/>
    <w:pPr>
      <w:widowControl/>
      <w:spacing w:before="120" w:after="120" w:line="360" w:lineRule="exact"/>
      <w:ind w:firstLine="200" w:firstLineChars="200"/>
      <w:jc w:val="center"/>
    </w:pPr>
    <w:rPr>
      <w:rFonts w:eastAsia="黑体" w:asciiTheme="minorHAnsi" w:hAnsiTheme="minorHAnsi" w:cstheme="minorBidi"/>
      <w:spacing w:val="10"/>
      <w:sz w:val="28"/>
      <w:szCs w:val="22"/>
    </w:rPr>
  </w:style>
  <w:style w:type="character" w:customStyle="1" w:styleId="120">
    <w:name w:val="表头格式1 Char Char"/>
    <w:autoRedefine/>
    <w:qFormat/>
    <w:uiPriority w:val="0"/>
    <w:rPr>
      <w:rFonts w:hAnsi="宋体"/>
      <w:b/>
      <w:kern w:val="2"/>
      <w:sz w:val="24"/>
      <w:szCs w:val="24"/>
    </w:rPr>
  </w:style>
  <w:style w:type="character" w:customStyle="1" w:styleId="121">
    <w:name w:val="图表注 Char"/>
    <w:autoRedefine/>
    <w:qFormat/>
    <w:uiPriority w:val="0"/>
    <w:rPr>
      <w:rFonts w:ascii="Arial" w:hAnsi="Arial" w:eastAsia="黑体" w:cs="Arial"/>
      <w:kern w:val="2"/>
      <w:lang w:val="en-US" w:eastAsia="zh-CN" w:bidi="ar-SA"/>
    </w:rPr>
  </w:style>
  <w:style w:type="character" w:customStyle="1" w:styleId="122">
    <w:name w:val="h2 Char"/>
    <w:autoRedefine/>
    <w:qFormat/>
    <w:uiPriority w:val="0"/>
    <w:rPr>
      <w:rFonts w:ascii="Arial" w:hAnsi="Arial" w:eastAsia="黑体" w:cs="Times New Roman"/>
      <w:b/>
      <w:bCs/>
      <w:sz w:val="32"/>
      <w:szCs w:val="32"/>
    </w:rPr>
  </w:style>
  <w:style w:type="character" w:customStyle="1" w:styleId="123">
    <w:name w:val="样式 加粗"/>
    <w:autoRedefine/>
    <w:qFormat/>
    <w:uiPriority w:val="0"/>
    <w:rPr>
      <w:rFonts w:ascii="Times New Roman" w:hAnsi="Times New Roman" w:eastAsia="宋体"/>
      <w:b/>
      <w:bCs/>
      <w:sz w:val="24"/>
      <w:szCs w:val="24"/>
    </w:rPr>
  </w:style>
  <w:style w:type="character" w:customStyle="1" w:styleId="124">
    <w:name w:val="2标题(治) Char"/>
    <w:link w:val="125"/>
    <w:autoRedefine/>
    <w:qFormat/>
    <w:uiPriority w:val="0"/>
    <w:rPr>
      <w:b/>
      <w:bCs/>
      <w:color w:val="0000FF"/>
      <w:sz w:val="28"/>
      <w:szCs w:val="28"/>
    </w:rPr>
  </w:style>
  <w:style w:type="paragraph" w:customStyle="1" w:styleId="125">
    <w:name w:val="2标题(治)"/>
    <w:basedOn w:val="3"/>
    <w:link w:val="124"/>
    <w:autoRedefine/>
    <w:qFormat/>
    <w:uiPriority w:val="0"/>
    <w:pPr>
      <w:numPr>
        <w:ilvl w:val="0"/>
        <w:numId w:val="0"/>
      </w:numPr>
      <w:jc w:val="both"/>
      <w:outlineLvl w:val="0"/>
    </w:pPr>
    <w:rPr>
      <w:rFonts w:asciiTheme="minorHAnsi" w:hAnsiTheme="minorHAnsi" w:eastAsiaTheme="minorEastAsia" w:cstheme="minorBidi"/>
      <w:color w:val="0000FF"/>
    </w:rPr>
  </w:style>
  <w:style w:type="character" w:customStyle="1" w:styleId="126">
    <w:name w:val="表格 Char Char1"/>
    <w:link w:val="127"/>
    <w:autoRedefine/>
    <w:qFormat/>
    <w:uiPriority w:val="0"/>
    <w:rPr>
      <w:snapToGrid w:val="0"/>
      <w:sz w:val="24"/>
      <w:szCs w:val="24"/>
    </w:rPr>
  </w:style>
  <w:style w:type="paragraph" w:customStyle="1" w:styleId="127">
    <w:name w:val="表格 Char"/>
    <w:basedOn w:val="1"/>
    <w:link w:val="126"/>
    <w:autoRedefine/>
    <w:qFormat/>
    <w:uiPriority w:val="0"/>
    <w:pPr>
      <w:adjustRightInd w:val="0"/>
      <w:snapToGrid w:val="0"/>
      <w:jc w:val="center"/>
    </w:pPr>
    <w:rPr>
      <w:rFonts w:asciiTheme="minorHAnsi" w:hAnsiTheme="minorHAnsi" w:eastAsiaTheme="minorEastAsia" w:cstheme="minorBidi"/>
      <w:snapToGrid w:val="0"/>
    </w:rPr>
  </w:style>
  <w:style w:type="character" w:customStyle="1" w:styleId="128">
    <w:name w:val="表名 Char Char"/>
    <w:autoRedefine/>
    <w:qFormat/>
    <w:uiPriority w:val="0"/>
    <w:rPr>
      <w:b/>
      <w:bCs/>
      <w:szCs w:val="32"/>
      <w:lang w:val="en-US" w:eastAsia="zh-CN" w:bidi="ar-SA"/>
    </w:rPr>
  </w:style>
  <w:style w:type="character" w:customStyle="1" w:styleId="129">
    <w:name w:val="description"/>
    <w:autoRedefine/>
    <w:qFormat/>
    <w:uiPriority w:val="0"/>
  </w:style>
  <w:style w:type="character" w:customStyle="1" w:styleId="130">
    <w:name w:val="正文（lh） Char"/>
    <w:link w:val="131"/>
    <w:autoRedefine/>
    <w:qFormat/>
    <w:uiPriority w:val="0"/>
    <w:rPr>
      <w:rFonts w:eastAsia="仿宋_GB2312"/>
      <w:sz w:val="28"/>
      <w:szCs w:val="28"/>
    </w:rPr>
  </w:style>
  <w:style w:type="paragraph" w:customStyle="1" w:styleId="131">
    <w:name w:val="正文（lh）"/>
    <w:basedOn w:val="1"/>
    <w:link w:val="130"/>
    <w:autoRedefine/>
    <w:qFormat/>
    <w:uiPriority w:val="0"/>
    <w:pPr>
      <w:spacing w:line="520" w:lineRule="exact"/>
      <w:ind w:firstLine="560" w:firstLineChars="200"/>
    </w:pPr>
    <w:rPr>
      <w:rFonts w:eastAsia="仿宋_GB2312" w:asciiTheme="minorHAnsi" w:hAnsiTheme="minorHAnsi" w:cstheme="minorBidi"/>
      <w:sz w:val="28"/>
      <w:szCs w:val="28"/>
    </w:rPr>
  </w:style>
  <w:style w:type="character" w:customStyle="1" w:styleId="132">
    <w:name w:val="正文文本 2 Char1"/>
    <w:autoRedefine/>
    <w:semiHidden/>
    <w:qFormat/>
    <w:uiPriority w:val="99"/>
    <w:rPr>
      <w:kern w:val="2"/>
      <w:sz w:val="24"/>
      <w:szCs w:val="24"/>
    </w:rPr>
  </w:style>
  <w:style w:type="character" w:customStyle="1" w:styleId="133">
    <w:name w:val="@ 正文 Char Char"/>
    <w:link w:val="134"/>
    <w:autoRedefine/>
    <w:qFormat/>
    <w:uiPriority w:val="0"/>
    <w:rPr>
      <w:rFonts w:hAnsi="宋体"/>
      <w:sz w:val="24"/>
      <w:szCs w:val="21"/>
    </w:rPr>
  </w:style>
  <w:style w:type="paragraph" w:customStyle="1" w:styleId="134">
    <w:name w:val="@ 正文"/>
    <w:basedOn w:val="1"/>
    <w:link w:val="133"/>
    <w:autoRedefine/>
    <w:qFormat/>
    <w:uiPriority w:val="0"/>
    <w:pPr>
      <w:tabs>
        <w:tab w:val="left" w:pos="1980"/>
        <w:tab w:val="left" w:pos="3825"/>
        <w:tab w:val="left" w:pos="4680"/>
      </w:tabs>
      <w:spacing w:line="360" w:lineRule="auto"/>
      <w:ind w:firstLine="200" w:firstLineChars="200"/>
      <w:jc w:val="left"/>
    </w:pPr>
    <w:rPr>
      <w:rFonts w:hAnsi="宋体" w:asciiTheme="minorHAnsi" w:eastAsiaTheme="minorEastAsia" w:cstheme="minorBidi"/>
      <w:szCs w:val="21"/>
    </w:rPr>
  </w:style>
  <w:style w:type="character" w:customStyle="1" w:styleId="135">
    <w:name w:val="报告书正文 Char"/>
    <w:link w:val="136"/>
    <w:autoRedefine/>
    <w:qFormat/>
    <w:uiPriority w:val="0"/>
    <w:rPr>
      <w:sz w:val="24"/>
      <w:szCs w:val="24"/>
    </w:rPr>
  </w:style>
  <w:style w:type="paragraph" w:customStyle="1" w:styleId="136">
    <w:name w:val="报告书正文"/>
    <w:basedOn w:val="1"/>
    <w:link w:val="135"/>
    <w:autoRedefine/>
    <w:qFormat/>
    <w:uiPriority w:val="0"/>
    <w:pPr>
      <w:tabs>
        <w:tab w:val="left" w:pos="1980"/>
      </w:tabs>
      <w:spacing w:line="360" w:lineRule="auto"/>
      <w:ind w:firstLine="480" w:firstLineChars="200"/>
    </w:pPr>
    <w:rPr>
      <w:rFonts w:asciiTheme="minorHAnsi" w:hAnsiTheme="minorHAnsi" w:eastAsiaTheme="minorEastAsia" w:cstheme="minorBidi"/>
    </w:rPr>
  </w:style>
  <w:style w:type="character" w:customStyle="1" w:styleId="137">
    <w:name w:val="Char Char3"/>
    <w:autoRedefine/>
    <w:qFormat/>
    <w:uiPriority w:val="0"/>
    <w:rPr>
      <w:rFonts w:ascii="Cambria" w:hAnsi="Cambria" w:eastAsia="宋体"/>
      <w:b/>
      <w:bCs/>
      <w:sz w:val="28"/>
      <w:szCs w:val="28"/>
      <w:lang w:val="en-US" w:eastAsia="zh-CN" w:bidi="ar-SA"/>
    </w:rPr>
  </w:style>
  <w:style w:type="character" w:customStyle="1" w:styleId="138">
    <w:name w:val="标题 2 Char Char"/>
    <w:autoRedefine/>
    <w:qFormat/>
    <w:uiPriority w:val="0"/>
    <w:rPr>
      <w:rFonts w:eastAsia="黑体"/>
      <w:kern w:val="2"/>
      <w:sz w:val="32"/>
      <w:szCs w:val="24"/>
      <w:lang w:val="en-US" w:eastAsia="zh-CN" w:bidi="ar-SA"/>
    </w:rPr>
  </w:style>
  <w:style w:type="character" w:customStyle="1" w:styleId="139">
    <w:name w:val="表与图题 题注 Char"/>
    <w:link w:val="140"/>
    <w:autoRedefine/>
    <w:qFormat/>
    <w:uiPriority w:val="0"/>
    <w:rPr>
      <w:rFonts w:ascii="Arial" w:hAnsi="Arial" w:eastAsia="宋体" w:cs="宋体"/>
      <w:sz w:val="18"/>
      <w:szCs w:val="21"/>
    </w:rPr>
  </w:style>
  <w:style w:type="paragraph" w:customStyle="1" w:styleId="140">
    <w:name w:val="表与图题 题注"/>
    <w:basedOn w:val="14"/>
    <w:link w:val="139"/>
    <w:autoRedefine/>
    <w:qFormat/>
    <w:uiPriority w:val="0"/>
    <w:rPr>
      <w:rFonts w:eastAsia="宋体" w:cs="宋体"/>
      <w:szCs w:val="21"/>
    </w:rPr>
  </w:style>
  <w:style w:type="character" w:customStyle="1" w:styleId="141">
    <w:name w:val="5文章(治) Char"/>
    <w:link w:val="142"/>
    <w:autoRedefine/>
    <w:qFormat/>
    <w:uiPriority w:val="0"/>
    <w:rPr>
      <w:rFonts w:ascii="Arial" w:hAnsi="Arial" w:cs="Tahoma"/>
      <w:snapToGrid w:val="0"/>
      <w:sz w:val="24"/>
      <w:szCs w:val="21"/>
    </w:rPr>
  </w:style>
  <w:style w:type="paragraph" w:customStyle="1" w:styleId="142">
    <w:name w:val="5文章(治)"/>
    <w:basedOn w:val="1"/>
    <w:next w:val="17"/>
    <w:link w:val="141"/>
    <w:autoRedefine/>
    <w:qFormat/>
    <w:uiPriority w:val="0"/>
    <w:pPr>
      <w:spacing w:line="360" w:lineRule="auto"/>
      <w:ind w:firstLine="480" w:firstLineChars="200"/>
    </w:pPr>
    <w:rPr>
      <w:rFonts w:ascii="Arial" w:hAnsi="Arial" w:cs="Tahoma" w:eastAsiaTheme="minorEastAsia"/>
      <w:snapToGrid w:val="0"/>
      <w:szCs w:val="21"/>
    </w:rPr>
  </w:style>
  <w:style w:type="character" w:customStyle="1" w:styleId="143">
    <w:name w:val="content1"/>
    <w:autoRedefine/>
    <w:qFormat/>
    <w:uiPriority w:val="0"/>
    <w:rPr>
      <w:rFonts w:hint="default"/>
      <w:sz w:val="18"/>
    </w:rPr>
  </w:style>
  <w:style w:type="character" w:customStyle="1" w:styleId="144">
    <w:name w:val="样式 标题 2节标题 2 Char1标题 2 Char Char标题 2 Char第一层条H2Heading 2 ...1 Char"/>
    <w:link w:val="145"/>
    <w:autoRedefine/>
    <w:qFormat/>
    <w:uiPriority w:val="0"/>
    <w:rPr>
      <w:rFonts w:ascii="Arial" w:hAnsi="Arial" w:eastAsia="黑体"/>
      <w:b/>
      <w:bCs/>
      <w:sz w:val="24"/>
      <w:szCs w:val="32"/>
    </w:rPr>
  </w:style>
  <w:style w:type="paragraph" w:customStyle="1" w:styleId="145">
    <w:name w:val="样式 标题 2节标题 2 Char1标题 2 Char Char标题 2 Char第一层条H2Heading 2 ...1"/>
    <w:basedOn w:val="3"/>
    <w:link w:val="144"/>
    <w:autoRedefine/>
    <w:qFormat/>
    <w:uiPriority w:val="0"/>
    <w:pPr>
      <w:numPr>
        <w:ilvl w:val="0"/>
        <w:numId w:val="0"/>
      </w:numPr>
      <w:spacing w:before="260" w:after="260"/>
      <w:jc w:val="both"/>
      <w:outlineLvl w:val="2"/>
    </w:pPr>
    <w:rPr>
      <w:rFonts w:ascii="Arial" w:hAnsi="Arial" w:eastAsia="黑体" w:cstheme="minorBidi"/>
      <w:sz w:val="24"/>
      <w:szCs w:val="32"/>
    </w:rPr>
  </w:style>
  <w:style w:type="character" w:customStyle="1" w:styleId="146">
    <w:name w:val="标题 2 Char2"/>
    <w:autoRedefine/>
    <w:qFormat/>
    <w:uiPriority w:val="0"/>
    <w:rPr>
      <w:rFonts w:ascii="Arial" w:hAnsi="Arial" w:eastAsia="黑体"/>
      <w:b/>
      <w:bCs/>
      <w:kern w:val="2"/>
      <w:sz w:val="32"/>
      <w:szCs w:val="32"/>
      <w:lang w:val="en-US" w:eastAsia="zh-CN" w:bidi="ar-SA"/>
    </w:rPr>
  </w:style>
  <w:style w:type="character" w:customStyle="1" w:styleId="147">
    <w:name w:val="表格 Char Char"/>
    <w:autoRedefine/>
    <w:qFormat/>
    <w:uiPriority w:val="0"/>
    <w:rPr>
      <w:rFonts w:ascii="Arial" w:hAnsi="Arial" w:eastAsia="宋体"/>
      <w:sz w:val="21"/>
      <w:lang w:val="en-US" w:eastAsia="zh-CN" w:bidi="ar-SA"/>
    </w:rPr>
  </w:style>
  <w:style w:type="character" w:customStyle="1" w:styleId="148">
    <w:name w:val="fontstyle01"/>
    <w:autoRedefine/>
    <w:qFormat/>
    <w:uiPriority w:val="0"/>
    <w:rPr>
      <w:rFonts w:hint="eastAsia" w:ascii="宋体" w:hAnsi="宋体" w:eastAsia="宋体"/>
      <w:color w:val="000000"/>
      <w:sz w:val="28"/>
      <w:szCs w:val="28"/>
    </w:rPr>
  </w:style>
  <w:style w:type="character" w:customStyle="1" w:styleId="149">
    <w:name w:val="Char Char1"/>
    <w:link w:val="150"/>
    <w:autoRedefine/>
    <w:qFormat/>
    <w:uiPriority w:val="0"/>
    <w:rPr>
      <w:sz w:val="24"/>
      <w:szCs w:val="24"/>
      <w:lang w:bidi="he-IL"/>
    </w:rPr>
  </w:style>
  <w:style w:type="paragraph" w:customStyle="1" w:styleId="150">
    <w:name w:val="正文2"/>
    <w:link w:val="149"/>
    <w:autoRedefine/>
    <w:qFormat/>
    <w:uiPriority w:val="0"/>
    <w:rPr>
      <w:rFonts w:asciiTheme="minorHAnsi" w:hAnsiTheme="minorHAnsi" w:eastAsiaTheme="minorEastAsia" w:cstheme="minorBidi"/>
      <w:kern w:val="2"/>
      <w:sz w:val="24"/>
      <w:szCs w:val="24"/>
      <w:lang w:val="en-US" w:eastAsia="zh-CN" w:bidi="he-IL"/>
    </w:rPr>
  </w:style>
  <w:style w:type="character" w:customStyle="1" w:styleId="151">
    <w:name w:val="我的正文 Char"/>
    <w:autoRedefine/>
    <w:qFormat/>
    <w:uiPriority w:val="0"/>
    <w:rPr>
      <w:kern w:val="2"/>
      <w:sz w:val="24"/>
      <w:szCs w:val="24"/>
      <w:lang w:val="en-US" w:eastAsia="zh-CN" w:bidi="ar-SA"/>
    </w:rPr>
  </w:style>
  <w:style w:type="character" w:customStyle="1" w:styleId="152">
    <w:name w:val="表格 Char2"/>
    <w:link w:val="153"/>
    <w:autoRedefine/>
    <w:qFormat/>
    <w:uiPriority w:val="0"/>
    <w:rPr>
      <w:rFonts w:eastAsia="宋体"/>
      <w:snapToGrid w:val="0"/>
      <w:szCs w:val="24"/>
    </w:rPr>
  </w:style>
  <w:style w:type="paragraph" w:customStyle="1" w:styleId="153">
    <w:name w:val="表格"/>
    <w:basedOn w:val="1"/>
    <w:next w:val="1"/>
    <w:link w:val="152"/>
    <w:autoRedefine/>
    <w:qFormat/>
    <w:uiPriority w:val="0"/>
    <w:pPr>
      <w:adjustRightInd w:val="0"/>
      <w:snapToGrid w:val="0"/>
      <w:jc w:val="center"/>
    </w:pPr>
    <w:rPr>
      <w:rFonts w:asciiTheme="minorHAnsi" w:hAnsiTheme="minorHAnsi" w:cstheme="minorBidi"/>
      <w:snapToGrid w:val="0"/>
      <w:sz w:val="21"/>
    </w:rPr>
  </w:style>
  <w:style w:type="character" w:customStyle="1" w:styleId="154">
    <w:name w:val="标题三啊啊啊 Char"/>
    <w:link w:val="155"/>
    <w:autoRedefine/>
    <w:qFormat/>
    <w:uiPriority w:val="0"/>
    <w:rPr>
      <w:rFonts w:eastAsia="宋体"/>
      <w:b/>
      <w:bCs/>
      <w:color w:val="000000"/>
      <w:sz w:val="24"/>
      <w:szCs w:val="24"/>
    </w:rPr>
  </w:style>
  <w:style w:type="paragraph" w:customStyle="1" w:styleId="155">
    <w:name w:val="标题三啊啊啊"/>
    <w:basedOn w:val="4"/>
    <w:link w:val="154"/>
    <w:autoRedefine/>
    <w:qFormat/>
    <w:uiPriority w:val="0"/>
    <w:pPr>
      <w:widowControl/>
      <w:numPr>
        <w:numId w:val="0"/>
      </w:numPr>
      <w:spacing w:afterLines="50"/>
    </w:pPr>
    <w:rPr>
      <w:rFonts w:asciiTheme="minorHAnsi" w:hAnsiTheme="minorHAnsi" w:cstheme="minorBidi"/>
      <w:color w:val="000000"/>
    </w:rPr>
  </w:style>
  <w:style w:type="character" w:customStyle="1" w:styleId="156">
    <w:name w:val="btn8"/>
    <w:autoRedefine/>
    <w:qFormat/>
    <w:uiPriority w:val="0"/>
  </w:style>
  <w:style w:type="character" w:customStyle="1" w:styleId="157">
    <w:name w:val="标题 3 Char1"/>
    <w:autoRedefine/>
    <w:qFormat/>
    <w:uiPriority w:val="0"/>
    <w:rPr>
      <w:rFonts w:eastAsia="宋体"/>
      <w:b/>
      <w:bCs/>
      <w:kern w:val="2"/>
      <w:sz w:val="32"/>
      <w:szCs w:val="32"/>
      <w:lang w:val="en-US" w:eastAsia="zh-CN" w:bidi="ar-SA"/>
    </w:rPr>
  </w:style>
  <w:style w:type="character" w:customStyle="1" w:styleId="158">
    <w:name w:val="正文（小四） Char"/>
    <w:link w:val="159"/>
    <w:autoRedefine/>
    <w:qFormat/>
    <w:uiPriority w:val="0"/>
    <w:rPr>
      <w:bCs/>
      <w:color w:val="000000"/>
      <w:sz w:val="24"/>
      <w:szCs w:val="32"/>
    </w:rPr>
  </w:style>
  <w:style w:type="paragraph" w:customStyle="1" w:styleId="159">
    <w:name w:val="正文（小四）"/>
    <w:link w:val="158"/>
    <w:autoRedefine/>
    <w:qFormat/>
    <w:uiPriority w:val="0"/>
    <w:pPr>
      <w:spacing w:line="360" w:lineRule="auto"/>
      <w:ind w:firstLine="200" w:firstLineChars="200"/>
      <w:jc w:val="both"/>
    </w:pPr>
    <w:rPr>
      <w:rFonts w:asciiTheme="minorHAnsi" w:hAnsiTheme="minorHAnsi" w:eastAsiaTheme="minorEastAsia" w:cstheme="minorBidi"/>
      <w:bCs/>
      <w:color w:val="000000"/>
      <w:kern w:val="2"/>
      <w:sz w:val="24"/>
      <w:szCs w:val="32"/>
      <w:lang w:val="en-US" w:eastAsia="zh-CN" w:bidi="ar-SA"/>
    </w:rPr>
  </w:style>
  <w:style w:type="character" w:customStyle="1" w:styleId="160">
    <w:name w:val="审批登记表 Char"/>
    <w:link w:val="161"/>
    <w:autoRedefine/>
    <w:qFormat/>
    <w:uiPriority w:val="0"/>
    <w:rPr>
      <w:rFonts w:ascii="宋体" w:hAnsi="宋体" w:eastAsia="宋体" w:cs="宋体"/>
      <w:sz w:val="18"/>
    </w:rPr>
  </w:style>
  <w:style w:type="paragraph" w:customStyle="1" w:styleId="161">
    <w:name w:val="审批登记表"/>
    <w:basedOn w:val="1"/>
    <w:link w:val="160"/>
    <w:autoRedefine/>
    <w:qFormat/>
    <w:uiPriority w:val="0"/>
    <w:pPr>
      <w:spacing w:line="240" w:lineRule="exact"/>
      <w:jc w:val="center"/>
    </w:pPr>
    <w:rPr>
      <w:rFonts w:ascii="宋体" w:hAnsi="宋体" w:cs="宋体"/>
      <w:sz w:val="18"/>
      <w:szCs w:val="22"/>
    </w:rPr>
  </w:style>
  <w:style w:type="character" w:customStyle="1" w:styleId="162">
    <w:name w:val="正文四号ss Char Char"/>
    <w:link w:val="163"/>
    <w:autoRedefine/>
    <w:qFormat/>
    <w:locked/>
    <w:uiPriority w:val="0"/>
    <w:rPr>
      <w:rFonts w:ascii="宋体" w:hAnsi="宋体"/>
      <w:sz w:val="28"/>
      <w:szCs w:val="28"/>
    </w:rPr>
  </w:style>
  <w:style w:type="paragraph" w:customStyle="1" w:styleId="163">
    <w:name w:val="正文四号ss"/>
    <w:basedOn w:val="1"/>
    <w:next w:val="1"/>
    <w:link w:val="162"/>
    <w:autoRedefine/>
    <w:qFormat/>
    <w:uiPriority w:val="0"/>
    <w:pPr>
      <w:spacing w:line="500" w:lineRule="exact"/>
      <w:ind w:firstLine="200" w:firstLineChars="200"/>
    </w:pPr>
    <w:rPr>
      <w:rFonts w:ascii="宋体" w:hAnsi="宋体" w:eastAsiaTheme="minorEastAsia" w:cstheme="minorBidi"/>
      <w:sz w:val="28"/>
      <w:szCs w:val="28"/>
    </w:rPr>
  </w:style>
  <w:style w:type="character" w:customStyle="1" w:styleId="164">
    <w:name w:val="标题 Char1"/>
    <w:autoRedefine/>
    <w:qFormat/>
    <w:uiPriority w:val="10"/>
    <w:rPr>
      <w:rFonts w:ascii="Cambria" w:hAnsi="Cambria" w:cs="Times New Roman"/>
      <w:b/>
      <w:bCs/>
      <w:kern w:val="2"/>
      <w:sz w:val="32"/>
      <w:szCs w:val="32"/>
    </w:rPr>
  </w:style>
  <w:style w:type="character" w:customStyle="1" w:styleId="165">
    <w:name w:val="纯文本 Char1"/>
    <w:autoRedefine/>
    <w:qFormat/>
    <w:uiPriority w:val="0"/>
    <w:rPr>
      <w:rFonts w:ascii="宋体" w:hAnsi="Courier New" w:cs="Courier New"/>
      <w:kern w:val="2"/>
      <w:sz w:val="21"/>
      <w:szCs w:val="21"/>
    </w:rPr>
  </w:style>
  <w:style w:type="character" w:customStyle="1" w:styleId="166">
    <w:name w:val="a表格 Char"/>
    <w:link w:val="167"/>
    <w:autoRedefine/>
    <w:qFormat/>
    <w:uiPriority w:val="0"/>
    <w:rPr>
      <w:szCs w:val="24"/>
    </w:rPr>
  </w:style>
  <w:style w:type="paragraph" w:customStyle="1" w:styleId="167">
    <w:name w:val="a表格"/>
    <w:link w:val="166"/>
    <w:autoRedefine/>
    <w:qFormat/>
    <w:uiPriority w:val="0"/>
    <w:pPr>
      <w:snapToGrid w:val="0"/>
      <w:jc w:val="center"/>
    </w:pPr>
    <w:rPr>
      <w:rFonts w:asciiTheme="minorHAnsi" w:hAnsiTheme="minorHAnsi" w:eastAsiaTheme="minorEastAsia" w:cstheme="minorBidi"/>
      <w:kern w:val="2"/>
      <w:sz w:val="21"/>
      <w:szCs w:val="24"/>
      <w:lang w:val="en-US" w:eastAsia="zh-CN" w:bidi="ar-SA"/>
    </w:rPr>
  </w:style>
  <w:style w:type="character" w:customStyle="1" w:styleId="168">
    <w:name w:val="尤溪防洪工程环评 Char"/>
    <w:link w:val="169"/>
    <w:autoRedefine/>
    <w:qFormat/>
    <w:uiPriority w:val="0"/>
    <w:rPr>
      <w:sz w:val="24"/>
      <w:szCs w:val="24"/>
    </w:rPr>
  </w:style>
  <w:style w:type="paragraph" w:customStyle="1" w:styleId="169">
    <w:name w:val="尤溪防洪工程环评"/>
    <w:next w:val="1"/>
    <w:link w:val="168"/>
    <w:autoRedefine/>
    <w:qFormat/>
    <w:uiPriority w:val="0"/>
    <w:pPr>
      <w:widowControl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character" w:customStyle="1" w:styleId="170">
    <w:name w:val="表格文字 Char Char"/>
    <w:autoRedefine/>
    <w:qFormat/>
    <w:uiPriority w:val="0"/>
    <w:rPr>
      <w:kern w:val="2"/>
      <w:sz w:val="21"/>
    </w:rPr>
  </w:style>
  <w:style w:type="character" w:customStyle="1" w:styleId="171">
    <w:name w:val="南联小四体斜体 Char"/>
    <w:link w:val="172"/>
    <w:autoRedefine/>
    <w:qFormat/>
    <w:uiPriority w:val="0"/>
    <w:rPr>
      <w:i/>
      <w:color w:val="FF00FF"/>
      <w:sz w:val="24"/>
      <w:szCs w:val="30"/>
    </w:rPr>
  </w:style>
  <w:style w:type="paragraph" w:customStyle="1" w:styleId="172">
    <w:name w:val="南联小四体斜体"/>
    <w:basedOn w:val="173"/>
    <w:link w:val="171"/>
    <w:autoRedefine/>
    <w:qFormat/>
    <w:uiPriority w:val="0"/>
    <w:rPr>
      <w:rFonts w:asciiTheme="minorHAnsi" w:hAnsiTheme="minorHAnsi" w:eastAsiaTheme="minorEastAsia" w:cstheme="minorBidi"/>
      <w:i/>
      <w:kern w:val="2"/>
    </w:rPr>
  </w:style>
  <w:style w:type="paragraph" w:customStyle="1" w:styleId="173">
    <w:name w:val="南联小四宋体"/>
    <w:link w:val="174"/>
    <w:autoRedefine/>
    <w:qFormat/>
    <w:uiPriority w:val="0"/>
    <w:pPr>
      <w:widowControl w:val="0"/>
      <w:spacing w:line="360" w:lineRule="auto"/>
      <w:ind w:firstLine="480" w:firstLineChars="200"/>
      <w:jc w:val="both"/>
    </w:pPr>
    <w:rPr>
      <w:rFonts w:ascii="Times New Roman" w:hAnsi="Times New Roman" w:eastAsia="宋体" w:cs="Times New Roman"/>
      <w:color w:val="FF00FF"/>
      <w:sz w:val="24"/>
      <w:szCs w:val="30"/>
      <w:lang w:val="en-US" w:eastAsia="zh-CN" w:bidi="ar-SA"/>
    </w:rPr>
  </w:style>
  <w:style w:type="character" w:customStyle="1" w:styleId="174">
    <w:name w:val="南联小四宋体 Char"/>
    <w:link w:val="173"/>
    <w:autoRedefine/>
    <w:qFormat/>
    <w:uiPriority w:val="0"/>
    <w:rPr>
      <w:rFonts w:ascii="Times New Roman" w:hAnsi="Times New Roman" w:eastAsia="宋体" w:cs="Times New Roman"/>
      <w:color w:val="FF00FF"/>
      <w:kern w:val="0"/>
      <w:sz w:val="24"/>
      <w:szCs w:val="30"/>
    </w:rPr>
  </w:style>
  <w:style w:type="character" w:customStyle="1" w:styleId="175">
    <w:name w:val="表格内文字（倾斜） Char"/>
    <w:link w:val="176"/>
    <w:autoRedefine/>
    <w:qFormat/>
    <w:uiPriority w:val="0"/>
    <w:rPr>
      <w:rFonts w:cs="宋体"/>
      <w:i/>
      <w:color w:val="000000"/>
      <w:szCs w:val="24"/>
    </w:rPr>
  </w:style>
  <w:style w:type="paragraph" w:customStyle="1" w:styleId="176">
    <w:name w:val="表格内文字（倾斜）"/>
    <w:basedOn w:val="1"/>
    <w:link w:val="175"/>
    <w:autoRedefine/>
    <w:qFormat/>
    <w:uiPriority w:val="0"/>
    <w:pPr>
      <w:tabs>
        <w:tab w:val="left" w:pos="1980"/>
        <w:tab w:val="left" w:pos="3825"/>
        <w:tab w:val="left" w:pos="4680"/>
      </w:tabs>
      <w:jc w:val="center"/>
    </w:pPr>
    <w:rPr>
      <w:rFonts w:cs="宋体" w:asciiTheme="minorHAnsi" w:hAnsiTheme="minorHAnsi" w:eastAsiaTheme="minorEastAsia"/>
      <w:i/>
      <w:color w:val="000000"/>
      <w:sz w:val="21"/>
    </w:rPr>
  </w:style>
  <w:style w:type="character" w:customStyle="1" w:styleId="177">
    <w:name w:val="sp2"/>
    <w:autoRedefine/>
    <w:qFormat/>
    <w:uiPriority w:val="0"/>
  </w:style>
  <w:style w:type="character" w:customStyle="1" w:styleId="178">
    <w:name w:val="表、图名 Char Char"/>
    <w:link w:val="179"/>
    <w:autoRedefine/>
    <w:qFormat/>
    <w:uiPriority w:val="0"/>
    <w:rPr>
      <w:rFonts w:eastAsia="Times New Roman"/>
      <w:b/>
      <w:szCs w:val="24"/>
    </w:rPr>
  </w:style>
  <w:style w:type="paragraph" w:customStyle="1" w:styleId="179">
    <w:name w:val="表、图名"/>
    <w:link w:val="178"/>
    <w:autoRedefine/>
    <w:qFormat/>
    <w:uiPriority w:val="0"/>
    <w:pPr>
      <w:spacing w:before="120" w:line="360" w:lineRule="auto"/>
      <w:jc w:val="center"/>
    </w:pPr>
    <w:rPr>
      <w:rFonts w:eastAsia="Times New Roman" w:asciiTheme="minorHAnsi" w:hAnsiTheme="minorHAnsi" w:cstheme="minorBidi"/>
      <w:b/>
      <w:kern w:val="2"/>
      <w:sz w:val="21"/>
      <w:szCs w:val="24"/>
      <w:lang w:val="en-US" w:eastAsia="zh-CN" w:bidi="ar-SA"/>
    </w:rPr>
  </w:style>
  <w:style w:type="character" w:customStyle="1" w:styleId="180">
    <w:name w:val="我的正文 Char Char"/>
    <w:link w:val="181"/>
    <w:autoRedefine/>
    <w:qFormat/>
    <w:uiPriority w:val="0"/>
    <w:rPr>
      <w:rFonts w:eastAsia="Times New Roman"/>
      <w:sz w:val="24"/>
      <w:szCs w:val="24"/>
    </w:rPr>
  </w:style>
  <w:style w:type="paragraph" w:customStyle="1" w:styleId="181">
    <w:name w:val="我的正文"/>
    <w:link w:val="180"/>
    <w:autoRedefine/>
    <w:qFormat/>
    <w:uiPriority w:val="0"/>
    <w:pPr>
      <w:spacing w:line="360" w:lineRule="auto"/>
      <w:ind w:firstLine="200" w:firstLineChars="200"/>
      <w:jc w:val="both"/>
    </w:pPr>
    <w:rPr>
      <w:rFonts w:eastAsia="Times New Roman" w:asciiTheme="minorHAnsi" w:hAnsiTheme="minorHAnsi" w:cstheme="minorBidi"/>
      <w:kern w:val="2"/>
      <w:sz w:val="24"/>
      <w:szCs w:val="24"/>
      <w:lang w:val="en-US" w:eastAsia="zh-CN" w:bidi="ar-SA"/>
    </w:rPr>
  </w:style>
  <w:style w:type="character" w:customStyle="1" w:styleId="182">
    <w:name w:val="报告正文 Char"/>
    <w:link w:val="183"/>
    <w:autoRedefine/>
    <w:qFormat/>
    <w:uiPriority w:val="0"/>
    <w:rPr>
      <w:sz w:val="24"/>
    </w:rPr>
  </w:style>
  <w:style w:type="paragraph" w:customStyle="1" w:styleId="183">
    <w:name w:val="报告正文"/>
    <w:basedOn w:val="1"/>
    <w:link w:val="182"/>
    <w:autoRedefine/>
    <w:qFormat/>
    <w:uiPriority w:val="0"/>
    <w:pPr>
      <w:spacing w:line="360" w:lineRule="auto"/>
      <w:ind w:firstLine="200" w:firstLineChars="200"/>
    </w:pPr>
    <w:rPr>
      <w:rFonts w:asciiTheme="minorHAnsi" w:hAnsiTheme="minorHAnsi" w:eastAsiaTheme="minorEastAsia" w:cstheme="minorBidi"/>
      <w:szCs w:val="22"/>
    </w:rPr>
  </w:style>
  <w:style w:type="character" w:customStyle="1" w:styleId="184">
    <w:name w:val="表头啊 Char"/>
    <w:link w:val="185"/>
    <w:autoRedefine/>
    <w:qFormat/>
    <w:uiPriority w:val="0"/>
    <w:rPr>
      <w:b/>
      <w:sz w:val="24"/>
      <w:szCs w:val="24"/>
      <w:lang w:bidi="he-IL"/>
    </w:rPr>
  </w:style>
  <w:style w:type="paragraph" w:customStyle="1" w:styleId="185">
    <w:name w:val="表头啊"/>
    <w:basedOn w:val="1"/>
    <w:link w:val="184"/>
    <w:autoRedefine/>
    <w:qFormat/>
    <w:uiPriority w:val="0"/>
    <w:pPr>
      <w:spacing w:afterLines="50" w:line="440" w:lineRule="exact"/>
      <w:jc w:val="center"/>
    </w:pPr>
    <w:rPr>
      <w:rFonts w:asciiTheme="minorHAnsi" w:hAnsiTheme="minorHAnsi" w:eastAsiaTheme="minorEastAsia" w:cstheme="minorBidi"/>
      <w:b/>
      <w:lang w:bidi="he-IL"/>
    </w:rPr>
  </w:style>
  <w:style w:type="character" w:customStyle="1" w:styleId="186">
    <w:name w:val="style31"/>
    <w:autoRedefine/>
    <w:qFormat/>
    <w:uiPriority w:val="0"/>
    <w:rPr>
      <w:b/>
      <w:bCs/>
      <w:color w:val="1B7BC7"/>
      <w:sz w:val="24"/>
      <w:szCs w:val="24"/>
    </w:rPr>
  </w:style>
  <w:style w:type="character" w:customStyle="1" w:styleId="187">
    <w:name w:val="正文文本缩进字符"/>
    <w:autoRedefine/>
    <w:qFormat/>
    <w:uiPriority w:val="0"/>
    <w:rPr>
      <w:kern w:val="2"/>
      <w:sz w:val="24"/>
      <w:szCs w:val="24"/>
    </w:rPr>
  </w:style>
  <w:style w:type="character" w:customStyle="1" w:styleId="188">
    <w:name w:val="def"/>
    <w:autoRedefine/>
    <w:qFormat/>
    <w:uiPriority w:val="0"/>
  </w:style>
  <w:style w:type="character" w:customStyle="1" w:styleId="189">
    <w:name w:val="页眉 Char1"/>
    <w:autoRedefine/>
    <w:semiHidden/>
    <w:qFormat/>
    <w:uiPriority w:val="99"/>
    <w:rPr>
      <w:kern w:val="2"/>
      <w:sz w:val="18"/>
      <w:szCs w:val="18"/>
    </w:rPr>
  </w:style>
  <w:style w:type="character" w:customStyle="1" w:styleId="190">
    <w:name w:val="表格内容 Char Char"/>
    <w:link w:val="191"/>
    <w:autoRedefine/>
    <w:qFormat/>
    <w:uiPriority w:val="0"/>
    <w:rPr>
      <w:rFonts w:cs="宋体"/>
      <w:iCs/>
      <w:szCs w:val="21"/>
    </w:rPr>
  </w:style>
  <w:style w:type="paragraph" w:customStyle="1" w:styleId="191">
    <w:name w:val="表格内容"/>
    <w:basedOn w:val="1"/>
    <w:next w:val="19"/>
    <w:link w:val="190"/>
    <w:autoRedefine/>
    <w:qFormat/>
    <w:uiPriority w:val="0"/>
    <w:pPr>
      <w:spacing w:line="340" w:lineRule="exact"/>
      <w:jc w:val="center"/>
    </w:pPr>
    <w:rPr>
      <w:rFonts w:cs="宋体" w:asciiTheme="minorHAnsi" w:hAnsiTheme="minorHAnsi" w:eastAsiaTheme="minorEastAsia"/>
      <w:iCs/>
      <w:sz w:val="21"/>
      <w:szCs w:val="21"/>
    </w:rPr>
  </w:style>
  <w:style w:type="character" w:customStyle="1" w:styleId="192">
    <w:name w:val="表格文字 Char"/>
    <w:link w:val="193"/>
    <w:autoRedefine/>
    <w:qFormat/>
    <w:uiPriority w:val="0"/>
    <w:rPr>
      <w:position w:val="-10"/>
      <w:szCs w:val="24"/>
    </w:rPr>
  </w:style>
  <w:style w:type="paragraph" w:customStyle="1" w:styleId="193">
    <w:name w:val="表格文字"/>
    <w:basedOn w:val="1"/>
    <w:link w:val="192"/>
    <w:autoRedefine/>
    <w:qFormat/>
    <w:uiPriority w:val="0"/>
    <w:pPr>
      <w:tabs>
        <w:tab w:val="left" w:pos="-2848"/>
      </w:tabs>
      <w:spacing w:line="264" w:lineRule="auto"/>
      <w:jc w:val="center"/>
    </w:pPr>
    <w:rPr>
      <w:rFonts w:asciiTheme="minorHAnsi" w:hAnsiTheme="minorHAnsi" w:eastAsiaTheme="minorEastAsia" w:cstheme="minorBidi"/>
      <w:position w:val="-10"/>
      <w:sz w:val="21"/>
    </w:rPr>
  </w:style>
  <w:style w:type="character" w:customStyle="1" w:styleId="194">
    <w:name w:val="0正文 Char Char"/>
    <w:link w:val="195"/>
    <w:autoRedefine/>
    <w:qFormat/>
    <w:uiPriority w:val="0"/>
    <w:rPr>
      <w:sz w:val="24"/>
      <w:szCs w:val="24"/>
    </w:rPr>
  </w:style>
  <w:style w:type="paragraph" w:customStyle="1" w:styleId="195">
    <w:name w:val="0正文"/>
    <w:basedOn w:val="1"/>
    <w:link w:val="194"/>
    <w:autoRedefine/>
    <w:qFormat/>
    <w:uiPriority w:val="0"/>
    <w:pPr>
      <w:spacing w:line="360" w:lineRule="auto"/>
      <w:ind w:firstLine="200" w:firstLineChars="200"/>
    </w:pPr>
    <w:rPr>
      <w:rFonts w:asciiTheme="minorHAnsi" w:hAnsiTheme="minorHAnsi" w:eastAsiaTheme="minorEastAsia" w:cstheme="minorBidi"/>
    </w:rPr>
  </w:style>
  <w:style w:type="character" w:customStyle="1" w:styleId="196">
    <w:name w:val="HTML 预设格式 Char1"/>
    <w:autoRedefine/>
    <w:semiHidden/>
    <w:qFormat/>
    <w:uiPriority w:val="99"/>
    <w:rPr>
      <w:rFonts w:ascii="Courier New" w:hAnsi="Courier New" w:cs="Courier New"/>
      <w:kern w:val="2"/>
    </w:rPr>
  </w:style>
  <w:style w:type="character" w:customStyle="1" w:styleId="197">
    <w:name w:val="文本2 Char"/>
    <w:link w:val="198"/>
    <w:autoRedefine/>
    <w:qFormat/>
    <w:uiPriority w:val="0"/>
    <w:rPr>
      <w:sz w:val="24"/>
      <w:szCs w:val="28"/>
    </w:rPr>
  </w:style>
  <w:style w:type="paragraph" w:customStyle="1" w:styleId="198">
    <w:name w:val="文本2"/>
    <w:basedOn w:val="1"/>
    <w:link w:val="197"/>
    <w:autoRedefine/>
    <w:qFormat/>
    <w:uiPriority w:val="0"/>
    <w:pPr>
      <w:spacing w:line="360" w:lineRule="auto"/>
      <w:ind w:firstLine="200" w:firstLineChars="200"/>
    </w:pPr>
    <w:rPr>
      <w:rFonts w:asciiTheme="minorHAnsi" w:hAnsiTheme="minorHAnsi" w:eastAsiaTheme="minorEastAsia" w:cstheme="minorBidi"/>
      <w:szCs w:val="28"/>
    </w:rPr>
  </w:style>
  <w:style w:type="character" w:customStyle="1" w:styleId="199">
    <w:name w:val="表格名称 Char Char"/>
    <w:link w:val="200"/>
    <w:autoRedefine/>
    <w:qFormat/>
    <w:uiPriority w:val="0"/>
    <w:rPr>
      <w:rFonts w:eastAsia="宋体"/>
      <w:b/>
      <w:sz w:val="24"/>
      <w:szCs w:val="21"/>
    </w:rPr>
  </w:style>
  <w:style w:type="paragraph" w:customStyle="1" w:styleId="200">
    <w:name w:val="表格名称"/>
    <w:basedOn w:val="1"/>
    <w:next w:val="1"/>
    <w:link w:val="199"/>
    <w:autoRedefine/>
    <w:qFormat/>
    <w:uiPriority w:val="0"/>
    <w:pPr>
      <w:spacing w:line="360" w:lineRule="auto"/>
      <w:jc w:val="center"/>
    </w:pPr>
    <w:rPr>
      <w:rFonts w:asciiTheme="minorHAnsi" w:hAnsiTheme="minorHAnsi" w:cstheme="minorBidi"/>
      <w:b/>
      <w:szCs w:val="21"/>
    </w:rPr>
  </w:style>
  <w:style w:type="paragraph" w:customStyle="1" w:styleId="201">
    <w:name w:val="表格内文字"/>
    <w:basedOn w:val="200"/>
    <w:next w:val="1"/>
    <w:link w:val="202"/>
    <w:autoRedefine/>
    <w:qFormat/>
    <w:uiPriority w:val="0"/>
    <w:pPr>
      <w:adjustRightInd w:val="0"/>
      <w:snapToGrid w:val="0"/>
    </w:pPr>
    <w:rPr>
      <w:snapToGrid w:val="0"/>
      <w:sz w:val="21"/>
    </w:rPr>
  </w:style>
  <w:style w:type="character" w:customStyle="1" w:styleId="202">
    <w:name w:val="表格内文字 Char"/>
    <w:link w:val="201"/>
    <w:autoRedefine/>
    <w:qFormat/>
    <w:uiPriority w:val="0"/>
    <w:rPr>
      <w:rFonts w:eastAsia="宋体"/>
      <w:b/>
      <w:snapToGrid w:val="0"/>
      <w:szCs w:val="21"/>
    </w:rPr>
  </w:style>
  <w:style w:type="character" w:customStyle="1" w:styleId="203">
    <w:name w:val="apple-converted-space"/>
    <w:autoRedefine/>
    <w:qFormat/>
    <w:uiPriority w:val="0"/>
  </w:style>
  <w:style w:type="character" w:customStyle="1" w:styleId="204">
    <w:name w:val="表格名称 Char"/>
    <w:autoRedefine/>
    <w:qFormat/>
    <w:uiPriority w:val="0"/>
    <w:rPr>
      <w:rFonts w:eastAsia="宋体"/>
      <w:b/>
      <w:sz w:val="21"/>
      <w:szCs w:val="24"/>
      <w:lang w:val="en-US" w:eastAsia="zh-CN" w:bidi="ar-SA"/>
    </w:rPr>
  </w:style>
  <w:style w:type="character" w:customStyle="1" w:styleId="205">
    <w:name w:val="sp21"/>
    <w:autoRedefine/>
    <w:qFormat/>
    <w:uiPriority w:val="0"/>
  </w:style>
  <w:style w:type="character" w:customStyle="1" w:styleId="206">
    <w:name w:val="图中字 Char"/>
    <w:link w:val="207"/>
    <w:autoRedefine/>
    <w:qFormat/>
    <w:uiPriority w:val="0"/>
    <w:rPr>
      <w:szCs w:val="24"/>
      <w:lang w:eastAsia="en-US" w:bidi="en-US"/>
    </w:rPr>
  </w:style>
  <w:style w:type="paragraph" w:customStyle="1" w:styleId="207">
    <w:name w:val="图中字"/>
    <w:basedOn w:val="1"/>
    <w:link w:val="206"/>
    <w:autoRedefine/>
    <w:qFormat/>
    <w:uiPriority w:val="0"/>
    <w:pPr>
      <w:widowControl/>
      <w:jc w:val="center"/>
    </w:pPr>
    <w:rPr>
      <w:rFonts w:asciiTheme="minorHAnsi" w:hAnsiTheme="minorHAnsi" w:eastAsiaTheme="minorEastAsia" w:cstheme="minorBidi"/>
      <w:sz w:val="21"/>
      <w:lang w:eastAsia="en-US" w:bidi="en-US"/>
    </w:rPr>
  </w:style>
  <w:style w:type="character" w:customStyle="1" w:styleId="208">
    <w:name w:val="正文(首行缩进) Char"/>
    <w:link w:val="61"/>
    <w:autoRedefine/>
    <w:qFormat/>
    <w:uiPriority w:val="0"/>
    <w:rPr>
      <w:rFonts w:ascii="宋体" w:hAnsi="宋体"/>
      <w:color w:val="000000"/>
      <w:kern w:val="24"/>
      <w:sz w:val="24"/>
    </w:rPr>
  </w:style>
  <w:style w:type="character" w:customStyle="1" w:styleId="209">
    <w:name w:val="正文啊 Char"/>
    <w:link w:val="210"/>
    <w:autoRedefine/>
    <w:qFormat/>
    <w:uiPriority w:val="0"/>
    <w:rPr>
      <w:color w:val="000000"/>
      <w:sz w:val="24"/>
      <w:szCs w:val="24"/>
    </w:rPr>
  </w:style>
  <w:style w:type="paragraph" w:customStyle="1" w:styleId="210">
    <w:name w:val="正文啊"/>
    <w:basedOn w:val="1"/>
    <w:link w:val="209"/>
    <w:autoRedefine/>
    <w:qFormat/>
    <w:uiPriority w:val="0"/>
    <w:pPr>
      <w:adjustRightInd w:val="0"/>
      <w:snapToGrid w:val="0"/>
      <w:spacing w:line="360" w:lineRule="auto"/>
      <w:ind w:firstLine="480" w:firstLineChars="200"/>
    </w:pPr>
    <w:rPr>
      <w:rFonts w:asciiTheme="minorHAnsi" w:hAnsiTheme="minorHAnsi" w:eastAsiaTheme="minorEastAsia" w:cstheme="minorBidi"/>
      <w:color w:val="000000"/>
    </w:rPr>
  </w:style>
  <w:style w:type="character" w:customStyle="1" w:styleId="211">
    <w:name w:val="6表(图)头(治) Char"/>
    <w:link w:val="212"/>
    <w:autoRedefine/>
    <w:qFormat/>
    <w:uiPriority w:val="0"/>
    <w:rPr>
      <w:rFonts w:eastAsia="黑体"/>
      <w:b/>
      <w:bCs/>
      <w:sz w:val="28"/>
    </w:rPr>
  </w:style>
  <w:style w:type="paragraph" w:customStyle="1" w:styleId="212">
    <w:name w:val="6表(图)头(治)"/>
    <w:next w:val="1"/>
    <w:link w:val="211"/>
    <w:autoRedefine/>
    <w:qFormat/>
    <w:uiPriority w:val="0"/>
    <w:pPr>
      <w:widowControl w:val="0"/>
      <w:jc w:val="center"/>
    </w:pPr>
    <w:rPr>
      <w:rFonts w:eastAsia="黑体" w:asciiTheme="minorHAnsi" w:hAnsiTheme="minorHAnsi" w:cstheme="minorBidi"/>
      <w:b/>
      <w:bCs/>
      <w:kern w:val="2"/>
      <w:sz w:val="28"/>
      <w:szCs w:val="22"/>
      <w:lang w:val="en-US" w:eastAsia="zh-CN" w:bidi="ar-SA"/>
    </w:rPr>
  </w:style>
  <w:style w:type="character" w:customStyle="1" w:styleId="213">
    <w:name w:val="段落1 Char Char1"/>
    <w:link w:val="214"/>
    <w:autoRedefine/>
    <w:qFormat/>
    <w:uiPriority w:val="0"/>
    <w:rPr>
      <w:rFonts w:eastAsia="宋体"/>
      <w:spacing w:val="8"/>
      <w:sz w:val="24"/>
    </w:rPr>
  </w:style>
  <w:style w:type="paragraph" w:customStyle="1" w:styleId="214">
    <w:name w:val="段落1 Char"/>
    <w:basedOn w:val="1"/>
    <w:link w:val="213"/>
    <w:autoRedefine/>
    <w:qFormat/>
    <w:uiPriority w:val="0"/>
    <w:pPr>
      <w:adjustRightInd w:val="0"/>
      <w:spacing w:line="440" w:lineRule="exact"/>
      <w:ind w:firstLine="480" w:firstLineChars="200"/>
    </w:pPr>
    <w:rPr>
      <w:rFonts w:asciiTheme="minorHAnsi" w:hAnsiTheme="minorHAnsi" w:cstheme="minorBidi"/>
      <w:spacing w:val="8"/>
      <w:szCs w:val="22"/>
    </w:rPr>
  </w:style>
  <w:style w:type="character" w:customStyle="1" w:styleId="215">
    <w:name w:val="font71"/>
    <w:autoRedefine/>
    <w:qFormat/>
    <w:uiPriority w:val="0"/>
    <w:rPr>
      <w:rFonts w:hint="eastAsia" w:ascii="宋体" w:hAnsi="宋体" w:eastAsia="宋体" w:cs="宋体"/>
      <w:color w:val="auto"/>
      <w:sz w:val="22"/>
      <w:szCs w:val="22"/>
    </w:rPr>
  </w:style>
  <w:style w:type="character" w:customStyle="1" w:styleId="216">
    <w:name w:val="表格文字nana Char Char"/>
    <w:link w:val="217"/>
    <w:autoRedefine/>
    <w:qFormat/>
    <w:uiPriority w:val="0"/>
    <w:rPr>
      <w:rFonts w:ascii="宋体" w:hAnsi="宋体" w:eastAsia="仿宋_GB2312" w:cs="宋体"/>
      <w:snapToGrid w:val="0"/>
      <w:color w:val="000000"/>
      <w:szCs w:val="21"/>
      <w:lang w:bidi="en-US"/>
    </w:rPr>
  </w:style>
  <w:style w:type="paragraph" w:customStyle="1" w:styleId="217">
    <w:name w:val="表格文字nana"/>
    <w:basedOn w:val="1"/>
    <w:link w:val="216"/>
    <w:autoRedefine/>
    <w:qFormat/>
    <w:uiPriority w:val="0"/>
    <w:pPr>
      <w:widowControl/>
      <w:spacing w:line="300" w:lineRule="auto"/>
      <w:jc w:val="center"/>
    </w:pPr>
    <w:rPr>
      <w:rFonts w:ascii="宋体" w:hAnsi="宋体" w:eastAsia="仿宋_GB2312" w:cs="宋体"/>
      <w:snapToGrid w:val="0"/>
      <w:color w:val="000000"/>
      <w:sz w:val="21"/>
      <w:szCs w:val="21"/>
      <w:lang w:bidi="en-US"/>
    </w:rPr>
  </w:style>
  <w:style w:type="character" w:customStyle="1" w:styleId="218">
    <w:name w:val="普通文字 Char Char2"/>
    <w:autoRedefine/>
    <w:qFormat/>
    <w:uiPriority w:val="0"/>
    <w:rPr>
      <w:rFonts w:ascii="宋体" w:hAnsi="Courier New" w:eastAsia="宋体"/>
      <w:kern w:val="2"/>
      <w:sz w:val="21"/>
      <w:lang w:val="en-US" w:eastAsia="zh-CN" w:bidi="ar-SA"/>
    </w:rPr>
  </w:style>
  <w:style w:type="character" w:customStyle="1" w:styleId="219">
    <w:name w:val="表题 Char Char"/>
    <w:link w:val="220"/>
    <w:autoRedefine/>
    <w:qFormat/>
    <w:uiPriority w:val="0"/>
    <w:rPr>
      <w:rFonts w:eastAsia="宋体" w:cs="宋体"/>
      <w:b/>
      <w:sz w:val="24"/>
    </w:rPr>
  </w:style>
  <w:style w:type="paragraph" w:customStyle="1" w:styleId="220">
    <w:name w:val="表题"/>
    <w:basedOn w:val="1"/>
    <w:link w:val="219"/>
    <w:autoRedefine/>
    <w:qFormat/>
    <w:uiPriority w:val="0"/>
    <w:pPr>
      <w:spacing w:line="400" w:lineRule="exact"/>
      <w:jc w:val="center"/>
    </w:pPr>
    <w:rPr>
      <w:rFonts w:cs="宋体" w:asciiTheme="minorHAnsi" w:hAnsiTheme="minorHAnsi"/>
      <w:b/>
      <w:szCs w:val="22"/>
    </w:rPr>
  </w:style>
  <w:style w:type="character" w:customStyle="1" w:styleId="221">
    <w:name w:val="表格内文字 Char Char"/>
    <w:autoRedefine/>
    <w:qFormat/>
    <w:uiPriority w:val="0"/>
    <w:rPr>
      <w:rFonts w:hAnsi="宋体" w:eastAsia="宋体"/>
      <w:color w:val="000000"/>
      <w:sz w:val="21"/>
      <w:szCs w:val="21"/>
      <w:lang w:val="en-US" w:eastAsia="zh-CN" w:bidi="ar-SA"/>
    </w:rPr>
  </w:style>
  <w:style w:type="character" w:customStyle="1" w:styleId="222">
    <w:name w:val="参考文献 Char"/>
    <w:link w:val="223"/>
    <w:autoRedefine/>
    <w:qFormat/>
    <w:uiPriority w:val="0"/>
    <w:rPr>
      <w:rFonts w:cs="宋体"/>
      <w:bCs/>
      <w:vanish/>
      <w:szCs w:val="24"/>
    </w:rPr>
  </w:style>
  <w:style w:type="paragraph" w:customStyle="1" w:styleId="223">
    <w:name w:val="参考文献"/>
    <w:link w:val="222"/>
    <w:autoRedefine/>
    <w:qFormat/>
    <w:uiPriority w:val="0"/>
    <w:pPr>
      <w:tabs>
        <w:tab w:val="left" w:pos="550"/>
      </w:tabs>
      <w:spacing w:before="60" w:line="340" w:lineRule="exact"/>
      <w:jc w:val="both"/>
    </w:pPr>
    <w:rPr>
      <w:rFonts w:cs="宋体" w:asciiTheme="minorHAnsi" w:hAnsiTheme="minorHAnsi" w:eastAsiaTheme="minorEastAsia"/>
      <w:bCs/>
      <w:vanish/>
      <w:kern w:val="2"/>
      <w:sz w:val="21"/>
      <w:szCs w:val="24"/>
      <w:lang w:val="en-US" w:eastAsia="zh-CN" w:bidi="ar-SA"/>
    </w:rPr>
  </w:style>
  <w:style w:type="character" w:customStyle="1" w:styleId="224">
    <w:name w:val="l1"/>
    <w:autoRedefine/>
    <w:qFormat/>
    <w:uiPriority w:val="0"/>
  </w:style>
  <w:style w:type="character" w:customStyle="1" w:styleId="225">
    <w:name w:val="表格内容 Char"/>
    <w:autoRedefine/>
    <w:qFormat/>
    <w:uiPriority w:val="0"/>
    <w:rPr>
      <w:rFonts w:cs="Arial"/>
      <w:sz w:val="21"/>
      <w:szCs w:val="21"/>
      <w:lang w:val="en-US" w:eastAsia="zh-CN" w:bidi="he-IL"/>
    </w:rPr>
  </w:style>
  <w:style w:type="character" w:customStyle="1" w:styleId="226">
    <w:name w:val="表 Char"/>
    <w:link w:val="227"/>
    <w:autoRedefine/>
    <w:qFormat/>
    <w:uiPriority w:val="0"/>
    <w:rPr>
      <w:color w:val="000000"/>
      <w:szCs w:val="21"/>
    </w:rPr>
  </w:style>
  <w:style w:type="paragraph" w:customStyle="1" w:styleId="227">
    <w:name w:val="表"/>
    <w:basedOn w:val="1"/>
    <w:link w:val="226"/>
    <w:autoRedefine/>
    <w:qFormat/>
    <w:uiPriority w:val="0"/>
    <w:pPr>
      <w:autoSpaceDE w:val="0"/>
      <w:autoSpaceDN w:val="0"/>
      <w:snapToGrid w:val="0"/>
      <w:jc w:val="center"/>
      <w:outlineLvl w:val="2"/>
    </w:pPr>
    <w:rPr>
      <w:rFonts w:asciiTheme="minorHAnsi" w:hAnsiTheme="minorHAnsi" w:eastAsiaTheme="minorEastAsia" w:cstheme="minorBidi"/>
      <w:color w:val="000000"/>
      <w:sz w:val="21"/>
      <w:szCs w:val="21"/>
    </w:rPr>
  </w:style>
  <w:style w:type="character" w:customStyle="1" w:styleId="228">
    <w:name w:val="标题4啊啊啊啊 啊 Char"/>
    <w:link w:val="229"/>
    <w:autoRedefine/>
    <w:qFormat/>
    <w:uiPriority w:val="0"/>
    <w:rPr>
      <w:b/>
      <w:bCs/>
      <w:color w:val="000000"/>
      <w:sz w:val="24"/>
      <w:szCs w:val="28"/>
    </w:rPr>
  </w:style>
  <w:style w:type="paragraph" w:customStyle="1" w:styleId="229">
    <w:name w:val="标题4啊啊啊啊 啊"/>
    <w:basedOn w:val="1"/>
    <w:link w:val="228"/>
    <w:autoRedefine/>
    <w:qFormat/>
    <w:uiPriority w:val="0"/>
    <w:pPr>
      <w:keepNext/>
      <w:keepLines/>
      <w:widowControl/>
      <w:spacing w:line="360" w:lineRule="auto"/>
      <w:jc w:val="left"/>
      <w:outlineLvl w:val="3"/>
    </w:pPr>
    <w:rPr>
      <w:rFonts w:asciiTheme="minorHAnsi" w:hAnsiTheme="minorHAnsi" w:eastAsiaTheme="minorEastAsia" w:cstheme="minorBidi"/>
      <w:b/>
      <w:bCs/>
      <w:color w:val="000000"/>
      <w:szCs w:val="28"/>
    </w:rPr>
  </w:style>
  <w:style w:type="character" w:customStyle="1" w:styleId="230">
    <w:name w:val="正文（首行缩进两字） Char"/>
    <w:autoRedefine/>
    <w:qFormat/>
    <w:uiPriority w:val="0"/>
    <w:rPr>
      <w:rFonts w:eastAsia="宋体"/>
      <w:kern w:val="2"/>
      <w:sz w:val="21"/>
      <w:szCs w:val="24"/>
      <w:lang w:val="en-US" w:eastAsia="zh-CN" w:bidi="ar-SA"/>
    </w:rPr>
  </w:style>
  <w:style w:type="character" w:customStyle="1" w:styleId="231">
    <w:name w:val="纯文本 Char2"/>
    <w:autoRedefine/>
    <w:semiHidden/>
    <w:qFormat/>
    <w:uiPriority w:val="99"/>
    <w:rPr>
      <w:rFonts w:ascii="宋体" w:hAnsi="Courier New" w:cs="Courier New"/>
      <w:kern w:val="2"/>
      <w:sz w:val="21"/>
      <w:szCs w:val="21"/>
    </w:rPr>
  </w:style>
  <w:style w:type="character" w:customStyle="1" w:styleId="232">
    <w:name w:val="表名 Char"/>
    <w:link w:val="233"/>
    <w:autoRedefine/>
    <w:qFormat/>
    <w:uiPriority w:val="0"/>
    <w:rPr>
      <w:rFonts w:eastAsia="宋体" w:cs="宋体"/>
      <w:b/>
      <w:sz w:val="24"/>
      <w:szCs w:val="24"/>
    </w:rPr>
  </w:style>
  <w:style w:type="paragraph" w:customStyle="1" w:styleId="233">
    <w:name w:val="表名"/>
    <w:basedOn w:val="1"/>
    <w:link w:val="232"/>
    <w:autoRedefine/>
    <w:qFormat/>
    <w:uiPriority w:val="0"/>
    <w:pPr>
      <w:spacing w:line="360" w:lineRule="auto"/>
      <w:jc w:val="center"/>
    </w:pPr>
    <w:rPr>
      <w:rFonts w:cs="宋体" w:asciiTheme="minorHAnsi" w:hAnsiTheme="minorHAnsi"/>
      <w:b/>
    </w:rPr>
  </w:style>
  <w:style w:type="character" w:customStyle="1" w:styleId="234">
    <w:name w:val="批注框文本 Char1"/>
    <w:autoRedefine/>
    <w:semiHidden/>
    <w:qFormat/>
    <w:uiPriority w:val="99"/>
    <w:rPr>
      <w:kern w:val="2"/>
      <w:sz w:val="18"/>
      <w:szCs w:val="18"/>
    </w:rPr>
  </w:style>
  <w:style w:type="character" w:customStyle="1" w:styleId="235">
    <w:name w:val="表格内文字（两端对齐） Char"/>
    <w:autoRedefine/>
    <w:qFormat/>
    <w:uiPriority w:val="0"/>
    <w:rPr>
      <w:rFonts w:eastAsia="宋体" w:cs="宋体"/>
      <w:snapToGrid w:val="0"/>
      <w:color w:val="000000"/>
      <w:sz w:val="21"/>
      <w:szCs w:val="24"/>
      <w:lang w:val="en-US" w:eastAsia="zh-CN" w:bidi="ar-SA"/>
    </w:rPr>
  </w:style>
  <w:style w:type="character" w:customStyle="1" w:styleId="236">
    <w:name w:val="样式 标题 2节标题 2 Char1标题 2 Char Char标题 2 Char第一层条H2Heading 2 ...7 Char"/>
    <w:link w:val="237"/>
    <w:autoRedefine/>
    <w:qFormat/>
    <w:uiPriority w:val="0"/>
    <w:rPr>
      <w:rFonts w:ascii="Arial" w:hAnsi="Arial" w:eastAsia="黑体"/>
      <w:b/>
      <w:bCs/>
      <w:sz w:val="30"/>
      <w:szCs w:val="32"/>
    </w:rPr>
  </w:style>
  <w:style w:type="paragraph" w:customStyle="1" w:styleId="237">
    <w:name w:val="样式 标题 2节标题 2 Char1标题 2 Char Char标题 2 Char第一层条H2Heading 2 ...7"/>
    <w:basedOn w:val="3"/>
    <w:link w:val="236"/>
    <w:autoRedefine/>
    <w:qFormat/>
    <w:uiPriority w:val="0"/>
    <w:pPr>
      <w:numPr>
        <w:ilvl w:val="0"/>
        <w:numId w:val="0"/>
      </w:numPr>
      <w:spacing w:before="260" w:after="260"/>
      <w:jc w:val="both"/>
    </w:pPr>
    <w:rPr>
      <w:rFonts w:ascii="Arial" w:hAnsi="Arial" w:eastAsia="黑体" w:cstheme="minorBidi"/>
      <w:sz w:val="30"/>
      <w:szCs w:val="32"/>
    </w:rPr>
  </w:style>
  <w:style w:type="character" w:customStyle="1" w:styleId="238">
    <w:name w:val="r1"/>
    <w:autoRedefine/>
    <w:qFormat/>
    <w:uiPriority w:val="0"/>
  </w:style>
  <w:style w:type="character" w:customStyle="1" w:styleId="239">
    <w:name w:val="Char Char31"/>
    <w:autoRedefine/>
    <w:qFormat/>
    <w:uiPriority w:val="0"/>
    <w:rPr>
      <w:rFonts w:ascii="Cambria" w:hAnsi="Cambria" w:eastAsia="宋体"/>
      <w:b/>
      <w:bCs/>
      <w:sz w:val="28"/>
      <w:szCs w:val="28"/>
      <w:lang w:val="en-US" w:eastAsia="zh-CN" w:bidi="ar-SA"/>
    </w:rPr>
  </w:style>
  <w:style w:type="character" w:customStyle="1" w:styleId="240">
    <w:name w:val="页脚 Char1"/>
    <w:autoRedefine/>
    <w:semiHidden/>
    <w:qFormat/>
    <w:uiPriority w:val="99"/>
    <w:rPr>
      <w:kern w:val="2"/>
      <w:sz w:val="18"/>
      <w:szCs w:val="18"/>
    </w:rPr>
  </w:style>
  <w:style w:type="character" w:customStyle="1" w:styleId="241">
    <w:name w:val="标1 Char"/>
    <w:link w:val="242"/>
    <w:autoRedefine/>
    <w:qFormat/>
    <w:uiPriority w:val="0"/>
    <w:rPr>
      <w:b/>
      <w:sz w:val="30"/>
      <w:szCs w:val="28"/>
    </w:rPr>
  </w:style>
  <w:style w:type="paragraph" w:customStyle="1" w:styleId="242">
    <w:name w:val="标1"/>
    <w:basedOn w:val="103"/>
    <w:link w:val="241"/>
    <w:autoRedefine/>
    <w:qFormat/>
    <w:uiPriority w:val="0"/>
    <w:pPr>
      <w:keepNext w:val="0"/>
      <w:autoSpaceDE w:val="0"/>
      <w:autoSpaceDN w:val="0"/>
      <w:snapToGrid/>
      <w:spacing w:line="240" w:lineRule="auto"/>
      <w:jc w:val="center"/>
      <w:textAlignment w:val="auto"/>
    </w:pPr>
    <w:rPr>
      <w:rFonts w:eastAsiaTheme="minorEastAsia"/>
      <w:szCs w:val="28"/>
    </w:rPr>
  </w:style>
  <w:style w:type="character" w:customStyle="1" w:styleId="243">
    <w:name w:val="Char Char11"/>
    <w:autoRedefine/>
    <w:qFormat/>
    <w:uiPriority w:val="0"/>
    <w:rPr>
      <w:sz w:val="24"/>
      <w:lang w:val="en-US" w:eastAsia="zh-CN" w:bidi="ar-SA"/>
    </w:rPr>
  </w:style>
  <w:style w:type="character" w:customStyle="1" w:styleId="244">
    <w:name w:val="l"/>
    <w:autoRedefine/>
    <w:qFormat/>
    <w:uiPriority w:val="0"/>
  </w:style>
  <w:style w:type="character" w:customStyle="1" w:styleId="245">
    <w:name w:val="正文 Char"/>
    <w:link w:val="246"/>
    <w:autoRedefine/>
    <w:qFormat/>
    <w:uiPriority w:val="0"/>
    <w:rPr>
      <w:rFonts w:hAnsi="宋体"/>
      <w:sz w:val="24"/>
      <w:szCs w:val="24"/>
    </w:rPr>
  </w:style>
  <w:style w:type="paragraph" w:customStyle="1" w:styleId="246">
    <w:name w:val="正文1"/>
    <w:basedOn w:val="1"/>
    <w:link w:val="245"/>
    <w:autoRedefine/>
    <w:qFormat/>
    <w:uiPriority w:val="0"/>
    <w:pPr>
      <w:tabs>
        <w:tab w:val="left" w:pos="1980"/>
      </w:tabs>
      <w:spacing w:line="360" w:lineRule="auto"/>
      <w:ind w:firstLine="480" w:firstLineChars="200"/>
    </w:pPr>
    <w:rPr>
      <w:rFonts w:hAnsi="宋体" w:asciiTheme="minorHAnsi" w:eastAsiaTheme="minorEastAsia" w:cstheme="minorBidi"/>
    </w:rPr>
  </w:style>
  <w:style w:type="character" w:customStyle="1" w:styleId="247">
    <w:name w:val="表头 小四 加粗 Char"/>
    <w:link w:val="248"/>
    <w:autoRedefine/>
    <w:qFormat/>
    <w:uiPriority w:val="0"/>
    <w:rPr>
      <w:rFonts w:eastAsia="宋体"/>
      <w:b/>
      <w:sz w:val="24"/>
      <w:szCs w:val="24"/>
    </w:rPr>
  </w:style>
  <w:style w:type="paragraph" w:customStyle="1" w:styleId="248">
    <w:name w:val="表头 小四 加粗"/>
    <w:basedOn w:val="1"/>
    <w:link w:val="247"/>
    <w:autoRedefine/>
    <w:qFormat/>
    <w:uiPriority w:val="0"/>
    <w:pPr>
      <w:spacing w:line="360" w:lineRule="auto"/>
      <w:jc w:val="center"/>
    </w:pPr>
    <w:rPr>
      <w:rFonts w:asciiTheme="minorHAnsi" w:hAnsiTheme="minorHAnsi" w:cstheme="minorBidi"/>
      <w:b/>
    </w:rPr>
  </w:style>
  <w:style w:type="character" w:customStyle="1" w:styleId="249">
    <w:name w:val="日期 Char1"/>
    <w:autoRedefine/>
    <w:semiHidden/>
    <w:qFormat/>
    <w:uiPriority w:val="99"/>
    <w:rPr>
      <w:kern w:val="2"/>
      <w:sz w:val="24"/>
      <w:szCs w:val="24"/>
    </w:rPr>
  </w:style>
  <w:style w:type="character" w:customStyle="1" w:styleId="250">
    <w:name w:val="表格标题 Char"/>
    <w:link w:val="251"/>
    <w:autoRedefine/>
    <w:qFormat/>
    <w:locked/>
    <w:uiPriority w:val="0"/>
    <w:rPr>
      <w:rFonts w:eastAsia="黑体"/>
      <w:color w:val="FF0000"/>
      <w:spacing w:val="4"/>
      <w:sz w:val="24"/>
      <w:szCs w:val="24"/>
    </w:rPr>
  </w:style>
  <w:style w:type="paragraph" w:customStyle="1" w:styleId="251">
    <w:name w:val="表格标题"/>
    <w:basedOn w:val="1"/>
    <w:next w:val="1"/>
    <w:link w:val="250"/>
    <w:autoRedefine/>
    <w:qFormat/>
    <w:uiPriority w:val="0"/>
    <w:pPr>
      <w:tabs>
        <w:tab w:val="left" w:pos="5400"/>
      </w:tabs>
      <w:spacing w:line="360" w:lineRule="auto"/>
      <w:ind w:firstLine="496" w:firstLineChars="200"/>
      <w:jc w:val="center"/>
    </w:pPr>
    <w:rPr>
      <w:rFonts w:eastAsia="黑体" w:asciiTheme="minorHAnsi" w:hAnsiTheme="minorHAnsi" w:cstheme="minorBidi"/>
      <w:color w:val="FF0000"/>
      <w:spacing w:val="4"/>
    </w:rPr>
  </w:style>
  <w:style w:type="character" w:customStyle="1" w:styleId="252">
    <w:name w:val="标题 2 Char21"/>
    <w:autoRedefine/>
    <w:qFormat/>
    <w:uiPriority w:val="0"/>
    <w:rPr>
      <w:rFonts w:ascii="Arial" w:hAnsi="Arial" w:eastAsia="黑体"/>
      <w:b/>
      <w:bCs/>
      <w:kern w:val="2"/>
      <w:sz w:val="32"/>
      <w:szCs w:val="32"/>
      <w:lang w:val="en-US" w:eastAsia="zh-CN" w:bidi="ar-SA"/>
    </w:rPr>
  </w:style>
  <w:style w:type="character" w:customStyle="1" w:styleId="253">
    <w:name w:val="表格内文字（两端对齐） Char Char"/>
    <w:link w:val="254"/>
    <w:autoRedefine/>
    <w:qFormat/>
    <w:uiPriority w:val="0"/>
    <w:rPr>
      <w:rFonts w:eastAsia="宋体" w:cs="宋体"/>
      <w:color w:val="000000"/>
      <w:szCs w:val="21"/>
    </w:rPr>
  </w:style>
  <w:style w:type="paragraph" w:customStyle="1" w:styleId="254">
    <w:name w:val="表格内文字（两端对齐）"/>
    <w:basedOn w:val="1"/>
    <w:link w:val="253"/>
    <w:autoRedefine/>
    <w:qFormat/>
    <w:uiPriority w:val="0"/>
    <w:pPr>
      <w:tabs>
        <w:tab w:val="left" w:pos="3825"/>
        <w:tab w:val="left" w:pos="4680"/>
      </w:tabs>
    </w:pPr>
    <w:rPr>
      <w:rFonts w:cs="宋体" w:asciiTheme="minorHAnsi" w:hAnsiTheme="minorHAnsi"/>
      <w:color w:val="000000"/>
      <w:sz w:val="21"/>
      <w:szCs w:val="21"/>
    </w:rPr>
  </w:style>
  <w:style w:type="character" w:customStyle="1" w:styleId="255">
    <w:name w:val="正文 Char Char"/>
    <w:autoRedefine/>
    <w:qFormat/>
    <w:uiPriority w:val="0"/>
    <w:rPr>
      <w:rFonts w:hAnsi="宋体" w:eastAsia="宋体"/>
      <w:kern w:val="2"/>
      <w:sz w:val="24"/>
      <w:szCs w:val="24"/>
      <w:lang w:val="en-US" w:eastAsia="zh-CN" w:bidi="ar-SA"/>
    </w:rPr>
  </w:style>
  <w:style w:type="paragraph" w:customStyle="1" w:styleId="256">
    <w:name w:val="xl65"/>
    <w:basedOn w:val="1"/>
    <w:autoRedefine/>
    <w:qFormat/>
    <w:uiPriority w:val="0"/>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257">
    <w:name w:val="Date1"/>
    <w:basedOn w:val="1"/>
    <w:next w:val="1"/>
    <w:autoRedefine/>
    <w:qFormat/>
    <w:uiPriority w:val="0"/>
    <w:pPr>
      <w:adjustRightInd w:val="0"/>
      <w:textAlignment w:val="baseline"/>
    </w:pPr>
    <w:rPr>
      <w:sz w:val="21"/>
      <w:szCs w:val="20"/>
      <w:lang w:bidi="th-TH"/>
    </w:rPr>
  </w:style>
  <w:style w:type="paragraph" w:customStyle="1" w:styleId="258">
    <w:name w:val="pic-info"/>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59">
    <w:name w:val="Abstract"/>
    <w:basedOn w:val="115"/>
    <w:autoRedefine/>
    <w:qFormat/>
    <w:uiPriority w:val="0"/>
    <w:pPr>
      <w:spacing w:after="200"/>
      <w:ind w:firstLine="0" w:firstLineChars="0"/>
      <w:jc w:val="center"/>
    </w:pPr>
    <w:rPr>
      <w:rFonts w:ascii="Arial Black" w:hAnsi="Arial Black"/>
      <w:sz w:val="28"/>
      <w:szCs w:val="28"/>
    </w:rPr>
  </w:style>
  <w:style w:type="paragraph" w:customStyle="1" w:styleId="260">
    <w:name w:val="CM4"/>
    <w:basedOn w:val="22"/>
    <w:next w:val="22"/>
    <w:autoRedefine/>
    <w:qFormat/>
    <w:uiPriority w:val="99"/>
    <w:pPr>
      <w:spacing w:line="466" w:lineRule="atLeast"/>
    </w:pPr>
    <w:rPr>
      <w:rFonts w:ascii="宋体" w:eastAsia="宋体" w:cs="Times New Roman"/>
      <w:color w:val="auto"/>
    </w:rPr>
  </w:style>
  <w:style w:type="paragraph" w:customStyle="1" w:styleId="261">
    <w:name w:val="标题1"/>
    <w:basedOn w:val="45"/>
    <w:autoRedefine/>
    <w:qFormat/>
    <w:uiPriority w:val="0"/>
    <w:pPr>
      <w:jc w:val="center"/>
      <w:outlineLvl w:val="0"/>
    </w:pPr>
    <w:rPr>
      <w:rFonts w:ascii="黑体" w:hAnsi="黑体" w:eastAsia="黑体"/>
      <w:snapToGrid w:val="0"/>
      <w:sz w:val="30"/>
      <w:szCs w:val="30"/>
    </w:rPr>
  </w:style>
  <w:style w:type="paragraph" w:customStyle="1" w:styleId="262">
    <w:name w:val="Char Char Char Char Char Char Char Char Char"/>
    <w:basedOn w:val="1"/>
    <w:autoRedefine/>
    <w:qFormat/>
    <w:uiPriority w:val="0"/>
    <w:pPr>
      <w:tabs>
        <w:tab w:val="left" w:pos="1905"/>
      </w:tabs>
      <w:ind w:left="1905" w:hanging="825"/>
    </w:pPr>
    <w:rPr>
      <w:sz w:val="21"/>
    </w:rPr>
  </w:style>
  <w:style w:type="paragraph" w:customStyle="1" w:styleId="263">
    <w:name w:val="表格内文字（居中）-wd"/>
    <w:basedOn w:val="1"/>
    <w:autoRedefine/>
    <w:qFormat/>
    <w:uiPriority w:val="0"/>
    <w:pPr>
      <w:spacing w:line="340" w:lineRule="exact"/>
      <w:jc w:val="center"/>
    </w:pPr>
    <w:rPr>
      <w:kern w:val="0"/>
      <w:sz w:val="21"/>
      <w:szCs w:val="21"/>
    </w:rPr>
  </w:style>
  <w:style w:type="paragraph" w:customStyle="1" w:styleId="264">
    <w:name w:val="gr"/>
    <w:basedOn w:val="1"/>
    <w:autoRedefine/>
    <w:qFormat/>
    <w:uiPriority w:val="0"/>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265">
    <w:name w:val="0表标题"/>
    <w:basedOn w:val="1"/>
    <w:autoRedefine/>
    <w:qFormat/>
    <w:uiPriority w:val="0"/>
    <w:pPr>
      <w:spacing w:line="360" w:lineRule="auto"/>
      <w:jc w:val="center"/>
      <w:outlineLvl w:val="4"/>
    </w:pPr>
    <w:rPr>
      <w:b/>
    </w:rPr>
  </w:style>
  <w:style w:type="paragraph" w:customStyle="1" w:styleId="266">
    <w:name w:val="样式 标题 2 + 居中"/>
    <w:basedOn w:val="3"/>
    <w:autoRedefine/>
    <w:qFormat/>
    <w:uiPriority w:val="0"/>
    <w:pPr>
      <w:numPr>
        <w:ilvl w:val="0"/>
        <w:numId w:val="0"/>
      </w:numPr>
      <w:spacing w:before="260" w:after="260" w:line="416" w:lineRule="auto"/>
      <w:jc w:val="center"/>
    </w:pPr>
    <w:rPr>
      <w:rFonts w:ascii="Arial" w:hAnsi="Arial" w:cs="宋体"/>
      <w:b w:val="0"/>
      <w:sz w:val="36"/>
      <w:szCs w:val="20"/>
    </w:rPr>
  </w:style>
  <w:style w:type="paragraph" w:customStyle="1" w:styleId="267">
    <w:name w:val="Char3 Char Char Char Char Char Char Char Char Char"/>
    <w:basedOn w:val="1"/>
    <w:autoRedefine/>
    <w:qFormat/>
    <w:uiPriority w:val="0"/>
  </w:style>
  <w:style w:type="paragraph" w:customStyle="1" w:styleId="268">
    <w:name w:val="前言序号"/>
    <w:autoRedefine/>
    <w:qFormat/>
    <w:uiPriority w:val="0"/>
    <w:rPr>
      <w:rFonts w:ascii="Times New Roman" w:hAnsi="Times New Roman" w:eastAsia="黑体" w:cs="Times New Roman"/>
      <w:bCs/>
      <w:kern w:val="2"/>
      <w:sz w:val="30"/>
      <w:szCs w:val="30"/>
      <w:lang w:val="en-US" w:eastAsia="zh-CN" w:bidi="ar-SA"/>
    </w:rPr>
  </w:style>
  <w:style w:type="paragraph" w:customStyle="1" w:styleId="269">
    <w:name w:val="Char Char Char Char Char Char"/>
    <w:basedOn w:val="1"/>
    <w:autoRedefine/>
    <w:qFormat/>
    <w:uiPriority w:val="0"/>
  </w:style>
  <w:style w:type="paragraph" w:customStyle="1" w:styleId="270">
    <w:name w:val="表格标题-改"/>
    <w:basedOn w:val="1"/>
    <w:autoRedefine/>
    <w:qFormat/>
    <w:uiPriority w:val="0"/>
    <w:pPr>
      <w:spacing w:line="360" w:lineRule="auto"/>
      <w:jc w:val="center"/>
    </w:pPr>
    <w:rPr>
      <w:rFonts w:cs="宋体"/>
      <w:b/>
      <w:sz w:val="21"/>
    </w:rPr>
  </w:style>
  <w:style w:type="paragraph" w:customStyle="1" w:styleId="271">
    <w:name w:val="样式4"/>
    <w:basedOn w:val="19"/>
    <w:autoRedefine/>
    <w:qFormat/>
    <w:uiPriority w:val="0"/>
    <w:pPr>
      <w:spacing w:after="0" w:line="360" w:lineRule="auto"/>
      <w:ind w:firstLine="480" w:firstLineChars="200"/>
    </w:pPr>
    <w:rPr>
      <w:rFonts w:ascii="宋体" w:hAnsi="宋体"/>
      <w:snapToGrid w:val="0"/>
      <w:lang w:bidi="th-TH"/>
    </w:rPr>
  </w:style>
  <w:style w:type="paragraph" w:customStyle="1" w:styleId="272">
    <w:name w:val="CM5"/>
    <w:basedOn w:val="1"/>
    <w:next w:val="1"/>
    <w:autoRedefine/>
    <w:qFormat/>
    <w:uiPriority w:val="99"/>
    <w:pPr>
      <w:autoSpaceDE w:val="0"/>
      <w:autoSpaceDN w:val="0"/>
      <w:adjustRightInd w:val="0"/>
      <w:spacing w:line="468" w:lineRule="atLeast"/>
      <w:jc w:val="left"/>
    </w:pPr>
    <w:rPr>
      <w:rFonts w:ascii="宋体" w:hAnsi="Calibri"/>
      <w:kern w:val="0"/>
    </w:rPr>
  </w:style>
  <w:style w:type="paragraph" w:customStyle="1" w:styleId="273">
    <w:name w:val="前言"/>
    <w:autoRedefine/>
    <w:qFormat/>
    <w:uiPriority w:val="0"/>
    <w:pPr>
      <w:jc w:val="center"/>
    </w:pPr>
    <w:rPr>
      <w:rFonts w:ascii="Times New Roman" w:hAnsi="Times New Roman" w:eastAsia="黑体" w:cs="Times New Roman"/>
      <w:bCs/>
      <w:sz w:val="36"/>
      <w:szCs w:val="36"/>
      <w:lang w:val="en-US" w:eastAsia="zh-CN" w:bidi="ar-SA"/>
    </w:rPr>
  </w:style>
  <w:style w:type="paragraph" w:customStyle="1" w:styleId="274">
    <w:name w:val="自建正文文本样式"/>
    <w:basedOn w:val="1"/>
    <w:next w:val="19"/>
    <w:autoRedefine/>
    <w:qFormat/>
    <w:uiPriority w:val="99"/>
    <w:pPr>
      <w:adjustRightInd w:val="0"/>
      <w:snapToGrid w:val="0"/>
      <w:ind w:firstLine="1000" w:firstLineChars="200"/>
    </w:pPr>
    <w:rPr>
      <w:kern w:val="0"/>
    </w:rPr>
  </w:style>
  <w:style w:type="paragraph" w:customStyle="1" w:styleId="275">
    <w:name w:val="样式 标题 1一、 + (中文) 黑体 小二 居中 段前: 15 磅 段后: 15 磅 行距: 1.5 倍行距"/>
    <w:basedOn w:val="2"/>
    <w:autoRedefine/>
    <w:qFormat/>
    <w:uiPriority w:val="0"/>
    <w:pPr>
      <w:numPr>
        <w:numId w:val="0"/>
      </w:numPr>
      <w:spacing w:before="120" w:after="120"/>
    </w:pPr>
    <w:rPr>
      <w:rFonts w:cs="宋体"/>
      <w:b w:val="0"/>
      <w:kern w:val="44"/>
      <w:szCs w:val="20"/>
    </w:rPr>
  </w:style>
  <w:style w:type="paragraph" w:customStyle="1" w:styleId="276">
    <w:name w:val="表格内容-改"/>
    <w:basedOn w:val="1"/>
    <w:next w:val="1"/>
    <w:autoRedefine/>
    <w:qFormat/>
    <w:uiPriority w:val="0"/>
    <w:pPr>
      <w:jc w:val="center"/>
    </w:pPr>
    <w:rPr>
      <w:sz w:val="21"/>
      <w:szCs w:val="20"/>
    </w:rPr>
  </w:style>
  <w:style w:type="paragraph" w:customStyle="1" w:styleId="277">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78">
    <w:name w:val="14"/>
    <w:basedOn w:val="1"/>
    <w:next w:val="28"/>
    <w:autoRedefine/>
    <w:qFormat/>
    <w:uiPriority w:val="0"/>
    <w:rPr>
      <w:rFonts w:ascii="宋体" w:hAnsi="ISOCT"/>
      <w:sz w:val="28"/>
      <w:szCs w:val="20"/>
    </w:rPr>
  </w:style>
  <w:style w:type="paragraph" w:customStyle="1" w:styleId="279">
    <w:name w:val="Char Char Char Char"/>
    <w:basedOn w:val="1"/>
    <w:autoRedefine/>
    <w:qFormat/>
    <w:uiPriority w:val="0"/>
    <w:pPr>
      <w:adjustRightInd w:val="0"/>
      <w:spacing w:line="360" w:lineRule="auto"/>
      <w:ind w:firstLine="200" w:firstLineChars="200"/>
      <w:textAlignment w:val="baseline"/>
    </w:pPr>
    <w:rPr>
      <w:rFonts w:ascii="宋体" w:hAnsi="宋体" w:cs="宋体"/>
      <w:szCs w:val="21"/>
    </w:rPr>
  </w:style>
  <w:style w:type="paragraph" w:customStyle="1" w:styleId="280">
    <w:name w:val="图名 小四 加粗"/>
    <w:autoRedefine/>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281">
    <w:name w:val="样式 标题 2节标题 2 Char1标题 2 Char Char标题 2 Char第一层条H2Heading 2 ...6"/>
    <w:basedOn w:val="3"/>
    <w:autoRedefine/>
    <w:qFormat/>
    <w:uiPriority w:val="0"/>
    <w:pPr>
      <w:numPr>
        <w:ilvl w:val="0"/>
        <w:numId w:val="0"/>
      </w:numPr>
      <w:jc w:val="both"/>
    </w:pPr>
    <w:rPr>
      <w:rFonts w:cs="宋体"/>
      <w:b w:val="0"/>
      <w:sz w:val="24"/>
      <w:szCs w:val="20"/>
    </w:rPr>
  </w:style>
  <w:style w:type="paragraph" w:customStyle="1" w:styleId="282">
    <w:name w:val="表1表2"/>
    <w:basedOn w:val="1"/>
    <w:autoRedefine/>
    <w:qFormat/>
    <w:uiPriority w:val="0"/>
    <w:pPr>
      <w:autoSpaceDE w:val="0"/>
      <w:autoSpaceDN w:val="0"/>
      <w:adjustRightInd w:val="0"/>
      <w:jc w:val="center"/>
      <w:textAlignment w:val="center"/>
    </w:pPr>
    <w:rPr>
      <w:rFonts w:eastAsia="仿宋_GB2312"/>
      <w:kern w:val="0"/>
      <w:sz w:val="21"/>
      <w:szCs w:val="21"/>
    </w:rPr>
  </w:style>
  <w:style w:type="paragraph" w:customStyle="1" w:styleId="283">
    <w:name w:val="15"/>
    <w:basedOn w:val="1"/>
    <w:next w:val="45"/>
    <w:autoRedefine/>
    <w:qFormat/>
    <w:uiPriority w:val="0"/>
  </w:style>
  <w:style w:type="paragraph" w:customStyle="1" w:styleId="284">
    <w:name w:val="c3表格文字"/>
    <w:next w:val="33"/>
    <w:autoRedefine/>
    <w:qFormat/>
    <w:uiPriority w:val="0"/>
    <w:pPr>
      <w:tabs>
        <w:tab w:val="left" w:pos="2432"/>
      </w:tabs>
      <w:adjustRightInd w:val="0"/>
      <w:snapToGrid w:val="0"/>
      <w:jc w:val="center"/>
    </w:pPr>
    <w:rPr>
      <w:rFonts w:ascii="Times New Roman" w:hAnsi="Times New Roman" w:eastAsia="仿宋_GB2312" w:cs="宋体"/>
      <w:kern w:val="2"/>
      <w:sz w:val="24"/>
      <w:szCs w:val="28"/>
      <w:lang w:val="en-US" w:eastAsia="zh-CN" w:bidi="ar-SA"/>
    </w:rPr>
  </w:style>
  <w:style w:type="paragraph" w:customStyle="1" w:styleId="285">
    <w:name w:val="Char Char Char2"/>
    <w:basedOn w:val="15"/>
    <w:autoRedefine/>
    <w:qFormat/>
    <w:uiPriority w:val="0"/>
    <w:pPr>
      <w:adjustRightInd w:val="0"/>
      <w:spacing w:line="436" w:lineRule="exact"/>
      <w:ind w:left="357"/>
      <w:jc w:val="left"/>
      <w:outlineLvl w:val="3"/>
    </w:pPr>
    <w:rPr>
      <w:rFonts w:ascii="Tahoma" w:hAnsi="Tahoma"/>
      <w:b/>
      <w:sz w:val="44"/>
    </w:rPr>
  </w:style>
  <w:style w:type="paragraph" w:customStyle="1" w:styleId="286">
    <w:name w:val="青山正文"/>
    <w:basedOn w:val="1"/>
    <w:autoRedefine/>
    <w:qFormat/>
    <w:uiPriority w:val="0"/>
    <w:pPr>
      <w:tabs>
        <w:tab w:val="left" w:pos="2145"/>
      </w:tabs>
      <w:adjustRightInd w:val="0"/>
      <w:snapToGrid w:val="0"/>
      <w:spacing w:line="360" w:lineRule="auto"/>
      <w:ind w:firstLine="200" w:firstLineChars="200"/>
    </w:pPr>
    <w:rPr>
      <w:sz w:val="28"/>
      <w:szCs w:val="28"/>
    </w:rPr>
  </w:style>
  <w:style w:type="paragraph" w:customStyle="1" w:styleId="287">
    <w:name w:val="插图 居中"/>
    <w:basedOn w:val="1"/>
    <w:autoRedefine/>
    <w:qFormat/>
    <w:uiPriority w:val="0"/>
    <w:pPr>
      <w:tabs>
        <w:tab w:val="left" w:pos="3825"/>
        <w:tab w:val="left" w:pos="4680"/>
      </w:tabs>
      <w:spacing w:line="360" w:lineRule="auto"/>
      <w:jc w:val="center"/>
    </w:pPr>
    <w:rPr>
      <w:rFonts w:cs="宋体"/>
      <w:szCs w:val="20"/>
    </w:rPr>
  </w:style>
  <w:style w:type="paragraph" w:customStyle="1" w:styleId="288">
    <w:name w:val="注释"/>
    <w:basedOn w:val="1"/>
    <w:autoRedefine/>
    <w:qFormat/>
    <w:uiPriority w:val="0"/>
    <w:pPr>
      <w:widowControl/>
      <w:spacing w:before="60"/>
      <w:ind w:firstLine="200" w:firstLineChars="200"/>
      <w:jc w:val="left"/>
    </w:pPr>
    <w:rPr>
      <w:rFonts w:cs="宋体"/>
      <w:b/>
      <w:bCs/>
      <w:kern w:val="0"/>
      <w:sz w:val="18"/>
      <w:szCs w:val="20"/>
      <w:lang w:eastAsia="en-US" w:bidi="en-US"/>
    </w:rPr>
  </w:style>
  <w:style w:type="paragraph" w:customStyle="1" w:styleId="289">
    <w:name w:val="正文缩进 New"/>
    <w:basedOn w:val="290"/>
    <w:autoRedefine/>
    <w:qFormat/>
    <w:uiPriority w:val="0"/>
    <w:pPr>
      <w:ind w:firstLine="420" w:firstLineChars="200"/>
    </w:pPr>
  </w:style>
  <w:style w:type="paragraph" w:customStyle="1" w:styleId="290">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p0"/>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92">
    <w:name w:val="样式 标题 2节标题 2 Char1标题 2 Char Char标题 2 Char第一层条H2Heading 2 ...5"/>
    <w:basedOn w:val="3"/>
    <w:autoRedefine/>
    <w:qFormat/>
    <w:uiPriority w:val="0"/>
    <w:pPr>
      <w:numPr>
        <w:ilvl w:val="0"/>
        <w:numId w:val="0"/>
      </w:numPr>
      <w:spacing w:beforeLines="50" w:afterLines="50"/>
      <w:jc w:val="both"/>
    </w:pPr>
    <w:rPr>
      <w:rFonts w:cs="宋体"/>
      <w:b w:val="0"/>
      <w:szCs w:val="20"/>
    </w:rPr>
  </w:style>
  <w:style w:type="paragraph" w:customStyle="1" w:styleId="293">
    <w:name w:val="样式 1标题1级 + 黑体 居中 行距: 1.5 倍行距"/>
    <w:basedOn w:val="1"/>
    <w:autoRedefine/>
    <w:qFormat/>
    <w:uiPriority w:val="0"/>
    <w:pPr>
      <w:keepNext/>
      <w:pageBreakBefore/>
      <w:snapToGrid w:val="0"/>
      <w:spacing w:line="360" w:lineRule="auto"/>
      <w:jc w:val="center"/>
      <w:outlineLvl w:val="0"/>
    </w:pPr>
    <w:rPr>
      <w:rFonts w:ascii="黑体" w:eastAsia="黑体" w:cs="宋体"/>
      <w:b/>
      <w:bCs/>
      <w:sz w:val="30"/>
      <w:szCs w:val="20"/>
    </w:rPr>
  </w:style>
  <w:style w:type="paragraph" w:customStyle="1" w:styleId="294">
    <w:name w:val="11"/>
    <w:basedOn w:val="1"/>
    <w:next w:val="20"/>
    <w:autoRedefine/>
    <w:qFormat/>
    <w:uiPriority w:val="0"/>
    <w:pPr>
      <w:ind w:left="576"/>
    </w:pPr>
  </w:style>
  <w:style w:type="paragraph" w:customStyle="1" w:styleId="295">
    <w:name w:val="CM3"/>
    <w:basedOn w:val="22"/>
    <w:next w:val="22"/>
    <w:autoRedefine/>
    <w:qFormat/>
    <w:uiPriority w:val="99"/>
    <w:pPr>
      <w:spacing w:line="466" w:lineRule="atLeast"/>
    </w:pPr>
    <w:rPr>
      <w:rFonts w:ascii="宋体" w:eastAsia="宋体" w:cs="Times New Roman"/>
      <w:color w:val="auto"/>
    </w:rPr>
  </w:style>
  <w:style w:type="paragraph" w:customStyle="1" w:styleId="296">
    <w:name w:val="样式 样式 标题 3 + 首行缩进:  2 字符 + 首行缩进:  2 字符"/>
    <w:basedOn w:val="1"/>
    <w:autoRedefine/>
    <w:qFormat/>
    <w:uiPriority w:val="0"/>
    <w:pPr>
      <w:keepNext/>
      <w:keepLines/>
      <w:spacing w:before="260" w:after="260" w:line="416" w:lineRule="auto"/>
      <w:ind w:firstLine="562" w:firstLineChars="200"/>
      <w:outlineLvl w:val="2"/>
    </w:pPr>
    <w:rPr>
      <w:rFonts w:cs="宋体"/>
      <w:b/>
      <w:bCs/>
      <w:szCs w:val="20"/>
    </w:rPr>
  </w:style>
  <w:style w:type="paragraph" w:customStyle="1" w:styleId="297">
    <w:name w:val="样式 标题 2节标题 2 Char1标题 2 Char Char标题 2 Char第一层条H2Heading 2 ...2"/>
    <w:basedOn w:val="3"/>
    <w:autoRedefine/>
    <w:qFormat/>
    <w:uiPriority w:val="0"/>
    <w:pPr>
      <w:numPr>
        <w:ilvl w:val="0"/>
        <w:numId w:val="0"/>
      </w:numPr>
      <w:spacing w:beforeLines="50" w:afterLines="50"/>
      <w:jc w:val="both"/>
      <w:outlineLvl w:val="2"/>
    </w:pPr>
    <w:rPr>
      <w:rFonts w:cs="宋体"/>
      <w:b w:val="0"/>
      <w:sz w:val="24"/>
      <w:szCs w:val="20"/>
    </w:rPr>
  </w:style>
  <w:style w:type="paragraph" w:customStyle="1" w:styleId="298">
    <w:name w:val="表格内容 ylp"/>
    <w:autoRedefine/>
    <w:qFormat/>
    <w:uiPriority w:val="0"/>
    <w:pPr>
      <w:widowControl w:val="0"/>
      <w:jc w:val="center"/>
    </w:pPr>
    <w:rPr>
      <w:rFonts w:ascii="Calibri" w:hAnsi="Calibri" w:eastAsia="宋体" w:cs="Times New Roman"/>
      <w:color w:val="000000"/>
      <w:kern w:val="2"/>
      <w:sz w:val="21"/>
      <w:szCs w:val="21"/>
      <w:lang w:val="en-US" w:eastAsia="zh-CN" w:bidi="ar-SA"/>
    </w:rPr>
  </w:style>
  <w:style w:type="paragraph" w:customStyle="1" w:styleId="299">
    <w:name w:val="英文题目"/>
    <w:basedOn w:val="115"/>
    <w:autoRedefine/>
    <w:qFormat/>
    <w:uiPriority w:val="0"/>
    <w:pPr>
      <w:spacing w:after="200"/>
      <w:ind w:firstLine="0" w:firstLineChars="0"/>
      <w:jc w:val="center"/>
    </w:pPr>
    <w:rPr>
      <w:rFonts w:ascii="Arial Black" w:hAnsi="Arial Black"/>
      <w:sz w:val="30"/>
      <w:szCs w:val="30"/>
    </w:rPr>
  </w:style>
  <w:style w:type="paragraph" w:customStyle="1" w:styleId="300">
    <w:name w:val="目录"/>
    <w:basedOn w:val="1"/>
    <w:autoRedefine/>
    <w:qFormat/>
    <w:uiPriority w:val="0"/>
    <w:pPr>
      <w:tabs>
        <w:tab w:val="left" w:pos="1980"/>
        <w:tab w:val="left" w:pos="3825"/>
        <w:tab w:val="left" w:pos="4680"/>
      </w:tabs>
      <w:spacing w:line="360" w:lineRule="auto"/>
      <w:jc w:val="center"/>
    </w:pPr>
    <w:rPr>
      <w:b/>
      <w:sz w:val="28"/>
    </w:rPr>
  </w:style>
  <w:style w:type="paragraph" w:customStyle="1" w:styleId="301">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02">
    <w:name w:val="reader-word-layer"/>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303">
    <w:name w:val="Char Char Char Char Char Char Char Char Char Char"/>
    <w:basedOn w:val="1"/>
    <w:autoRedefine/>
    <w:qFormat/>
    <w:uiPriority w:val="0"/>
    <w:rPr>
      <w:sz w:val="21"/>
    </w:rPr>
  </w:style>
  <w:style w:type="paragraph" w:customStyle="1" w:styleId="304">
    <w:name w:val="表头样式1"/>
    <w:basedOn w:val="1"/>
    <w:autoRedefine/>
    <w:qFormat/>
    <w:uiPriority w:val="0"/>
    <w:pPr>
      <w:spacing w:after="80" w:line="480" w:lineRule="atLeast"/>
      <w:jc w:val="center"/>
    </w:pPr>
    <w:rPr>
      <w:rFonts w:eastAsia="黑体"/>
      <w:b/>
      <w:bCs/>
    </w:rPr>
  </w:style>
  <w:style w:type="paragraph" w:customStyle="1" w:styleId="305">
    <w:name w:val="CM7"/>
    <w:basedOn w:val="22"/>
    <w:next w:val="22"/>
    <w:autoRedefine/>
    <w:qFormat/>
    <w:uiPriority w:val="99"/>
    <w:pPr>
      <w:spacing w:line="506" w:lineRule="atLeast"/>
    </w:pPr>
    <w:rPr>
      <w:rFonts w:ascii="宋体" w:eastAsia="宋体" w:cs="Times New Roman"/>
      <w:color w:val="auto"/>
    </w:rPr>
  </w:style>
  <w:style w:type="paragraph" w:customStyle="1" w:styleId="306">
    <w:name w:val="目录 样式"/>
    <w:basedOn w:val="41"/>
    <w:autoRedefine/>
    <w:qFormat/>
    <w:uiPriority w:val="0"/>
    <w:pPr>
      <w:tabs>
        <w:tab w:val="right" w:leader="dot" w:pos="9118"/>
      </w:tabs>
      <w:ind w:left="480"/>
    </w:pPr>
    <w:rPr>
      <w:rFonts w:cs="宋体"/>
      <w:szCs w:val="20"/>
    </w:rPr>
  </w:style>
  <w:style w:type="paragraph" w:customStyle="1" w:styleId="307">
    <w:name w:val="附表说明"/>
    <w:basedOn w:val="115"/>
    <w:autoRedefine/>
    <w:qFormat/>
    <w:uiPriority w:val="0"/>
    <w:pPr>
      <w:ind w:firstLine="0" w:firstLineChars="0"/>
      <w:jc w:val="center"/>
    </w:pPr>
    <w:rPr>
      <w:sz w:val="18"/>
      <w:szCs w:val="18"/>
    </w:rPr>
  </w:style>
  <w:style w:type="paragraph" w:customStyle="1" w:styleId="308">
    <w:name w:val="red"/>
    <w:basedOn w:val="1"/>
    <w:autoRedefine/>
    <w:qFormat/>
    <w:uiPriority w:val="0"/>
    <w:pPr>
      <w:widowControl/>
      <w:spacing w:before="100" w:beforeAutospacing="1" w:after="100" w:afterAutospacing="1" w:line="300" w:lineRule="atLeast"/>
      <w:jc w:val="left"/>
    </w:pPr>
    <w:rPr>
      <w:rFonts w:ascii="Arial Unicode MS" w:hAnsi="Arial Unicode MS" w:eastAsia="Arial Unicode MS"/>
      <w:color w:val="FF0000"/>
      <w:kern w:val="0"/>
      <w:sz w:val="18"/>
      <w:szCs w:val="18"/>
    </w:rPr>
  </w:style>
  <w:style w:type="paragraph" w:customStyle="1" w:styleId="309">
    <w:name w:val="表格 32"/>
    <w:basedOn w:val="1"/>
    <w:autoRedefine/>
    <w:qFormat/>
    <w:uiPriority w:val="0"/>
    <w:pPr>
      <w:autoSpaceDE w:val="0"/>
      <w:autoSpaceDN w:val="0"/>
      <w:adjustRightInd w:val="0"/>
      <w:spacing w:line="0" w:lineRule="atLeast"/>
      <w:jc w:val="center"/>
      <w:textAlignment w:val="baseline"/>
    </w:pPr>
    <w:rPr>
      <w:kern w:val="0"/>
      <w:szCs w:val="20"/>
    </w:rPr>
  </w:style>
  <w:style w:type="paragraph" w:customStyle="1" w:styleId="310">
    <w:name w:val="样式 首行缩进"/>
    <w:basedOn w:val="1"/>
    <w:autoRedefine/>
    <w:qFormat/>
    <w:uiPriority w:val="0"/>
    <w:pPr>
      <w:spacing w:before="60" w:after="60" w:line="360" w:lineRule="auto"/>
      <w:ind w:firstLine="480" w:firstLineChars="200"/>
    </w:pPr>
    <w:rPr>
      <w:rFonts w:cs="宋体"/>
      <w:szCs w:val="20"/>
    </w:rPr>
  </w:style>
  <w:style w:type="paragraph" w:customStyle="1" w:styleId="311">
    <w:name w:val="1标题3级"/>
    <w:basedOn w:val="103"/>
    <w:autoRedefine/>
    <w:qFormat/>
    <w:uiPriority w:val="0"/>
    <w:pPr>
      <w:outlineLvl w:val="2"/>
    </w:pPr>
    <w:rPr>
      <w:sz w:val="28"/>
    </w:rPr>
  </w:style>
  <w:style w:type="paragraph" w:customStyle="1" w:styleId="312">
    <w:name w:val="我的表格"/>
    <w:autoRedefine/>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13">
    <w:name w:val="样式3"/>
    <w:basedOn w:val="314"/>
    <w:next w:val="5"/>
    <w:autoRedefine/>
    <w:qFormat/>
    <w:uiPriority w:val="0"/>
    <w:pPr>
      <w:tabs>
        <w:tab w:val="left" w:pos="360"/>
        <w:tab w:val="left" w:pos="825"/>
        <w:tab w:val="left" w:pos="903"/>
        <w:tab w:val="left" w:pos="2100"/>
        <w:tab w:val="left" w:pos="2520"/>
        <w:tab w:val="left" w:pos="3000"/>
      </w:tabs>
      <w:ind w:left="2520" w:hanging="420"/>
    </w:pPr>
    <w:rPr>
      <w:rFonts w:eastAsia="宋体"/>
      <w:szCs w:val="21"/>
    </w:rPr>
  </w:style>
  <w:style w:type="paragraph" w:customStyle="1" w:styleId="314">
    <w:name w:val="四级条标题"/>
    <w:basedOn w:val="315"/>
    <w:next w:val="1"/>
    <w:autoRedefine/>
    <w:qFormat/>
    <w:uiPriority w:val="0"/>
    <w:pPr>
      <w:tabs>
        <w:tab w:val="left" w:pos="360"/>
        <w:tab w:val="left" w:pos="825"/>
        <w:tab w:val="left" w:pos="903"/>
      </w:tabs>
      <w:outlineLvl w:val="5"/>
    </w:pPr>
  </w:style>
  <w:style w:type="paragraph" w:customStyle="1" w:styleId="315">
    <w:name w:val="三级条标题"/>
    <w:basedOn w:val="316"/>
    <w:next w:val="1"/>
    <w:autoRedefine/>
    <w:qFormat/>
    <w:uiPriority w:val="0"/>
    <w:pPr>
      <w:tabs>
        <w:tab w:val="left" w:pos="360"/>
        <w:tab w:val="left" w:pos="825"/>
        <w:tab w:val="left" w:pos="903"/>
      </w:tabs>
      <w:outlineLvl w:val="4"/>
    </w:pPr>
  </w:style>
  <w:style w:type="paragraph" w:customStyle="1" w:styleId="316">
    <w:name w:val="二级条标题"/>
    <w:basedOn w:val="317"/>
    <w:next w:val="1"/>
    <w:autoRedefine/>
    <w:qFormat/>
    <w:uiPriority w:val="0"/>
    <w:pPr>
      <w:tabs>
        <w:tab w:val="left" w:pos="360"/>
        <w:tab w:val="left" w:pos="825"/>
        <w:tab w:val="left" w:pos="903"/>
      </w:tabs>
      <w:outlineLvl w:val="3"/>
    </w:pPr>
  </w:style>
  <w:style w:type="paragraph" w:customStyle="1" w:styleId="317">
    <w:name w:val="一级条标题"/>
    <w:basedOn w:val="318"/>
    <w:next w:val="1"/>
    <w:autoRedefine/>
    <w:qFormat/>
    <w:uiPriority w:val="0"/>
    <w:pPr>
      <w:tabs>
        <w:tab w:val="left" w:pos="360"/>
        <w:tab w:val="left" w:pos="825"/>
        <w:tab w:val="left" w:pos="903"/>
      </w:tabs>
      <w:spacing w:before="0" w:after="0"/>
      <w:ind w:left="0" w:firstLine="0"/>
      <w:outlineLvl w:val="2"/>
    </w:pPr>
  </w:style>
  <w:style w:type="paragraph" w:customStyle="1" w:styleId="318">
    <w:name w:val="章标题"/>
    <w:next w:val="1"/>
    <w:autoRedefine/>
    <w:qFormat/>
    <w:uiPriority w:val="0"/>
    <w:pPr>
      <w:tabs>
        <w:tab w:val="left" w:pos="825"/>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19">
    <w:name w:val="表格文字（241）"/>
    <w:basedOn w:val="1"/>
    <w:autoRedefine/>
    <w:qFormat/>
    <w:uiPriority w:val="0"/>
    <w:pPr>
      <w:autoSpaceDE w:val="0"/>
      <w:autoSpaceDN w:val="0"/>
      <w:adjustRightInd w:val="0"/>
      <w:jc w:val="center"/>
      <w:textAlignment w:val="baseline"/>
    </w:pPr>
    <w:rPr>
      <w:bCs/>
      <w:kern w:val="0"/>
      <w:sz w:val="21"/>
      <w:szCs w:val="21"/>
    </w:rPr>
  </w:style>
  <w:style w:type="paragraph" w:customStyle="1" w:styleId="320">
    <w:name w:val="Z正文"/>
    <w:basedOn w:val="19"/>
    <w:autoRedefine/>
    <w:qFormat/>
    <w:uiPriority w:val="0"/>
    <w:pPr>
      <w:widowControl/>
      <w:spacing w:line="360" w:lineRule="auto"/>
      <w:ind w:firstLine="200" w:firstLineChars="200"/>
    </w:pPr>
    <w:rPr>
      <w:kern w:val="0"/>
      <w:szCs w:val="20"/>
    </w:rPr>
  </w:style>
  <w:style w:type="paragraph" w:customStyle="1" w:styleId="321">
    <w:name w:val="样式 表格 32 + 首行缩进:  2 字符1"/>
    <w:basedOn w:val="309"/>
    <w:autoRedefine/>
    <w:qFormat/>
    <w:uiPriority w:val="0"/>
    <w:pPr>
      <w:spacing w:line="240" w:lineRule="auto"/>
    </w:pPr>
    <w:rPr>
      <w:rFonts w:cs="宋体"/>
      <w:sz w:val="21"/>
      <w:szCs w:val="21"/>
    </w:rPr>
  </w:style>
  <w:style w:type="paragraph" w:customStyle="1" w:styleId="322">
    <w:name w:val="123正文"/>
    <w:basedOn w:val="1"/>
    <w:autoRedefine/>
    <w:qFormat/>
    <w:uiPriority w:val="0"/>
    <w:pPr>
      <w:spacing w:line="360" w:lineRule="auto"/>
      <w:ind w:firstLine="200" w:firstLineChars="200"/>
    </w:pPr>
  </w:style>
  <w:style w:type="paragraph" w:customStyle="1" w:styleId="323">
    <w:name w:val="图"/>
    <w:basedOn w:val="1"/>
    <w:autoRedefine/>
    <w:qFormat/>
    <w:uiPriority w:val="0"/>
    <w:pPr>
      <w:adjustRightInd w:val="0"/>
      <w:jc w:val="center"/>
    </w:pPr>
    <w:rPr>
      <w:rFonts w:cs="宋体"/>
      <w:sz w:val="21"/>
      <w:szCs w:val="20"/>
    </w:rPr>
  </w:style>
  <w:style w:type="paragraph" w:customStyle="1" w:styleId="324">
    <w:name w:val="表正文"/>
    <w:basedOn w:val="1"/>
    <w:autoRedefine/>
    <w:qFormat/>
    <w:uiPriority w:val="0"/>
    <w:pPr>
      <w:jc w:val="center"/>
    </w:pPr>
    <w:rPr>
      <w:szCs w:val="21"/>
    </w:rPr>
  </w:style>
  <w:style w:type="paragraph" w:customStyle="1" w:styleId="325">
    <w:name w:val="xl63"/>
    <w:basedOn w:val="1"/>
    <w:autoRedefine/>
    <w:qFormat/>
    <w:uiPriority w:val="0"/>
    <w:pPr>
      <w:widowControl/>
      <w:spacing w:before="100" w:beforeAutospacing="1" w:after="100" w:afterAutospacing="1"/>
      <w:jc w:val="center"/>
    </w:pPr>
    <w:rPr>
      <w:rFonts w:ascii="宋体" w:hAnsi="宋体" w:cs="宋体"/>
      <w:kern w:val="0"/>
    </w:rPr>
  </w:style>
  <w:style w:type="paragraph" w:customStyle="1" w:styleId="326">
    <w:name w:val="标题3 Char Char Char Char"/>
    <w:basedOn w:val="1"/>
    <w:autoRedefine/>
    <w:qFormat/>
    <w:uiPriority w:val="0"/>
    <w:pPr>
      <w:spacing w:afterLines="50" w:line="560" w:lineRule="exact"/>
    </w:pPr>
    <w:rPr>
      <w:rFonts w:eastAsia="黑体"/>
      <w:sz w:val="30"/>
      <w:szCs w:val="30"/>
    </w:rPr>
  </w:style>
  <w:style w:type="paragraph" w:customStyle="1" w:styleId="327">
    <w:name w:val="表格标题1"/>
    <w:basedOn w:val="1"/>
    <w:autoRedefine/>
    <w:qFormat/>
    <w:uiPriority w:val="0"/>
    <w:pPr>
      <w:spacing w:line="480" w:lineRule="exact"/>
      <w:jc w:val="center"/>
    </w:pPr>
    <w:rPr>
      <w:rFonts w:eastAsia="黑体" w:cs="宋体"/>
      <w:szCs w:val="20"/>
    </w:rPr>
  </w:style>
  <w:style w:type="paragraph" w:customStyle="1" w:styleId="328">
    <w:name w:val="标题2"/>
    <w:basedOn w:val="3"/>
    <w:next w:val="4"/>
    <w:autoRedefine/>
    <w:qFormat/>
    <w:uiPriority w:val="0"/>
    <w:pPr>
      <w:numPr>
        <w:ilvl w:val="0"/>
        <w:numId w:val="0"/>
      </w:numPr>
      <w:spacing w:beforeLines="50" w:afterLines="50"/>
    </w:pPr>
    <w:rPr>
      <w:b w:val="0"/>
    </w:rPr>
  </w:style>
  <w:style w:type="paragraph" w:customStyle="1" w:styleId="329">
    <w:name w:val="正文3"/>
    <w:autoRedefine/>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30">
    <w:name w:val="1正文"/>
    <w:basedOn w:val="271"/>
    <w:autoRedefine/>
    <w:qFormat/>
    <w:uiPriority w:val="0"/>
    <w:rPr>
      <w:color w:val="002060"/>
    </w:rPr>
  </w:style>
  <w:style w:type="paragraph" w:customStyle="1" w:styleId="331">
    <w:name w:val="章"/>
    <w:basedOn w:val="1"/>
    <w:next w:val="13"/>
    <w:autoRedefine/>
    <w:qFormat/>
    <w:uiPriority w:val="0"/>
    <w:pPr>
      <w:spacing w:before="240" w:after="480" w:line="360" w:lineRule="auto"/>
      <w:ind w:firstLine="200" w:firstLineChars="200"/>
      <w:jc w:val="center"/>
      <w:outlineLvl w:val="0"/>
    </w:pPr>
    <w:rPr>
      <w:rFonts w:eastAsia="黑体"/>
      <w:b/>
      <w:sz w:val="32"/>
      <w:szCs w:val="20"/>
      <w:lang w:bidi="he-IL"/>
    </w:rPr>
  </w:style>
  <w:style w:type="paragraph" w:customStyle="1" w:styleId="332">
    <w:name w:val="样式 样式 宋体 小四 首行缩进:  0.75 厘米 行距: 固定值 22 磅 + 靛蓝 行距: 固定值 24 磅"/>
    <w:basedOn w:val="1"/>
    <w:autoRedefine/>
    <w:qFormat/>
    <w:uiPriority w:val="0"/>
    <w:pPr>
      <w:spacing w:line="440" w:lineRule="exact"/>
      <w:ind w:firstLine="200" w:firstLineChars="200"/>
    </w:pPr>
    <w:rPr>
      <w:rFonts w:ascii="宋体" w:hAnsi="宋体" w:cs="宋体"/>
      <w:color w:val="333399"/>
      <w:kern w:val="0"/>
      <w:szCs w:val="20"/>
    </w:rPr>
  </w:style>
  <w:style w:type="paragraph" w:customStyle="1" w:styleId="333">
    <w:name w:val="Char Char Char Char Char Char Char Char Char Char Char Char Char Char Char Char Char Char Char Char Char Char Char Char Char Char Char"/>
    <w:basedOn w:val="1"/>
    <w:autoRedefine/>
    <w:qFormat/>
    <w:uiPriority w:val="0"/>
    <w:rPr>
      <w:rFonts w:ascii="仿宋_GB2312" w:eastAsia="仿宋_GB2312"/>
      <w:b/>
      <w:sz w:val="32"/>
      <w:szCs w:val="32"/>
    </w:rPr>
  </w:style>
  <w:style w:type="paragraph" w:customStyle="1" w:styleId="334">
    <w:name w:val="彩色底纹 - 强调文字颜色 61"/>
    <w:basedOn w:val="2"/>
    <w:next w:val="1"/>
    <w:autoRedefine/>
    <w:qFormat/>
    <w:uiPriority w:val="39"/>
    <w:pPr>
      <w:widowControl/>
      <w:numPr>
        <w:ilvl w:val="0"/>
        <w:numId w:val="0"/>
      </w:numPr>
      <w:spacing w:before="480" w:line="276" w:lineRule="auto"/>
      <w:outlineLvl w:val="9"/>
    </w:pPr>
    <w:rPr>
      <w:rFonts w:ascii="Cambria" w:hAnsi="Cambria"/>
      <w:b w:val="0"/>
      <w:color w:val="365F91"/>
      <w:sz w:val="28"/>
      <w:szCs w:val="28"/>
    </w:rPr>
  </w:style>
  <w:style w:type="paragraph" w:customStyle="1" w:styleId="335">
    <w:name w:val="彩色列表1"/>
    <w:basedOn w:val="1"/>
    <w:autoRedefine/>
    <w:qFormat/>
    <w:uiPriority w:val="34"/>
    <w:pPr>
      <w:ind w:firstLine="420" w:firstLineChars="200"/>
    </w:pPr>
    <w:rPr>
      <w:rFonts w:ascii="Calibri" w:hAnsi="Calibri"/>
      <w:sz w:val="21"/>
      <w:szCs w:val="22"/>
    </w:rPr>
  </w:style>
  <w:style w:type="paragraph" w:customStyle="1" w:styleId="336">
    <w:name w:val="3标题"/>
    <w:basedOn w:val="4"/>
    <w:next w:val="5"/>
    <w:autoRedefine/>
    <w:qFormat/>
    <w:uiPriority w:val="0"/>
    <w:pPr>
      <w:numPr>
        <w:numId w:val="4"/>
      </w:numPr>
    </w:pPr>
    <w:rPr>
      <w:b w:val="0"/>
    </w:rPr>
  </w:style>
  <w:style w:type="paragraph" w:customStyle="1" w:styleId="337">
    <w:name w:val="环境影响报告书"/>
    <w:basedOn w:val="1"/>
    <w:autoRedefine/>
    <w:qFormat/>
    <w:uiPriority w:val="0"/>
    <w:pPr>
      <w:spacing w:before="200" w:after="200" w:line="360" w:lineRule="auto"/>
      <w:jc w:val="center"/>
    </w:pPr>
    <w:rPr>
      <w:rFonts w:eastAsia="黑体" w:cs="宋体"/>
      <w:b/>
      <w:bCs/>
      <w:spacing w:val="40"/>
      <w:sz w:val="84"/>
      <w:szCs w:val="20"/>
    </w:rPr>
  </w:style>
  <w:style w:type="paragraph" w:customStyle="1" w:styleId="338">
    <w:name w:val="样式 标题 2节标题 2 Char1标题 2 Char Char标题 2 Char第一层条H2Heading 2 ...3"/>
    <w:basedOn w:val="3"/>
    <w:autoRedefine/>
    <w:qFormat/>
    <w:uiPriority w:val="0"/>
    <w:pPr>
      <w:numPr>
        <w:ilvl w:val="0"/>
        <w:numId w:val="0"/>
      </w:numPr>
      <w:spacing w:before="120" w:after="120"/>
      <w:jc w:val="both"/>
      <w:outlineLvl w:val="2"/>
    </w:pPr>
    <w:rPr>
      <w:rFonts w:ascii="Arial" w:hAnsi="Arial" w:cs="宋体"/>
      <w:b w:val="0"/>
      <w:sz w:val="24"/>
      <w:szCs w:val="20"/>
    </w:rPr>
  </w:style>
  <w:style w:type="paragraph" w:customStyle="1" w:styleId="339">
    <w:name w:val="正文样式1"/>
    <w:basedOn w:val="1"/>
    <w:autoRedefine/>
    <w:qFormat/>
    <w:uiPriority w:val="0"/>
    <w:pPr>
      <w:adjustRightInd w:val="0"/>
      <w:spacing w:line="288" w:lineRule="auto"/>
      <w:ind w:firstLine="360" w:firstLineChars="150"/>
      <w:textAlignment w:val="baseline"/>
    </w:pPr>
    <w:rPr>
      <w:kern w:val="0"/>
      <w:szCs w:val="20"/>
    </w:rPr>
  </w:style>
  <w:style w:type="paragraph" w:customStyle="1" w:styleId="340">
    <w:name w:val="Char Char Char Char Char Char1 Char Char Char Char Char Char Char Char Char Char"/>
    <w:basedOn w:val="1"/>
    <w:autoRedefine/>
    <w:qFormat/>
    <w:uiPriority w:val="0"/>
    <w:pPr>
      <w:spacing w:line="360" w:lineRule="auto"/>
      <w:ind w:firstLine="200" w:firstLineChars="200"/>
    </w:pPr>
    <w:rPr>
      <w:sz w:val="21"/>
      <w:szCs w:val="20"/>
    </w:rPr>
  </w:style>
  <w:style w:type="paragraph" w:customStyle="1" w:styleId="341">
    <w:name w:val="样式 标题 4标题 4 Char Char Char Char Chara) Sub-paragraphMB4标题 4（..."/>
    <w:basedOn w:val="5"/>
    <w:autoRedefine/>
    <w:qFormat/>
    <w:uiPriority w:val="0"/>
    <w:rPr>
      <w:rFonts w:cs="宋体"/>
      <w:bCs w:val="0"/>
      <w:szCs w:val="20"/>
    </w:rPr>
  </w:style>
  <w:style w:type="paragraph" w:customStyle="1" w:styleId="342">
    <w:name w:val="样式 表头样式1 + 黑体 非加粗 行距: 最小值 22 磅"/>
    <w:basedOn w:val="304"/>
    <w:autoRedefine/>
    <w:qFormat/>
    <w:uiPriority w:val="0"/>
    <w:pPr>
      <w:spacing w:beforeLines="50" w:after="120" w:line="360" w:lineRule="auto"/>
    </w:pPr>
    <w:rPr>
      <w:rFonts w:ascii="宋体" w:hAnsi="宋体" w:eastAsia="宋体" w:cs="宋体"/>
      <w:bCs w:val="0"/>
      <w:szCs w:val="20"/>
    </w:rPr>
  </w:style>
  <w:style w:type="paragraph" w:customStyle="1" w:styleId="343">
    <w:name w:val="1"/>
    <w:basedOn w:val="1"/>
    <w:next w:val="28"/>
    <w:autoRedefine/>
    <w:qFormat/>
    <w:uiPriority w:val="0"/>
    <w:rPr>
      <w:rFonts w:ascii="宋体" w:hAnsi="Courier New"/>
      <w:sz w:val="21"/>
    </w:rPr>
  </w:style>
  <w:style w:type="paragraph" w:customStyle="1" w:styleId="344">
    <w:name w:val="关键词"/>
    <w:basedOn w:val="115"/>
    <w:autoRedefine/>
    <w:qFormat/>
    <w:uiPriority w:val="0"/>
    <w:pPr>
      <w:ind w:firstLine="0" w:firstLineChars="0"/>
      <w:jc w:val="left"/>
    </w:pPr>
    <w:rPr>
      <w:rFonts w:eastAsia="黑体"/>
    </w:rPr>
  </w:style>
  <w:style w:type="paragraph" w:customStyle="1" w:styleId="345">
    <w:name w:val="默认段落字体 Para Char"/>
    <w:basedOn w:val="1"/>
    <w:next w:val="1"/>
    <w:autoRedefine/>
    <w:qFormat/>
    <w:uiPriority w:val="0"/>
    <w:pPr>
      <w:pBdr>
        <w:right w:val="single" w:color="auto" w:sz="12" w:space="4"/>
      </w:pBdr>
      <w:spacing w:line="360" w:lineRule="auto"/>
      <w:ind w:firstLine="200" w:firstLineChars="200"/>
    </w:pPr>
    <w:rPr>
      <w:sz w:val="21"/>
      <w:szCs w:val="20"/>
    </w:rPr>
  </w:style>
  <w:style w:type="paragraph" w:customStyle="1" w:styleId="346">
    <w:name w:val="样式 标题 2 + (西文) Times New Roman (中文) 仿宋_GB2312"/>
    <w:basedOn w:val="3"/>
    <w:autoRedefine/>
    <w:qFormat/>
    <w:uiPriority w:val="0"/>
    <w:pPr>
      <w:numPr>
        <w:numId w:val="0"/>
      </w:numPr>
      <w:tabs>
        <w:tab w:val="left" w:pos="456"/>
      </w:tabs>
      <w:spacing w:line="520" w:lineRule="atLeast"/>
      <w:ind w:left="456"/>
      <w:jc w:val="both"/>
    </w:pPr>
    <w:rPr>
      <w:rFonts w:eastAsia="仿宋_GB2312"/>
      <w:bCs w:val="0"/>
    </w:rPr>
  </w:style>
  <w:style w:type="paragraph" w:customStyle="1" w:styleId="347">
    <w:name w:val="xl32"/>
    <w:basedOn w:val="1"/>
    <w:autoRedefine/>
    <w:qFormat/>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48">
    <w:name w:val="xl64"/>
    <w:basedOn w:val="1"/>
    <w:autoRedefine/>
    <w:qFormat/>
    <w:uiPriority w:val="0"/>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349">
    <w:name w:val="2标题"/>
    <w:basedOn w:val="3"/>
    <w:autoRedefine/>
    <w:qFormat/>
    <w:uiPriority w:val="0"/>
    <w:pPr>
      <w:numPr>
        <w:numId w:val="5"/>
      </w:numPr>
    </w:pPr>
    <w:rPr>
      <w:b w:val="0"/>
    </w:rPr>
  </w:style>
  <w:style w:type="paragraph" w:customStyle="1" w:styleId="350">
    <w:name w:val="CM2"/>
    <w:basedOn w:val="22"/>
    <w:next w:val="22"/>
    <w:autoRedefine/>
    <w:qFormat/>
    <w:uiPriority w:val="99"/>
    <w:pPr>
      <w:spacing w:line="468" w:lineRule="atLeast"/>
    </w:pPr>
    <w:rPr>
      <w:rFonts w:ascii="宋体" w:eastAsia="宋体" w:cs="Times New Roman"/>
      <w:color w:val="auto"/>
    </w:rPr>
  </w:style>
  <w:style w:type="paragraph" w:customStyle="1" w:styleId="351">
    <w:name w:val="稿件"/>
    <w:basedOn w:val="1"/>
    <w:autoRedefine/>
    <w:qFormat/>
    <w:uiPriority w:val="0"/>
    <w:pPr>
      <w:spacing w:line="360" w:lineRule="auto"/>
      <w:jc w:val="center"/>
    </w:pPr>
    <w:rPr>
      <w:rFonts w:cs="宋体"/>
      <w:b/>
      <w:bCs/>
      <w:sz w:val="48"/>
      <w:szCs w:val="20"/>
    </w:rPr>
  </w:style>
  <w:style w:type="paragraph" w:customStyle="1" w:styleId="352">
    <w:name w:val="表格头"/>
    <w:autoRedefine/>
    <w:qFormat/>
    <w:uiPriority w:val="0"/>
    <w:pPr>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353">
    <w:name w:val="样式 5文章(治) + 黑色"/>
    <w:basedOn w:val="142"/>
    <w:autoRedefine/>
    <w:qFormat/>
    <w:uiPriority w:val="99"/>
    <w:rPr>
      <w:color w:val="000000"/>
      <w:szCs w:val="24"/>
    </w:rPr>
  </w:style>
  <w:style w:type="paragraph" w:customStyle="1" w:styleId="354">
    <w:name w:val="表内容"/>
    <w:autoRedefine/>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355">
    <w:name w:val="4标题"/>
    <w:basedOn w:val="5"/>
    <w:next w:val="159"/>
    <w:autoRedefine/>
    <w:qFormat/>
    <w:uiPriority w:val="0"/>
    <w:pPr>
      <w:numPr>
        <w:numId w:val="5"/>
      </w:numPr>
    </w:pPr>
  </w:style>
  <w:style w:type="paragraph" w:customStyle="1" w:styleId="356">
    <w:name w:val="标题一啊"/>
    <w:basedOn w:val="2"/>
    <w:autoRedefine/>
    <w:qFormat/>
    <w:uiPriority w:val="0"/>
    <w:pPr>
      <w:numPr>
        <w:numId w:val="0"/>
      </w:numPr>
      <w:spacing w:before="240" w:after="240"/>
      <w:jc w:val="both"/>
    </w:pPr>
    <w:rPr>
      <w:b w:val="0"/>
      <w:color w:val="000000"/>
      <w:kern w:val="44"/>
      <w:szCs w:val="32"/>
    </w:rPr>
  </w:style>
  <w:style w:type="paragraph" w:customStyle="1" w:styleId="357">
    <w:name w:val="封面时间"/>
    <w:basedOn w:val="1"/>
    <w:autoRedefine/>
    <w:qFormat/>
    <w:uiPriority w:val="0"/>
    <w:pPr>
      <w:spacing w:line="360" w:lineRule="auto"/>
      <w:jc w:val="center"/>
    </w:pPr>
    <w:rPr>
      <w:rFonts w:ascii="宋体" w:hAnsi="宋体" w:cs="宋体"/>
      <w:b/>
      <w:bCs/>
      <w:sz w:val="32"/>
      <w:szCs w:val="20"/>
    </w:rPr>
  </w:style>
  <w:style w:type="paragraph" w:customStyle="1" w:styleId="358">
    <w:name w:val="居中正文"/>
    <w:basedOn w:val="49"/>
    <w:autoRedefine/>
    <w:qFormat/>
    <w:uiPriority w:val="0"/>
    <w:pPr>
      <w:adjustRightInd w:val="0"/>
      <w:spacing w:before="120" w:after="0" w:line="360" w:lineRule="auto"/>
      <w:ind w:firstLine="0" w:firstLineChars="0"/>
      <w:jc w:val="center"/>
      <w:textAlignment w:val="baseline"/>
    </w:pPr>
    <w:rPr>
      <w:rFonts w:ascii="宋体"/>
      <w:kern w:val="28"/>
      <w:szCs w:val="20"/>
    </w:rPr>
  </w:style>
  <w:style w:type="paragraph" w:customStyle="1" w:styleId="359">
    <w:name w:val="Char Char Char Char Char Char Char"/>
    <w:basedOn w:val="1"/>
    <w:autoRedefine/>
    <w:semiHidden/>
    <w:qFormat/>
    <w:uiPriority w:val="0"/>
    <w:pPr>
      <w:adjustRightInd w:val="0"/>
      <w:spacing w:line="360" w:lineRule="auto"/>
    </w:pPr>
    <w:rPr>
      <w:kern w:val="0"/>
      <w:szCs w:val="20"/>
    </w:rPr>
  </w:style>
  <w:style w:type="paragraph" w:customStyle="1" w:styleId="360">
    <w:name w:val="表格五号"/>
    <w:basedOn w:val="1"/>
    <w:autoRedefine/>
    <w:qFormat/>
    <w:uiPriority w:val="0"/>
    <w:pPr>
      <w:tabs>
        <w:tab w:val="right" w:pos="8814"/>
      </w:tabs>
      <w:suppressAutoHyphens/>
      <w:snapToGrid w:val="0"/>
      <w:jc w:val="center"/>
    </w:pPr>
    <w:rPr>
      <w:color w:val="000000"/>
      <w:kern w:val="0"/>
      <w:sz w:val="21"/>
      <w:szCs w:val="21"/>
    </w:rPr>
  </w:style>
  <w:style w:type="paragraph" w:customStyle="1" w:styleId="361">
    <w:name w:val="Char1"/>
    <w:basedOn w:val="1"/>
    <w:autoRedefine/>
    <w:qFormat/>
    <w:uiPriority w:val="0"/>
    <w:rPr>
      <w:rFonts w:ascii="宋体" w:hAnsi="宋体" w:cs="宋体"/>
    </w:rPr>
  </w:style>
  <w:style w:type="paragraph" w:customStyle="1" w:styleId="362">
    <w:name w:val="君邦正文"/>
    <w:autoRedefine/>
    <w:qFormat/>
    <w:uiPriority w:val="0"/>
    <w:pPr>
      <w:spacing w:after="60"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363">
    <w:name w:val="封面单位名称"/>
    <w:basedOn w:val="1"/>
    <w:autoRedefine/>
    <w:qFormat/>
    <w:uiPriority w:val="0"/>
    <w:pPr>
      <w:jc w:val="center"/>
    </w:pPr>
    <w:rPr>
      <w:rFonts w:cs="宋体"/>
      <w:b/>
      <w:bCs/>
      <w:sz w:val="32"/>
      <w:szCs w:val="20"/>
    </w:rPr>
  </w:style>
  <w:style w:type="paragraph" w:customStyle="1" w:styleId="364">
    <w:name w:val="样式8"/>
    <w:basedOn w:val="6"/>
    <w:autoRedefine/>
    <w:qFormat/>
    <w:uiPriority w:val="0"/>
    <w:pPr>
      <w:widowControl/>
      <w:numPr>
        <w:ilvl w:val="0"/>
        <w:numId w:val="0"/>
      </w:numPr>
      <w:tabs>
        <w:tab w:val="left" w:pos="576"/>
        <w:tab w:val="left" w:pos="4320"/>
        <w:tab w:val="clear" w:pos="1008"/>
      </w:tabs>
      <w:spacing w:beforeLines="50" w:line="240" w:lineRule="auto"/>
      <w:ind w:left="576" w:hanging="1008"/>
      <w:jc w:val="left"/>
    </w:pPr>
    <w:rPr>
      <w:rFonts w:ascii="Plotter" w:hAnsi="Plotter"/>
      <w:b/>
      <w:bCs w:val="0"/>
      <w:kern w:val="0"/>
      <w:sz w:val="20"/>
      <w:szCs w:val="20"/>
    </w:rPr>
  </w:style>
  <w:style w:type="paragraph" w:customStyle="1" w:styleId="365">
    <w:name w:val="0表格"/>
    <w:basedOn w:val="1"/>
    <w:autoRedefine/>
    <w:qFormat/>
    <w:uiPriority w:val="0"/>
    <w:pPr>
      <w:jc w:val="center"/>
    </w:pPr>
    <w:rPr>
      <w:sz w:val="21"/>
      <w:szCs w:val="21"/>
    </w:rPr>
  </w:style>
  <w:style w:type="paragraph" w:customStyle="1" w:styleId="366">
    <w:name w:val="样式1.1.1"/>
    <w:basedOn w:val="1"/>
    <w:autoRedefine/>
    <w:qFormat/>
    <w:uiPriority w:val="0"/>
    <w:pPr>
      <w:spacing w:line="460" w:lineRule="atLeast"/>
    </w:pPr>
    <w:rPr>
      <w:bCs/>
      <w:szCs w:val="21"/>
    </w:rPr>
  </w:style>
  <w:style w:type="paragraph" w:customStyle="1" w:styleId="367">
    <w:name w:val="列表段落1"/>
    <w:basedOn w:val="1"/>
    <w:autoRedefine/>
    <w:qFormat/>
    <w:uiPriority w:val="0"/>
    <w:pPr>
      <w:ind w:firstLine="420" w:firstLineChars="200"/>
    </w:pPr>
    <w:rPr>
      <w:rFonts w:ascii="Calibri" w:hAnsi="Calibri"/>
      <w:sz w:val="21"/>
      <w:szCs w:val="22"/>
    </w:rPr>
  </w:style>
  <w:style w:type="paragraph" w:customStyle="1" w:styleId="368">
    <w:name w:val="样式 标题 3标题 3 Char Char Char Char Char条标题1.1.1h33rd levelH3l...1"/>
    <w:basedOn w:val="4"/>
    <w:autoRedefine/>
    <w:qFormat/>
    <w:uiPriority w:val="0"/>
    <w:pPr>
      <w:jc w:val="both"/>
    </w:pPr>
    <w:rPr>
      <w:rFonts w:cs="宋体"/>
      <w:szCs w:val="20"/>
    </w:rPr>
  </w:style>
  <w:style w:type="paragraph" w:customStyle="1" w:styleId="369">
    <w:name w:val="报告书正文 Char Char Char"/>
    <w:basedOn w:val="1"/>
    <w:autoRedefine/>
    <w:qFormat/>
    <w:uiPriority w:val="0"/>
    <w:pPr>
      <w:spacing w:line="300" w:lineRule="auto"/>
      <w:ind w:firstLine="480" w:firstLineChars="200"/>
    </w:pPr>
    <w:rPr>
      <w:rFonts w:ascii="宋体" w:hAnsi="宋体" w:cs="宋体"/>
    </w:rPr>
  </w:style>
  <w:style w:type="paragraph" w:customStyle="1" w:styleId="370">
    <w:name w:val="xl24"/>
    <w:basedOn w:val="1"/>
    <w:autoRedefine/>
    <w:qFormat/>
    <w:uiPriority w:val="0"/>
    <w:pPr>
      <w:widowControl/>
      <w:spacing w:before="100" w:beforeAutospacing="1" w:after="100" w:afterAutospacing="1"/>
      <w:jc w:val="center"/>
    </w:pPr>
    <w:rPr>
      <w:rFonts w:ascii="宋体" w:hAnsi="宋体"/>
      <w:kern w:val="0"/>
    </w:rPr>
  </w:style>
  <w:style w:type="paragraph" w:customStyle="1" w:styleId="371">
    <w:name w:val="Char3"/>
    <w:basedOn w:val="3"/>
    <w:autoRedefine/>
    <w:qFormat/>
    <w:uiPriority w:val="0"/>
    <w:pPr>
      <w:numPr>
        <w:ilvl w:val="0"/>
        <w:numId w:val="0"/>
      </w:numPr>
      <w:spacing w:beforeLines="50" w:afterLines="50"/>
      <w:jc w:val="both"/>
    </w:pPr>
    <w:rPr>
      <w:b w:val="0"/>
      <w:szCs w:val="30"/>
    </w:rPr>
  </w:style>
  <w:style w:type="paragraph" w:customStyle="1" w:styleId="372">
    <w:name w:val="2"/>
    <w:basedOn w:val="1"/>
    <w:autoRedefine/>
    <w:qFormat/>
    <w:uiPriority w:val="0"/>
    <w:pPr>
      <w:tabs>
        <w:tab w:val="left" w:pos="360"/>
      </w:tabs>
    </w:pPr>
    <w:rPr>
      <w:sz w:val="21"/>
    </w:rPr>
  </w:style>
  <w:style w:type="paragraph" w:customStyle="1" w:styleId="373">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74">
    <w:name w:val="1标题"/>
    <w:basedOn w:val="2"/>
    <w:next w:val="3"/>
    <w:autoRedefine/>
    <w:qFormat/>
    <w:uiPriority w:val="0"/>
    <w:pPr>
      <w:numPr>
        <w:numId w:val="6"/>
      </w:numPr>
    </w:pPr>
    <w:rPr>
      <w:b w:val="0"/>
    </w:rPr>
  </w:style>
  <w:style w:type="paragraph" w:customStyle="1" w:styleId="375">
    <w:name w:val="WPSOffice手动目录 1"/>
    <w:autoRedefine/>
    <w:qFormat/>
    <w:uiPriority w:val="0"/>
    <w:rPr>
      <w:rFonts w:ascii="Times New Roman" w:hAnsi="Times New Roman" w:eastAsia="宋体" w:cs="Times New Roman"/>
      <w:lang w:val="en-US" w:eastAsia="zh-CN" w:bidi="ar-SA"/>
    </w:rPr>
  </w:style>
  <w:style w:type="paragraph" w:customStyle="1" w:styleId="376">
    <w:name w:val="表格内文字+六号"/>
    <w:basedOn w:val="1"/>
    <w:autoRedefine/>
    <w:qFormat/>
    <w:uiPriority w:val="0"/>
    <w:pPr>
      <w:tabs>
        <w:tab w:val="left" w:pos="1980"/>
        <w:tab w:val="left" w:pos="3825"/>
        <w:tab w:val="left" w:pos="4680"/>
      </w:tabs>
      <w:jc w:val="center"/>
    </w:pPr>
    <w:rPr>
      <w:rFonts w:cs="宋体"/>
      <w:color w:val="000000"/>
      <w:kern w:val="0"/>
      <w:sz w:val="15"/>
    </w:rPr>
  </w:style>
  <w:style w:type="paragraph" w:customStyle="1" w:styleId="377">
    <w:name w:val="ni正文"/>
    <w:basedOn w:val="1"/>
    <w:autoRedefine/>
    <w:qFormat/>
    <w:uiPriority w:val="0"/>
    <w:pPr>
      <w:widowControl/>
      <w:autoSpaceDE w:val="0"/>
      <w:autoSpaceDN w:val="0"/>
      <w:adjustRightInd w:val="0"/>
      <w:snapToGrid w:val="0"/>
      <w:spacing w:line="360" w:lineRule="auto"/>
      <w:ind w:firstLine="560" w:firstLineChars="200"/>
      <w:jc w:val="left"/>
      <w:textAlignment w:val="baseline"/>
    </w:pPr>
    <w:rPr>
      <w:rFonts w:ascii="宋体" w:hAnsi="宋体" w:eastAsia="仿宋_GB2312" w:cs="宋体"/>
      <w:kern w:val="0"/>
      <w:sz w:val="28"/>
      <w:szCs w:val="20"/>
      <w:lang w:bidi="he-IL"/>
    </w:rPr>
  </w:style>
  <w:style w:type="paragraph" w:customStyle="1" w:styleId="378">
    <w:name w:val="样式 样式 表头样式1 + 黑体 非加粗 行距: 最小值 22 磅 + 段前: 0.5 行1"/>
    <w:basedOn w:val="342"/>
    <w:autoRedefine/>
    <w:qFormat/>
    <w:uiPriority w:val="0"/>
    <w:pPr>
      <w:spacing w:before="50"/>
    </w:pPr>
    <w:rPr>
      <w:bCs/>
    </w:rPr>
  </w:style>
  <w:style w:type="paragraph" w:customStyle="1" w:styleId="379">
    <w:name w:val="五级条标题"/>
    <w:basedOn w:val="314"/>
    <w:next w:val="1"/>
    <w:autoRedefine/>
    <w:qFormat/>
    <w:uiPriority w:val="0"/>
    <w:pPr>
      <w:outlineLvl w:val="6"/>
    </w:pPr>
  </w:style>
  <w:style w:type="paragraph" w:customStyle="1" w:styleId="380">
    <w:name w:val="标准正文"/>
    <w:basedOn w:val="1"/>
    <w:autoRedefine/>
    <w:qFormat/>
    <w:uiPriority w:val="0"/>
    <w:pPr>
      <w:spacing w:line="360" w:lineRule="auto"/>
      <w:ind w:firstLine="480" w:firstLineChars="200"/>
    </w:pPr>
    <w:rPr>
      <w:szCs w:val="20"/>
    </w:rPr>
  </w:style>
  <w:style w:type="paragraph" w:customStyle="1" w:styleId="381">
    <w:name w:val="图标"/>
    <w:basedOn w:val="1"/>
    <w:autoRedefine/>
    <w:qFormat/>
    <w:uiPriority w:val="0"/>
    <w:pPr>
      <w:tabs>
        <w:tab w:val="left" w:pos="1920"/>
      </w:tabs>
      <w:spacing w:line="400" w:lineRule="atLeast"/>
      <w:jc w:val="center"/>
    </w:pPr>
    <w:rPr>
      <w:bCs/>
      <w:color w:val="000000"/>
      <w:szCs w:val="21"/>
    </w:rPr>
  </w:style>
  <w:style w:type="paragraph" w:customStyle="1" w:styleId="382">
    <w:name w:val="样式 报告正文 + 首行缩进:  2 字符"/>
    <w:basedOn w:val="1"/>
    <w:autoRedefine/>
    <w:qFormat/>
    <w:uiPriority w:val="0"/>
    <w:pPr>
      <w:widowControl/>
      <w:adjustRightInd w:val="0"/>
      <w:snapToGrid w:val="0"/>
      <w:spacing w:line="360" w:lineRule="auto"/>
      <w:ind w:firstLine="480" w:firstLineChars="200"/>
      <w:jc w:val="left"/>
    </w:pPr>
    <w:rPr>
      <w:rFonts w:ascii="宋体" w:hAnsi="宋体" w:cs="宋体"/>
      <w:kern w:val="0"/>
      <w:szCs w:val="20"/>
    </w:rPr>
  </w:style>
  <w:style w:type="paragraph" w:customStyle="1" w:styleId="383">
    <w:name w:val="样式 [正文格式] + 首行缩进:  2 字符"/>
    <w:basedOn w:val="1"/>
    <w:autoRedefine/>
    <w:qFormat/>
    <w:uiPriority w:val="0"/>
    <w:pPr>
      <w:spacing w:line="360" w:lineRule="auto"/>
      <w:ind w:firstLine="200" w:firstLineChars="200"/>
    </w:pPr>
    <w:rPr>
      <w:rFonts w:cs="宋体"/>
      <w:szCs w:val="20"/>
    </w:rPr>
  </w:style>
  <w:style w:type="paragraph" w:customStyle="1" w:styleId="384">
    <w:name w:val="正文 New New New"/>
    <w:autoRedefine/>
    <w:qFormat/>
    <w:uiPriority w:val="0"/>
    <w:pPr>
      <w:widowControl w:val="0"/>
      <w:jc w:val="both"/>
    </w:pPr>
    <w:rPr>
      <w:rFonts w:hint="eastAsia" w:ascii="Times New Roman" w:hAnsi="Times New Roman" w:eastAsia="宋体" w:cs="Times New Roman"/>
      <w:kern w:val="2"/>
      <w:sz w:val="28"/>
      <w:lang w:val="en-US" w:eastAsia="zh-CN" w:bidi="ar-SA"/>
    </w:rPr>
  </w:style>
  <w:style w:type="paragraph" w:customStyle="1" w:styleId="385">
    <w:name w:val="默认段落字体 Para Char Char Char Char"/>
    <w:basedOn w:val="1"/>
    <w:autoRedefine/>
    <w:qFormat/>
    <w:uiPriority w:val="0"/>
  </w:style>
  <w:style w:type="paragraph" w:customStyle="1" w:styleId="386">
    <w:name w:val="xl36"/>
    <w:basedOn w:val="1"/>
    <w:autoRedefine/>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szCs w:val="20"/>
    </w:rPr>
  </w:style>
  <w:style w:type="paragraph" w:customStyle="1" w:styleId="387">
    <w:name w:val="题注 New"/>
    <w:basedOn w:val="290"/>
    <w:next w:val="290"/>
    <w:autoRedefine/>
    <w:qFormat/>
    <w:uiPriority w:val="0"/>
    <w:rPr>
      <w:rFonts w:ascii="Arial" w:hAnsi="Arial" w:eastAsia="黑体" w:cs="Arial"/>
    </w:rPr>
  </w:style>
  <w:style w:type="paragraph" w:customStyle="1" w:styleId="388">
    <w:name w:val="表格内容CCW"/>
    <w:basedOn w:val="1"/>
    <w:autoRedefine/>
    <w:qFormat/>
    <w:uiPriority w:val="0"/>
    <w:pPr>
      <w:jc w:val="center"/>
    </w:pPr>
    <w:rPr>
      <w:sz w:val="18"/>
    </w:rPr>
  </w:style>
  <w:style w:type="paragraph" w:customStyle="1" w:styleId="389">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90">
    <w:name w:val="正文缩2"/>
    <w:basedOn w:val="1"/>
    <w:autoRedefine/>
    <w:qFormat/>
    <w:uiPriority w:val="0"/>
    <w:pPr>
      <w:ind w:firstLine="200" w:firstLineChars="200"/>
    </w:pPr>
    <w:rPr>
      <w:sz w:val="28"/>
    </w:rPr>
  </w:style>
  <w:style w:type="paragraph" w:customStyle="1" w:styleId="391">
    <w:name w:val="正文 + 宋体"/>
    <w:basedOn w:val="1"/>
    <w:autoRedefine/>
    <w:qFormat/>
    <w:uiPriority w:val="0"/>
    <w:pPr>
      <w:snapToGrid w:val="0"/>
      <w:spacing w:line="400" w:lineRule="exact"/>
      <w:ind w:firstLine="480" w:firstLineChars="200"/>
    </w:pPr>
    <w:rPr>
      <w:rFonts w:ascii="宋体" w:hAnsi="宋体"/>
      <w:color w:val="000000"/>
    </w:rPr>
  </w:style>
  <w:style w:type="paragraph" w:customStyle="1" w:styleId="392">
    <w:name w:val="ga"/>
    <w:basedOn w:val="1"/>
    <w:autoRedefine/>
    <w:qFormat/>
    <w:uiPriority w:val="0"/>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393">
    <w:name w:val="封面字体"/>
    <w:basedOn w:val="1"/>
    <w:autoRedefine/>
    <w:qFormat/>
    <w:uiPriority w:val="0"/>
    <w:pPr>
      <w:widowControl/>
      <w:jc w:val="center"/>
    </w:pPr>
    <w:rPr>
      <w:rFonts w:hint="eastAsia"/>
      <w:color w:val="000000"/>
      <w:sz w:val="28"/>
      <w:szCs w:val="20"/>
    </w:rPr>
  </w:style>
  <w:style w:type="paragraph" w:customStyle="1" w:styleId="394">
    <w:name w:val="样式 题注题注 Char + (西文) Times New Roman (中文) 宋体 四号 居中 段前: 0 磅 ..."/>
    <w:basedOn w:val="14"/>
    <w:autoRedefine/>
    <w:qFormat/>
    <w:uiPriority w:val="0"/>
    <w:pPr>
      <w:widowControl/>
      <w:spacing w:line="360" w:lineRule="auto"/>
      <w:jc w:val="center"/>
    </w:pPr>
    <w:rPr>
      <w:rFonts w:ascii="Times New Roman" w:hAnsi="Times New Roman" w:eastAsia="宋体" w:cs="宋体"/>
      <w:kern w:val="0"/>
      <w:sz w:val="24"/>
      <w:szCs w:val="20"/>
    </w:rPr>
  </w:style>
  <w:style w:type="paragraph" w:customStyle="1" w:styleId="395">
    <w:name w:val="SEK level 1"/>
    <w:basedOn w:val="1"/>
    <w:next w:val="1"/>
    <w:autoRedefine/>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b/>
      <w:caps/>
      <w:kern w:val="0"/>
      <w:szCs w:val="20"/>
      <w:lang w:val="en-GB" w:eastAsia="zh-TW"/>
    </w:rPr>
  </w:style>
  <w:style w:type="paragraph" w:customStyle="1" w:styleId="396">
    <w:name w:val="lily 标题1"/>
    <w:basedOn w:val="2"/>
    <w:autoRedefine/>
    <w:qFormat/>
    <w:uiPriority w:val="0"/>
    <w:pPr>
      <w:numPr>
        <w:numId w:val="0"/>
      </w:numPr>
      <w:tabs>
        <w:tab w:val="left" w:pos="720"/>
      </w:tabs>
      <w:spacing w:before="300" w:after="300"/>
      <w:ind w:left="720" w:hanging="360"/>
      <w:jc w:val="both"/>
    </w:pPr>
    <w:rPr>
      <w:b w:val="0"/>
      <w:kern w:val="44"/>
      <w:sz w:val="32"/>
      <w:szCs w:val="32"/>
    </w:rPr>
  </w:style>
  <w:style w:type="paragraph" w:customStyle="1" w:styleId="397">
    <w:name w:val="表格内容2"/>
    <w:basedOn w:val="191"/>
    <w:autoRedefine/>
    <w:qFormat/>
    <w:uiPriority w:val="0"/>
    <w:pPr>
      <w:spacing w:beforeLines="10" w:afterLines="10" w:line="240" w:lineRule="auto"/>
    </w:pPr>
    <w:rPr>
      <w:snapToGrid w:val="0"/>
      <w:kern w:val="0"/>
    </w:rPr>
  </w:style>
  <w:style w:type="paragraph" w:customStyle="1" w:styleId="398">
    <w:name w:val="xl66"/>
    <w:basedOn w:val="1"/>
    <w:autoRedefine/>
    <w:qFormat/>
    <w:uiPriority w:val="0"/>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399">
    <w:name w:val="lily 标题 3"/>
    <w:basedOn w:val="4"/>
    <w:autoRedefine/>
    <w:qFormat/>
    <w:uiPriority w:val="0"/>
    <w:pPr>
      <w:numPr>
        <w:numId w:val="0"/>
      </w:numPr>
      <w:tabs>
        <w:tab w:val="left" w:pos="1080"/>
      </w:tabs>
      <w:spacing w:before="120" w:after="120"/>
      <w:ind w:left="720" w:hanging="720"/>
    </w:pPr>
    <w:rPr>
      <w:rFonts w:ascii="黑体"/>
      <w:kern w:val="0"/>
      <w:sz w:val="28"/>
      <w:szCs w:val="28"/>
    </w:rPr>
  </w:style>
  <w:style w:type="paragraph" w:customStyle="1" w:styleId="400">
    <w:name w:val="zhang正文 Char"/>
    <w:basedOn w:val="20"/>
    <w:autoRedefine/>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401">
    <w:name w:val="公参形式"/>
    <w:basedOn w:val="191"/>
    <w:autoRedefine/>
    <w:qFormat/>
    <w:uiPriority w:val="0"/>
    <w:pPr>
      <w:jc w:val="both"/>
    </w:pPr>
    <w:rPr>
      <w:iCs w:val="0"/>
      <w:szCs w:val="20"/>
    </w:rPr>
  </w:style>
  <w:style w:type="paragraph" w:customStyle="1" w:styleId="402">
    <w:name w:val="公式"/>
    <w:basedOn w:val="1"/>
    <w:autoRedefine/>
    <w:qFormat/>
    <w:uiPriority w:val="0"/>
    <w:pPr>
      <w:jc w:val="center"/>
    </w:pPr>
    <w:rPr>
      <w:rFonts w:cs="宋体"/>
      <w:szCs w:val="20"/>
    </w:rPr>
  </w:style>
  <w:style w:type="paragraph" w:customStyle="1" w:styleId="403">
    <w:name w:val="样式 标题 1一、 + (中文) 黑体 小二 居中 段前: 15 磅 段后: 15 磅 行距: 固定值 26 磅"/>
    <w:basedOn w:val="2"/>
    <w:autoRedefine/>
    <w:qFormat/>
    <w:uiPriority w:val="0"/>
    <w:pPr>
      <w:numPr>
        <w:numId w:val="0"/>
      </w:numPr>
      <w:spacing w:before="120" w:after="120"/>
    </w:pPr>
    <w:rPr>
      <w:rFonts w:cs="宋体"/>
      <w:b w:val="0"/>
      <w:kern w:val="44"/>
      <w:szCs w:val="20"/>
    </w:rPr>
  </w:style>
  <w:style w:type="paragraph" w:customStyle="1" w:styleId="404">
    <w:name w:val="5段落"/>
    <w:basedOn w:val="1"/>
    <w:autoRedefine/>
    <w:qFormat/>
    <w:uiPriority w:val="0"/>
    <w:pPr>
      <w:spacing w:line="360" w:lineRule="auto"/>
      <w:ind w:firstLine="200" w:firstLineChars="200"/>
    </w:pPr>
    <w:rPr>
      <w:szCs w:val="28"/>
    </w:rPr>
  </w:style>
  <w:style w:type="paragraph" w:customStyle="1" w:styleId="405">
    <w:name w:val="参文献正文"/>
    <w:basedOn w:val="1"/>
    <w:autoRedefine/>
    <w:qFormat/>
    <w:uiPriority w:val="0"/>
    <w:pPr>
      <w:spacing w:before="60" w:line="340" w:lineRule="exact"/>
    </w:pPr>
    <w:rPr>
      <w:rFonts w:cs="宋体"/>
      <w:sz w:val="21"/>
      <w:szCs w:val="21"/>
    </w:rPr>
  </w:style>
  <w:style w:type="paragraph" w:customStyle="1" w:styleId="406">
    <w:name w:val="二次公示"/>
    <w:basedOn w:val="323"/>
    <w:autoRedefine/>
    <w:qFormat/>
    <w:uiPriority w:val="0"/>
    <w:pPr>
      <w:spacing w:line="360" w:lineRule="auto"/>
    </w:pPr>
  </w:style>
  <w:style w:type="paragraph" w:customStyle="1" w:styleId="40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08">
    <w:name w:val="样式 标题 2节标题 1.11.1标题2b2节H2h2第一层条节标题标题 2（修改）二级 标题 21 Ch..."/>
    <w:basedOn w:val="3"/>
    <w:autoRedefine/>
    <w:qFormat/>
    <w:uiPriority w:val="0"/>
    <w:pPr>
      <w:jc w:val="both"/>
    </w:pPr>
    <w:rPr>
      <w:rFonts w:cs="宋体"/>
      <w:szCs w:val="20"/>
    </w:rPr>
  </w:style>
  <w:style w:type="paragraph" w:customStyle="1" w:styleId="409">
    <w:name w:val="lin正文"/>
    <w:basedOn w:val="19"/>
    <w:autoRedefine/>
    <w:qFormat/>
    <w:uiPriority w:val="0"/>
    <w:pPr>
      <w:spacing w:after="0" w:line="360" w:lineRule="auto"/>
      <w:ind w:firstLine="200" w:firstLineChars="200"/>
      <w:jc w:val="left"/>
    </w:pPr>
    <w:rPr>
      <w:rFonts w:cs="Courier New"/>
      <w:color w:val="000000"/>
      <w:kern w:val="0"/>
      <w:lang w:val="zh-TW"/>
    </w:rPr>
  </w:style>
  <w:style w:type="paragraph" w:customStyle="1" w:styleId="410">
    <w:name w:val="表文"/>
    <w:autoRedefine/>
    <w:qFormat/>
    <w:uiPriority w:val="0"/>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411">
    <w:name w:val="Char2"/>
    <w:basedOn w:val="1"/>
    <w:autoRedefine/>
    <w:qFormat/>
    <w:uiPriority w:val="0"/>
  </w:style>
  <w:style w:type="paragraph" w:customStyle="1" w:styleId="412">
    <w:name w:val="样式 四号 行距: 1.5 倍行距 首行缩进:  2 字符"/>
    <w:basedOn w:val="1"/>
    <w:autoRedefine/>
    <w:qFormat/>
    <w:uiPriority w:val="0"/>
    <w:pPr>
      <w:spacing w:line="360" w:lineRule="auto"/>
      <w:ind w:firstLine="560" w:firstLineChars="200"/>
    </w:pPr>
    <w:rPr>
      <w:rFonts w:cs="宋体"/>
      <w:sz w:val="28"/>
      <w:szCs w:val="20"/>
    </w:rPr>
  </w:style>
  <w:style w:type="paragraph" w:customStyle="1" w:styleId="413">
    <w:name w:val="a7"/>
    <w:basedOn w:val="1"/>
    <w:autoRedefine/>
    <w:qFormat/>
    <w:uiPriority w:val="0"/>
    <w:pPr>
      <w:widowControl/>
      <w:overflowPunct w:val="0"/>
      <w:snapToGrid w:val="0"/>
      <w:spacing w:line="280" w:lineRule="atLeast"/>
      <w:jc w:val="center"/>
    </w:pPr>
    <w:rPr>
      <w:rFonts w:ascii="宋体" w:hAnsi="宋体"/>
      <w:kern w:val="0"/>
      <w:sz w:val="18"/>
      <w:szCs w:val="18"/>
    </w:rPr>
  </w:style>
  <w:style w:type="paragraph" w:customStyle="1" w:styleId="414">
    <w:name w:val="样式 正文文本缩进正文文字缩进 + (符号) 宋体 首行缩进:  0.99 厘米 段后: 0 磅 行距: 1.5 倍行距"/>
    <w:basedOn w:val="20"/>
    <w:autoRedefine/>
    <w:qFormat/>
    <w:uiPriority w:val="0"/>
    <w:pPr>
      <w:spacing w:after="0" w:line="360" w:lineRule="auto"/>
      <w:ind w:left="0" w:leftChars="0" w:firstLine="560"/>
    </w:pPr>
    <w:rPr>
      <w:rFonts w:ascii="宋体" w:hAnsi="宋体" w:cs="宋体"/>
      <w:szCs w:val="20"/>
    </w:rPr>
  </w:style>
  <w:style w:type="paragraph" w:customStyle="1" w:styleId="415">
    <w:name w:val="封面正文"/>
    <w:autoRedefine/>
    <w:qFormat/>
    <w:uiPriority w:val="0"/>
    <w:pPr>
      <w:jc w:val="both"/>
    </w:pPr>
    <w:rPr>
      <w:rFonts w:ascii="Times New Roman" w:hAnsi="Times New Roman" w:eastAsia="宋体" w:cs="Times New Roman"/>
      <w:lang w:val="en-US" w:eastAsia="zh-CN" w:bidi="ar-SA"/>
    </w:rPr>
  </w:style>
  <w:style w:type="paragraph" w:customStyle="1" w:styleId="416">
    <w:name w:val="样式 Char + 段前: 0.5 行 段后: 0.5 行"/>
    <w:basedOn w:val="371"/>
    <w:autoRedefine/>
    <w:qFormat/>
    <w:uiPriority w:val="0"/>
    <w:pPr>
      <w:spacing w:before="156" w:after="156"/>
    </w:pPr>
    <w:rPr>
      <w:rFonts w:cs="宋体"/>
      <w:szCs w:val="20"/>
    </w:rPr>
  </w:style>
  <w:style w:type="paragraph" w:customStyle="1" w:styleId="417">
    <w:name w:val="表格字体"/>
    <w:basedOn w:val="1"/>
    <w:autoRedefine/>
    <w:qFormat/>
    <w:uiPriority w:val="0"/>
    <w:pPr>
      <w:jc w:val="center"/>
    </w:pPr>
    <w:rPr>
      <w:szCs w:val="21"/>
    </w:rPr>
  </w:style>
  <w:style w:type="paragraph" w:customStyle="1" w:styleId="418">
    <w:name w:val="1文章"/>
    <w:basedOn w:val="1"/>
    <w:autoRedefine/>
    <w:qFormat/>
    <w:uiPriority w:val="0"/>
    <w:pPr>
      <w:adjustRightInd w:val="0"/>
      <w:snapToGrid w:val="0"/>
      <w:spacing w:line="360" w:lineRule="auto"/>
      <w:ind w:firstLine="454"/>
      <w:textAlignment w:val="baseline"/>
      <w:outlineLvl w:val="4"/>
    </w:pPr>
    <w:rPr>
      <w:spacing w:val="4"/>
      <w:szCs w:val="21"/>
    </w:rPr>
  </w:style>
  <w:style w:type="paragraph" w:customStyle="1" w:styleId="419">
    <w:name w:val="Char Char Char Char Char Char1"/>
    <w:basedOn w:val="1"/>
    <w:autoRedefine/>
    <w:qFormat/>
    <w:uiPriority w:val="0"/>
  </w:style>
  <w:style w:type="paragraph" w:customStyle="1" w:styleId="420">
    <w:name w:val="lily 正文"/>
    <w:basedOn w:val="1"/>
    <w:autoRedefine/>
    <w:qFormat/>
    <w:uiPriority w:val="0"/>
    <w:pPr>
      <w:spacing w:line="440" w:lineRule="atLeast"/>
      <w:ind w:firstLine="480" w:firstLineChars="200"/>
    </w:pPr>
  </w:style>
  <w:style w:type="paragraph" w:customStyle="1" w:styleId="421">
    <w:name w:val="小点"/>
    <w:autoRedefine/>
    <w:qFormat/>
    <w:uiPriority w:val="0"/>
    <w:pPr>
      <w:tabs>
        <w:tab w:val="left" w:pos="526"/>
      </w:tabs>
      <w:adjustRightInd w:val="0"/>
      <w:snapToGrid w:val="0"/>
      <w:spacing w:line="360" w:lineRule="auto"/>
      <w:ind w:left="526" w:hanging="360"/>
    </w:pPr>
    <w:rPr>
      <w:rFonts w:ascii="宋体" w:hAnsi="宋体" w:eastAsia="宋体" w:cs="Times New Roman"/>
      <w:sz w:val="24"/>
      <w:szCs w:val="24"/>
      <w:lang w:val="en-US" w:eastAsia="zh-CN" w:bidi="ar-SA"/>
    </w:rPr>
  </w:style>
  <w:style w:type="paragraph" w:customStyle="1" w:styleId="422">
    <w:name w:val="样式 标题 1一、 + 小二 居中"/>
    <w:basedOn w:val="2"/>
    <w:autoRedefine/>
    <w:qFormat/>
    <w:uiPriority w:val="0"/>
    <w:pPr>
      <w:numPr>
        <w:numId w:val="0"/>
      </w:numPr>
      <w:spacing w:before="120" w:after="120"/>
    </w:pPr>
    <w:rPr>
      <w:rFonts w:cs="宋体"/>
      <w:b w:val="0"/>
      <w:kern w:val="44"/>
      <w:szCs w:val="20"/>
    </w:rPr>
  </w:style>
  <w:style w:type="paragraph" w:customStyle="1" w:styleId="423">
    <w:name w:val="样式 居中 首行缩进:  0.85 厘米"/>
    <w:basedOn w:val="1"/>
    <w:autoRedefine/>
    <w:qFormat/>
    <w:uiPriority w:val="0"/>
    <w:pPr>
      <w:jc w:val="center"/>
    </w:pPr>
    <w:rPr>
      <w:rFonts w:cs="宋体"/>
      <w:sz w:val="21"/>
      <w:szCs w:val="20"/>
    </w:rPr>
  </w:style>
  <w:style w:type="paragraph" w:customStyle="1" w:styleId="424">
    <w:name w:val="书名"/>
    <w:basedOn w:val="1"/>
    <w:autoRedefine/>
    <w:qFormat/>
    <w:uiPriority w:val="0"/>
    <w:pPr>
      <w:jc w:val="center"/>
    </w:pPr>
    <w:rPr>
      <w:rFonts w:ascii="宋体" w:hAnsi="宋体" w:cs="宋体"/>
      <w:b/>
      <w:bCs/>
      <w:sz w:val="60"/>
      <w:szCs w:val="20"/>
    </w:rPr>
  </w:style>
  <w:style w:type="paragraph" w:customStyle="1" w:styleId="425">
    <w:name w:val="样式6"/>
    <w:basedOn w:val="1"/>
    <w:autoRedefine/>
    <w:qFormat/>
    <w:uiPriority w:val="0"/>
    <w:pPr>
      <w:autoSpaceDE w:val="0"/>
      <w:autoSpaceDN w:val="0"/>
      <w:spacing w:line="500" w:lineRule="exact"/>
      <w:jc w:val="left"/>
      <w:outlineLvl w:val="0"/>
    </w:pPr>
    <w:rPr>
      <w:rFonts w:eastAsia="仿宋_GB2312"/>
      <w:color w:val="000000"/>
      <w:sz w:val="28"/>
    </w:rPr>
  </w:style>
  <w:style w:type="paragraph" w:customStyle="1" w:styleId="426">
    <w:name w:val="样式1"/>
    <w:basedOn w:val="1"/>
    <w:autoRedefine/>
    <w:qFormat/>
    <w:uiPriority w:val="0"/>
    <w:pPr>
      <w:spacing w:line="440" w:lineRule="exact"/>
      <w:ind w:firstLine="510"/>
    </w:pPr>
    <w:rPr>
      <w:color w:val="000000"/>
      <w:szCs w:val="20"/>
    </w:rPr>
  </w:style>
  <w:style w:type="paragraph" w:customStyle="1" w:styleId="427">
    <w:name w:val="样式 样式 表头样式1 + 黑体 非加粗 行距: 最小值 22 磅 + 段前: 0.5 行"/>
    <w:basedOn w:val="342"/>
    <w:autoRedefine/>
    <w:qFormat/>
    <w:uiPriority w:val="0"/>
    <w:rPr>
      <w:b w:val="0"/>
    </w:rPr>
  </w:style>
  <w:style w:type="paragraph" w:styleId="428">
    <w:name w:val="List Paragraph"/>
    <w:basedOn w:val="1"/>
    <w:autoRedefine/>
    <w:qFormat/>
    <w:uiPriority w:val="34"/>
    <w:pPr>
      <w:ind w:firstLine="420" w:firstLineChars="200"/>
    </w:pPr>
    <w:rPr>
      <w:rFonts w:ascii="Calibri" w:hAnsi="Calibri"/>
      <w:sz w:val="21"/>
      <w:szCs w:val="22"/>
    </w:rPr>
  </w:style>
  <w:style w:type="paragraph" w:customStyle="1" w:styleId="429">
    <w:name w:val="zhang正文"/>
    <w:basedOn w:val="20"/>
    <w:autoRedefine/>
    <w:qFormat/>
    <w:uiPriority w:val="0"/>
    <w:pPr>
      <w:adjustRightInd w:val="0"/>
      <w:spacing w:after="0" w:line="360" w:lineRule="atLeast"/>
      <w:ind w:left="0" w:leftChars="0"/>
      <w:jc w:val="center"/>
      <w:textAlignment w:val="baseline"/>
    </w:pPr>
    <w:rPr>
      <w:rFonts w:eastAsia="仿宋_GB2312"/>
      <w:kern w:val="0"/>
    </w:rPr>
  </w:style>
  <w:style w:type="paragraph" w:customStyle="1" w:styleId="430">
    <w:name w:val="表1"/>
    <w:basedOn w:val="1"/>
    <w:autoRedefine/>
    <w:qFormat/>
    <w:uiPriority w:val="0"/>
    <w:pPr>
      <w:adjustRightInd w:val="0"/>
      <w:spacing w:beforeLines="50" w:afterLines="50" w:line="400" w:lineRule="exact"/>
      <w:jc w:val="center"/>
    </w:pPr>
    <w:rPr>
      <w:rFonts w:eastAsia="黑体"/>
      <w:spacing w:val="10"/>
      <w:szCs w:val="20"/>
    </w:rPr>
  </w:style>
  <w:style w:type="paragraph" w:customStyle="1" w:styleId="431">
    <w:name w:val="表内格式"/>
    <w:basedOn w:val="1"/>
    <w:autoRedefine/>
    <w:qFormat/>
    <w:uiPriority w:val="0"/>
    <w:pPr>
      <w:spacing w:line="280" w:lineRule="exact"/>
      <w:jc w:val="center"/>
    </w:pPr>
    <w:rPr>
      <w:rFonts w:ascii="宋体" w:cs="宋体"/>
      <w:sz w:val="18"/>
      <w:szCs w:val="18"/>
    </w:rPr>
  </w:style>
  <w:style w:type="paragraph" w:customStyle="1" w:styleId="432">
    <w:name w:val="样式 (符号) 宋体 首行缩进:  1.01 厘米"/>
    <w:basedOn w:val="1"/>
    <w:autoRedefine/>
    <w:qFormat/>
    <w:uiPriority w:val="0"/>
    <w:pPr>
      <w:spacing w:line="360" w:lineRule="auto"/>
      <w:ind w:firstLine="480" w:firstLineChars="200"/>
    </w:pPr>
    <w:rPr>
      <w:rFonts w:ascii="宋体" w:hAnsi="宋体" w:cs="宋体"/>
      <w:szCs w:val="20"/>
    </w:rPr>
  </w:style>
  <w:style w:type="paragraph" w:customStyle="1" w:styleId="433">
    <w:name w:val="正文01"/>
    <w:basedOn w:val="1"/>
    <w:autoRedefine/>
    <w:qFormat/>
    <w:uiPriority w:val="0"/>
    <w:pPr>
      <w:spacing w:before="60" w:line="460" w:lineRule="exact"/>
      <w:ind w:firstLine="200" w:firstLineChars="200"/>
    </w:pPr>
    <w:rPr>
      <w:szCs w:val="20"/>
    </w:rPr>
  </w:style>
  <w:style w:type="paragraph" w:customStyle="1" w:styleId="434">
    <w:name w:val="缩进"/>
    <w:basedOn w:val="1"/>
    <w:autoRedefine/>
    <w:qFormat/>
    <w:uiPriority w:val="0"/>
    <w:pPr>
      <w:autoSpaceDE w:val="0"/>
      <w:autoSpaceDN w:val="0"/>
      <w:adjustRightInd w:val="0"/>
      <w:spacing w:line="400" w:lineRule="atLeast"/>
      <w:ind w:firstLine="425"/>
      <w:textAlignment w:val="baseline"/>
    </w:pPr>
    <w:rPr>
      <w:kern w:val="0"/>
      <w:szCs w:val="20"/>
    </w:rPr>
  </w:style>
  <w:style w:type="paragraph" w:customStyle="1" w:styleId="435">
    <w:name w:val="表格2"/>
    <w:basedOn w:val="1"/>
    <w:autoRedefine/>
    <w:qFormat/>
    <w:uiPriority w:val="0"/>
    <w:pPr>
      <w:autoSpaceDE w:val="0"/>
      <w:autoSpaceDN w:val="0"/>
      <w:adjustRightInd w:val="0"/>
      <w:ind w:left="-1" w:leftChars="-16" w:hanging="31" w:hangingChars="15"/>
      <w:jc w:val="center"/>
    </w:pPr>
    <w:rPr>
      <w:kern w:val="0"/>
      <w:sz w:val="21"/>
      <w:szCs w:val="20"/>
    </w:rPr>
  </w:style>
  <w:style w:type="paragraph" w:customStyle="1" w:styleId="436">
    <w:name w:val="样式 样式 标题 2节标题 2 Char1标题 2 Char Char标题 2 Char第一层条H2Heading 2 ...5..."/>
    <w:basedOn w:val="292"/>
    <w:autoRedefine/>
    <w:qFormat/>
    <w:uiPriority w:val="0"/>
    <w:pPr>
      <w:spacing w:before="156" w:after="156"/>
    </w:pPr>
  </w:style>
  <w:style w:type="paragraph" w:customStyle="1" w:styleId="437">
    <w:name w:val="目录题目"/>
    <w:basedOn w:val="405"/>
    <w:autoRedefine/>
    <w:qFormat/>
    <w:uiPriority w:val="0"/>
    <w:pPr>
      <w:spacing w:after="660"/>
      <w:jc w:val="center"/>
      <w:outlineLvl w:val="0"/>
    </w:pPr>
    <w:rPr>
      <w:rFonts w:eastAsia="黑体"/>
      <w:sz w:val="36"/>
      <w:szCs w:val="36"/>
    </w:rPr>
  </w:style>
  <w:style w:type="paragraph" w:customStyle="1" w:styleId="438">
    <w:name w:val="1表格"/>
    <w:basedOn w:val="418"/>
    <w:autoRedefine/>
    <w:qFormat/>
    <w:uiPriority w:val="0"/>
    <w:pPr>
      <w:adjustRightInd/>
      <w:spacing w:line="240" w:lineRule="auto"/>
      <w:ind w:firstLine="0"/>
      <w:jc w:val="center"/>
      <w:textAlignment w:val="auto"/>
    </w:pPr>
    <w:rPr>
      <w:sz w:val="21"/>
      <w:szCs w:val="24"/>
    </w:rPr>
  </w:style>
  <w:style w:type="paragraph" w:customStyle="1" w:styleId="439">
    <w:name w:val="样式 标题 2节标题 2 Char1标题 2 Char Char标题 2 Char第一层条H2Heading 2 ..."/>
    <w:basedOn w:val="3"/>
    <w:autoRedefine/>
    <w:qFormat/>
    <w:uiPriority w:val="0"/>
    <w:pPr>
      <w:numPr>
        <w:ilvl w:val="0"/>
        <w:numId w:val="0"/>
      </w:numPr>
      <w:spacing w:before="156" w:after="156"/>
      <w:jc w:val="both"/>
    </w:pPr>
    <w:rPr>
      <w:rFonts w:cs="宋体"/>
      <w:b w:val="0"/>
      <w:szCs w:val="20"/>
    </w:rPr>
  </w:style>
  <w:style w:type="paragraph" w:customStyle="1" w:styleId="440">
    <w:name w:val="正文文字 21"/>
    <w:basedOn w:val="1"/>
    <w:next w:val="43"/>
    <w:autoRedefine/>
    <w:qFormat/>
    <w:uiPriority w:val="0"/>
    <w:pPr>
      <w:spacing w:line="160" w:lineRule="exact"/>
      <w:jc w:val="center"/>
    </w:pPr>
    <w:rPr>
      <w:sz w:val="18"/>
    </w:rPr>
  </w:style>
  <w:style w:type="paragraph" w:customStyle="1" w:styleId="441">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2"/>
      <w:jc w:val="center"/>
    </w:pPr>
    <w:rPr>
      <w:rFonts w:ascii="宋体" w:hAnsi="宋体" w:cs="宋体"/>
      <w:kern w:val="0"/>
      <w:szCs w:val="20"/>
    </w:rPr>
  </w:style>
  <w:style w:type="paragraph" w:customStyle="1" w:styleId="442">
    <w:name w:val="az"/>
    <w:basedOn w:val="1"/>
    <w:autoRedefine/>
    <w:qFormat/>
    <w:uiPriority w:val="0"/>
    <w:pPr>
      <w:widowControl/>
      <w:ind w:firstLine="200" w:firstLineChars="200"/>
      <w:jc w:val="left"/>
      <w:outlineLvl w:val="2"/>
    </w:pPr>
    <w:rPr>
      <w:rFonts w:ascii="宋体" w:hAnsi="宋体" w:cs="宋体"/>
      <w:kern w:val="0"/>
    </w:rPr>
  </w:style>
  <w:style w:type="paragraph" w:customStyle="1" w:styleId="443">
    <w:name w:val="样式 表格 32 + 首行缩进:  2 字符"/>
    <w:basedOn w:val="1"/>
    <w:autoRedefine/>
    <w:qFormat/>
    <w:uiPriority w:val="0"/>
    <w:pPr>
      <w:autoSpaceDE w:val="0"/>
      <w:autoSpaceDN w:val="0"/>
      <w:adjustRightInd w:val="0"/>
      <w:spacing w:line="240" w:lineRule="atLeast"/>
      <w:jc w:val="center"/>
      <w:textAlignment w:val="baseline"/>
    </w:pPr>
    <w:rPr>
      <w:kern w:val="0"/>
      <w:sz w:val="21"/>
      <w:szCs w:val="21"/>
    </w:rPr>
  </w:style>
  <w:style w:type="paragraph" w:customStyle="1" w:styleId="444">
    <w:name w:val="图文框"/>
    <w:basedOn w:val="1"/>
    <w:autoRedefine/>
    <w:qFormat/>
    <w:uiPriority w:val="0"/>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445">
    <w:name w:val="法规"/>
    <w:basedOn w:val="1"/>
    <w:autoRedefine/>
    <w:qFormat/>
    <w:uiPriority w:val="0"/>
    <w:pPr>
      <w:tabs>
        <w:tab w:val="left" w:pos="400"/>
      </w:tabs>
      <w:spacing w:line="440" w:lineRule="exact"/>
      <w:ind w:firstLine="400"/>
    </w:pPr>
    <w:rPr>
      <w:sz w:val="25"/>
      <w:szCs w:val="20"/>
    </w:rPr>
  </w:style>
  <w:style w:type="paragraph" w:customStyle="1" w:styleId="446">
    <w:name w:val="_Style 11"/>
    <w:basedOn w:val="1"/>
    <w:next w:val="1"/>
    <w:autoRedefine/>
    <w:qFormat/>
    <w:uiPriority w:val="0"/>
    <w:pPr>
      <w:spacing w:after="120" w:line="480" w:lineRule="auto"/>
    </w:pPr>
    <w:rPr>
      <w:sz w:val="21"/>
      <w:szCs w:val="20"/>
    </w:rPr>
  </w:style>
  <w:style w:type="paragraph" w:customStyle="1" w:styleId="447">
    <w:name w:val="1目录"/>
    <w:basedOn w:val="311"/>
    <w:autoRedefine/>
    <w:qFormat/>
    <w:uiPriority w:val="0"/>
    <w:pPr>
      <w:tabs>
        <w:tab w:val="left" w:leader="middleDot" w:pos="8190"/>
      </w:tabs>
      <w:ind w:left="168" w:leftChars="80"/>
    </w:pPr>
    <w:rPr>
      <w:rFonts w:eastAsia="宋体"/>
      <w:b w:val="0"/>
      <w:bCs/>
      <w:sz w:val="24"/>
    </w:rPr>
  </w:style>
  <w:style w:type="paragraph" w:customStyle="1" w:styleId="448">
    <w:name w:val="样式 加粗 居中"/>
    <w:basedOn w:val="1"/>
    <w:autoRedefine/>
    <w:qFormat/>
    <w:uiPriority w:val="0"/>
    <w:pPr>
      <w:suppressAutoHyphens/>
      <w:spacing w:line="360" w:lineRule="auto"/>
      <w:jc w:val="center"/>
    </w:pPr>
    <w:rPr>
      <w:rFonts w:ascii="宋体" w:hAnsi="宋体" w:cs="宋体"/>
      <w:b/>
      <w:bCs/>
      <w:kern w:val="1"/>
      <w:szCs w:val="20"/>
      <w:lang w:eastAsia="ar-SA"/>
    </w:rPr>
  </w:style>
  <w:style w:type="paragraph" w:customStyle="1" w:styleId="449">
    <w:name w:val="key words"/>
    <w:basedOn w:val="344"/>
    <w:autoRedefine/>
    <w:qFormat/>
    <w:uiPriority w:val="0"/>
    <w:pPr>
      <w:snapToGrid w:val="0"/>
    </w:pPr>
    <w:rPr>
      <w:rFonts w:ascii="Arial Black" w:hAnsi="Arial Black" w:eastAsia="宋体"/>
    </w:rPr>
  </w:style>
  <w:style w:type="paragraph" w:customStyle="1" w:styleId="450">
    <w:name w:val="标题4"/>
    <w:basedOn w:val="1"/>
    <w:autoRedefine/>
    <w:qFormat/>
    <w:uiPriority w:val="0"/>
    <w:pPr>
      <w:spacing w:beforeLines="50" w:afterLines="50" w:line="360" w:lineRule="auto"/>
      <w:ind w:firstLine="200" w:firstLineChars="200"/>
    </w:pPr>
    <w:rPr>
      <w:b/>
      <w:color w:val="000000"/>
    </w:rPr>
  </w:style>
  <w:style w:type="paragraph" w:customStyle="1" w:styleId="451">
    <w:name w:val="TOC 标题1"/>
    <w:basedOn w:val="2"/>
    <w:next w:val="1"/>
    <w:autoRedefine/>
    <w:qFormat/>
    <w:uiPriority w:val="39"/>
    <w:pPr>
      <w:widowControl/>
      <w:numPr>
        <w:numId w:val="0"/>
      </w:numPr>
      <w:spacing w:before="480" w:line="276" w:lineRule="auto"/>
      <w:jc w:val="left"/>
      <w:outlineLvl w:val="9"/>
    </w:pPr>
    <w:rPr>
      <w:rFonts w:ascii="Cambria" w:hAnsi="Cambria"/>
      <w:b w:val="0"/>
      <w:color w:val="365F91"/>
      <w:sz w:val="28"/>
      <w:szCs w:val="28"/>
    </w:rPr>
  </w:style>
  <w:style w:type="paragraph" w:customStyle="1" w:styleId="452">
    <w:name w:val="南正文"/>
    <w:basedOn w:val="1"/>
    <w:autoRedefine/>
    <w:qFormat/>
    <w:uiPriority w:val="0"/>
    <w:pPr>
      <w:tabs>
        <w:tab w:val="left" w:pos="3825"/>
      </w:tabs>
      <w:spacing w:line="360" w:lineRule="auto"/>
      <w:ind w:firstLine="200" w:firstLineChars="200"/>
    </w:pPr>
    <w:rPr>
      <w:color w:val="000000"/>
      <w:sz w:val="28"/>
      <w:szCs w:val="20"/>
    </w:rPr>
  </w:style>
  <w:style w:type="paragraph" w:customStyle="1" w:styleId="453">
    <w:name w:val="6表格标题"/>
    <w:basedOn w:val="1"/>
    <w:next w:val="404"/>
    <w:autoRedefine/>
    <w:qFormat/>
    <w:uiPriority w:val="0"/>
    <w:pPr>
      <w:spacing w:line="360" w:lineRule="auto"/>
      <w:jc w:val="center"/>
    </w:pPr>
    <w:rPr>
      <w:b/>
      <w:szCs w:val="28"/>
    </w:rPr>
  </w:style>
  <w:style w:type="paragraph" w:customStyle="1" w:styleId="454">
    <w:name w:val="统一正文"/>
    <w:basedOn w:val="1"/>
    <w:autoRedefine/>
    <w:qFormat/>
    <w:uiPriority w:val="0"/>
    <w:pPr>
      <w:autoSpaceDE w:val="0"/>
      <w:autoSpaceDN w:val="0"/>
      <w:spacing w:line="360" w:lineRule="auto"/>
      <w:ind w:firstLine="567" w:firstLineChars="200"/>
      <w:jc w:val="left"/>
      <w:textAlignment w:val="baseline"/>
    </w:pPr>
    <w:rPr>
      <w:color w:val="000000"/>
      <w:kern w:val="0"/>
      <w:sz w:val="28"/>
      <w:szCs w:val="20"/>
      <w:lang w:bidi="he-IL"/>
    </w:rPr>
  </w:style>
  <w:style w:type="paragraph" w:customStyle="1" w:styleId="455">
    <w:name w:val="Char Char2"/>
    <w:basedOn w:val="1"/>
    <w:autoRedefine/>
    <w:qFormat/>
    <w:uiPriority w:val="0"/>
    <w:pPr>
      <w:spacing w:beforeLines="100"/>
    </w:pPr>
    <w:rPr>
      <w:sz w:val="21"/>
    </w:rPr>
  </w:style>
  <w:style w:type="paragraph" w:customStyle="1" w:styleId="456">
    <w:name w:val="样式 标题 2节标题 2 Char1标题 2 Char Char标题 2 Char第一层条H2Heading 2 ...4"/>
    <w:basedOn w:val="3"/>
    <w:autoRedefine/>
    <w:qFormat/>
    <w:uiPriority w:val="0"/>
    <w:pPr>
      <w:numPr>
        <w:ilvl w:val="0"/>
        <w:numId w:val="0"/>
      </w:numPr>
      <w:spacing w:before="120" w:after="120"/>
      <w:jc w:val="both"/>
    </w:pPr>
    <w:rPr>
      <w:b w:val="0"/>
    </w:rPr>
  </w:style>
  <w:style w:type="paragraph" w:customStyle="1" w:styleId="457">
    <w:name w:val="CM6"/>
    <w:basedOn w:val="22"/>
    <w:next w:val="22"/>
    <w:autoRedefine/>
    <w:qFormat/>
    <w:uiPriority w:val="99"/>
    <w:pPr>
      <w:spacing w:after="345"/>
    </w:pPr>
    <w:rPr>
      <w:rFonts w:ascii="宋体" w:eastAsia="宋体" w:cs="Times New Roman"/>
      <w:color w:val="auto"/>
    </w:rPr>
  </w:style>
  <w:style w:type="paragraph" w:customStyle="1" w:styleId="458">
    <w:name w:val="a2"/>
    <w:basedOn w:val="1"/>
    <w:autoRedefine/>
    <w:semiHidden/>
    <w:qFormat/>
    <w:uiPriority w:val="0"/>
    <w:pPr>
      <w:spacing w:beforeLines="100"/>
      <w:jc w:val="left"/>
      <w:outlineLvl w:val="1"/>
    </w:pPr>
    <w:rPr>
      <w:rFonts w:eastAsia="楷体_GB2312"/>
      <w:b/>
      <w:sz w:val="32"/>
    </w:rPr>
  </w:style>
  <w:style w:type="paragraph" w:customStyle="1" w:styleId="459">
    <w:name w:val="公式编辑器"/>
    <w:basedOn w:val="13"/>
    <w:autoRedefine/>
    <w:qFormat/>
    <w:uiPriority w:val="0"/>
    <w:pPr>
      <w:ind w:firstLine="200" w:firstLineChars="200"/>
    </w:pPr>
    <w:rPr>
      <w:rFonts w:ascii="Times New Roman" w:hAnsi="Times New Roman"/>
      <w:color w:val="auto"/>
      <w:sz w:val="25"/>
    </w:rPr>
  </w:style>
  <w:style w:type="paragraph" w:customStyle="1" w:styleId="460">
    <w:name w:val="3"/>
    <w:basedOn w:val="1"/>
    <w:next w:val="28"/>
    <w:autoRedefine/>
    <w:qFormat/>
    <w:uiPriority w:val="0"/>
    <w:rPr>
      <w:rFonts w:ascii="宋体" w:hAnsi="Courier New" w:cs="Courier New"/>
      <w:sz w:val="21"/>
      <w:szCs w:val="21"/>
    </w:rPr>
  </w:style>
  <w:style w:type="paragraph" w:customStyle="1" w:styleId="461">
    <w:name w:val="正文改"/>
    <w:basedOn w:val="1"/>
    <w:next w:val="1"/>
    <w:autoRedefine/>
    <w:qFormat/>
    <w:uiPriority w:val="0"/>
    <w:pPr>
      <w:spacing w:line="360" w:lineRule="auto"/>
      <w:ind w:firstLine="200" w:firstLineChars="200"/>
    </w:pPr>
    <w:rPr>
      <w:szCs w:val="20"/>
    </w:rPr>
  </w:style>
  <w:style w:type="paragraph" w:customStyle="1" w:styleId="462">
    <w:name w:val="a3"/>
    <w:basedOn w:val="1"/>
    <w:autoRedefine/>
    <w:qFormat/>
    <w:uiPriority w:val="0"/>
    <w:pPr>
      <w:spacing w:beforeLines="50"/>
      <w:jc w:val="left"/>
      <w:outlineLvl w:val="2"/>
    </w:pPr>
    <w:rPr>
      <w:rFonts w:eastAsia="楷体_GB2312"/>
      <w:b/>
      <w:sz w:val="30"/>
    </w:rPr>
  </w:style>
  <w:style w:type="paragraph" w:customStyle="1" w:styleId="463">
    <w:name w:val="1标题1级"/>
    <w:basedOn w:val="1"/>
    <w:autoRedefine/>
    <w:qFormat/>
    <w:uiPriority w:val="0"/>
    <w:pPr>
      <w:keepNext/>
      <w:adjustRightInd w:val="0"/>
      <w:snapToGrid w:val="0"/>
      <w:spacing w:line="420" w:lineRule="auto"/>
      <w:textAlignment w:val="baseline"/>
      <w:outlineLvl w:val="0"/>
    </w:pPr>
    <w:rPr>
      <w:rFonts w:eastAsia="黑体"/>
      <w:b/>
      <w:sz w:val="30"/>
      <w:szCs w:val="21"/>
    </w:rPr>
  </w:style>
  <w:style w:type="paragraph" w:customStyle="1" w:styleId="464">
    <w:name w:val="k正文"/>
    <w:basedOn w:val="1"/>
    <w:autoRedefine/>
    <w:qFormat/>
    <w:uiPriority w:val="0"/>
    <w:pPr>
      <w:adjustRightInd w:val="0"/>
      <w:snapToGrid w:val="0"/>
      <w:spacing w:line="360" w:lineRule="auto"/>
      <w:ind w:firstLine="539"/>
    </w:pPr>
    <w:rPr>
      <w:rFonts w:eastAsia="仿宋_GB2312"/>
      <w:sz w:val="28"/>
      <w:szCs w:val="20"/>
    </w:rPr>
  </w:style>
  <w:style w:type="paragraph" w:customStyle="1" w:styleId="465">
    <w:name w:val="样式 表格标题文本条款 + 行距: 最小值 12 磅"/>
    <w:basedOn w:val="10"/>
    <w:autoRedefine/>
    <w:qFormat/>
    <w:uiPriority w:val="0"/>
    <w:pPr>
      <w:keepNext w:val="0"/>
      <w:keepLines w:val="0"/>
      <w:widowControl/>
      <w:numPr>
        <w:ilvl w:val="0"/>
        <w:numId w:val="0"/>
      </w:numPr>
      <w:tabs>
        <w:tab w:val="left" w:pos="360"/>
        <w:tab w:val="left" w:pos="2700"/>
        <w:tab w:val="clear" w:pos="1584"/>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466">
    <w:name w:val="样式 表格内容 +"/>
    <w:basedOn w:val="191"/>
    <w:autoRedefine/>
    <w:qFormat/>
    <w:uiPriority w:val="0"/>
    <w:rPr>
      <w:iCs w:val="0"/>
      <w:color w:val="000000"/>
      <w:kern w:val="0"/>
    </w:rPr>
  </w:style>
  <w:style w:type="paragraph" w:customStyle="1" w:styleId="467">
    <w:name w:val="z正文"/>
    <w:basedOn w:val="20"/>
    <w:autoRedefine/>
    <w:qFormat/>
    <w:uiPriority w:val="0"/>
    <w:pPr>
      <w:autoSpaceDE w:val="0"/>
      <w:autoSpaceDN w:val="0"/>
      <w:adjustRightInd w:val="0"/>
      <w:snapToGrid w:val="0"/>
      <w:spacing w:after="0" w:line="360" w:lineRule="auto"/>
      <w:ind w:left="0" w:leftChars="0" w:firstLine="200" w:firstLineChars="200"/>
      <w:textAlignment w:val="baseline"/>
    </w:pPr>
    <w:rPr>
      <w:kern w:val="0"/>
    </w:rPr>
  </w:style>
  <w:style w:type="paragraph" w:customStyle="1" w:styleId="468">
    <w:name w:val="样式 标题 3标题 3 Char Char Char标题 3 Char Char标题 3 Char标题 3 Char1 ..."/>
    <w:basedOn w:val="4"/>
    <w:autoRedefine/>
    <w:qFormat/>
    <w:uiPriority w:val="0"/>
    <w:pPr>
      <w:numPr>
        <w:ilvl w:val="0"/>
        <w:numId w:val="0"/>
      </w:numPr>
      <w:spacing w:before="120" w:after="120"/>
    </w:pPr>
    <w:rPr>
      <w:b w:val="0"/>
      <w:color w:val="000000"/>
      <w:szCs w:val="32"/>
    </w:rPr>
  </w:style>
  <w:style w:type="paragraph" w:customStyle="1" w:styleId="469">
    <w:name w:val="正文文本缩进1"/>
    <w:basedOn w:val="1"/>
    <w:autoRedefine/>
    <w:qFormat/>
    <w:uiPriority w:val="0"/>
    <w:pPr>
      <w:widowControl/>
      <w:spacing w:line="360" w:lineRule="auto"/>
      <w:ind w:left="88" w:firstLine="467"/>
    </w:pPr>
    <w:rPr>
      <w:rFonts w:ascii="仿宋_GB2312" w:eastAsia="仿宋_GB2312"/>
      <w:kern w:val="0"/>
      <w:sz w:val="28"/>
      <w:szCs w:val="20"/>
    </w:rPr>
  </w:style>
  <w:style w:type="paragraph" w:customStyle="1" w:styleId="470">
    <w:name w:val="Body Text Indent1"/>
    <w:basedOn w:val="1"/>
    <w:autoRedefine/>
    <w:qFormat/>
    <w:uiPriority w:val="0"/>
    <w:pPr>
      <w:widowControl/>
      <w:spacing w:line="360" w:lineRule="auto"/>
      <w:ind w:left="88" w:firstLine="467"/>
    </w:pPr>
    <w:rPr>
      <w:rFonts w:ascii="仿宋_GB2312" w:eastAsia="仿宋_GB2312"/>
      <w:kern w:val="0"/>
      <w:sz w:val="28"/>
      <w:szCs w:val="20"/>
    </w:rPr>
  </w:style>
  <w:style w:type="paragraph" w:customStyle="1" w:styleId="471">
    <w:name w:val="南风正文"/>
    <w:basedOn w:val="1"/>
    <w:next w:val="1"/>
    <w:autoRedefine/>
    <w:qFormat/>
    <w:uiPriority w:val="0"/>
    <w:pPr>
      <w:widowControl/>
      <w:spacing w:line="360" w:lineRule="auto"/>
      <w:ind w:firstLine="472" w:firstLineChars="200"/>
      <w:jc w:val="left"/>
    </w:pPr>
    <w:rPr>
      <w:spacing w:val="-2"/>
    </w:rPr>
  </w:style>
  <w:style w:type="paragraph" w:customStyle="1" w:styleId="472">
    <w:name w:val="qqq"/>
    <w:basedOn w:val="1"/>
    <w:next w:val="1"/>
    <w:autoRedefine/>
    <w:qFormat/>
    <w:uiPriority w:val="0"/>
    <w:pPr>
      <w:adjustRightInd w:val="0"/>
      <w:spacing w:line="360" w:lineRule="auto"/>
      <w:ind w:firstLine="200" w:firstLineChars="200"/>
      <w:textAlignment w:val="baseline"/>
    </w:pPr>
    <w:rPr>
      <w:rFonts w:ascii="宋体" w:hAnsi="宋体"/>
      <w:kern w:val="0"/>
      <w:szCs w:val="28"/>
    </w:rPr>
  </w:style>
  <w:style w:type="paragraph" w:customStyle="1" w:styleId="473">
    <w:name w:val="Body text|1"/>
    <w:basedOn w:val="1"/>
    <w:autoRedefine/>
    <w:qFormat/>
    <w:uiPriority w:val="0"/>
    <w:pPr>
      <w:spacing w:after="100" w:line="406" w:lineRule="auto"/>
      <w:ind w:firstLine="400"/>
    </w:pPr>
    <w:rPr>
      <w:rFonts w:ascii="宋体" w:hAnsi="宋体" w:cs="宋体"/>
      <w:lang w:val="zh-TW" w:eastAsia="zh-TW" w:bidi="zh-TW"/>
    </w:rPr>
  </w:style>
  <w:style w:type="paragraph" w:customStyle="1" w:styleId="474">
    <w:name w:val="Table caption|1"/>
    <w:basedOn w:val="1"/>
    <w:autoRedefine/>
    <w:qFormat/>
    <w:uiPriority w:val="0"/>
    <w:rPr>
      <w:rFonts w:ascii="宋体" w:hAnsi="宋体" w:cs="宋体"/>
      <w:b/>
      <w:bCs/>
      <w:lang w:val="zh-TW" w:eastAsia="zh-TW" w:bidi="zh-TW"/>
    </w:rPr>
  </w:style>
  <w:style w:type="paragraph" w:customStyle="1" w:styleId="475">
    <w:name w:val="Other|1"/>
    <w:basedOn w:val="1"/>
    <w:autoRedefine/>
    <w:qFormat/>
    <w:uiPriority w:val="0"/>
    <w:pPr>
      <w:spacing w:after="30" w:line="425" w:lineRule="auto"/>
      <w:ind w:firstLine="400"/>
    </w:pPr>
    <w:rPr>
      <w:rFonts w:ascii="宋体" w:hAnsi="宋体" w:cs="宋体"/>
      <w:lang w:val="zh-TW" w:eastAsia="zh-TW" w:bidi="zh-TW"/>
    </w:rPr>
  </w:style>
  <w:style w:type="paragraph" w:customStyle="1" w:styleId="476">
    <w:name w:val="Body text|2"/>
    <w:basedOn w:val="1"/>
    <w:autoRedefine/>
    <w:qFormat/>
    <w:uiPriority w:val="0"/>
    <w:pPr>
      <w:spacing w:after="260" w:line="466" w:lineRule="exact"/>
      <w:ind w:firstLine="500"/>
    </w:pPr>
  </w:style>
  <w:style w:type="table" w:customStyle="1" w:styleId="477">
    <w:name w:val="表格样式1"/>
    <w:basedOn w:val="50"/>
    <w:autoRedefine/>
    <w:qFormat/>
    <w:uiPriority w:val="0"/>
    <w:pPr>
      <w:jc w:val="center"/>
    </w:pPr>
    <w:rPr>
      <w:rFonts w:ascii="Times New Roman" w:hAnsi="Times New Roman" w:eastAsia="宋体" w:cs="Times New Roman"/>
    </w:rPr>
    <w:tblPr>
      <w:jc w:val="cente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478">
    <w:name w:val="颜表文"/>
    <w:basedOn w:val="1"/>
    <w:autoRedefine/>
    <w:qFormat/>
    <w:uiPriority w:val="0"/>
    <w:pPr>
      <w:jc w:val="center"/>
    </w:pPr>
    <w:rPr>
      <w:sz w:val="21"/>
    </w:rPr>
  </w:style>
  <w:style w:type="paragraph" w:customStyle="1" w:styleId="479">
    <w:name w:val="列出段落1"/>
    <w:basedOn w:val="1"/>
    <w:autoRedefine/>
    <w:qFormat/>
    <w:uiPriority w:val="1"/>
    <w:pPr>
      <w:ind w:left="1438" w:hanging="602"/>
    </w:pPr>
  </w:style>
  <w:style w:type="paragraph" w:customStyle="1" w:styleId="480">
    <w:name w:val="段落"/>
    <w:basedOn w:val="1"/>
    <w:autoRedefine/>
    <w:qFormat/>
    <w:uiPriority w:val="0"/>
    <w:pPr>
      <w:spacing w:line="360" w:lineRule="auto"/>
      <w:ind w:firstLine="480" w:firstLineChars="200"/>
    </w:pPr>
    <w:rPr>
      <w:rFonts w:ascii="宋体" w:hAnsi="宋体"/>
    </w:rPr>
  </w:style>
  <w:style w:type="paragraph" w:customStyle="1" w:styleId="481">
    <w:name w:val="表中正文"/>
    <w:basedOn w:val="1"/>
    <w:autoRedefine/>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482">
    <w:name w:val="111正文格式111"/>
    <w:basedOn w:val="483"/>
    <w:autoRedefine/>
    <w:qFormat/>
    <w:uiPriority w:val="0"/>
    <w:pPr>
      <w:adjustRightInd w:val="0"/>
      <w:snapToGrid w:val="0"/>
    </w:pPr>
    <w:rPr>
      <w:bCs/>
    </w:rPr>
  </w:style>
  <w:style w:type="paragraph" w:customStyle="1" w:styleId="483">
    <w:name w:val="正文的格式"/>
    <w:basedOn w:val="1"/>
    <w:autoRedefine/>
    <w:qFormat/>
    <w:uiPriority w:val="0"/>
    <w:pPr>
      <w:spacing w:line="360" w:lineRule="auto"/>
      <w:ind w:firstLine="200" w:firstLineChars="200"/>
    </w:pPr>
  </w:style>
  <w:style w:type="paragraph" w:customStyle="1" w:styleId="484">
    <w:name w:val="Table Paragraph"/>
    <w:basedOn w:val="1"/>
    <w:autoRedefine/>
    <w:qFormat/>
    <w:uiPriority w:val="1"/>
    <w:pPr>
      <w:jc w:val="center"/>
    </w:pPr>
    <w:rPr>
      <w:rFonts w:ascii="宋体" w:hAnsi="宋体" w:cs="宋体"/>
      <w:lang w:val="zh-CN" w:bidi="zh-CN"/>
    </w:rPr>
  </w:style>
  <w:style w:type="paragraph" w:customStyle="1" w:styleId="485">
    <w:name w:val="正文内容"/>
    <w:basedOn w:val="1"/>
    <w:autoRedefine/>
    <w:qFormat/>
    <w:uiPriority w:val="0"/>
    <w:pPr>
      <w:ind w:firstLine="200"/>
    </w:pPr>
    <w:rPr>
      <w:szCs w:val="20"/>
    </w:rPr>
  </w:style>
  <w:style w:type="character" w:customStyle="1" w:styleId="486">
    <w:name w:val="font31"/>
    <w:autoRedefine/>
    <w:qFormat/>
    <w:uiPriority w:val="0"/>
    <w:rPr>
      <w:rFonts w:hint="eastAsia" w:ascii="MingLiU" w:hAnsi="MingLiU" w:eastAsia="MingLiU" w:cs="MingLiU"/>
      <w:color w:val="000000"/>
      <w:sz w:val="22"/>
      <w:szCs w:val="22"/>
      <w:u w:val="none"/>
    </w:rPr>
  </w:style>
  <w:style w:type="paragraph" w:customStyle="1" w:styleId="487">
    <w:name w:val="Char Char Char Char Char Char1 Char"/>
    <w:basedOn w:val="1"/>
    <w:autoRedefine/>
    <w:qFormat/>
    <w:uiPriority w:val="0"/>
    <w:pPr>
      <w:spacing w:line="360" w:lineRule="auto"/>
      <w:ind w:firstLine="200" w:firstLineChars="200"/>
    </w:pPr>
    <w:rPr>
      <w:rFonts w:ascii="宋体" w:hAnsi="宋体" w:eastAsia="仿宋_GB2312" w:cs="宋体"/>
      <w:szCs w:val="20"/>
    </w:rPr>
  </w:style>
  <w:style w:type="paragraph" w:customStyle="1" w:styleId="488">
    <w:name w:val="7表格（治）"/>
    <w:autoRedefine/>
    <w:qFormat/>
    <w:uiPriority w:val="0"/>
    <w:pPr>
      <w:widowControl w:val="0"/>
      <w:adjustRightInd w:val="0"/>
      <w:snapToGrid w:val="0"/>
      <w:jc w:val="center"/>
    </w:pPr>
    <w:rPr>
      <w:rFonts w:ascii="Times New Roman" w:hAnsi="Times New Roman" w:eastAsia="宋体" w:cs="Times New Roman"/>
      <w:color w:val="000000"/>
      <w:sz w:val="21"/>
      <w:szCs w:val="21"/>
      <w:lang w:val="en-US" w:eastAsia="zh-CN" w:bidi="ar-SA"/>
    </w:rPr>
  </w:style>
  <w:style w:type="character" w:customStyle="1" w:styleId="489">
    <w:name w:val="普通(网站) Char"/>
    <w:link w:val="45"/>
    <w:autoRedefine/>
    <w:qFormat/>
    <w:locked/>
    <w:uiPriority w:val="0"/>
    <w:rPr>
      <w:rFonts w:ascii="Times New Roman" w:hAnsi="Times New Roman" w:eastAsia="宋体" w:cs="Times New Roman"/>
      <w:kern w:val="2"/>
      <w:sz w:val="24"/>
      <w:szCs w:val="24"/>
    </w:rPr>
  </w:style>
  <w:style w:type="paragraph" w:customStyle="1" w:styleId="490">
    <w:name w:val="彪哥文本"/>
    <w:basedOn w:val="1"/>
    <w:next w:val="1"/>
    <w:autoRedefine/>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character" w:customStyle="1" w:styleId="491">
    <w:name w:val="font11"/>
    <w:basedOn w:val="52"/>
    <w:autoRedefine/>
    <w:qFormat/>
    <w:uiPriority w:val="0"/>
    <w:rPr>
      <w:rFonts w:hint="default" w:ascii="Times New Roman" w:hAnsi="Times New Roman" w:cs="Times New Roman"/>
      <w:color w:val="000000"/>
      <w:sz w:val="21"/>
      <w:szCs w:val="21"/>
      <w:u w:val="none"/>
    </w:rPr>
  </w:style>
  <w:style w:type="paragraph" w:customStyle="1" w:styleId="492">
    <w:name w:val="正文-2"/>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paragraph" w:customStyle="1" w:styleId="493">
    <w:name w:val="表格的字"/>
    <w:basedOn w:val="1"/>
    <w:next w:val="1"/>
    <w:autoRedefine/>
    <w:qFormat/>
    <w:uiPriority w:val="0"/>
    <w:pPr>
      <w:adjustRightInd/>
      <w:spacing w:line="240" w:lineRule="auto"/>
      <w:ind w:firstLine="0" w:firstLineChars="0"/>
      <w:jc w:val="center"/>
    </w:pPr>
    <w:rPr>
      <w:sz w:val="21"/>
      <w:szCs w:val="24"/>
    </w:rPr>
  </w:style>
  <w:style w:type="paragraph" w:customStyle="1" w:styleId="494">
    <w:name w:val="样式35"/>
    <w:next w:val="1"/>
    <w:autoRedefine/>
    <w:qFormat/>
    <w:uiPriority w:val="0"/>
    <w:pPr>
      <w:widowControl w:val="0"/>
      <w:spacing w:line="312" w:lineRule="auto"/>
      <w:ind w:firstLine="567"/>
      <w:jc w:val="both"/>
    </w:pPr>
    <w:rPr>
      <w:rFonts w:ascii="宋体" w:hAnsi="Calibri" w:eastAsia="宋体" w:cs="宋体"/>
      <w:kern w:val="2"/>
      <w:sz w:val="28"/>
      <w:lang w:val="en-US" w:eastAsia="zh-CN" w:bidi="ar-SA"/>
    </w:rPr>
  </w:style>
  <w:style w:type="character" w:customStyle="1" w:styleId="495">
    <w:name w:val="font21"/>
    <w:basedOn w:val="52"/>
    <w:qFormat/>
    <w:uiPriority w:val="0"/>
    <w:rPr>
      <w:rFonts w:hint="default" w:ascii="Times New Roman" w:hAnsi="Times New Roman" w:cs="Times New Roman"/>
      <w:color w:val="000000"/>
      <w:sz w:val="32"/>
      <w:szCs w:val="32"/>
      <w:u w:val="none"/>
    </w:rPr>
  </w:style>
  <w:style w:type="paragraph" w:customStyle="1" w:styleId="496">
    <w:name w:val="个人正文"/>
    <w:qFormat/>
    <w:uiPriority w:val="0"/>
    <w:pPr>
      <w:spacing w:line="360" w:lineRule="auto"/>
      <w:ind w:firstLine="1040" w:firstLineChars="200"/>
    </w:pPr>
    <w:rPr>
      <w:rFonts w:ascii="Times New Roman" w:hAnsi="Times New Roman" w:eastAsia="宋体" w:cs="Times New Roman"/>
      <w:sz w:val="24"/>
      <w:lang w:val="en-US" w:eastAsia="zh-CN" w:bidi="ar-SA"/>
    </w:rPr>
  </w:style>
  <w:style w:type="paragraph" w:customStyle="1" w:styleId="497">
    <w:name w:val="表格样式—zsy"/>
    <w:basedOn w:val="1"/>
    <w:qFormat/>
    <w:uiPriority w:val="0"/>
    <w:pPr>
      <w:keepNext/>
      <w:keepLines/>
      <w:spacing w:line="340" w:lineRule="exact"/>
      <w:ind w:firstLine="0" w:firstLineChars="0"/>
      <w:jc w:val="center"/>
    </w:pPr>
    <w:rPr>
      <w:rFonts w:hint="eastAsia" w:ascii="Times New Roman" w:hAnsi="Times New Roman" w:eastAsia="宋体"/>
    </w:rPr>
  </w:style>
  <w:style w:type="paragraph" w:customStyle="1" w:styleId="498">
    <w:name w:val="H图表内容"/>
    <w:basedOn w:val="1"/>
    <w:qFormat/>
    <w:uiPriority w:val="0"/>
    <w:rPr>
      <w:szCs w:val="20"/>
    </w:rPr>
  </w:style>
  <w:style w:type="paragraph" w:customStyle="1" w:styleId="499">
    <w:name w:val="环评 表格"/>
    <w:basedOn w:val="500"/>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500">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501">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table" w:customStyle="1" w:styleId="502">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70</Pages>
  <Words>36173</Words>
  <Characters>41605</Characters>
  <Lines>264</Lines>
  <Paragraphs>74</Paragraphs>
  <TotalTime>10</TotalTime>
  <ScaleCrop>false</ScaleCrop>
  <LinksUpToDate>false</LinksUpToDate>
  <CharactersWithSpaces>42007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2023-05-07T02:55:00Z</dcterms:created>
  <dc:creator>FH6898</dc:creator>
  <cp:lastModifiedBy>啦啦啦</cp:lastModifiedBy>
  <cp:lastPrinted>2025-02-24T09:17:00Z</cp:lastPrinted>
  <dcterms:modified xsi:type="dcterms:W3CDTF">2025-03-05T08:18:34Z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A8169067BA0748F69C147831BD1A9AED_13</vt:lpwstr>
  </property>
  <property fmtid="{D5CDD505-2E9C-101B-9397-08002B2CF9AE}" pid="4" name="KSOTemplateDocerSaveRecord">
    <vt:lpwstr>eyJoZGlkIjoiYTZmODBjMzQ0NjEyZjg5MGI0NDkzNzg2M2I0ZjRiOTUiLCJ1c2VySWQiOiIyNjQ3OTcxMDQifQ==</vt:lpwstr>
  </property>
</Properties>
</file>